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95610" w14:textId="332CC654" w:rsidR="0012539C" w:rsidRPr="00C42851" w:rsidRDefault="00556F20">
      <w:pPr>
        <w:rPr>
          <w:u w:val="single"/>
        </w:rPr>
      </w:pPr>
      <w:r w:rsidRPr="00C42851">
        <w:rPr>
          <w:u w:val="single"/>
        </w:rPr>
        <w:t xml:space="preserve">Assignment 2 </w:t>
      </w:r>
      <w:r w:rsidR="00832A35" w:rsidRPr="00C42851">
        <w:rPr>
          <w:u w:val="single"/>
        </w:rPr>
        <w:t xml:space="preserve">Egypt </w:t>
      </w:r>
      <w:r w:rsidRPr="00C42851">
        <w:rPr>
          <w:u w:val="single"/>
        </w:rPr>
        <w:t>Annotated Bibliography</w:t>
      </w:r>
      <w:r w:rsidR="000E2F06" w:rsidRPr="00C42851">
        <w:rPr>
          <w:u w:val="single"/>
        </w:rPr>
        <w:t xml:space="preserve">: </w:t>
      </w:r>
      <w:r w:rsidR="00832A35" w:rsidRPr="00C42851">
        <w:rPr>
          <w:u w:val="single"/>
        </w:rPr>
        <w:t>Aspect: Funerary customs and beliefs in the Bronze Age</w:t>
      </w:r>
      <w:r w:rsidRPr="00C42851">
        <w:rPr>
          <w:u w:val="single"/>
        </w:rPr>
        <w:t xml:space="preserve"> by Lizzie Mansfield</w:t>
      </w:r>
    </w:p>
    <w:p w14:paraId="2A6B5B79" w14:textId="2D14B0EA" w:rsidR="00556F20" w:rsidRPr="00C42851" w:rsidRDefault="00C94795">
      <w:r w:rsidRPr="00C42851">
        <w:t xml:space="preserve">Brewer, </w:t>
      </w:r>
      <w:r w:rsidR="008F709A" w:rsidRPr="00C42851">
        <w:t>D.J</w:t>
      </w:r>
      <w:r w:rsidR="003A2EA1" w:rsidRPr="00C42851">
        <w:t>.</w:t>
      </w:r>
      <w:r w:rsidR="008F709A" w:rsidRPr="00C42851">
        <w:t xml:space="preserve"> and Teeter, E</w:t>
      </w:r>
      <w:r w:rsidR="003A2EA1" w:rsidRPr="00C42851">
        <w:t>.</w:t>
      </w:r>
      <w:r w:rsidR="005917D9" w:rsidRPr="00C42851">
        <w:t xml:space="preserve"> </w:t>
      </w:r>
      <w:r w:rsidR="006D57A1" w:rsidRPr="00C42851">
        <w:t xml:space="preserve">(2007) </w:t>
      </w:r>
      <w:r w:rsidR="005933E6" w:rsidRPr="00C42851">
        <w:rPr>
          <w:i/>
          <w:iCs/>
        </w:rPr>
        <w:t>Egypt and the Egyptians.</w:t>
      </w:r>
      <w:r w:rsidR="005933E6" w:rsidRPr="00C42851">
        <w:t xml:space="preserve"> </w:t>
      </w:r>
      <w:r w:rsidR="004B6425" w:rsidRPr="00C42851">
        <w:t>2</w:t>
      </w:r>
      <w:r w:rsidR="004B6425" w:rsidRPr="00C42851">
        <w:rPr>
          <w:vertAlign w:val="superscript"/>
        </w:rPr>
        <w:t>nd</w:t>
      </w:r>
      <w:r w:rsidR="004B6425" w:rsidRPr="00C42851">
        <w:t xml:space="preserve"> </w:t>
      </w:r>
      <w:proofErr w:type="spellStart"/>
      <w:r w:rsidR="004B6425" w:rsidRPr="00C42851">
        <w:t>edn</w:t>
      </w:r>
      <w:proofErr w:type="spellEnd"/>
      <w:r w:rsidR="004B6425" w:rsidRPr="00C42851">
        <w:t xml:space="preserve">. </w:t>
      </w:r>
      <w:r w:rsidR="00804011" w:rsidRPr="00C42851">
        <w:t>New York: Cambridge University Press.</w:t>
      </w:r>
    </w:p>
    <w:p w14:paraId="4EA42422" w14:textId="33A8B9F5" w:rsidR="003A2EA1" w:rsidRPr="00C42851" w:rsidRDefault="002656B7">
      <w:r w:rsidRPr="00C42851">
        <w:t>In this book, the authors</w:t>
      </w:r>
      <w:r w:rsidR="00EF21E5" w:rsidRPr="00C42851">
        <w:t xml:space="preserve"> explore the different aspects of life in Ancient Egypt. </w:t>
      </w:r>
      <w:r w:rsidR="00C53B00" w:rsidRPr="00C42851">
        <w:t xml:space="preserve">The book contains a lot of information on the various parts of life in Ancient Egypt. Some of these concepts include </w:t>
      </w:r>
      <w:r w:rsidR="00246892">
        <w:t>Religion and religious practices, Society and its expectations</w:t>
      </w:r>
      <w:r w:rsidR="009469DF">
        <w:t>,</w:t>
      </w:r>
      <w:r w:rsidR="00246892">
        <w:t xml:space="preserve"> Language and writing</w:t>
      </w:r>
      <w:r w:rsidR="009469DF">
        <w:t xml:space="preserve"> and the Government and the governed</w:t>
      </w:r>
      <w:r w:rsidR="00246892">
        <w:t xml:space="preserve">. </w:t>
      </w:r>
      <w:r w:rsidR="00C25729">
        <w:t xml:space="preserve">But for my research topic, </w:t>
      </w:r>
      <w:r w:rsidR="00F81567">
        <w:t xml:space="preserve">the </w:t>
      </w:r>
      <w:r w:rsidR="00C25729">
        <w:t xml:space="preserve">chapter </w:t>
      </w:r>
      <w:r w:rsidR="00F81567">
        <w:t xml:space="preserve">called </w:t>
      </w:r>
      <w:r w:rsidR="006F7FC7">
        <w:t xml:space="preserve">the quest for eternity is the most relevant and has the information required for </w:t>
      </w:r>
      <w:r w:rsidR="00DC4882">
        <w:t xml:space="preserve">the topic. </w:t>
      </w:r>
      <w:r w:rsidR="00327680">
        <w:t>The concepts in this chapter of the book that the authors talk about are: Royal tombs, Non-royal tombs, the process of mummification and the journey to the afterlife.</w:t>
      </w:r>
      <w:r w:rsidR="00520B29">
        <w:t xml:space="preserve"> </w:t>
      </w:r>
      <w:r w:rsidR="0021648D">
        <w:t xml:space="preserve">This chapter contains a lot more information </w:t>
      </w:r>
      <w:proofErr w:type="gramStart"/>
      <w:r w:rsidR="0021648D">
        <w:t>on the subject of tombs</w:t>
      </w:r>
      <w:proofErr w:type="gramEnd"/>
      <w:r w:rsidR="0021648D">
        <w:t xml:space="preserve">, rather than the other concepts mentioned. </w:t>
      </w:r>
      <w:r w:rsidR="004569E6">
        <w:t xml:space="preserve">It goes into detail describing how the different types of tombs were built and gives examples of some of the various elaborately constructed tombs of the Pharaohs. </w:t>
      </w:r>
      <w:r w:rsidR="00F75EB9">
        <w:t xml:space="preserve">The authors’ writing style is easy to understand, and they impart a lot of information </w:t>
      </w:r>
      <w:r w:rsidR="006518C4">
        <w:t xml:space="preserve">on burial customs and beliefs. </w:t>
      </w:r>
      <w:r w:rsidR="00BD749E">
        <w:t>The information in this chapter is supported by references to other works by people in this field.</w:t>
      </w:r>
      <w:r w:rsidR="00D10B90">
        <w:t xml:space="preserve"> </w:t>
      </w:r>
      <w:r w:rsidR="0099677A">
        <w:t xml:space="preserve">The main limitation of this book is that it has only one chapter filled with information that is relevant to my research topic. </w:t>
      </w:r>
      <w:r w:rsidR="00843DD2">
        <w:t xml:space="preserve">If it was a book that was completely focused on Ancient Egyptian funerary practices and beliefs, the information would have probably </w:t>
      </w:r>
      <w:r w:rsidR="008B038C">
        <w:t>been</w:t>
      </w:r>
      <w:r w:rsidR="00843DD2">
        <w:t xml:space="preserve"> more in depth and detailed. </w:t>
      </w:r>
      <w:r w:rsidR="008B038C">
        <w:t>However, the book and the information that it provides is still useful to my research topic.</w:t>
      </w:r>
    </w:p>
    <w:p w14:paraId="4109825E" w14:textId="033F133F" w:rsidR="003A2EA1" w:rsidRPr="00C42851" w:rsidRDefault="003A2EA1">
      <w:r w:rsidRPr="00C42851">
        <w:t xml:space="preserve">Ikram, S. (2007) ‘Afterlife beliefs and burial customs’, in Wilkinson, T. (ed.) </w:t>
      </w:r>
      <w:r w:rsidRPr="00C42851">
        <w:rPr>
          <w:i/>
          <w:iCs/>
        </w:rPr>
        <w:t>The Egyptian World.</w:t>
      </w:r>
      <w:r w:rsidRPr="00C42851">
        <w:t xml:space="preserve"> Oxon: Routledge.</w:t>
      </w:r>
    </w:p>
    <w:p w14:paraId="707C2F0B" w14:textId="26C1326D" w:rsidR="00D9030A" w:rsidRDefault="00FB7628">
      <w:r w:rsidRPr="00C42851">
        <w:t>In this chapter of this edited book,</w:t>
      </w:r>
      <w:r w:rsidR="0045355D" w:rsidRPr="00C42851">
        <w:t xml:space="preserve"> the author</w:t>
      </w:r>
      <w:r w:rsidRPr="00C42851">
        <w:t xml:space="preserve"> </w:t>
      </w:r>
      <w:r w:rsidR="00A571BE" w:rsidRPr="00C42851">
        <w:t>Ikram</w:t>
      </w:r>
      <w:r w:rsidR="0045355D" w:rsidRPr="00C42851">
        <w:t xml:space="preserve"> describes the funerary beliefs in Ancient Egypt.</w:t>
      </w:r>
      <w:r w:rsidR="00C96C58">
        <w:t xml:space="preserve"> The chapter covers </w:t>
      </w:r>
      <w:r w:rsidR="00DD3EB5">
        <w:t>the many different beliefs and customs the Ancient Egyptians had on the dead.</w:t>
      </w:r>
      <w:r w:rsidR="00A46EB7">
        <w:t xml:space="preserve"> The concepts that the author discusses about </w:t>
      </w:r>
      <w:r w:rsidR="00440CAF">
        <w:t>are as such</w:t>
      </w:r>
      <w:r w:rsidR="002D0A4E">
        <w:t xml:space="preserve">: </w:t>
      </w:r>
      <w:r w:rsidR="00B7346A">
        <w:t xml:space="preserve">the myth of Osiris, mummification, aspects of the individual, the funeral, the importance of the tomb, interaction between the living and the dead, the road to resurrection and curses. </w:t>
      </w:r>
      <w:r w:rsidR="006A7DF4">
        <w:t>The placement of the two topics the myth of Osiris and curses by the author is clever and has meaning.</w:t>
      </w:r>
      <w:r w:rsidR="006C1674">
        <w:t xml:space="preserve"> </w:t>
      </w:r>
      <w:r w:rsidR="00916F1A">
        <w:t xml:space="preserve">The position of the </w:t>
      </w:r>
      <w:r w:rsidR="008C4109">
        <w:t xml:space="preserve">concept the </w:t>
      </w:r>
      <w:r w:rsidR="00916F1A">
        <w:t xml:space="preserve">myth of Osiris at the beginning of the chapter is significant because </w:t>
      </w:r>
      <w:r w:rsidR="008C4109">
        <w:t xml:space="preserve">the strong belief in the myths about Osiris started the more elaborate funerary customs and beliefs. Furthermore, the position of the concept curses </w:t>
      </w:r>
      <w:r w:rsidR="00B152DF">
        <w:t xml:space="preserve">at the end of the chapter is also significant because </w:t>
      </w:r>
      <w:r w:rsidR="00CE1994">
        <w:t>the Ancient Egyptians tended to leave inscriptions of curses on tombs to ward off trespassers and potential thieves, who may desecrate the tomb. The significance of this is that the placing of curses was one of the last stages of the funeral customs.</w:t>
      </w:r>
      <w:r w:rsidR="00AE4A4C">
        <w:t xml:space="preserve"> </w:t>
      </w:r>
      <w:r w:rsidR="00A029F5">
        <w:t xml:space="preserve">The author Ikram writes in a manner that makes the information they are conveying easy to understand. </w:t>
      </w:r>
      <w:r w:rsidR="00362C34">
        <w:t>The</w:t>
      </w:r>
      <w:r w:rsidR="004024B5">
        <w:t>refore, the</w:t>
      </w:r>
      <w:r w:rsidR="00362C34">
        <w:t xml:space="preserve"> wide range of information provided in this chapter is very useful for my </w:t>
      </w:r>
      <w:r w:rsidR="00E85B48">
        <w:t xml:space="preserve">research </w:t>
      </w:r>
      <w:r w:rsidR="00C9124B">
        <w:t>topic.</w:t>
      </w:r>
    </w:p>
    <w:p w14:paraId="2CBBB262" w14:textId="42AA0DD8" w:rsidR="00D9030A" w:rsidRPr="000534C6" w:rsidRDefault="000534C6">
      <w:r>
        <w:t xml:space="preserve">Mark, J.J. (2013) </w:t>
      </w:r>
      <w:r>
        <w:rPr>
          <w:i/>
          <w:iCs/>
        </w:rPr>
        <w:t>Ancient Egyptian Burial.</w:t>
      </w:r>
      <w:r>
        <w:t xml:space="preserve"> </w:t>
      </w:r>
      <w:r w:rsidR="00AC5AFB">
        <w:t xml:space="preserve">Available at: </w:t>
      </w:r>
      <w:hyperlink r:id="rId6" w:history="1">
        <w:r w:rsidR="00AC5AFB" w:rsidRPr="00DC0343">
          <w:rPr>
            <w:rStyle w:val="Hyperlink"/>
          </w:rPr>
          <w:t>https://www.ancient.eu/Egyptian_Burial/</w:t>
        </w:r>
      </w:hyperlink>
      <w:r w:rsidR="00AC5AFB">
        <w:t xml:space="preserve"> (Accessed: 10 April 2020).</w:t>
      </w:r>
    </w:p>
    <w:p w14:paraId="09D2EC83" w14:textId="4B50B68B" w:rsidR="00D9030A" w:rsidRDefault="00297B42">
      <w:r>
        <w:t>On t</w:t>
      </w:r>
      <w:r w:rsidR="00FB7548">
        <w:t>his website</w:t>
      </w:r>
      <w:r>
        <w:t xml:space="preserve">, the article’s author covers many different aspects of Ancient Egyptian burials. </w:t>
      </w:r>
      <w:r w:rsidR="00AC1493">
        <w:t xml:space="preserve">The concepts that the website goes over are: Mourning and the soul, </w:t>
      </w:r>
      <w:r w:rsidR="00F16E4A">
        <w:t>Types of Mummification</w:t>
      </w:r>
      <w:r w:rsidR="00395282">
        <w:t xml:space="preserve"> and</w:t>
      </w:r>
      <w:r w:rsidR="00F16E4A">
        <w:t xml:space="preserve"> </w:t>
      </w:r>
      <w:r w:rsidR="00780E97">
        <w:t>Funerals and Graves</w:t>
      </w:r>
      <w:r w:rsidR="00395282">
        <w:t xml:space="preserve">. </w:t>
      </w:r>
      <w:r w:rsidR="00564034">
        <w:t xml:space="preserve">Each concept is </w:t>
      </w:r>
      <w:proofErr w:type="gramStart"/>
      <w:r w:rsidR="00564034">
        <w:t>fairly detailed</w:t>
      </w:r>
      <w:proofErr w:type="gramEnd"/>
      <w:r w:rsidR="005B1FDD">
        <w:t>.</w:t>
      </w:r>
      <w:r w:rsidR="00502BD5">
        <w:t xml:space="preserve"> For instance,</w:t>
      </w:r>
      <w:r w:rsidR="007D06F7">
        <w:t xml:space="preserve"> the author names and defines each part of the soul.</w:t>
      </w:r>
      <w:r w:rsidR="006272CF">
        <w:t xml:space="preserve"> Khat was the body, Ren was the secret name of the person, Ba was the human-bird aspect, Ab was the heart, Ka was the double form, Akh was the transformed immortal self, Shuyet was the shadow and Sahu and Sechem were aspects of Akh.</w:t>
      </w:r>
      <w:r w:rsidR="00502BD5">
        <w:t xml:space="preserve"> </w:t>
      </w:r>
      <w:r w:rsidR="005B1FDD">
        <w:t xml:space="preserve">It also includes information on </w:t>
      </w:r>
      <w:r w:rsidR="005B1FDD">
        <w:lastRenderedPageBreak/>
        <w:t xml:space="preserve">the journey to the afterlife and the afterlife itself. </w:t>
      </w:r>
      <w:r w:rsidR="00617AA8">
        <w:t>For Ancient Egyptians the afterlife was called the Field of Reeds</w:t>
      </w:r>
      <w:r w:rsidR="008B561C">
        <w:t xml:space="preserve"> and it was a perfect version of the dead person’s life. </w:t>
      </w:r>
      <w:r w:rsidR="00F80D80">
        <w:t>This website author’s information is supported by references to other books in this field. The author writes in a simple but detailed manner.</w:t>
      </w:r>
      <w:r w:rsidR="0005756E">
        <w:t xml:space="preserve"> In conclusion, this website article’s information is useful to my research project. </w:t>
      </w:r>
      <w:proofErr w:type="gramStart"/>
      <w:r w:rsidR="0005756E">
        <w:t>In particular, this</w:t>
      </w:r>
      <w:proofErr w:type="gramEnd"/>
      <w:r w:rsidR="0005756E">
        <w:t xml:space="preserve"> helps </w:t>
      </w:r>
      <w:r w:rsidR="007C1494">
        <w:t xml:space="preserve">me </w:t>
      </w:r>
      <w:r w:rsidR="0005756E">
        <w:t>in the area of the Ancient Egyptians mourning of the dead</w:t>
      </w:r>
      <w:r w:rsidR="007C1494">
        <w:t>, as I have not seen as much information on this in the other sources</w:t>
      </w:r>
      <w:r w:rsidR="0005756E">
        <w:t>.</w:t>
      </w:r>
    </w:p>
    <w:p w14:paraId="40A18AE0" w14:textId="600F0767" w:rsidR="00FB7628" w:rsidRPr="006D7549" w:rsidRDefault="00D9030A">
      <w:r>
        <w:t>Murray, M.A</w:t>
      </w:r>
      <w:r w:rsidR="006D7549">
        <w:t xml:space="preserve">. (1956) ‘Burial Customs and Beliefs in the Hereafter in Predynastic Egypt’, </w:t>
      </w:r>
      <w:r w:rsidR="006D7549">
        <w:rPr>
          <w:i/>
          <w:iCs/>
        </w:rPr>
        <w:t xml:space="preserve">The Journal of Egyptian Archaeology, </w:t>
      </w:r>
      <w:r w:rsidR="006D7549">
        <w:t xml:space="preserve">42, </w:t>
      </w:r>
      <w:r w:rsidR="00E36DAE">
        <w:t>pp. 86</w:t>
      </w:r>
      <w:r w:rsidR="00EA5E10">
        <w:t>-96.</w:t>
      </w:r>
      <w:r w:rsidR="000D6EAF">
        <w:t xml:space="preserve"> </w:t>
      </w:r>
      <w:r w:rsidR="008C6495">
        <w:t xml:space="preserve">DOI: </w:t>
      </w:r>
      <w:r w:rsidR="000D6EAF">
        <w:t>10.2307/3855127</w:t>
      </w:r>
    </w:p>
    <w:p w14:paraId="0E513CE6" w14:textId="7A6206CE" w:rsidR="006B197C" w:rsidRPr="00C42851" w:rsidRDefault="00AF51A5">
      <w:r>
        <w:t>This article</w:t>
      </w:r>
      <w:r w:rsidR="0098790C">
        <w:t xml:space="preserve">’s author Murray examines the </w:t>
      </w:r>
      <w:r w:rsidR="0008023E">
        <w:t>different aspects of burials in Ancient Egypt</w:t>
      </w:r>
      <w:r w:rsidR="00CA4845">
        <w:t xml:space="preserve">, specifically in the Predynastic Period. </w:t>
      </w:r>
      <w:r w:rsidR="00137076">
        <w:t xml:space="preserve">The journal article </w:t>
      </w:r>
      <w:r w:rsidR="00170AE1">
        <w:t xml:space="preserve">mainly goes into discussing the different sub periods in Predynastic Egypt and their different ways of burying the dead. </w:t>
      </w:r>
      <w:r w:rsidR="00482B36">
        <w:t xml:space="preserve">The author Murray </w:t>
      </w:r>
      <w:r w:rsidR="00635FA8">
        <w:t xml:space="preserve">goes into </w:t>
      </w:r>
      <w:proofErr w:type="gramStart"/>
      <w:r w:rsidR="00635FA8">
        <w:t>great detail</w:t>
      </w:r>
      <w:proofErr w:type="gramEnd"/>
      <w:r w:rsidR="00635FA8">
        <w:t xml:space="preserve"> listing the characteristics of these burials of the different sub periods. There are four sub periods that the author mentions: Badarian, Amratean, Gerzean and Semainean. </w:t>
      </w:r>
      <w:r w:rsidR="00B34A50">
        <w:t xml:space="preserve">For each Murray </w:t>
      </w:r>
      <w:bookmarkStart w:id="0" w:name="_GoBack"/>
      <w:bookmarkEnd w:id="0"/>
      <w:r w:rsidR="007B6F13">
        <w:t xml:space="preserve">has three categories: Graves, Burials and Cemeteries. </w:t>
      </w:r>
      <w:r w:rsidR="0089239C">
        <w:t>In the Graves category the author describes the construction of the graves</w:t>
      </w:r>
      <w:r w:rsidR="000E0446">
        <w:t>, differences in the graves of men and women and whether grave had been placed inside or arranged inside in a certain pattern.</w:t>
      </w:r>
      <w:r w:rsidR="001617EE">
        <w:t xml:space="preserve"> Moreover, the Burial category has the most detailed information out of all the categories. Details that are included in the Burial category</w:t>
      </w:r>
      <w:r w:rsidR="003428B9">
        <w:t xml:space="preserve"> are as such: </w:t>
      </w:r>
      <w:r w:rsidR="001305F8">
        <w:t>the position of the bod</w:t>
      </w:r>
      <w:r w:rsidR="00AE4263">
        <w:t>y</w:t>
      </w:r>
      <w:r w:rsidR="001305F8">
        <w:t xml:space="preserve">, </w:t>
      </w:r>
      <w:r w:rsidR="00764973">
        <w:t xml:space="preserve">whether the burial is a multiple or a single burial, what the body is wrapped in, </w:t>
      </w:r>
      <w:r w:rsidR="00970FCD">
        <w:t xml:space="preserve">whether the body is that of a child or an adult, whether the body is male or female and whether the body has been dismembered or not. </w:t>
      </w:r>
      <w:r w:rsidR="00A12121">
        <w:t xml:space="preserve">The author Murray also includes diagrams of the various types of burials </w:t>
      </w:r>
      <w:r w:rsidR="009D2C9B">
        <w:t xml:space="preserve">in the sub periods and </w:t>
      </w:r>
      <w:r w:rsidR="00277668">
        <w:t>images of some of the different grave goods in the burials.</w:t>
      </w:r>
      <w:r w:rsidR="00C07048">
        <w:t xml:space="preserve"> </w:t>
      </w:r>
      <w:r w:rsidR="00D42AE7">
        <w:t>The author uses a concise writing style that is easy to comprehend.</w:t>
      </w:r>
      <w:r w:rsidR="00D964A0">
        <w:t xml:space="preserve"> The main limitation of this article </w:t>
      </w:r>
      <w:r w:rsidR="00A96457">
        <w:t xml:space="preserve">is that this article is only focused on the period of Predynastic Egypt, whereas the Bronze Age in Ancient Egypt lasted from around 3300 BCE to 1200 BCE. </w:t>
      </w:r>
      <w:r w:rsidR="005122CB">
        <w:t>Also, another limitation is that because this article is dated at 1956, the names of the sub periods in Predynastic Egypt are outdated.</w:t>
      </w:r>
      <w:r w:rsidR="00B27BDA">
        <w:t xml:space="preserve"> The names for the sub periods now are Badarian, Nagada I, Nagada II and Nagada III. </w:t>
      </w:r>
      <w:r w:rsidR="00532C09">
        <w:t>However, despite only containing information on burials in Predynastic Egypt, the article is still useful for my research topic</w:t>
      </w:r>
      <w:r w:rsidR="00B4015A">
        <w:t>, as the information it has on burial practices is very detailed.</w:t>
      </w:r>
    </w:p>
    <w:p w14:paraId="2D4E32C9" w14:textId="2BFF0C15" w:rsidR="00A61363" w:rsidRPr="00C42851" w:rsidRDefault="00A61363"/>
    <w:p w14:paraId="3FA36C59" w14:textId="7B8070E3" w:rsidR="00A61363" w:rsidRDefault="00A61363">
      <w:pPr>
        <w:rPr>
          <w:lang w:val="en-US"/>
        </w:rPr>
      </w:pPr>
    </w:p>
    <w:p w14:paraId="0977BD83" w14:textId="51AE069B" w:rsidR="00A61363" w:rsidRDefault="00A61363">
      <w:pPr>
        <w:rPr>
          <w:lang w:val="en-US"/>
        </w:rPr>
      </w:pPr>
    </w:p>
    <w:p w14:paraId="1C40551B" w14:textId="3FFE2BA6" w:rsidR="00A61363" w:rsidRDefault="00A61363">
      <w:pPr>
        <w:rPr>
          <w:lang w:val="en-US"/>
        </w:rPr>
      </w:pPr>
    </w:p>
    <w:p w14:paraId="392D4012" w14:textId="17FFC5B6" w:rsidR="003A2EA1" w:rsidRDefault="003A2EA1">
      <w:pPr>
        <w:rPr>
          <w:lang w:val="en-US"/>
        </w:rPr>
      </w:pPr>
    </w:p>
    <w:p w14:paraId="4A50A26B" w14:textId="77777777" w:rsidR="003A2EA1" w:rsidRPr="005933E6" w:rsidRDefault="003A2EA1">
      <w:pPr>
        <w:rPr>
          <w:lang w:val="en-US"/>
        </w:rPr>
      </w:pPr>
    </w:p>
    <w:sectPr w:rsidR="003A2EA1" w:rsidRPr="00593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F7AF91" w14:textId="77777777" w:rsidR="00E007A6" w:rsidRDefault="00E007A6" w:rsidP="000534C6">
      <w:pPr>
        <w:spacing w:after="0" w:line="240" w:lineRule="auto"/>
      </w:pPr>
      <w:r>
        <w:separator/>
      </w:r>
    </w:p>
  </w:endnote>
  <w:endnote w:type="continuationSeparator" w:id="0">
    <w:p w14:paraId="2D9078EE" w14:textId="77777777" w:rsidR="00E007A6" w:rsidRDefault="00E007A6" w:rsidP="000534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3F6EF" w14:textId="77777777" w:rsidR="00E007A6" w:rsidRDefault="00E007A6" w:rsidP="000534C6">
      <w:pPr>
        <w:spacing w:after="0" w:line="240" w:lineRule="auto"/>
      </w:pPr>
      <w:r>
        <w:separator/>
      </w:r>
    </w:p>
  </w:footnote>
  <w:footnote w:type="continuationSeparator" w:id="0">
    <w:p w14:paraId="6AC976BC" w14:textId="77777777" w:rsidR="00E007A6" w:rsidRDefault="00E007A6" w:rsidP="000534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F20"/>
    <w:rsid w:val="000534C6"/>
    <w:rsid w:val="0005756E"/>
    <w:rsid w:val="0008023E"/>
    <w:rsid w:val="000D6EAF"/>
    <w:rsid w:val="000E0446"/>
    <w:rsid w:val="000E2F06"/>
    <w:rsid w:val="0012539C"/>
    <w:rsid w:val="001305F8"/>
    <w:rsid w:val="00137076"/>
    <w:rsid w:val="001617EE"/>
    <w:rsid w:val="00170AE1"/>
    <w:rsid w:val="0021648D"/>
    <w:rsid w:val="00246892"/>
    <w:rsid w:val="002656B7"/>
    <w:rsid w:val="00277668"/>
    <w:rsid w:val="00297B42"/>
    <w:rsid w:val="002D0A4E"/>
    <w:rsid w:val="00327680"/>
    <w:rsid w:val="003428B9"/>
    <w:rsid w:val="00362C34"/>
    <w:rsid w:val="00395282"/>
    <w:rsid w:val="003A2EA1"/>
    <w:rsid w:val="004024B5"/>
    <w:rsid w:val="00440CAF"/>
    <w:rsid w:val="0045355D"/>
    <w:rsid w:val="004569E6"/>
    <w:rsid w:val="00482B36"/>
    <w:rsid w:val="004B6425"/>
    <w:rsid w:val="00502BD5"/>
    <w:rsid w:val="005122CB"/>
    <w:rsid w:val="00520B29"/>
    <w:rsid w:val="00532C09"/>
    <w:rsid w:val="00556F20"/>
    <w:rsid w:val="00564034"/>
    <w:rsid w:val="005917D9"/>
    <w:rsid w:val="005933E6"/>
    <w:rsid w:val="005B1FDD"/>
    <w:rsid w:val="005E682B"/>
    <w:rsid w:val="00617AA8"/>
    <w:rsid w:val="006272CF"/>
    <w:rsid w:val="00635FA8"/>
    <w:rsid w:val="006518C4"/>
    <w:rsid w:val="00685873"/>
    <w:rsid w:val="006A7B7B"/>
    <w:rsid w:val="006A7DF4"/>
    <w:rsid w:val="006B197C"/>
    <w:rsid w:val="006C1674"/>
    <w:rsid w:val="006D57A1"/>
    <w:rsid w:val="006D7549"/>
    <w:rsid w:val="006F7FC7"/>
    <w:rsid w:val="00764973"/>
    <w:rsid w:val="00780E97"/>
    <w:rsid w:val="007B6F13"/>
    <w:rsid w:val="007C1494"/>
    <w:rsid w:val="007D06F7"/>
    <w:rsid w:val="00804011"/>
    <w:rsid w:val="00832A35"/>
    <w:rsid w:val="00843DD2"/>
    <w:rsid w:val="0089239C"/>
    <w:rsid w:val="008B038C"/>
    <w:rsid w:val="008B561C"/>
    <w:rsid w:val="008C4109"/>
    <w:rsid w:val="008C6495"/>
    <w:rsid w:val="008F709A"/>
    <w:rsid w:val="00916F1A"/>
    <w:rsid w:val="009469DF"/>
    <w:rsid w:val="00970FCD"/>
    <w:rsid w:val="0098790C"/>
    <w:rsid w:val="0099677A"/>
    <w:rsid w:val="009D2C9B"/>
    <w:rsid w:val="00A029F5"/>
    <w:rsid w:val="00A12121"/>
    <w:rsid w:val="00A46EB7"/>
    <w:rsid w:val="00A571BE"/>
    <w:rsid w:val="00A61363"/>
    <w:rsid w:val="00A96457"/>
    <w:rsid w:val="00AC1493"/>
    <w:rsid w:val="00AC5AFB"/>
    <w:rsid w:val="00AE4263"/>
    <w:rsid w:val="00AE4A4C"/>
    <w:rsid w:val="00AF51A5"/>
    <w:rsid w:val="00B152DF"/>
    <w:rsid w:val="00B27BDA"/>
    <w:rsid w:val="00B34A50"/>
    <w:rsid w:val="00B4015A"/>
    <w:rsid w:val="00B7346A"/>
    <w:rsid w:val="00BD749E"/>
    <w:rsid w:val="00C07048"/>
    <w:rsid w:val="00C25729"/>
    <w:rsid w:val="00C42851"/>
    <w:rsid w:val="00C53B00"/>
    <w:rsid w:val="00C878EF"/>
    <w:rsid w:val="00C9124B"/>
    <w:rsid w:val="00C94795"/>
    <w:rsid w:val="00C96C58"/>
    <w:rsid w:val="00CA4845"/>
    <w:rsid w:val="00CE1994"/>
    <w:rsid w:val="00D10B90"/>
    <w:rsid w:val="00D42AE7"/>
    <w:rsid w:val="00D90022"/>
    <w:rsid w:val="00D9030A"/>
    <w:rsid w:val="00D964A0"/>
    <w:rsid w:val="00DC4882"/>
    <w:rsid w:val="00DD3EB5"/>
    <w:rsid w:val="00E007A6"/>
    <w:rsid w:val="00E36DAE"/>
    <w:rsid w:val="00E85B48"/>
    <w:rsid w:val="00EA5E10"/>
    <w:rsid w:val="00EF21E5"/>
    <w:rsid w:val="00F16E4A"/>
    <w:rsid w:val="00F75EB9"/>
    <w:rsid w:val="00F767BD"/>
    <w:rsid w:val="00F80D80"/>
    <w:rsid w:val="00F81567"/>
    <w:rsid w:val="00FB7548"/>
    <w:rsid w:val="00FB762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CF7F4"/>
  <w15:chartTrackingRefBased/>
  <w15:docId w15:val="{12B4F106-CC3B-479A-8E5A-9C6BF930B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34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4C6"/>
  </w:style>
  <w:style w:type="paragraph" w:styleId="Footer">
    <w:name w:val="footer"/>
    <w:basedOn w:val="Normal"/>
    <w:link w:val="FooterChar"/>
    <w:uiPriority w:val="99"/>
    <w:unhideWhenUsed/>
    <w:rsid w:val="000534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4C6"/>
  </w:style>
  <w:style w:type="character" w:styleId="Hyperlink">
    <w:name w:val="Hyperlink"/>
    <w:basedOn w:val="DefaultParagraphFont"/>
    <w:uiPriority w:val="99"/>
    <w:unhideWhenUsed/>
    <w:rsid w:val="00AC5AFB"/>
    <w:rPr>
      <w:color w:val="0563C1" w:themeColor="hyperlink"/>
      <w:u w:val="single"/>
    </w:rPr>
  </w:style>
  <w:style w:type="character" w:styleId="UnresolvedMention">
    <w:name w:val="Unresolved Mention"/>
    <w:basedOn w:val="DefaultParagraphFont"/>
    <w:uiPriority w:val="99"/>
    <w:semiHidden/>
    <w:unhideWhenUsed/>
    <w:rsid w:val="00AC5A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ncient.eu/Egyptian_Burial/"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2965</TotalTime>
  <Pages>2</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295</cp:revision>
  <dcterms:created xsi:type="dcterms:W3CDTF">2020-04-05T11:14:00Z</dcterms:created>
  <dcterms:modified xsi:type="dcterms:W3CDTF">2020-04-10T17:29:00Z</dcterms:modified>
</cp:coreProperties>
</file>