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81283" w14:textId="06F50499" w:rsidR="00DB4B9F" w:rsidRDefault="00B0432B" w:rsidP="00B0432B">
      <w:pPr>
        <w:jc w:val="center"/>
        <w:rPr>
          <w:b/>
          <w:bCs/>
        </w:rPr>
      </w:pPr>
      <w:r w:rsidRPr="00B0432B">
        <w:rPr>
          <w:b/>
          <w:bCs/>
        </w:rPr>
        <w:t>University academic assignment 2</w:t>
      </w:r>
    </w:p>
    <w:p w14:paraId="00BE1DAE" w14:textId="18854340" w:rsidR="00B0432B" w:rsidRPr="006857CC" w:rsidRDefault="00B0432B" w:rsidP="00B0432B">
      <w:pPr>
        <w:jc w:val="center"/>
        <w:rPr>
          <w:b/>
          <w:bCs/>
        </w:rPr>
      </w:pPr>
    </w:p>
    <w:p w14:paraId="7E35B8FB" w14:textId="77777777" w:rsidR="00B0432B" w:rsidRPr="006857CC" w:rsidRDefault="00B0432B" w:rsidP="009B7190">
      <w:pPr>
        <w:pStyle w:val="Default"/>
        <w:jc w:val="both"/>
        <w:rPr>
          <w:b/>
          <w:bCs/>
        </w:rPr>
      </w:pPr>
    </w:p>
    <w:p w14:paraId="4B71BA14" w14:textId="6E55D38E" w:rsidR="00B0432B" w:rsidRPr="006857CC" w:rsidRDefault="00B0432B" w:rsidP="009B7190">
      <w:pPr>
        <w:pStyle w:val="Default"/>
        <w:jc w:val="both"/>
        <w:rPr>
          <w:b/>
          <w:bCs/>
          <w:sz w:val="22"/>
          <w:szCs w:val="22"/>
        </w:rPr>
      </w:pPr>
      <w:r w:rsidRPr="006857CC">
        <w:rPr>
          <w:b/>
          <w:bCs/>
          <w:sz w:val="22"/>
          <w:szCs w:val="22"/>
        </w:rPr>
        <w:t xml:space="preserve">How effective is intelligence-led policing as a means of reducing repeat victimisation? Your answer must be based on academic research, but you may </w:t>
      </w:r>
      <w:proofErr w:type="gramStart"/>
      <w:r w:rsidRPr="006857CC">
        <w:rPr>
          <w:b/>
          <w:bCs/>
          <w:sz w:val="22"/>
          <w:szCs w:val="22"/>
        </w:rPr>
        <w:t>make reference</w:t>
      </w:r>
      <w:proofErr w:type="gramEnd"/>
      <w:r w:rsidRPr="006857CC">
        <w:rPr>
          <w:b/>
          <w:bCs/>
          <w:sz w:val="22"/>
          <w:szCs w:val="22"/>
        </w:rPr>
        <w:t xml:space="preserve"> to relevant case studies? </w:t>
      </w:r>
    </w:p>
    <w:p w14:paraId="6DA1D755" w14:textId="74CED5AE" w:rsidR="00B0432B" w:rsidRDefault="00B0432B" w:rsidP="009B7190">
      <w:pPr>
        <w:pStyle w:val="Default"/>
        <w:jc w:val="both"/>
        <w:rPr>
          <w:sz w:val="22"/>
          <w:szCs w:val="22"/>
        </w:rPr>
      </w:pPr>
    </w:p>
    <w:p w14:paraId="3DE87384" w14:textId="244C5026" w:rsidR="00B0432B" w:rsidRDefault="00EF0C9B" w:rsidP="009B7190">
      <w:pPr>
        <w:pStyle w:val="Default"/>
        <w:jc w:val="both"/>
        <w:rPr>
          <w:sz w:val="22"/>
          <w:szCs w:val="22"/>
        </w:rPr>
      </w:pPr>
      <w:r>
        <w:rPr>
          <w:sz w:val="22"/>
          <w:szCs w:val="22"/>
        </w:rPr>
        <w:t>T</w:t>
      </w:r>
      <w:r w:rsidR="009B7190">
        <w:rPr>
          <w:sz w:val="22"/>
          <w:szCs w:val="22"/>
        </w:rPr>
        <w:t xml:space="preserve">his report will highlight how intelligence led policing can be an effective tool at reducing repeat victimisation. The report will primarily focus on what is intelligence led policing, the definition of victimisation, repeat victimisation and how it can be reduced and lastly a summary how intelligence led policing can reduce it. </w:t>
      </w:r>
    </w:p>
    <w:p w14:paraId="5D171FBB" w14:textId="5B293C3F" w:rsidR="009B7190" w:rsidRDefault="009B7190" w:rsidP="00B0432B">
      <w:pPr>
        <w:pStyle w:val="Default"/>
        <w:rPr>
          <w:sz w:val="22"/>
          <w:szCs w:val="22"/>
        </w:rPr>
      </w:pPr>
    </w:p>
    <w:p w14:paraId="57F92BA1" w14:textId="0CDC0688" w:rsidR="009B7190" w:rsidRDefault="009B7190" w:rsidP="00906102">
      <w:pPr>
        <w:pStyle w:val="Default"/>
        <w:jc w:val="both"/>
        <w:rPr>
          <w:sz w:val="22"/>
          <w:szCs w:val="22"/>
        </w:rPr>
      </w:pPr>
      <w:r>
        <w:rPr>
          <w:sz w:val="22"/>
          <w:szCs w:val="22"/>
        </w:rPr>
        <w:t xml:space="preserve">Intelligence led </w:t>
      </w:r>
      <w:r w:rsidR="00C56D99">
        <w:rPr>
          <w:sz w:val="22"/>
          <w:szCs w:val="22"/>
        </w:rPr>
        <w:t>policing</w:t>
      </w:r>
      <w:r>
        <w:rPr>
          <w:sz w:val="22"/>
          <w:szCs w:val="22"/>
        </w:rPr>
        <w:t xml:space="preserve"> is a business model and managerial philosophy where data analysis and crime intelligence are pivotal to achieving an objective, </w:t>
      </w:r>
      <w:r w:rsidR="00C56D99">
        <w:rPr>
          <w:sz w:val="22"/>
          <w:szCs w:val="22"/>
        </w:rPr>
        <w:t>and</w:t>
      </w:r>
      <w:r>
        <w:rPr>
          <w:sz w:val="22"/>
          <w:szCs w:val="22"/>
        </w:rPr>
        <w:t xml:space="preserve"> work as a </w:t>
      </w:r>
      <w:r w:rsidR="00C56D99">
        <w:rPr>
          <w:sz w:val="22"/>
          <w:szCs w:val="22"/>
        </w:rPr>
        <w:t>decision-making</w:t>
      </w:r>
      <w:r>
        <w:rPr>
          <w:sz w:val="22"/>
          <w:szCs w:val="22"/>
        </w:rPr>
        <w:t xml:space="preserve"> framework that facilitates criminal disruption, and through effective enforcement from police</w:t>
      </w:r>
      <w:r w:rsidR="00C56D99">
        <w:rPr>
          <w:sz w:val="22"/>
          <w:szCs w:val="22"/>
        </w:rPr>
        <w:t xml:space="preserve"> officers can target prolific and serious offenders. (Ratcliffe, 2008). Intelligence led policing is an evolving theory and the national intelligence model is the framework for which it operates. It is an information led syste</w:t>
      </w:r>
      <w:r w:rsidR="00906102">
        <w:rPr>
          <w:sz w:val="22"/>
          <w:szCs w:val="22"/>
        </w:rPr>
        <w:t>m</w:t>
      </w:r>
      <w:r w:rsidR="00C56D99">
        <w:rPr>
          <w:sz w:val="22"/>
          <w:szCs w:val="22"/>
        </w:rPr>
        <w:t xml:space="preserve">, which requires all police forces across the United Kingdom to develop and monitor. The official guidance states the aim is to ensure that policing is delivered in a targeted manner through the development of information and intelligence. It is used to prioritise issues and allocate resources to deal with them. (ACPO Centrex, 2007). Also, it is worth noting the national intelligence model operates at different </w:t>
      </w:r>
      <w:r w:rsidR="00906102">
        <w:rPr>
          <w:sz w:val="22"/>
          <w:szCs w:val="22"/>
        </w:rPr>
        <w:t xml:space="preserve">organisational levels of the police service. Level one operates at the smaller force level, level two is the regional level and lastly level three operates at the national or international level. The overarching process is governed by the codes of practice. (NCPE, 2005) and is further support by (ACPO Centrex, 2007). </w:t>
      </w:r>
    </w:p>
    <w:p w14:paraId="6FF355FC" w14:textId="6536A8CB" w:rsidR="00906102" w:rsidRDefault="00906102" w:rsidP="00906102">
      <w:pPr>
        <w:pStyle w:val="Default"/>
        <w:jc w:val="both"/>
        <w:rPr>
          <w:sz w:val="22"/>
          <w:szCs w:val="22"/>
        </w:rPr>
      </w:pPr>
    </w:p>
    <w:p w14:paraId="7CF66483" w14:textId="0131722B" w:rsidR="00906102" w:rsidRDefault="00906102" w:rsidP="00906102">
      <w:pPr>
        <w:pStyle w:val="Default"/>
        <w:jc w:val="both"/>
        <w:rPr>
          <w:sz w:val="22"/>
          <w:szCs w:val="22"/>
        </w:rPr>
      </w:pPr>
      <w:r>
        <w:rPr>
          <w:sz w:val="22"/>
          <w:szCs w:val="22"/>
        </w:rPr>
        <w:t xml:space="preserve">On average, there are over four thousand and five hundred intelligence reports generate by police officers and police staff using the United Kingdom standard 5x5x5 process. This is the decider what information can be disseminated. (ACPO, 2007:26). </w:t>
      </w:r>
      <w:r w:rsidRPr="00906102">
        <w:rPr>
          <w:sz w:val="22"/>
          <w:szCs w:val="22"/>
        </w:rPr>
        <w:t>These records should be formally documented, include an assessment of the reliability of the source of the information, the nature of the information submitted, a ‘handing code’ (which informs the way that information should be disseminated) and may also include a more comprehensive risk assessment (ACPO, 2007). Some information will be acted upon immediately. The rest will be assessed, ‘sanitised’</w:t>
      </w:r>
      <w:r>
        <w:rPr>
          <w:sz w:val="22"/>
          <w:szCs w:val="22"/>
        </w:rPr>
        <w:t xml:space="preserve"> </w:t>
      </w:r>
      <w:r w:rsidRPr="00906102">
        <w:rPr>
          <w:sz w:val="22"/>
          <w:szCs w:val="22"/>
        </w:rPr>
        <w:t>and potentially entered onto the intelligence system to be used together with other data sets (recorded crime, calls for service) by force and borough level analysts. In turn, the outputs of the analysis – a variety of analytical products – should be used to fuel the tasking process at the different levels of the national intelligence model (neighbourhood, borough, force, and region).</w:t>
      </w:r>
    </w:p>
    <w:p w14:paraId="60F58FC5" w14:textId="47996297" w:rsidR="006857CC" w:rsidRDefault="006857CC" w:rsidP="00906102">
      <w:pPr>
        <w:pStyle w:val="Default"/>
        <w:jc w:val="both"/>
        <w:rPr>
          <w:sz w:val="22"/>
          <w:szCs w:val="22"/>
        </w:rPr>
      </w:pPr>
    </w:p>
    <w:p w14:paraId="626820FB" w14:textId="5F03E950" w:rsidR="006857CC" w:rsidRDefault="006857CC" w:rsidP="00906102">
      <w:pPr>
        <w:pStyle w:val="Default"/>
        <w:jc w:val="both"/>
        <w:rPr>
          <w:sz w:val="22"/>
          <w:szCs w:val="22"/>
        </w:rPr>
      </w:pPr>
      <w:r w:rsidRPr="006857CC">
        <w:rPr>
          <w:color w:val="202122"/>
          <w:sz w:val="22"/>
          <w:szCs w:val="22"/>
          <w:shd w:val="clear" w:color="auto" w:fill="FFFFFF"/>
        </w:rPr>
        <w:t>Victimisation is the state or process of being victimised or becoming a </w:t>
      </w:r>
      <w:r>
        <w:rPr>
          <w:sz w:val="22"/>
          <w:szCs w:val="22"/>
        </w:rPr>
        <w:t>victim</w:t>
      </w:r>
      <w:r w:rsidRPr="006857CC">
        <w:rPr>
          <w:color w:val="202122"/>
          <w:sz w:val="22"/>
          <w:szCs w:val="22"/>
          <w:shd w:val="clear" w:color="auto" w:fill="FFFFFF"/>
        </w:rPr>
        <w:t>. The field that studies the process, rates, incidence, effects, and prevalence of victimisation is called </w:t>
      </w:r>
      <w:r>
        <w:rPr>
          <w:sz w:val="22"/>
          <w:szCs w:val="22"/>
        </w:rPr>
        <w:t xml:space="preserve">victimology. However, repeat victimisation is prevalent in modern policing. Repeat victimisation refers </w:t>
      </w:r>
      <w:r w:rsidRPr="006857CC">
        <w:rPr>
          <w:color w:val="202122"/>
          <w:sz w:val="22"/>
          <w:szCs w:val="22"/>
          <w:shd w:val="clear" w:color="auto" w:fill="FFFFFF"/>
        </w:rPr>
        <w:t>to a pattern wherein the victim of abuse and/or crime has a statistically higher tendency to be victimised again, either shortly thereafter</w:t>
      </w:r>
      <w:r>
        <w:rPr>
          <w:color w:val="202122"/>
          <w:sz w:val="22"/>
          <w:szCs w:val="22"/>
          <w:shd w:val="clear" w:color="auto" w:fill="FFFFFF"/>
          <w:vertAlign w:val="superscript"/>
        </w:rPr>
        <w:t xml:space="preserve"> </w:t>
      </w:r>
      <w:r w:rsidRPr="006857CC">
        <w:rPr>
          <w:color w:val="202122"/>
          <w:sz w:val="22"/>
          <w:szCs w:val="22"/>
          <w:shd w:val="clear" w:color="auto" w:fill="FFFFFF"/>
        </w:rPr>
        <w:t>or much later in adulthood in the case of abuse as a child. </w:t>
      </w:r>
      <w:r w:rsidRPr="006857CC">
        <w:rPr>
          <w:sz w:val="22"/>
          <w:szCs w:val="22"/>
        </w:rPr>
        <w:t xml:space="preserve"> </w:t>
      </w:r>
      <w:r w:rsidR="008F54A2">
        <w:rPr>
          <w:sz w:val="22"/>
          <w:szCs w:val="22"/>
        </w:rPr>
        <w:t>Repeat victimisation reasons are mostly unknown, however within the short term it is often the result of varying risk factors. These risk factors can include risks which were already present, risks which were not changed or mitigated after the first offending made against them</w:t>
      </w:r>
      <w:r w:rsidR="00AF2F33">
        <w:rPr>
          <w:sz w:val="22"/>
          <w:szCs w:val="22"/>
        </w:rPr>
        <w:t xml:space="preserve">. Further examples of risk factors could include living or working in a dangerous area, </w:t>
      </w:r>
      <w:proofErr w:type="gramStart"/>
      <w:r w:rsidR="00AF2F33">
        <w:rPr>
          <w:sz w:val="22"/>
          <w:szCs w:val="22"/>
        </w:rPr>
        <w:t>drug</w:t>
      </w:r>
      <w:proofErr w:type="gramEnd"/>
      <w:r w:rsidR="00AF2F33">
        <w:rPr>
          <w:sz w:val="22"/>
          <w:szCs w:val="22"/>
        </w:rPr>
        <w:t xml:space="preserve"> or alcohol usage and lastly unemployment. (</w:t>
      </w:r>
      <w:proofErr w:type="spellStart"/>
      <w:r w:rsidR="00AF2F33">
        <w:rPr>
          <w:sz w:val="22"/>
          <w:szCs w:val="22"/>
        </w:rPr>
        <w:t>Bjornholt</w:t>
      </w:r>
      <w:proofErr w:type="spellEnd"/>
      <w:r w:rsidR="00AF2F33">
        <w:rPr>
          <w:sz w:val="22"/>
          <w:szCs w:val="22"/>
        </w:rPr>
        <w:t>, 2019). Further reports from this article suggest that on review, five percent of victims experience sixty percent of all crime. (</w:t>
      </w:r>
      <w:proofErr w:type="spellStart"/>
      <w:r w:rsidR="00AF2F33">
        <w:rPr>
          <w:sz w:val="22"/>
          <w:szCs w:val="22"/>
        </w:rPr>
        <w:t>SooHyun</w:t>
      </w:r>
      <w:proofErr w:type="spellEnd"/>
      <w:r w:rsidR="00AF2F33">
        <w:rPr>
          <w:sz w:val="22"/>
          <w:szCs w:val="22"/>
        </w:rPr>
        <w:t xml:space="preserve"> and others, 2017). Once someone has become a victim, their risk increased. In 2019/2020 the crime survey for England and Wales evidenced that thirty </w:t>
      </w:r>
      <w:r w:rsidR="00AF2F33">
        <w:rPr>
          <w:sz w:val="22"/>
          <w:szCs w:val="22"/>
        </w:rPr>
        <w:lastRenderedPageBreak/>
        <w:t>four percent of domestic violence victims</w:t>
      </w:r>
      <w:r w:rsidR="00C402B7">
        <w:rPr>
          <w:sz w:val="22"/>
          <w:szCs w:val="22"/>
        </w:rPr>
        <w:t xml:space="preserve">, twenty seven percent of acquaintance violence victims and lastly fourteen percent of stranger violence victims were repeat victims. (Office for national statistics, 2020). </w:t>
      </w:r>
    </w:p>
    <w:p w14:paraId="341A783B" w14:textId="5D47C52D" w:rsidR="00C402B7" w:rsidRDefault="00C402B7" w:rsidP="00906102">
      <w:pPr>
        <w:pStyle w:val="Default"/>
        <w:jc w:val="both"/>
        <w:rPr>
          <w:sz w:val="22"/>
          <w:szCs w:val="22"/>
        </w:rPr>
      </w:pPr>
    </w:p>
    <w:p w14:paraId="25642E35" w14:textId="60D8871F" w:rsidR="00C402B7" w:rsidRDefault="00C402B7" w:rsidP="00906102">
      <w:pPr>
        <w:pStyle w:val="Default"/>
        <w:jc w:val="both"/>
        <w:rPr>
          <w:sz w:val="22"/>
          <w:szCs w:val="22"/>
        </w:rPr>
      </w:pPr>
    </w:p>
    <w:p w14:paraId="6DC49C9B" w14:textId="6C2B3959" w:rsidR="00C402B7" w:rsidRDefault="00C402B7" w:rsidP="00906102">
      <w:pPr>
        <w:pStyle w:val="Default"/>
        <w:jc w:val="both"/>
        <w:rPr>
          <w:sz w:val="22"/>
          <w:szCs w:val="22"/>
        </w:rPr>
      </w:pPr>
      <w:r>
        <w:rPr>
          <w:sz w:val="22"/>
          <w:szCs w:val="22"/>
        </w:rPr>
        <w:t xml:space="preserve">A </w:t>
      </w:r>
      <w:r w:rsidR="00D471B0">
        <w:rPr>
          <w:sz w:val="22"/>
          <w:szCs w:val="22"/>
        </w:rPr>
        <w:t xml:space="preserve">systematic review (Orke and others, 2018) identified that the risk factors for repeat intimate partner violence are different for women who have been repeatedly victimised in one relationship than those who have been repeatedly victimised in multiple relationships. Domestic related offences are not the only offending related to repeat victimisation, research has also suggested that short term offending risks can increase for neighbours as well as the original victim (Johnson, 2013). For example, after a burglary has occurred, both the burgled household and the homes nearby have a greater chance of being targeted. The reasons for repeat burglaries include the original offenders returning to familiar locations, but also new offenders who are acquaintances </w:t>
      </w:r>
      <w:r w:rsidR="003B67C1">
        <w:rPr>
          <w:sz w:val="22"/>
          <w:szCs w:val="22"/>
        </w:rPr>
        <w:t xml:space="preserve">of the original offenders can also target these locations as they are seen to be as attractive to different types of offenders. (Lantz and </w:t>
      </w:r>
      <w:proofErr w:type="spellStart"/>
      <w:r w:rsidR="003B67C1">
        <w:rPr>
          <w:sz w:val="22"/>
          <w:szCs w:val="22"/>
        </w:rPr>
        <w:t>Rubeck</w:t>
      </w:r>
      <w:proofErr w:type="spellEnd"/>
      <w:r w:rsidR="003B67C1">
        <w:rPr>
          <w:sz w:val="22"/>
          <w:szCs w:val="22"/>
        </w:rPr>
        <w:t xml:space="preserve">, 2017). </w:t>
      </w:r>
    </w:p>
    <w:p w14:paraId="32CFFD60" w14:textId="70381048" w:rsidR="003B67C1" w:rsidRDefault="003B67C1" w:rsidP="00906102">
      <w:pPr>
        <w:pStyle w:val="Default"/>
        <w:jc w:val="both"/>
        <w:rPr>
          <w:sz w:val="22"/>
          <w:szCs w:val="22"/>
        </w:rPr>
      </w:pPr>
    </w:p>
    <w:p w14:paraId="537BA72B" w14:textId="6ADB43F2" w:rsidR="008E5DDA" w:rsidRDefault="003B67C1" w:rsidP="006F68C7">
      <w:pPr>
        <w:pStyle w:val="Default"/>
        <w:jc w:val="both"/>
        <w:rPr>
          <w:spacing w:val="3"/>
          <w:sz w:val="22"/>
          <w:szCs w:val="22"/>
        </w:rPr>
      </w:pPr>
      <w:r>
        <w:rPr>
          <w:sz w:val="22"/>
          <w:szCs w:val="22"/>
        </w:rPr>
        <w:t xml:space="preserve">The report documents that the extent to which repeat victimisation is concentrated has important implications as it enables police officers to target crime prevention efforts toward the people who suffer the most harm. A general reduction in repeat victimisation can also contribute to overall reductions in crime within the United Kingdom. For example, fifty two percent of violent incident involved repeat victims, compared to seventy four percent in 1995. (Lantz B and Ruback RB, 2017). </w:t>
      </w:r>
      <w:proofErr w:type="gramStart"/>
      <w:r w:rsidR="00ED1841" w:rsidRPr="00ED1841">
        <w:rPr>
          <w:spacing w:val="3"/>
          <w:sz w:val="22"/>
          <w:szCs w:val="22"/>
        </w:rPr>
        <w:t>The majority of</w:t>
      </w:r>
      <w:proofErr w:type="gramEnd"/>
      <w:r w:rsidR="00ED1841" w:rsidRPr="00ED1841">
        <w:rPr>
          <w:spacing w:val="3"/>
          <w:sz w:val="22"/>
          <w:szCs w:val="22"/>
        </w:rPr>
        <w:t xml:space="preserve"> people who break the law commit just one or two minor offences. However, a small proportion of offenders go on to commit a large proportion of crime (Prime and others, 2001; Wikström and others, 2012)</w:t>
      </w:r>
      <w:r w:rsidR="00ED1841">
        <w:rPr>
          <w:spacing w:val="3"/>
          <w:sz w:val="22"/>
          <w:szCs w:val="22"/>
        </w:rPr>
        <w:t xml:space="preserve">. </w:t>
      </w:r>
      <w:r w:rsidR="00ED1841" w:rsidRPr="00ED1841">
        <w:rPr>
          <w:spacing w:val="3"/>
          <w:sz w:val="22"/>
          <w:szCs w:val="22"/>
        </w:rPr>
        <w:t>The Home Office</w:t>
      </w:r>
      <w:r w:rsidR="00ED1841">
        <w:rPr>
          <w:spacing w:val="3"/>
          <w:sz w:val="22"/>
          <w:szCs w:val="22"/>
        </w:rPr>
        <w:t xml:space="preserve"> (2001) </w:t>
      </w:r>
      <w:r w:rsidR="00ED1841" w:rsidRPr="00ED1841">
        <w:rPr>
          <w:spacing w:val="3"/>
          <w:sz w:val="22"/>
          <w:szCs w:val="22"/>
        </w:rPr>
        <w:t>estimated that 10% of active offenders are responsible for 50% of all crime committed. There is evidence of offending concentrations for specific crime types. For example, research has identified that the majority of repeat and near neighbour domestic burglaries are committed by the same perpetrator. Repeat offenders also tend to be the more prolific burglars (Pease, 1998; Bernasco, 2008; Lantz and Ruback, 2017). These findings suggest the police targeting of prolific domestic burglars could have a significant impact in crime hot spots.</w:t>
      </w:r>
      <w:r w:rsidR="00ED1841">
        <w:rPr>
          <w:spacing w:val="3"/>
          <w:sz w:val="22"/>
          <w:szCs w:val="22"/>
        </w:rPr>
        <w:t xml:space="preserve"> </w:t>
      </w:r>
      <w:r w:rsidR="00ED1841" w:rsidRPr="00ED1841">
        <w:rPr>
          <w:spacing w:val="3"/>
          <w:sz w:val="22"/>
          <w:szCs w:val="22"/>
        </w:rPr>
        <w:t>Farrell and others (1998) found that crime fell by 60% in an area where the police targeted prolific burglars and carried out target hardening of homes (for example, the fitting of locks</w:t>
      </w:r>
      <w:r w:rsidR="00E746D0" w:rsidRPr="00ED1841">
        <w:rPr>
          <w:spacing w:val="3"/>
          <w:sz w:val="22"/>
          <w:szCs w:val="22"/>
        </w:rPr>
        <w:t>). Most</w:t>
      </w:r>
      <w:r w:rsidR="00ED1841" w:rsidRPr="00ED1841">
        <w:rPr>
          <w:spacing w:val="3"/>
          <w:sz w:val="22"/>
          <w:szCs w:val="22"/>
        </w:rPr>
        <w:t xml:space="preserve"> prolific offenders do not want to continue committing crime when they get older and start to mature. Offending rates tend to decline significantly in adulthood, as their relationships, physiology, self-</w:t>
      </w:r>
      <w:r w:rsidR="00E746D0" w:rsidRPr="00ED1841">
        <w:rPr>
          <w:spacing w:val="3"/>
          <w:sz w:val="22"/>
          <w:szCs w:val="22"/>
        </w:rPr>
        <w:t>identities,</w:t>
      </w:r>
      <w:r w:rsidR="00ED1841" w:rsidRPr="00ED1841">
        <w:rPr>
          <w:spacing w:val="3"/>
          <w:sz w:val="22"/>
          <w:szCs w:val="22"/>
        </w:rPr>
        <w:t xml:space="preserve"> and attitudes change (Laub and Sampson, 2001; Sampson and Laub, 2003; Farrington and others, 2006; Rocque, 2014).</w:t>
      </w:r>
    </w:p>
    <w:p w14:paraId="0B9A2E85" w14:textId="77777777" w:rsidR="000F78DE" w:rsidRPr="006F68C7" w:rsidRDefault="000F78DE" w:rsidP="006F68C7">
      <w:pPr>
        <w:pStyle w:val="Default"/>
        <w:jc w:val="both"/>
        <w:rPr>
          <w:sz w:val="22"/>
          <w:szCs w:val="22"/>
        </w:rPr>
      </w:pPr>
    </w:p>
    <w:p w14:paraId="146EED7B" w14:textId="68BFA963" w:rsidR="000F78DE" w:rsidRDefault="00602B7F" w:rsidP="002146DF">
      <w:pPr>
        <w:jc w:val="both"/>
        <w:rPr>
          <w:rFonts w:ascii="Arial" w:hAnsi="Arial" w:cs="Arial"/>
          <w:color w:val="000000"/>
          <w:spacing w:val="3"/>
        </w:rPr>
      </w:pPr>
      <w:r>
        <w:rPr>
          <w:rFonts w:ascii="Arial" w:hAnsi="Arial" w:cs="Arial"/>
          <w:color w:val="000000"/>
          <w:spacing w:val="3"/>
        </w:rPr>
        <w:t xml:space="preserve">With regards to determining and creating a strategy for reducing repeat </w:t>
      </w:r>
      <w:r w:rsidR="000B6494">
        <w:rPr>
          <w:rFonts w:ascii="Arial" w:hAnsi="Arial" w:cs="Arial"/>
          <w:color w:val="000000"/>
          <w:spacing w:val="3"/>
        </w:rPr>
        <w:t>victimisation</w:t>
      </w:r>
      <w:r w:rsidR="00BE0D7C">
        <w:rPr>
          <w:rFonts w:ascii="Arial" w:hAnsi="Arial" w:cs="Arial"/>
          <w:color w:val="000000"/>
          <w:spacing w:val="3"/>
        </w:rPr>
        <w:t xml:space="preserve"> through intelligence led policing</w:t>
      </w:r>
      <w:r>
        <w:rPr>
          <w:rFonts w:ascii="Arial" w:hAnsi="Arial" w:cs="Arial"/>
          <w:color w:val="000000"/>
          <w:spacing w:val="3"/>
        </w:rPr>
        <w:t xml:space="preserve">, there isn’t a magic formula in terms of strategy. </w:t>
      </w:r>
      <w:r w:rsidR="00F50B13">
        <w:rPr>
          <w:rFonts w:ascii="Arial" w:hAnsi="Arial" w:cs="Arial"/>
          <w:color w:val="000000"/>
          <w:spacing w:val="3"/>
        </w:rPr>
        <w:t xml:space="preserve">It needs to be a specific action </w:t>
      </w:r>
      <w:r w:rsidR="00673B29">
        <w:rPr>
          <w:rFonts w:ascii="Arial" w:hAnsi="Arial" w:cs="Arial"/>
          <w:color w:val="000000"/>
          <w:spacing w:val="3"/>
        </w:rPr>
        <w:t>to a specific type of crime</w:t>
      </w:r>
      <w:r w:rsidR="000B6494">
        <w:rPr>
          <w:rFonts w:ascii="Arial" w:hAnsi="Arial" w:cs="Arial"/>
          <w:color w:val="000000"/>
          <w:spacing w:val="3"/>
        </w:rPr>
        <w:t>, for example preventing the repeat of a dwelling burglary requires a different response to a repeat sexual assault</w:t>
      </w:r>
      <w:r w:rsidR="00776E2B">
        <w:rPr>
          <w:rFonts w:ascii="Arial" w:hAnsi="Arial" w:cs="Arial"/>
          <w:color w:val="000000"/>
          <w:spacing w:val="3"/>
        </w:rPr>
        <w:t xml:space="preserve">, the general circumstances </w:t>
      </w:r>
      <w:r w:rsidR="00F7002D">
        <w:rPr>
          <w:rFonts w:ascii="Arial" w:hAnsi="Arial" w:cs="Arial"/>
          <w:color w:val="000000"/>
          <w:spacing w:val="3"/>
        </w:rPr>
        <w:t>in which the crime occurs</w:t>
      </w:r>
      <w:r w:rsidR="0064218B">
        <w:rPr>
          <w:rFonts w:ascii="Arial" w:hAnsi="Arial" w:cs="Arial"/>
          <w:color w:val="000000"/>
          <w:spacing w:val="3"/>
        </w:rPr>
        <w:t>, the resources which are availabl</w:t>
      </w:r>
      <w:r w:rsidR="008E4D5A">
        <w:rPr>
          <w:rFonts w:ascii="Arial" w:hAnsi="Arial" w:cs="Arial"/>
          <w:color w:val="000000"/>
          <w:spacing w:val="3"/>
        </w:rPr>
        <w:t xml:space="preserve">e </w:t>
      </w:r>
      <w:r w:rsidR="009C274A">
        <w:rPr>
          <w:rFonts w:ascii="Arial" w:hAnsi="Arial" w:cs="Arial"/>
          <w:color w:val="000000"/>
          <w:spacing w:val="3"/>
        </w:rPr>
        <w:t>fo</w:t>
      </w:r>
      <w:r w:rsidR="00EF4AB5">
        <w:rPr>
          <w:rFonts w:ascii="Arial" w:hAnsi="Arial" w:cs="Arial"/>
          <w:color w:val="000000"/>
          <w:spacing w:val="3"/>
        </w:rPr>
        <w:t xml:space="preserve">r a quick intervention, for example K Pease; 2002 states CCTV </w:t>
      </w:r>
      <w:r w:rsidR="00495529">
        <w:rPr>
          <w:rFonts w:ascii="Arial" w:hAnsi="Arial" w:cs="Arial"/>
          <w:color w:val="000000"/>
          <w:spacing w:val="3"/>
        </w:rPr>
        <w:t>surveillance</w:t>
      </w:r>
      <w:r w:rsidR="00EF4AB5">
        <w:rPr>
          <w:rFonts w:ascii="Arial" w:hAnsi="Arial" w:cs="Arial"/>
          <w:color w:val="000000"/>
          <w:spacing w:val="3"/>
        </w:rPr>
        <w:t xml:space="preserve"> </w:t>
      </w:r>
      <w:r w:rsidR="00495529">
        <w:rPr>
          <w:rFonts w:ascii="Arial" w:hAnsi="Arial" w:cs="Arial"/>
          <w:color w:val="000000"/>
          <w:spacing w:val="3"/>
        </w:rPr>
        <w:t xml:space="preserve">may be more cost effective if the long term goal is to prevent break ins </w:t>
      </w:r>
      <w:r w:rsidR="004A6AA6">
        <w:rPr>
          <w:rFonts w:ascii="Arial" w:hAnsi="Arial" w:cs="Arial"/>
          <w:color w:val="000000"/>
          <w:spacing w:val="3"/>
        </w:rPr>
        <w:t xml:space="preserve">but it could take too long to organise </w:t>
      </w:r>
      <w:r w:rsidR="008F3FCA">
        <w:rPr>
          <w:rFonts w:ascii="Arial" w:hAnsi="Arial" w:cs="Arial"/>
          <w:color w:val="000000"/>
          <w:spacing w:val="3"/>
        </w:rPr>
        <w:t>to prevent the break ins in the medium and short term whilst it is being organised</w:t>
      </w:r>
      <w:r w:rsidR="0060582C">
        <w:rPr>
          <w:rFonts w:ascii="Arial" w:hAnsi="Arial" w:cs="Arial"/>
          <w:color w:val="000000"/>
          <w:spacing w:val="3"/>
        </w:rPr>
        <w:t xml:space="preserve">. </w:t>
      </w:r>
      <w:r w:rsidR="008A5B7E">
        <w:rPr>
          <w:rFonts w:ascii="Arial" w:hAnsi="Arial" w:cs="Arial"/>
          <w:color w:val="000000"/>
          <w:spacing w:val="3"/>
        </w:rPr>
        <w:t xml:space="preserve">A critical factor in preventing repeat victimisation is access to accurate and reliable data from police information sources, along with other </w:t>
      </w:r>
      <w:r w:rsidR="005A589D">
        <w:rPr>
          <w:rFonts w:ascii="Arial" w:hAnsi="Arial" w:cs="Arial"/>
          <w:color w:val="000000"/>
          <w:spacing w:val="3"/>
        </w:rPr>
        <w:t>agencies.</w:t>
      </w:r>
      <w:r w:rsidR="008A5B7E">
        <w:rPr>
          <w:rFonts w:ascii="Arial" w:hAnsi="Arial" w:cs="Arial"/>
          <w:color w:val="000000"/>
          <w:spacing w:val="3"/>
        </w:rPr>
        <w:t xml:space="preserve"> </w:t>
      </w:r>
      <w:r w:rsidR="005A589D">
        <w:rPr>
          <w:rFonts w:ascii="Arial" w:hAnsi="Arial" w:cs="Arial"/>
          <w:color w:val="000000"/>
          <w:spacing w:val="3"/>
        </w:rPr>
        <w:t xml:space="preserve">This along with individual police </w:t>
      </w:r>
      <w:r w:rsidR="002A2D54">
        <w:rPr>
          <w:rFonts w:ascii="Arial" w:hAnsi="Arial" w:cs="Arial"/>
          <w:color w:val="000000"/>
          <w:spacing w:val="3"/>
        </w:rPr>
        <w:t>officers’</w:t>
      </w:r>
      <w:r w:rsidR="005A589D">
        <w:rPr>
          <w:rFonts w:ascii="Arial" w:hAnsi="Arial" w:cs="Arial"/>
          <w:color w:val="000000"/>
          <w:spacing w:val="3"/>
        </w:rPr>
        <w:t xml:space="preserve"> </w:t>
      </w:r>
      <w:r w:rsidR="00223D35">
        <w:rPr>
          <w:rFonts w:ascii="Arial" w:hAnsi="Arial" w:cs="Arial"/>
          <w:color w:val="000000"/>
          <w:spacing w:val="3"/>
        </w:rPr>
        <w:t xml:space="preserve">problem analysis skills and the awareness of other preventative measures could assist with </w:t>
      </w:r>
      <w:r w:rsidR="00BE7156">
        <w:rPr>
          <w:rFonts w:ascii="Arial" w:hAnsi="Arial" w:cs="Arial"/>
          <w:color w:val="000000"/>
          <w:spacing w:val="3"/>
        </w:rPr>
        <w:t>opportunities for achieving reductions in crime and thus reducing repeat victim</w:t>
      </w:r>
      <w:r w:rsidR="00D33484">
        <w:rPr>
          <w:rFonts w:ascii="Arial" w:hAnsi="Arial" w:cs="Arial"/>
          <w:color w:val="000000"/>
          <w:spacing w:val="3"/>
        </w:rPr>
        <w:t>isation. (K Pease, 2002).</w:t>
      </w:r>
      <w:r w:rsidR="002A2D54">
        <w:rPr>
          <w:rFonts w:ascii="Arial" w:hAnsi="Arial" w:cs="Arial"/>
          <w:color w:val="000000"/>
          <w:spacing w:val="3"/>
        </w:rPr>
        <w:t xml:space="preserve"> </w:t>
      </w:r>
      <w:r w:rsidR="00ED373A">
        <w:rPr>
          <w:rFonts w:ascii="Arial" w:hAnsi="Arial" w:cs="Arial"/>
          <w:color w:val="000000"/>
          <w:spacing w:val="3"/>
        </w:rPr>
        <w:t xml:space="preserve">Also, more efforts to repeat </w:t>
      </w:r>
      <w:r w:rsidR="000F78DE">
        <w:rPr>
          <w:rFonts w:ascii="Arial" w:hAnsi="Arial" w:cs="Arial"/>
          <w:color w:val="000000"/>
          <w:spacing w:val="3"/>
        </w:rPr>
        <w:t>victimisation</w:t>
      </w:r>
      <w:r w:rsidR="00ED373A">
        <w:rPr>
          <w:rFonts w:ascii="Arial" w:hAnsi="Arial" w:cs="Arial"/>
          <w:color w:val="000000"/>
          <w:spacing w:val="3"/>
        </w:rPr>
        <w:t xml:space="preserve"> have been found to have </w:t>
      </w:r>
      <w:r w:rsidR="00FD15A3">
        <w:rPr>
          <w:rFonts w:ascii="Arial" w:hAnsi="Arial" w:cs="Arial"/>
          <w:color w:val="000000"/>
          <w:spacing w:val="3"/>
        </w:rPr>
        <w:t>assisting in preventing repeat victimization</w:t>
      </w:r>
      <w:r w:rsidR="00DA2E65">
        <w:rPr>
          <w:rFonts w:ascii="Arial" w:hAnsi="Arial" w:cs="Arial"/>
          <w:color w:val="000000"/>
          <w:spacing w:val="3"/>
        </w:rPr>
        <w:t>, most have been targeted towards burglary, both commercial and dwelling.</w:t>
      </w:r>
      <w:r w:rsidR="00DA2E65" w:rsidRPr="003171D5">
        <w:rPr>
          <w:rFonts w:ascii="Arial" w:hAnsi="Arial" w:cs="Arial"/>
          <w:color w:val="000000"/>
          <w:spacing w:val="3"/>
        </w:rPr>
        <w:t xml:space="preserve"> </w:t>
      </w:r>
    </w:p>
    <w:p w14:paraId="71BD325C" w14:textId="450942D2" w:rsidR="002146DF" w:rsidRDefault="003171D5" w:rsidP="002146DF">
      <w:pPr>
        <w:jc w:val="both"/>
        <w:rPr>
          <w:rFonts w:ascii="Arial" w:hAnsi="Arial" w:cs="Arial"/>
        </w:rPr>
      </w:pPr>
      <w:r w:rsidRPr="003171D5">
        <w:rPr>
          <w:rFonts w:ascii="Arial" w:hAnsi="Arial" w:cs="Arial"/>
        </w:rPr>
        <w:lastRenderedPageBreak/>
        <w:t xml:space="preserve">Further interventions for residential burglary and commercial burglary often included an initial security survey followed by securitization of properties. This typically involved improving locks on vulnerable doors and windows, but also other techniques such as reinforcing doors. Alarms were occasionally given or loaned to victims, including repeat victims of domestic violence. Property marking for burglary victims was often facilitated by the provision of either a microdot solution (which can be uniquely identified) or access to a property register, usually with decals (stickers) to promote deterrence. Neighbourhood Watch, or the smaller Cocoon Watch among nearby neighbours (Forrester, </w:t>
      </w:r>
      <w:proofErr w:type="gramStart"/>
      <w:r w:rsidRPr="003171D5">
        <w:rPr>
          <w:rFonts w:ascii="Arial" w:hAnsi="Arial" w:cs="Arial"/>
        </w:rPr>
        <w:t>Chatterton</w:t>
      </w:r>
      <w:proofErr w:type="gramEnd"/>
      <w:r w:rsidRPr="003171D5">
        <w:rPr>
          <w:rFonts w:ascii="Arial" w:hAnsi="Arial" w:cs="Arial"/>
        </w:rPr>
        <w:t xml:space="preserve"> and Pease 1988), was established within some repeat burglary or domestic violence projects. Less common measures included offender-focused interventions, blocking off access to rear alleys used by burglars, and media publicity to promote deterrence. Interventions for commercial burglary were like those for residential burglary, although other measures included CCTV and motion sensors.</w:t>
      </w:r>
      <w:r w:rsidR="002146DF">
        <w:rPr>
          <w:rFonts w:ascii="Arial" w:hAnsi="Arial" w:cs="Arial"/>
        </w:rPr>
        <w:t xml:space="preserve"> </w:t>
      </w:r>
      <w:r w:rsidR="002146DF" w:rsidRPr="002146DF">
        <w:rPr>
          <w:rFonts w:ascii="Arial" w:hAnsi="Arial" w:cs="Arial"/>
        </w:rPr>
        <w:t xml:space="preserve">While repeat victimization can be prevented, the evidence from research suggests that there needs to be significant additional investment in research and development, and far greater attention to implementation. Problem-solving and </w:t>
      </w:r>
      <w:r w:rsidR="00BE0D7C">
        <w:rPr>
          <w:rFonts w:ascii="Arial" w:hAnsi="Arial" w:cs="Arial"/>
        </w:rPr>
        <w:t>intelligence led</w:t>
      </w:r>
      <w:r w:rsidR="002146DF" w:rsidRPr="002146DF">
        <w:rPr>
          <w:rFonts w:ascii="Arial" w:hAnsi="Arial" w:cs="Arial"/>
        </w:rPr>
        <w:t xml:space="preserve"> research approaches that develop strong prevention tactics based on careful analysis of the crime problem should be developed, and Sidebottom et al. (2012) suggest the potential of checklists to help pursue such goals. The evidence base will be improved greatly if such efforts include a broader range of crime types than have been addressed in work to date. A portfolio of research on preventing repeat victimization may benefit from including a greater emphasis on preventing near repeats of various sorts. There is an increasingly clear conceptual overlap between the repetitive nature of crime and its tendency to cluster along whatever dimension is measured. The similarity of previous and future crimes is the common factor among these repeat crime clusters, and the more similar the crimes, the greater the potential to develop an informed and efficient prevention response.</w:t>
      </w:r>
      <w:r w:rsidR="00885CD8">
        <w:rPr>
          <w:rFonts w:ascii="Arial" w:hAnsi="Arial" w:cs="Arial"/>
        </w:rPr>
        <w:t xml:space="preserve"> </w:t>
      </w:r>
    </w:p>
    <w:p w14:paraId="6F1C6A97" w14:textId="5F08E2A2" w:rsidR="00885CD8" w:rsidRPr="00DD1DE4" w:rsidRDefault="00885CD8" w:rsidP="00885CD8">
      <w:pPr>
        <w:shd w:val="clear" w:color="auto" w:fill="FFFFFF"/>
        <w:spacing w:before="100" w:beforeAutospacing="1" w:after="100" w:afterAutospacing="1" w:line="240" w:lineRule="auto"/>
        <w:jc w:val="both"/>
        <w:rPr>
          <w:rFonts w:ascii="Arial" w:eastAsia="Times New Roman" w:hAnsi="Arial" w:cs="Arial"/>
          <w:color w:val="333333"/>
          <w:lang w:eastAsia="en-GB"/>
        </w:rPr>
      </w:pPr>
      <w:r w:rsidRPr="00DD1DE4">
        <w:rPr>
          <w:rFonts w:ascii="Arial" w:eastAsia="Times New Roman" w:hAnsi="Arial" w:cs="Arial"/>
          <w:color w:val="333333"/>
          <w:lang w:eastAsia="en-GB"/>
        </w:rPr>
        <w:t>Shaw and Pease (2000) have provided examples of how </w:t>
      </w:r>
      <w:r>
        <w:rPr>
          <w:rFonts w:ascii="Arial" w:eastAsia="Times New Roman" w:hAnsi="Arial" w:cs="Arial"/>
          <w:color w:val="333333"/>
          <w:lang w:eastAsia="en-GB"/>
        </w:rPr>
        <w:t xml:space="preserve">repeat victimisation </w:t>
      </w:r>
      <w:r w:rsidRPr="00DD1DE4">
        <w:rPr>
          <w:rFonts w:ascii="Arial" w:eastAsia="Times New Roman" w:hAnsi="Arial" w:cs="Arial"/>
          <w:color w:val="333333"/>
          <w:lang w:eastAsia="en-GB"/>
        </w:rPr>
        <w:t>can be successfully addressed</w:t>
      </w:r>
      <w:r w:rsidR="00BE0D7C">
        <w:rPr>
          <w:rFonts w:ascii="Arial" w:eastAsia="Times New Roman" w:hAnsi="Arial" w:cs="Arial"/>
          <w:color w:val="333333"/>
          <w:lang w:eastAsia="en-GB"/>
        </w:rPr>
        <w:t xml:space="preserve"> through the gathering of information and intelligence</w:t>
      </w:r>
      <w:r w:rsidRPr="00DD1DE4">
        <w:rPr>
          <w:rFonts w:ascii="Arial" w:eastAsia="Times New Roman" w:hAnsi="Arial" w:cs="Arial"/>
          <w:color w:val="333333"/>
          <w:lang w:eastAsia="en-GB"/>
        </w:rPr>
        <w:t>. They highlight</w:t>
      </w:r>
      <w:r>
        <w:rPr>
          <w:rFonts w:ascii="Arial" w:eastAsia="Times New Roman" w:hAnsi="Arial" w:cs="Arial"/>
          <w:color w:val="333333"/>
          <w:lang w:eastAsia="en-GB"/>
        </w:rPr>
        <w:t>ed</w:t>
      </w:r>
      <w:r w:rsidRPr="00DD1DE4">
        <w:rPr>
          <w:rFonts w:ascii="Arial" w:eastAsia="Times New Roman" w:hAnsi="Arial" w:cs="Arial"/>
          <w:color w:val="333333"/>
          <w:lang w:eastAsia="en-GB"/>
        </w:rPr>
        <w:t xml:space="preserve"> a case where a victim of attempted murder and rape had been subjected to further threats from the offender. The </w:t>
      </w:r>
      <w:r>
        <w:rPr>
          <w:rFonts w:ascii="Arial" w:eastAsia="Times New Roman" w:hAnsi="Arial" w:cs="Arial"/>
          <w:color w:val="333333"/>
          <w:lang w:eastAsia="en-GB"/>
        </w:rPr>
        <w:t>victim</w:t>
      </w:r>
      <w:r w:rsidRPr="00DD1DE4">
        <w:rPr>
          <w:rFonts w:ascii="Arial" w:eastAsia="Times New Roman" w:hAnsi="Arial" w:cs="Arial"/>
          <w:color w:val="333333"/>
          <w:lang w:eastAsia="en-GB"/>
        </w:rPr>
        <w:t xml:space="preserve"> was given home security advice and issued with a mobile phone and panic alarm linked to the police control room. </w:t>
      </w:r>
      <w:r>
        <w:rPr>
          <w:rFonts w:ascii="Arial" w:eastAsia="Times New Roman" w:hAnsi="Arial" w:cs="Arial"/>
          <w:color w:val="333333"/>
          <w:lang w:eastAsia="en-GB"/>
        </w:rPr>
        <w:t>The report stated n</w:t>
      </w:r>
      <w:r w:rsidRPr="00DD1DE4">
        <w:rPr>
          <w:rFonts w:ascii="Arial" w:eastAsia="Times New Roman" w:hAnsi="Arial" w:cs="Arial"/>
          <w:color w:val="333333"/>
          <w:lang w:eastAsia="en-GB"/>
        </w:rPr>
        <w:t xml:space="preserve">o further incidents or threats were reported. </w:t>
      </w:r>
      <w:r>
        <w:rPr>
          <w:rFonts w:ascii="Arial" w:eastAsia="Times New Roman" w:hAnsi="Arial" w:cs="Arial"/>
          <w:color w:val="333333"/>
          <w:lang w:eastAsia="en-GB"/>
        </w:rPr>
        <w:t xml:space="preserve">Research has also evidence there is a period of increased risk </w:t>
      </w:r>
      <w:r w:rsidRPr="00DD1DE4">
        <w:rPr>
          <w:rFonts w:ascii="Arial" w:eastAsia="Times New Roman" w:hAnsi="Arial" w:cs="Arial"/>
          <w:color w:val="333333"/>
          <w:lang w:eastAsia="en-GB"/>
        </w:rPr>
        <w:t>for re-victimisation, which declines with time (</w:t>
      </w:r>
      <w:proofErr w:type="spellStart"/>
      <w:r w:rsidRPr="00DD1DE4">
        <w:rPr>
          <w:rFonts w:ascii="Arial" w:eastAsia="Times New Roman" w:hAnsi="Arial" w:cs="Arial"/>
          <w:color w:val="333333"/>
          <w:lang w:eastAsia="en-GB"/>
        </w:rPr>
        <w:t>Weisel</w:t>
      </w:r>
      <w:proofErr w:type="spellEnd"/>
      <w:r w:rsidRPr="00DD1DE4">
        <w:rPr>
          <w:rFonts w:ascii="Arial" w:eastAsia="Times New Roman" w:hAnsi="Arial" w:cs="Arial"/>
          <w:color w:val="333333"/>
          <w:lang w:eastAsia="en-GB"/>
        </w:rPr>
        <w:t xml:space="preserve">, 2005). </w:t>
      </w:r>
      <w:r>
        <w:rPr>
          <w:rFonts w:ascii="Arial" w:eastAsia="Times New Roman" w:hAnsi="Arial" w:cs="Arial"/>
          <w:color w:val="333333"/>
          <w:lang w:eastAsia="en-GB"/>
        </w:rPr>
        <w:t xml:space="preserve">Through further reading, measures have been created for improving victim safety and protection in general, it has been stated in government publications that if the police force and supporting agencies meet and support the practical needs of the victim in the direct aftermath of an offence could be an important step in reducing the risk of repeated offences occurring against them, meaning the chance for repeat victimisation is a low lower. (Callanan et al., 2012). </w:t>
      </w:r>
      <w:r w:rsidRPr="00DD1DE4">
        <w:rPr>
          <w:rFonts w:ascii="Arial" w:eastAsia="Times New Roman" w:hAnsi="Arial" w:cs="Arial"/>
          <w:color w:val="333333"/>
          <w:lang w:eastAsia="en-GB"/>
        </w:rPr>
        <w:t>The main reason for this is that it ensures individuals have the resources and support available to them to prevent further violence occurring. This can include</w:t>
      </w:r>
      <w:r>
        <w:rPr>
          <w:rFonts w:ascii="Arial" w:eastAsia="Times New Roman" w:hAnsi="Arial" w:cs="Arial"/>
          <w:color w:val="333333"/>
          <w:lang w:eastAsia="en-GB"/>
        </w:rPr>
        <w:t xml:space="preserve"> further enhanced support measures in place to assist the victim in participating in the criminal justice system to ensure the offender in the case are prosecuted. Help with accessing a range of support services from partner agencies and organisations including victim support networks, local councils to report any housing or security issues, and employers if time off work is required. Also, help with childcare to assist victims who potentially have shared custody of their children with an offender can assist engage with the local children’s charities and support networks in engaging with varying service providers. </w:t>
      </w:r>
    </w:p>
    <w:p w14:paraId="7D0CCCDE" w14:textId="77777777" w:rsidR="00885CD8" w:rsidRDefault="00885CD8" w:rsidP="002146DF">
      <w:pPr>
        <w:jc w:val="both"/>
        <w:rPr>
          <w:rFonts w:ascii="Arial" w:hAnsi="Arial" w:cs="Arial"/>
          <w:b/>
          <w:bCs/>
        </w:rPr>
      </w:pPr>
    </w:p>
    <w:p w14:paraId="6596310B" w14:textId="65373485" w:rsidR="00B320D5" w:rsidRPr="002146DF" w:rsidRDefault="00B320D5" w:rsidP="002146DF">
      <w:pPr>
        <w:jc w:val="both"/>
        <w:rPr>
          <w:rFonts w:ascii="Arial" w:hAnsi="Arial" w:cs="Arial"/>
          <w:b/>
          <w:bCs/>
        </w:rPr>
      </w:pPr>
      <w:r>
        <w:rPr>
          <w:rFonts w:ascii="Arial" w:hAnsi="Arial" w:cs="Arial"/>
          <w:b/>
          <w:bCs/>
        </w:rPr>
        <w:t>Words: 1840 words</w:t>
      </w:r>
      <w:r w:rsidR="00A82323">
        <w:rPr>
          <w:rFonts w:ascii="Arial" w:hAnsi="Arial" w:cs="Arial"/>
          <w:b/>
          <w:bCs/>
        </w:rPr>
        <w:t>.</w:t>
      </w:r>
    </w:p>
    <w:p w14:paraId="77ED64C4" w14:textId="0241F68D" w:rsidR="003171D5" w:rsidRPr="00B740C6" w:rsidRDefault="003171D5" w:rsidP="003171D5">
      <w:pPr>
        <w:jc w:val="both"/>
        <w:rPr>
          <w:b/>
          <w:bCs/>
        </w:rPr>
      </w:pPr>
    </w:p>
    <w:p w14:paraId="3DB0F057" w14:textId="693FACCF" w:rsidR="00602B7F" w:rsidRDefault="00602B7F" w:rsidP="001C7439">
      <w:pPr>
        <w:pStyle w:val="NormalWeb"/>
        <w:spacing w:before="0" w:beforeAutospacing="0" w:after="360" w:afterAutospacing="0"/>
        <w:jc w:val="both"/>
        <w:rPr>
          <w:rFonts w:ascii="Arial" w:hAnsi="Arial" w:cs="Arial"/>
          <w:color w:val="000000"/>
          <w:spacing w:val="3"/>
          <w:sz w:val="22"/>
          <w:szCs w:val="22"/>
        </w:rPr>
      </w:pPr>
    </w:p>
    <w:p w14:paraId="45F0511D" w14:textId="77777777" w:rsidR="001C6155" w:rsidRPr="001C6155" w:rsidRDefault="001C6155" w:rsidP="001C6155">
      <w:pPr>
        <w:pStyle w:val="Default"/>
        <w:jc w:val="both"/>
        <w:rPr>
          <w:b/>
          <w:bCs/>
        </w:rPr>
      </w:pPr>
    </w:p>
    <w:p w14:paraId="2F648FA4" w14:textId="77777777" w:rsidR="001C6155" w:rsidRPr="001C6155" w:rsidRDefault="001C6155" w:rsidP="001C6155">
      <w:pPr>
        <w:pStyle w:val="Default"/>
        <w:jc w:val="both"/>
        <w:rPr>
          <w:b/>
          <w:bCs/>
          <w:sz w:val="22"/>
          <w:szCs w:val="22"/>
        </w:rPr>
      </w:pPr>
      <w:r w:rsidRPr="001C6155">
        <w:rPr>
          <w:b/>
          <w:bCs/>
          <w:sz w:val="22"/>
          <w:szCs w:val="22"/>
        </w:rPr>
        <w:t xml:space="preserve">The College of Policing (2021) defines a critical incident as “any incident where the effectiveness of the police response is likely to have a significant impact on the confidence of the victim, their family and/or the community”. Why is it so important that the police maintain the confidence of local communities? </w:t>
      </w:r>
    </w:p>
    <w:p w14:paraId="48568605" w14:textId="4F9663E6" w:rsidR="00BE0D7C" w:rsidRDefault="00BE0D7C" w:rsidP="001C7439">
      <w:pPr>
        <w:pStyle w:val="NormalWeb"/>
        <w:spacing w:before="0" w:beforeAutospacing="0" w:after="360" w:afterAutospacing="0"/>
        <w:jc w:val="both"/>
        <w:rPr>
          <w:rFonts w:ascii="Arial" w:hAnsi="Arial" w:cs="Arial"/>
          <w:color w:val="000000"/>
          <w:spacing w:val="3"/>
          <w:sz w:val="22"/>
          <w:szCs w:val="22"/>
        </w:rPr>
      </w:pPr>
    </w:p>
    <w:p w14:paraId="5955A2BC" w14:textId="3DF39B56" w:rsidR="00FC0DC7" w:rsidRDefault="00FC0DC7" w:rsidP="00B320D5">
      <w:pPr>
        <w:pStyle w:val="NormalWeb"/>
        <w:spacing w:before="0" w:beforeAutospacing="0" w:after="360" w:afterAutospacing="0"/>
        <w:jc w:val="both"/>
        <w:rPr>
          <w:rFonts w:ascii="Arial" w:hAnsi="Arial" w:cs="Arial"/>
          <w:color w:val="000000"/>
          <w:spacing w:val="3"/>
          <w:sz w:val="22"/>
          <w:szCs w:val="22"/>
        </w:rPr>
      </w:pPr>
      <w:r>
        <w:rPr>
          <w:rFonts w:ascii="Arial" w:hAnsi="Arial" w:cs="Arial"/>
          <w:color w:val="000000"/>
          <w:spacing w:val="3"/>
          <w:sz w:val="22"/>
          <w:szCs w:val="22"/>
        </w:rPr>
        <w:t xml:space="preserve">This report will be discussing critical incident failures </w:t>
      </w:r>
      <w:r w:rsidR="008B5D2C">
        <w:rPr>
          <w:rFonts w:ascii="Arial" w:hAnsi="Arial" w:cs="Arial"/>
          <w:color w:val="000000"/>
          <w:spacing w:val="3"/>
          <w:sz w:val="22"/>
          <w:szCs w:val="22"/>
        </w:rPr>
        <w:t xml:space="preserve">at every level of police forces within the United Kingdom </w:t>
      </w:r>
      <w:r w:rsidR="003E5635">
        <w:rPr>
          <w:rFonts w:ascii="Arial" w:hAnsi="Arial" w:cs="Arial"/>
          <w:color w:val="000000"/>
          <w:spacing w:val="3"/>
          <w:sz w:val="22"/>
          <w:szCs w:val="22"/>
        </w:rPr>
        <w:t xml:space="preserve">and how public trust has fallen in the country and ways in which varying studies and reports </w:t>
      </w:r>
      <w:r w:rsidR="00C0220D">
        <w:rPr>
          <w:rFonts w:ascii="Arial" w:hAnsi="Arial" w:cs="Arial"/>
          <w:color w:val="000000"/>
          <w:spacing w:val="3"/>
          <w:sz w:val="22"/>
          <w:szCs w:val="22"/>
        </w:rPr>
        <w:t xml:space="preserve">have identified ways of improving trust between the police and local communities. </w:t>
      </w:r>
      <w:r w:rsidR="00B320D5">
        <w:rPr>
          <w:rFonts w:ascii="Arial" w:hAnsi="Arial" w:cs="Arial"/>
          <w:color w:val="000000"/>
          <w:spacing w:val="3"/>
          <w:sz w:val="22"/>
          <w:szCs w:val="22"/>
        </w:rPr>
        <w:t xml:space="preserve">This report will also identify different reasons why it is important to maintain confidence and trust within the police by using the Peelian principles as a guide point throughout. </w:t>
      </w:r>
    </w:p>
    <w:p w14:paraId="322AF8F9" w14:textId="7D0A6BAB" w:rsidR="00ED1841" w:rsidRDefault="00CC7607" w:rsidP="00B320D5">
      <w:pPr>
        <w:pStyle w:val="Default"/>
        <w:jc w:val="both"/>
        <w:rPr>
          <w:sz w:val="22"/>
          <w:szCs w:val="22"/>
        </w:rPr>
      </w:pPr>
      <w:r>
        <w:rPr>
          <w:sz w:val="22"/>
          <w:szCs w:val="22"/>
        </w:rPr>
        <w:t xml:space="preserve">The model used by police forces across the </w:t>
      </w:r>
      <w:r w:rsidR="007733DC">
        <w:rPr>
          <w:sz w:val="22"/>
          <w:szCs w:val="22"/>
        </w:rPr>
        <w:t>United Kingdom</w:t>
      </w:r>
      <w:r>
        <w:rPr>
          <w:sz w:val="22"/>
          <w:szCs w:val="22"/>
        </w:rPr>
        <w:t xml:space="preserve"> is built upon the principle of ‘policing by consent’. This concept is </w:t>
      </w:r>
      <w:r w:rsidR="000F3EB4">
        <w:rPr>
          <w:sz w:val="22"/>
          <w:szCs w:val="22"/>
        </w:rPr>
        <w:t xml:space="preserve">derived from the nine general instructions given to the United Kingdom’s largest police force, the Metropolitan police service in 1829. </w:t>
      </w:r>
      <w:r w:rsidR="00963DFB">
        <w:rPr>
          <w:sz w:val="22"/>
          <w:szCs w:val="22"/>
        </w:rPr>
        <w:t xml:space="preserve">These principles are commonly known as the Peelian principles of policing, named after Sir Robert Peel who was the home </w:t>
      </w:r>
      <w:r w:rsidR="007733DC">
        <w:rPr>
          <w:sz w:val="22"/>
          <w:szCs w:val="22"/>
        </w:rPr>
        <w:t>secretary</w:t>
      </w:r>
      <w:r w:rsidR="00963DFB">
        <w:rPr>
          <w:sz w:val="22"/>
          <w:szCs w:val="22"/>
        </w:rPr>
        <w:t xml:space="preserve"> at the time of its creation. </w:t>
      </w:r>
      <w:r w:rsidR="00561D7E">
        <w:rPr>
          <w:sz w:val="22"/>
          <w:szCs w:val="22"/>
        </w:rPr>
        <w:t xml:space="preserve">(Home Office, 2012). </w:t>
      </w:r>
      <w:r w:rsidR="005218B7">
        <w:rPr>
          <w:sz w:val="22"/>
          <w:szCs w:val="22"/>
        </w:rPr>
        <w:t xml:space="preserve">Information gathered from the Peelian principles </w:t>
      </w:r>
      <w:r w:rsidR="0076746B">
        <w:rPr>
          <w:sz w:val="22"/>
          <w:szCs w:val="22"/>
        </w:rPr>
        <w:t xml:space="preserve">state the authority of the police across the United Kingdom is totally dependant on consent from the </w:t>
      </w:r>
      <w:r w:rsidR="000455F7">
        <w:rPr>
          <w:sz w:val="22"/>
          <w:szCs w:val="22"/>
        </w:rPr>
        <w:t>public in the country</w:t>
      </w:r>
      <w:r w:rsidR="0076746B">
        <w:rPr>
          <w:sz w:val="22"/>
          <w:szCs w:val="22"/>
        </w:rPr>
        <w:t>.</w:t>
      </w:r>
      <w:r w:rsidR="00952B41">
        <w:rPr>
          <w:sz w:val="22"/>
          <w:szCs w:val="22"/>
        </w:rPr>
        <w:t xml:space="preserve"> If the public across the country withdrew their support, then the police would lose its totality in its authority. The home office defines the concept </w:t>
      </w:r>
      <w:r w:rsidR="00507420">
        <w:rPr>
          <w:sz w:val="22"/>
          <w:szCs w:val="22"/>
        </w:rPr>
        <w:t xml:space="preserve">of </w:t>
      </w:r>
      <w:r w:rsidR="005C2316">
        <w:rPr>
          <w:sz w:val="22"/>
          <w:szCs w:val="22"/>
        </w:rPr>
        <w:t xml:space="preserve">policing by consent as the power of the police coming from the common consent of the public, as opposed to the power of the state. (Home Office, 2012). </w:t>
      </w:r>
      <w:r w:rsidR="003600A2">
        <w:rPr>
          <w:sz w:val="22"/>
          <w:szCs w:val="22"/>
        </w:rPr>
        <w:t>However, it does not mean the consent of the individual, the home office; 2012 further explains no</w:t>
      </w:r>
      <w:r w:rsidR="00D274E8">
        <w:rPr>
          <w:sz w:val="22"/>
          <w:szCs w:val="22"/>
        </w:rPr>
        <w:t xml:space="preserve"> individual person can choose to withdraw their consent from</w:t>
      </w:r>
      <w:r w:rsidR="000455F7">
        <w:rPr>
          <w:sz w:val="22"/>
          <w:szCs w:val="22"/>
        </w:rPr>
        <w:t xml:space="preserve"> the police in the country, or withdraw their consent form the law.</w:t>
      </w:r>
      <w:r w:rsidR="007861A6">
        <w:rPr>
          <w:sz w:val="22"/>
          <w:szCs w:val="22"/>
        </w:rPr>
        <w:t xml:space="preserve"> The Peelian principles state that police officers in the country must recognise that the power of the police was totally dependant on public approval and respect</w:t>
      </w:r>
      <w:r w:rsidR="009758A3">
        <w:rPr>
          <w:sz w:val="22"/>
          <w:szCs w:val="22"/>
        </w:rPr>
        <w:t>. The Peelian principles further explain that police officers should only use physical force when the verbal exercise of persu</w:t>
      </w:r>
      <w:r w:rsidR="00520376">
        <w:rPr>
          <w:sz w:val="22"/>
          <w:szCs w:val="22"/>
        </w:rPr>
        <w:t>asion, advice and warning was found to be insufficient to obtain public co operation</w:t>
      </w:r>
      <w:r w:rsidR="00EB524F">
        <w:rPr>
          <w:sz w:val="22"/>
          <w:szCs w:val="22"/>
        </w:rPr>
        <w:t xml:space="preserve"> and secure law and order. </w:t>
      </w:r>
      <w:r w:rsidR="00BA3328" w:rsidRPr="00BA3328">
        <w:rPr>
          <w:sz w:val="22"/>
          <w:szCs w:val="22"/>
        </w:rPr>
        <w:t>(Bradford, B. et al, 2010).</w:t>
      </w:r>
      <w:r w:rsidR="008026C1">
        <w:rPr>
          <w:sz w:val="22"/>
          <w:szCs w:val="22"/>
        </w:rPr>
        <w:t xml:space="preserve"> Bradford, B et al, 2010; further explains </w:t>
      </w:r>
      <w:r w:rsidR="00852F04">
        <w:rPr>
          <w:sz w:val="22"/>
          <w:szCs w:val="22"/>
        </w:rPr>
        <w:t>that officers should use the minimum degree of physical force necessary and applying the law fairly, impartially by using minimal force possible</w:t>
      </w:r>
      <w:r w:rsidR="00281705">
        <w:rPr>
          <w:sz w:val="22"/>
          <w:szCs w:val="22"/>
        </w:rPr>
        <w:t xml:space="preserve">, whilst remaining order and safety. </w:t>
      </w:r>
    </w:p>
    <w:p w14:paraId="1B8A2DB7" w14:textId="77777777" w:rsidR="006B6566" w:rsidRDefault="006B6566" w:rsidP="00B320D5">
      <w:pPr>
        <w:pStyle w:val="Default"/>
        <w:jc w:val="both"/>
        <w:rPr>
          <w:sz w:val="22"/>
          <w:szCs w:val="22"/>
        </w:rPr>
      </w:pPr>
    </w:p>
    <w:p w14:paraId="26091EAA" w14:textId="507A4F90" w:rsidR="006B6566" w:rsidRDefault="006B6566" w:rsidP="00B320D5">
      <w:pPr>
        <w:pStyle w:val="Default"/>
        <w:jc w:val="both"/>
        <w:rPr>
          <w:sz w:val="22"/>
          <w:szCs w:val="22"/>
        </w:rPr>
      </w:pPr>
      <w:r>
        <w:rPr>
          <w:sz w:val="22"/>
          <w:szCs w:val="22"/>
        </w:rPr>
        <w:t xml:space="preserve">Research within the United Kingdom has suggested the media is a primary source of information about the police for most people. </w:t>
      </w:r>
      <w:r w:rsidRPr="005D684F">
        <w:rPr>
          <w:sz w:val="22"/>
          <w:szCs w:val="22"/>
        </w:rPr>
        <w:t>(</w:t>
      </w:r>
      <w:proofErr w:type="spellStart"/>
      <w:r w:rsidR="005D684F" w:rsidRPr="005D684F">
        <w:rPr>
          <w:sz w:val="22"/>
          <w:szCs w:val="22"/>
        </w:rPr>
        <w:t>Dirikx</w:t>
      </w:r>
      <w:proofErr w:type="spellEnd"/>
      <w:r w:rsidR="005D684F" w:rsidRPr="005D684F">
        <w:rPr>
          <w:sz w:val="22"/>
          <w:szCs w:val="22"/>
        </w:rPr>
        <w:t>, A. et al, 2014)</w:t>
      </w:r>
      <w:r w:rsidR="005D684F">
        <w:rPr>
          <w:sz w:val="22"/>
          <w:szCs w:val="22"/>
        </w:rPr>
        <w:t>. The report stated that seventy four percent of adults</w:t>
      </w:r>
      <w:r w:rsidR="00864013">
        <w:rPr>
          <w:sz w:val="22"/>
          <w:szCs w:val="22"/>
        </w:rPr>
        <w:t xml:space="preserve"> in England and Wales had no </w:t>
      </w:r>
      <w:r w:rsidR="00DF3B8E">
        <w:rPr>
          <w:sz w:val="22"/>
          <w:szCs w:val="22"/>
        </w:rPr>
        <w:t>contact</w:t>
      </w:r>
      <w:r w:rsidR="00864013">
        <w:rPr>
          <w:sz w:val="22"/>
          <w:szCs w:val="22"/>
        </w:rPr>
        <w:t xml:space="preserve"> with the police during the year ending March 2020. This suggests </w:t>
      </w:r>
      <w:r w:rsidR="006608E8">
        <w:rPr>
          <w:sz w:val="22"/>
          <w:szCs w:val="22"/>
        </w:rPr>
        <w:t xml:space="preserve">that perceptions of trust in the police force across England and Wales is often driven by factors other than personal interactions with the organisation. </w:t>
      </w:r>
      <w:r w:rsidR="007F4C20">
        <w:rPr>
          <w:sz w:val="22"/>
          <w:szCs w:val="22"/>
        </w:rPr>
        <w:t>(Office for National Statistics</w:t>
      </w:r>
      <w:r w:rsidR="00ED4DA5">
        <w:rPr>
          <w:sz w:val="22"/>
          <w:szCs w:val="22"/>
        </w:rPr>
        <w:t xml:space="preserve">, 2022). </w:t>
      </w:r>
      <w:r w:rsidR="00E83804">
        <w:rPr>
          <w:sz w:val="22"/>
          <w:szCs w:val="22"/>
        </w:rPr>
        <w:t>Perceptions involving the police are n</w:t>
      </w:r>
      <w:r w:rsidR="00DF3B8E">
        <w:rPr>
          <w:sz w:val="22"/>
          <w:szCs w:val="22"/>
        </w:rPr>
        <w:t>ot driven by a singular event</w:t>
      </w:r>
      <w:r w:rsidR="00570CE0">
        <w:rPr>
          <w:sz w:val="22"/>
          <w:szCs w:val="22"/>
        </w:rPr>
        <w:t xml:space="preserve"> within the media, but often</w:t>
      </w:r>
      <w:r w:rsidR="009A12F3">
        <w:rPr>
          <w:sz w:val="22"/>
          <w:szCs w:val="22"/>
        </w:rPr>
        <w:t xml:space="preserve"> due to the unexpected timing of high profile or critical incident involving the police. </w:t>
      </w:r>
      <w:r w:rsidR="00AC4E3E">
        <w:rPr>
          <w:sz w:val="22"/>
          <w:szCs w:val="22"/>
        </w:rPr>
        <w:t xml:space="preserve">(Office for National Statistics, 2022). However, a growing body of research does explain and suggest that media coverage of critical incidents involving the police, </w:t>
      </w:r>
      <w:r w:rsidR="005C3841">
        <w:rPr>
          <w:sz w:val="22"/>
          <w:szCs w:val="22"/>
        </w:rPr>
        <w:t>particularly</w:t>
      </w:r>
      <w:r w:rsidR="00AC4E3E">
        <w:rPr>
          <w:sz w:val="22"/>
          <w:szCs w:val="22"/>
        </w:rPr>
        <w:t xml:space="preserve"> the police service’s response to it</w:t>
      </w:r>
      <w:r w:rsidR="00AE7A00">
        <w:rPr>
          <w:sz w:val="22"/>
          <w:szCs w:val="22"/>
        </w:rPr>
        <w:t xml:space="preserve"> can have a negative effect on public attitudes toward the police. </w:t>
      </w:r>
      <w:r w:rsidR="00AF2093" w:rsidRPr="00AF2093">
        <w:rPr>
          <w:sz w:val="22"/>
          <w:szCs w:val="22"/>
        </w:rPr>
        <w:t>(Graziano, L. M. 2018)</w:t>
      </w:r>
      <w:r w:rsidR="005C3841">
        <w:rPr>
          <w:sz w:val="22"/>
          <w:szCs w:val="22"/>
        </w:rPr>
        <w:t xml:space="preserve">. </w:t>
      </w:r>
      <w:r w:rsidR="00453394">
        <w:rPr>
          <w:sz w:val="22"/>
          <w:szCs w:val="22"/>
        </w:rPr>
        <w:t>Several recent critical incidents have been put forwar</w:t>
      </w:r>
      <w:r w:rsidR="007A05BA">
        <w:rPr>
          <w:sz w:val="22"/>
          <w:szCs w:val="22"/>
        </w:rPr>
        <w:t>d as contributing factors</w:t>
      </w:r>
      <w:r w:rsidR="00D9083E">
        <w:rPr>
          <w:sz w:val="22"/>
          <w:szCs w:val="22"/>
        </w:rPr>
        <w:t xml:space="preserve"> pointing toward a decline in public trust within police forces in England and Wales</w:t>
      </w:r>
      <w:r w:rsidR="00BE3623">
        <w:rPr>
          <w:sz w:val="22"/>
          <w:szCs w:val="22"/>
        </w:rPr>
        <w:t xml:space="preserve">, these include: reports of multiple failures within West Midlands police with regards to the murders of both </w:t>
      </w:r>
      <w:proofErr w:type="spellStart"/>
      <w:r w:rsidR="00BE3623">
        <w:rPr>
          <w:sz w:val="22"/>
          <w:szCs w:val="22"/>
        </w:rPr>
        <w:t>Raneem</w:t>
      </w:r>
      <w:proofErr w:type="spellEnd"/>
      <w:r w:rsidR="00BE3623">
        <w:rPr>
          <w:sz w:val="22"/>
          <w:szCs w:val="22"/>
        </w:rPr>
        <w:t xml:space="preserve"> </w:t>
      </w:r>
      <w:proofErr w:type="spellStart"/>
      <w:r w:rsidR="00BE3623">
        <w:rPr>
          <w:sz w:val="22"/>
          <w:szCs w:val="22"/>
        </w:rPr>
        <w:t>Oudeh</w:t>
      </w:r>
      <w:proofErr w:type="spellEnd"/>
      <w:r w:rsidR="00BE3623">
        <w:rPr>
          <w:sz w:val="22"/>
          <w:szCs w:val="22"/>
        </w:rPr>
        <w:t xml:space="preserve"> and </w:t>
      </w:r>
      <w:proofErr w:type="spellStart"/>
      <w:r w:rsidR="00BE3623">
        <w:rPr>
          <w:sz w:val="22"/>
          <w:szCs w:val="22"/>
        </w:rPr>
        <w:t>Khaola</w:t>
      </w:r>
      <w:proofErr w:type="spellEnd"/>
      <w:r w:rsidR="00BE3623">
        <w:rPr>
          <w:sz w:val="22"/>
          <w:szCs w:val="22"/>
        </w:rPr>
        <w:t xml:space="preserve"> Saleem in Solihull in 2018. </w:t>
      </w:r>
      <w:r w:rsidR="0049103A">
        <w:rPr>
          <w:sz w:val="22"/>
          <w:szCs w:val="22"/>
        </w:rPr>
        <w:t xml:space="preserve">(BBC news, 2022). In the United States, the killing </w:t>
      </w:r>
      <w:r w:rsidR="00BB5F03">
        <w:rPr>
          <w:sz w:val="22"/>
          <w:szCs w:val="22"/>
        </w:rPr>
        <w:t>of George Floyd in Minneapolis</w:t>
      </w:r>
      <w:r w:rsidR="00AD7471">
        <w:rPr>
          <w:sz w:val="22"/>
          <w:szCs w:val="22"/>
        </w:rPr>
        <w:t xml:space="preserve"> </w:t>
      </w:r>
      <w:r w:rsidR="006B7E12">
        <w:rPr>
          <w:sz w:val="22"/>
          <w:szCs w:val="22"/>
        </w:rPr>
        <w:t xml:space="preserve">which resulted in widespread conversation and debate of the existing racial </w:t>
      </w:r>
      <w:r w:rsidR="006B7E12">
        <w:rPr>
          <w:sz w:val="22"/>
          <w:szCs w:val="22"/>
        </w:rPr>
        <w:lastRenderedPageBreak/>
        <w:t xml:space="preserve">stigmas and inequality in the application of police use of their powers in the United Kingdom. </w:t>
      </w:r>
      <w:r w:rsidR="004667BD" w:rsidRPr="004667BD">
        <w:rPr>
          <w:sz w:val="22"/>
          <w:szCs w:val="22"/>
        </w:rPr>
        <w:t>(</w:t>
      </w:r>
      <w:proofErr w:type="spellStart"/>
      <w:r w:rsidR="004667BD" w:rsidRPr="004667BD">
        <w:rPr>
          <w:sz w:val="22"/>
          <w:szCs w:val="22"/>
        </w:rPr>
        <w:t>Nivette</w:t>
      </w:r>
      <w:proofErr w:type="spellEnd"/>
      <w:r w:rsidR="004667BD" w:rsidRPr="004667BD">
        <w:rPr>
          <w:sz w:val="22"/>
          <w:szCs w:val="22"/>
        </w:rPr>
        <w:t>, A. et al, 2023).</w:t>
      </w:r>
      <w:r w:rsidR="004667BD">
        <w:rPr>
          <w:sz w:val="22"/>
          <w:szCs w:val="22"/>
        </w:rPr>
        <w:t xml:space="preserve"> This statement is further stated </w:t>
      </w:r>
      <w:r w:rsidR="00312210">
        <w:rPr>
          <w:sz w:val="22"/>
          <w:szCs w:val="22"/>
        </w:rPr>
        <w:t>by</w:t>
      </w:r>
      <w:r w:rsidR="004667BD">
        <w:rPr>
          <w:sz w:val="22"/>
          <w:szCs w:val="22"/>
        </w:rPr>
        <w:t xml:space="preserve"> </w:t>
      </w:r>
      <w:r w:rsidR="00312210" w:rsidRPr="00312210">
        <w:rPr>
          <w:sz w:val="22"/>
          <w:szCs w:val="22"/>
        </w:rPr>
        <w:t>Joseph–Salisbury, R. et al. 2020.</w:t>
      </w:r>
      <w:r w:rsidR="00312210">
        <w:rPr>
          <w:sz w:val="22"/>
          <w:szCs w:val="22"/>
        </w:rPr>
        <w:t xml:space="preserve"> </w:t>
      </w:r>
      <w:r w:rsidR="00A91936">
        <w:rPr>
          <w:sz w:val="22"/>
          <w:szCs w:val="22"/>
        </w:rPr>
        <w:t xml:space="preserve">Another </w:t>
      </w:r>
      <w:r w:rsidR="00D00D08">
        <w:rPr>
          <w:sz w:val="22"/>
          <w:szCs w:val="22"/>
        </w:rPr>
        <w:t>high-profile</w:t>
      </w:r>
      <w:r w:rsidR="00A91936">
        <w:rPr>
          <w:sz w:val="22"/>
          <w:szCs w:val="22"/>
        </w:rPr>
        <w:t xml:space="preserve"> critical incident is within the United Kingdom, it is the kidnap, </w:t>
      </w:r>
      <w:proofErr w:type="gramStart"/>
      <w:r w:rsidR="00A91936">
        <w:rPr>
          <w:sz w:val="22"/>
          <w:szCs w:val="22"/>
        </w:rPr>
        <w:t>rape</w:t>
      </w:r>
      <w:proofErr w:type="gramEnd"/>
      <w:r w:rsidR="00A91936">
        <w:rPr>
          <w:sz w:val="22"/>
          <w:szCs w:val="22"/>
        </w:rPr>
        <w:t xml:space="preserve"> and murder</w:t>
      </w:r>
      <w:r w:rsidR="00FA0997">
        <w:rPr>
          <w:sz w:val="22"/>
          <w:szCs w:val="22"/>
        </w:rPr>
        <w:t xml:space="preserve"> of Sarah Everard by Police </w:t>
      </w:r>
      <w:r w:rsidR="00D00D08">
        <w:rPr>
          <w:sz w:val="22"/>
          <w:szCs w:val="22"/>
        </w:rPr>
        <w:t>Officer</w:t>
      </w:r>
      <w:r w:rsidR="00FA0997">
        <w:rPr>
          <w:sz w:val="22"/>
          <w:szCs w:val="22"/>
        </w:rPr>
        <w:t xml:space="preserve"> Wayne </w:t>
      </w:r>
      <w:proofErr w:type="spellStart"/>
      <w:r w:rsidR="00FA0997">
        <w:rPr>
          <w:sz w:val="22"/>
          <w:szCs w:val="22"/>
        </w:rPr>
        <w:t>Couzens</w:t>
      </w:r>
      <w:proofErr w:type="spellEnd"/>
      <w:r w:rsidR="00FA0997">
        <w:rPr>
          <w:sz w:val="22"/>
          <w:szCs w:val="22"/>
        </w:rPr>
        <w:t xml:space="preserve"> of the Metropolitan police service</w:t>
      </w:r>
      <w:r w:rsidR="001E7C50">
        <w:rPr>
          <w:sz w:val="22"/>
          <w:szCs w:val="22"/>
        </w:rPr>
        <w:t xml:space="preserve"> in 2021</w:t>
      </w:r>
      <w:r w:rsidR="00D00D08">
        <w:rPr>
          <w:sz w:val="22"/>
          <w:szCs w:val="22"/>
        </w:rPr>
        <w:t xml:space="preserve">. (Home office, 2021). </w:t>
      </w:r>
      <w:r w:rsidR="00F04E8B">
        <w:rPr>
          <w:sz w:val="22"/>
          <w:szCs w:val="22"/>
        </w:rPr>
        <w:t xml:space="preserve">Also stated is the widespread </w:t>
      </w:r>
      <w:proofErr w:type="spellStart"/>
      <w:r w:rsidR="00F04E8B">
        <w:rPr>
          <w:sz w:val="22"/>
          <w:szCs w:val="22"/>
        </w:rPr>
        <w:t>Whatsapp</w:t>
      </w:r>
      <w:proofErr w:type="spellEnd"/>
      <w:r w:rsidR="00F04E8B">
        <w:rPr>
          <w:sz w:val="22"/>
          <w:szCs w:val="22"/>
        </w:rPr>
        <w:t xml:space="preserve"> messages </w:t>
      </w:r>
      <w:r w:rsidR="008A5897">
        <w:rPr>
          <w:sz w:val="22"/>
          <w:szCs w:val="22"/>
        </w:rPr>
        <w:t xml:space="preserve">by police officers who were linked to Wayne </w:t>
      </w:r>
      <w:proofErr w:type="spellStart"/>
      <w:r w:rsidR="008A5897">
        <w:rPr>
          <w:sz w:val="22"/>
          <w:szCs w:val="22"/>
        </w:rPr>
        <w:t>Couzens</w:t>
      </w:r>
      <w:proofErr w:type="spellEnd"/>
      <w:r w:rsidR="008A5897">
        <w:rPr>
          <w:sz w:val="22"/>
          <w:szCs w:val="22"/>
        </w:rPr>
        <w:t xml:space="preserve">. </w:t>
      </w:r>
      <w:r w:rsidR="006828A5">
        <w:rPr>
          <w:sz w:val="22"/>
          <w:szCs w:val="22"/>
        </w:rPr>
        <w:t>(IOPC, 2023). Another critical incident for the police force</w:t>
      </w:r>
      <w:r w:rsidR="008F6719">
        <w:rPr>
          <w:sz w:val="22"/>
          <w:szCs w:val="22"/>
        </w:rPr>
        <w:t xml:space="preserve"> was the huge media reports when another Metropolitan police officer, David Carrick was sentenced in 2023 for the multiple rapes of multiple different victims. (</w:t>
      </w:r>
      <w:r w:rsidR="004D2AE6">
        <w:rPr>
          <w:sz w:val="22"/>
          <w:szCs w:val="22"/>
        </w:rPr>
        <w:t>CPS news c</w:t>
      </w:r>
      <w:r w:rsidR="00004B20">
        <w:rPr>
          <w:sz w:val="22"/>
          <w:szCs w:val="22"/>
        </w:rPr>
        <w:t xml:space="preserve">entre, 2023). </w:t>
      </w:r>
    </w:p>
    <w:p w14:paraId="7FFCBD28" w14:textId="77777777" w:rsidR="00E27588" w:rsidRDefault="00E27588" w:rsidP="00B320D5">
      <w:pPr>
        <w:pStyle w:val="Default"/>
        <w:jc w:val="both"/>
        <w:rPr>
          <w:sz w:val="22"/>
          <w:szCs w:val="22"/>
        </w:rPr>
      </w:pPr>
    </w:p>
    <w:p w14:paraId="0CFF0664" w14:textId="1A28D1E9" w:rsidR="00AC6EFA" w:rsidRPr="00635A06" w:rsidRDefault="00E27588" w:rsidP="00B320D5">
      <w:pPr>
        <w:shd w:val="clear" w:color="auto" w:fill="FFFFFF"/>
        <w:spacing w:after="0" w:line="240" w:lineRule="auto"/>
        <w:jc w:val="both"/>
        <w:rPr>
          <w:rFonts w:ascii="Arial" w:eastAsia="Times New Roman" w:hAnsi="Arial" w:cs="Arial"/>
          <w:color w:val="393939"/>
          <w:lang w:eastAsia="en-GB"/>
        </w:rPr>
      </w:pPr>
      <w:r>
        <w:t xml:space="preserve">In England and </w:t>
      </w:r>
      <w:r w:rsidR="008A0182">
        <w:t>Wales,</w:t>
      </w:r>
      <w:r>
        <w:t xml:space="preserve"> </w:t>
      </w:r>
      <w:r w:rsidR="00975856">
        <w:t xml:space="preserve">as a way of improving trust and confidence in the police </w:t>
      </w:r>
      <w:r w:rsidR="000A0CA3">
        <w:t xml:space="preserve">the various police forces have </w:t>
      </w:r>
      <w:r w:rsidR="00F83A59">
        <w:t xml:space="preserve">elected a police and crime commissioner who have a dual role relating </w:t>
      </w:r>
      <w:r w:rsidR="00AE6485">
        <w:t xml:space="preserve">to policing by consent and an accountability role in which they monitor and </w:t>
      </w:r>
      <w:r w:rsidR="00E60BEC">
        <w:t>scrutiny</w:t>
      </w:r>
      <w:r w:rsidR="00AE6485">
        <w:t xml:space="preserve"> the </w:t>
      </w:r>
      <w:r w:rsidR="00E60BEC">
        <w:t xml:space="preserve">police organisations performance. </w:t>
      </w:r>
      <w:r w:rsidR="00683AB7">
        <w:t xml:space="preserve">As part of this the Office for National Statistics published a crime survey for England and Wales and </w:t>
      </w:r>
      <w:r w:rsidR="00982C0C">
        <w:t>Wales</w:t>
      </w:r>
      <w:r w:rsidR="00CF39D7">
        <w:t>. The survey w</w:t>
      </w:r>
      <w:r w:rsidR="006B28E0">
        <w:t>as an open survey to all residents, most people who responded stated they thought their police force were doing a good or excellent</w:t>
      </w:r>
      <w:r w:rsidR="00B031F8">
        <w:t xml:space="preserve"> job. However, the number of people who responded in this way declined from </w:t>
      </w:r>
      <w:r w:rsidR="002C47C3">
        <w:t>sixty-three</w:t>
      </w:r>
      <w:r w:rsidR="00B031F8">
        <w:t xml:space="preserve"> </w:t>
      </w:r>
      <w:r w:rsidR="002C47C3">
        <w:t>percent</w:t>
      </w:r>
      <w:r w:rsidR="00B031F8">
        <w:t xml:space="preserve"> in 2015/2016 to fifty six percent in 2019/2020</w:t>
      </w:r>
      <w:r w:rsidR="0031244E">
        <w:t xml:space="preserve">. </w:t>
      </w:r>
      <w:r w:rsidR="002C47C3">
        <w:t xml:space="preserve">Further surveys conducted </w:t>
      </w:r>
      <w:r w:rsidR="007863CC">
        <w:t>in April 2023 by the office for national statistics</w:t>
      </w:r>
      <w:r w:rsidR="006C1B09">
        <w:t xml:space="preserve"> showed that the proportion of people who did not have much confi</w:t>
      </w:r>
      <w:r w:rsidR="00600D61">
        <w:t xml:space="preserve">dence or no confidence in the police to deal with crime in their area and nationally to major incidents averaged </w:t>
      </w:r>
      <w:r w:rsidR="006C04E0">
        <w:t xml:space="preserve">at fifty three percent. </w:t>
      </w:r>
      <w:r w:rsidR="00B50958">
        <w:t>(Office for national sta</w:t>
      </w:r>
      <w:r w:rsidR="00760548">
        <w:t>tistics, 2023</w:t>
      </w:r>
      <w:r w:rsidR="00760548" w:rsidRPr="00AC6EFA">
        <w:rPr>
          <w:rFonts w:ascii="Arial" w:hAnsi="Arial" w:cs="Arial"/>
        </w:rPr>
        <w:t xml:space="preserve">). </w:t>
      </w:r>
      <w:r w:rsidR="00AC6EFA" w:rsidRPr="00635A06">
        <w:rPr>
          <w:rFonts w:ascii="Arial" w:eastAsia="Times New Roman" w:hAnsi="Arial" w:cs="Arial"/>
          <w:color w:val="393939"/>
          <w:lang w:eastAsia="en-GB"/>
        </w:rPr>
        <w:t>A recent</w:t>
      </w:r>
      <w:r w:rsidR="00AC6EFA">
        <w:rPr>
          <w:rFonts w:ascii="Arial" w:eastAsia="Times New Roman" w:hAnsi="Arial" w:cs="Arial"/>
          <w:color w:val="393939"/>
          <w:lang w:eastAsia="en-GB"/>
        </w:rPr>
        <w:t xml:space="preserve"> poll conducted by YouGov which was commissioned by the BBC</w:t>
      </w:r>
      <w:r w:rsidR="00AC6EFA" w:rsidRPr="00635A06">
        <w:rPr>
          <w:rFonts w:ascii="Arial" w:eastAsia="Times New Roman" w:hAnsi="Arial" w:cs="Arial"/>
          <w:color w:val="393939"/>
          <w:lang w:eastAsia="en-GB"/>
        </w:rPr>
        <w:t xml:space="preserve"> found that 42% of those surveyed somewhat or strongly distrusted the MPS as an organisation. The poll was conducted between 27 and 31 March 2023 and the sample size was 1051 adults in London. Of those surveyed, 43% said they thought more negatively of the MPS than they did at the same point in the previous year. The survey also found that 73% of respondents said they believed the force treated some people differently to others.</w:t>
      </w:r>
      <w:r w:rsidR="00AC6EFA">
        <w:rPr>
          <w:rFonts w:ascii="Arial" w:eastAsia="Times New Roman" w:hAnsi="Arial" w:cs="Arial"/>
          <w:color w:val="393939"/>
          <w:lang w:eastAsia="en-GB"/>
        </w:rPr>
        <w:t xml:space="preserve"> (YouGov, 2023). </w:t>
      </w:r>
    </w:p>
    <w:p w14:paraId="5766EF87" w14:textId="2EA4DBDB" w:rsidR="00E27588" w:rsidRDefault="00E27588" w:rsidP="00B320D5">
      <w:pPr>
        <w:pStyle w:val="Default"/>
        <w:jc w:val="both"/>
        <w:rPr>
          <w:sz w:val="22"/>
          <w:szCs w:val="22"/>
        </w:rPr>
      </w:pPr>
    </w:p>
    <w:p w14:paraId="267F721F" w14:textId="5F2ADA2E" w:rsidR="006B72BA" w:rsidRDefault="00546559" w:rsidP="00B320D5">
      <w:pPr>
        <w:pStyle w:val="Default"/>
        <w:jc w:val="both"/>
        <w:rPr>
          <w:sz w:val="22"/>
          <w:szCs w:val="22"/>
        </w:rPr>
      </w:pPr>
      <w:r>
        <w:rPr>
          <w:sz w:val="22"/>
          <w:szCs w:val="22"/>
        </w:rPr>
        <w:t>There have been further failings reported in the media by the Metropolitan Police service abilit</w:t>
      </w:r>
      <w:r w:rsidR="00F85DFE">
        <w:rPr>
          <w:sz w:val="22"/>
          <w:szCs w:val="22"/>
        </w:rPr>
        <w:t xml:space="preserve">y to deal with critical incidents and reports state serious failings, misconduct and illegal behaviour by police officers </w:t>
      </w:r>
      <w:r w:rsidR="00587995">
        <w:rPr>
          <w:sz w:val="22"/>
          <w:szCs w:val="22"/>
        </w:rPr>
        <w:t xml:space="preserve">has hugely dented public confidence in the police across England and Wales. </w:t>
      </w:r>
      <w:r w:rsidR="007C7DD4">
        <w:rPr>
          <w:sz w:val="22"/>
          <w:szCs w:val="22"/>
        </w:rPr>
        <w:t>The report highlights on the sixth June 2020</w:t>
      </w:r>
      <w:r w:rsidR="003925DA">
        <w:rPr>
          <w:sz w:val="22"/>
          <w:szCs w:val="22"/>
        </w:rPr>
        <w:t xml:space="preserve">, sisters </w:t>
      </w:r>
      <w:proofErr w:type="spellStart"/>
      <w:r w:rsidR="003925DA">
        <w:rPr>
          <w:sz w:val="22"/>
          <w:szCs w:val="22"/>
        </w:rPr>
        <w:t>Bibaa</w:t>
      </w:r>
      <w:proofErr w:type="spellEnd"/>
      <w:r w:rsidR="003925DA">
        <w:rPr>
          <w:sz w:val="22"/>
          <w:szCs w:val="22"/>
        </w:rPr>
        <w:t xml:space="preserve"> Henry and Nicole Smallman were found stabbed to death </w:t>
      </w:r>
      <w:r w:rsidR="00F1310D">
        <w:rPr>
          <w:sz w:val="22"/>
          <w:szCs w:val="22"/>
        </w:rPr>
        <w:t>in Brent. They had been reported as missing earlier in the day b</w:t>
      </w:r>
      <w:r w:rsidR="001D1612">
        <w:rPr>
          <w:sz w:val="22"/>
          <w:szCs w:val="22"/>
        </w:rPr>
        <w:t>y family, however the call log was closed by police. The IOPC review, 2021</w:t>
      </w:r>
      <w:r w:rsidR="0037070B">
        <w:rPr>
          <w:sz w:val="22"/>
          <w:szCs w:val="22"/>
        </w:rPr>
        <w:t xml:space="preserve"> stated the failure from police to investigate the missing person contributed to their deaths</w:t>
      </w:r>
      <w:r w:rsidR="005A669B">
        <w:rPr>
          <w:sz w:val="22"/>
          <w:szCs w:val="22"/>
        </w:rPr>
        <w:t xml:space="preserve"> and lacked the required information to which is required by police officers to put into the missing person report. </w:t>
      </w:r>
      <w:r w:rsidR="00A178C0">
        <w:rPr>
          <w:sz w:val="22"/>
          <w:szCs w:val="22"/>
        </w:rPr>
        <w:t xml:space="preserve">In October 2021 Baroness </w:t>
      </w:r>
      <w:r w:rsidR="00D25269">
        <w:rPr>
          <w:sz w:val="22"/>
          <w:szCs w:val="22"/>
        </w:rPr>
        <w:t xml:space="preserve">Casey was appointed by the Metropolitan police service to carry out and independent review of the police service. This review was raised following the </w:t>
      </w:r>
      <w:r w:rsidR="009A57B8">
        <w:rPr>
          <w:sz w:val="22"/>
          <w:szCs w:val="22"/>
        </w:rPr>
        <w:t>high-profile</w:t>
      </w:r>
      <w:r w:rsidR="00D25269">
        <w:rPr>
          <w:sz w:val="22"/>
          <w:szCs w:val="22"/>
        </w:rPr>
        <w:t xml:space="preserve"> critical inciden</w:t>
      </w:r>
      <w:r w:rsidR="00FE40D3">
        <w:rPr>
          <w:sz w:val="22"/>
          <w:szCs w:val="22"/>
        </w:rPr>
        <w:t>t</w:t>
      </w:r>
      <w:r w:rsidR="00CB0D73">
        <w:rPr>
          <w:sz w:val="22"/>
          <w:szCs w:val="22"/>
        </w:rPr>
        <w:t>, the murder of Sarah Everard</w:t>
      </w:r>
      <w:r w:rsidR="009A57B8">
        <w:rPr>
          <w:sz w:val="22"/>
          <w:szCs w:val="22"/>
        </w:rPr>
        <w:t xml:space="preserve">. The report was published in March 2023 and was found to have institutional failings across the organisation which would require a total reform of the force. </w:t>
      </w:r>
      <w:r w:rsidR="00BF2BF4">
        <w:rPr>
          <w:sz w:val="22"/>
          <w:szCs w:val="22"/>
        </w:rPr>
        <w:t xml:space="preserve">The report stated the metropolitan police service was failing women and children and there was </w:t>
      </w:r>
      <w:r w:rsidR="00107079">
        <w:rPr>
          <w:sz w:val="22"/>
          <w:szCs w:val="22"/>
        </w:rPr>
        <w:t>racism,</w:t>
      </w:r>
      <w:r w:rsidR="00410EAB">
        <w:rPr>
          <w:sz w:val="22"/>
          <w:szCs w:val="22"/>
        </w:rPr>
        <w:t xml:space="preserve"> sexism and homophobic behaviours involving police officers within the force</w:t>
      </w:r>
      <w:r w:rsidR="00D02E92">
        <w:rPr>
          <w:sz w:val="22"/>
          <w:szCs w:val="22"/>
        </w:rPr>
        <w:t xml:space="preserve">. Baroness Casey concluded the report by stating </w:t>
      </w:r>
      <w:r w:rsidR="00B873AC">
        <w:rPr>
          <w:sz w:val="22"/>
          <w:szCs w:val="22"/>
        </w:rPr>
        <w:t>all</w:t>
      </w:r>
      <w:r w:rsidR="00D02E92">
        <w:rPr>
          <w:sz w:val="22"/>
          <w:szCs w:val="22"/>
        </w:rPr>
        <w:t xml:space="preserve"> the above factors contributed with the fact </w:t>
      </w:r>
      <w:r w:rsidR="00D45BDE">
        <w:rPr>
          <w:sz w:val="22"/>
          <w:szCs w:val="22"/>
        </w:rPr>
        <w:t xml:space="preserve">its inability to deal with critical </w:t>
      </w:r>
      <w:r w:rsidR="00E72AF5">
        <w:rPr>
          <w:sz w:val="22"/>
          <w:szCs w:val="22"/>
        </w:rPr>
        <w:t>incidents</w:t>
      </w:r>
      <w:r w:rsidR="00D45BDE">
        <w:rPr>
          <w:sz w:val="22"/>
          <w:szCs w:val="22"/>
        </w:rPr>
        <w:t xml:space="preserve"> meant that policing by consent was broken</w:t>
      </w:r>
      <w:r w:rsidR="00D45BDE" w:rsidRPr="00E72AF5">
        <w:rPr>
          <w:sz w:val="22"/>
          <w:szCs w:val="22"/>
        </w:rPr>
        <w:t xml:space="preserve">. </w:t>
      </w:r>
      <w:r w:rsidR="00E72AF5" w:rsidRPr="00E72AF5">
        <w:rPr>
          <w:sz w:val="22"/>
          <w:szCs w:val="22"/>
        </w:rPr>
        <w:t xml:space="preserve">(HM Inspectorate of Constabulary and Fire &amp; Rescue Services, 2021) </w:t>
      </w:r>
      <w:r w:rsidR="00E72AF5">
        <w:rPr>
          <w:sz w:val="22"/>
          <w:szCs w:val="22"/>
        </w:rPr>
        <w:t xml:space="preserve">and the report can be found within </w:t>
      </w:r>
      <w:r w:rsidR="00107079">
        <w:rPr>
          <w:sz w:val="22"/>
          <w:szCs w:val="22"/>
        </w:rPr>
        <w:t>t</w:t>
      </w:r>
      <w:r w:rsidR="00E72AF5">
        <w:rPr>
          <w:sz w:val="22"/>
          <w:szCs w:val="22"/>
        </w:rPr>
        <w:t>he archive data at the Home Office, 2023.</w:t>
      </w:r>
    </w:p>
    <w:p w14:paraId="524AE3F6" w14:textId="77777777" w:rsidR="00F30981" w:rsidRDefault="00F30981" w:rsidP="00B320D5">
      <w:pPr>
        <w:pStyle w:val="Default"/>
        <w:jc w:val="both"/>
        <w:rPr>
          <w:sz w:val="22"/>
          <w:szCs w:val="22"/>
        </w:rPr>
      </w:pPr>
    </w:p>
    <w:p w14:paraId="1F80C6A3" w14:textId="3F20DFA2" w:rsidR="00F30981" w:rsidRDefault="00F30981" w:rsidP="00B320D5">
      <w:pPr>
        <w:pStyle w:val="Default"/>
        <w:jc w:val="both"/>
        <w:rPr>
          <w:sz w:val="22"/>
          <w:szCs w:val="22"/>
        </w:rPr>
      </w:pPr>
      <w:r>
        <w:rPr>
          <w:sz w:val="22"/>
          <w:szCs w:val="22"/>
        </w:rPr>
        <w:t>His majesty’s inspectorate of Constabulary and fire and rescue services were commissioned to a</w:t>
      </w:r>
      <w:r w:rsidR="00CD1BF3">
        <w:rPr>
          <w:sz w:val="22"/>
          <w:szCs w:val="22"/>
        </w:rPr>
        <w:t xml:space="preserve">ssess </w:t>
      </w:r>
      <w:r w:rsidR="00107079">
        <w:rPr>
          <w:sz w:val="22"/>
          <w:szCs w:val="22"/>
        </w:rPr>
        <w:t>several</w:t>
      </w:r>
      <w:r w:rsidR="00CD1BF3">
        <w:rPr>
          <w:sz w:val="22"/>
          <w:szCs w:val="22"/>
        </w:rPr>
        <w:t xml:space="preserve"> different aspects, </w:t>
      </w:r>
      <w:r w:rsidR="00107079">
        <w:rPr>
          <w:sz w:val="22"/>
          <w:szCs w:val="22"/>
        </w:rPr>
        <w:t>one of them being the</w:t>
      </w:r>
      <w:r w:rsidR="00597CA4">
        <w:rPr>
          <w:sz w:val="22"/>
          <w:szCs w:val="22"/>
        </w:rPr>
        <w:t xml:space="preserve"> lack of public trust in </w:t>
      </w:r>
      <w:r w:rsidR="00B873AC">
        <w:rPr>
          <w:sz w:val="22"/>
          <w:szCs w:val="22"/>
        </w:rPr>
        <w:t>policing</w:t>
      </w:r>
      <w:r w:rsidR="00597CA4">
        <w:rPr>
          <w:sz w:val="22"/>
          <w:szCs w:val="22"/>
        </w:rPr>
        <w:t xml:space="preserve">. The </w:t>
      </w:r>
      <w:r w:rsidR="00744EC9">
        <w:rPr>
          <w:sz w:val="22"/>
          <w:szCs w:val="22"/>
        </w:rPr>
        <w:t xml:space="preserve">HMICFRS published its results in November 2022 and made </w:t>
      </w:r>
      <w:r w:rsidR="00B873AC">
        <w:rPr>
          <w:sz w:val="22"/>
          <w:szCs w:val="22"/>
        </w:rPr>
        <w:t>forty-three</w:t>
      </w:r>
      <w:r w:rsidR="00744EC9">
        <w:rPr>
          <w:sz w:val="22"/>
          <w:szCs w:val="22"/>
        </w:rPr>
        <w:t xml:space="preserve"> recommendations including more thorough </w:t>
      </w:r>
      <w:r w:rsidR="00B873AC">
        <w:rPr>
          <w:sz w:val="22"/>
          <w:szCs w:val="22"/>
        </w:rPr>
        <w:t>pre-employment checks, improving the recording of rationale for key decisions, and extending the scope of law with regards to police complaint and misconduct procedures. (</w:t>
      </w:r>
      <w:r w:rsidR="00B873AC" w:rsidRPr="00E72AF5">
        <w:rPr>
          <w:sz w:val="22"/>
          <w:szCs w:val="22"/>
        </w:rPr>
        <w:t>HM Inspectorate of Constabulary and Fire &amp; Rescue Services, 2021)</w:t>
      </w:r>
      <w:r w:rsidR="00B873AC">
        <w:rPr>
          <w:sz w:val="22"/>
          <w:szCs w:val="22"/>
        </w:rPr>
        <w:t xml:space="preserve">. </w:t>
      </w:r>
      <w:r w:rsidR="00B00298">
        <w:rPr>
          <w:sz w:val="22"/>
          <w:szCs w:val="22"/>
        </w:rPr>
        <w:t xml:space="preserve">Following the appointment of Sir Mark Rowley as the commissioner of the metropolitan police service in </w:t>
      </w:r>
      <w:r w:rsidR="00B00298">
        <w:rPr>
          <w:sz w:val="22"/>
          <w:szCs w:val="22"/>
        </w:rPr>
        <w:lastRenderedPageBreak/>
        <w:t xml:space="preserve">July 2022, he stated his </w:t>
      </w:r>
      <w:r w:rsidR="00347A6E">
        <w:rPr>
          <w:sz w:val="22"/>
          <w:szCs w:val="22"/>
        </w:rPr>
        <w:t>ambition</w:t>
      </w:r>
      <w:r w:rsidR="00B00298">
        <w:rPr>
          <w:sz w:val="22"/>
          <w:szCs w:val="22"/>
        </w:rPr>
        <w:t xml:space="preserve"> was to </w:t>
      </w:r>
      <w:r w:rsidR="007E64F1">
        <w:rPr>
          <w:sz w:val="22"/>
          <w:szCs w:val="22"/>
        </w:rPr>
        <w:t xml:space="preserve">again renew policing by consent. Sir Mark Rowley said the approach would be </w:t>
      </w:r>
      <w:r w:rsidR="00347A6E">
        <w:rPr>
          <w:sz w:val="22"/>
          <w:szCs w:val="22"/>
        </w:rPr>
        <w:t>centred</w:t>
      </w:r>
      <w:r w:rsidR="007E64F1">
        <w:rPr>
          <w:sz w:val="22"/>
          <w:szCs w:val="22"/>
        </w:rPr>
        <w:t xml:space="preserve"> around nei</w:t>
      </w:r>
      <w:r w:rsidR="00D00D2A">
        <w:rPr>
          <w:sz w:val="22"/>
          <w:szCs w:val="22"/>
        </w:rPr>
        <w:t xml:space="preserve">ghbourhood policing and its ability to deal with </w:t>
      </w:r>
      <w:r w:rsidR="00347A6E">
        <w:rPr>
          <w:sz w:val="22"/>
          <w:szCs w:val="22"/>
        </w:rPr>
        <w:t xml:space="preserve">critical incidents. In January 2023, the metropolitan police service launched its plan to </w:t>
      </w:r>
      <w:r w:rsidR="003368AD">
        <w:rPr>
          <w:sz w:val="22"/>
          <w:szCs w:val="22"/>
        </w:rPr>
        <w:t xml:space="preserve">achieve this titled the turnaround plan. The plan set out to deliver on more trust from the public, less </w:t>
      </w:r>
      <w:proofErr w:type="gramStart"/>
      <w:r w:rsidR="003368AD">
        <w:rPr>
          <w:sz w:val="22"/>
          <w:szCs w:val="22"/>
        </w:rPr>
        <w:t>crime</w:t>
      </w:r>
      <w:proofErr w:type="gramEnd"/>
      <w:r w:rsidR="003368AD">
        <w:rPr>
          <w:sz w:val="22"/>
          <w:szCs w:val="22"/>
        </w:rPr>
        <w:t xml:space="preserve"> and high standards. The plan focused on nine priority areas</w:t>
      </w:r>
      <w:r w:rsidR="00696F4D">
        <w:rPr>
          <w:sz w:val="22"/>
          <w:szCs w:val="22"/>
        </w:rPr>
        <w:t>, these included:</w:t>
      </w:r>
      <w:r w:rsidR="000913B8">
        <w:rPr>
          <w:sz w:val="22"/>
          <w:szCs w:val="22"/>
        </w:rPr>
        <w:t xml:space="preserve"> having the strongest ever neighbourhood policing, to strengthen its work in public protection and safeguarding, to provide a compassionate and effective service to victims and other members of the public, taking a proactive approach to reduce</w:t>
      </w:r>
      <w:r w:rsidR="006923B5">
        <w:rPr>
          <w:sz w:val="22"/>
          <w:szCs w:val="22"/>
        </w:rPr>
        <w:t xml:space="preserve"> crime, raising standards and show communities it cares and respects them to set up the frontline to succ</w:t>
      </w:r>
      <w:r w:rsidR="00512954">
        <w:rPr>
          <w:sz w:val="22"/>
          <w:szCs w:val="22"/>
        </w:rPr>
        <w:t xml:space="preserve">eed and build a strong foundation to stabilise, and underpin its delivery, to invest in its people by </w:t>
      </w:r>
      <w:r w:rsidR="00C30021">
        <w:rPr>
          <w:sz w:val="22"/>
          <w:szCs w:val="22"/>
        </w:rPr>
        <w:t>modernising its learning offer, including developing a strong cohort of leaders, to be relentlessly data driven and evidence based in delivery</w:t>
      </w:r>
      <w:r w:rsidR="005E18A1">
        <w:rPr>
          <w:sz w:val="22"/>
          <w:szCs w:val="22"/>
        </w:rPr>
        <w:t>, to innovate how it works, make the most efficient use of resources and reinvest where it matters most.</w:t>
      </w:r>
      <w:r w:rsidR="00901F57">
        <w:rPr>
          <w:sz w:val="22"/>
          <w:szCs w:val="22"/>
        </w:rPr>
        <w:t xml:space="preserve"> (Metropolitan police service, 2023)</w:t>
      </w:r>
      <w:r w:rsidR="00DF5282">
        <w:rPr>
          <w:sz w:val="22"/>
          <w:szCs w:val="22"/>
        </w:rPr>
        <w:t xml:space="preserve">. </w:t>
      </w:r>
    </w:p>
    <w:p w14:paraId="2A71EBEE" w14:textId="77777777" w:rsidR="00CF6219" w:rsidRDefault="00CF6219" w:rsidP="00B320D5">
      <w:pPr>
        <w:pStyle w:val="Default"/>
        <w:jc w:val="both"/>
        <w:rPr>
          <w:sz w:val="22"/>
          <w:szCs w:val="22"/>
        </w:rPr>
      </w:pPr>
    </w:p>
    <w:p w14:paraId="6D026F0A" w14:textId="2804DE92" w:rsidR="00CF6219" w:rsidRDefault="00CF6219" w:rsidP="00B320D5">
      <w:pPr>
        <w:pStyle w:val="Default"/>
        <w:jc w:val="both"/>
        <w:rPr>
          <w:sz w:val="22"/>
          <w:szCs w:val="22"/>
        </w:rPr>
      </w:pPr>
      <w:r>
        <w:rPr>
          <w:sz w:val="22"/>
          <w:szCs w:val="22"/>
        </w:rPr>
        <w:t xml:space="preserve">In summary, </w:t>
      </w:r>
      <w:r w:rsidR="00787543">
        <w:rPr>
          <w:sz w:val="22"/>
          <w:szCs w:val="22"/>
        </w:rPr>
        <w:t xml:space="preserve">recent data populated from varying reports suggest the level of trust in the police forces across the United Kingdom have fallen in comparison to other countries. </w:t>
      </w:r>
      <w:r w:rsidR="00771A82">
        <w:rPr>
          <w:sz w:val="22"/>
          <w:szCs w:val="22"/>
        </w:rPr>
        <w:t>(Gallup, 2022) and is supported by (</w:t>
      </w:r>
      <w:r w:rsidR="00962DE8">
        <w:rPr>
          <w:sz w:val="22"/>
          <w:szCs w:val="22"/>
        </w:rPr>
        <w:t>Ipsos</w:t>
      </w:r>
      <w:r w:rsidR="009A3C49">
        <w:rPr>
          <w:sz w:val="22"/>
          <w:szCs w:val="22"/>
        </w:rPr>
        <w:t>,</w:t>
      </w:r>
      <w:r w:rsidR="00962DE8">
        <w:rPr>
          <w:sz w:val="22"/>
          <w:szCs w:val="22"/>
        </w:rPr>
        <w:t xml:space="preserve"> 2022) the global trustworthiness index. </w:t>
      </w:r>
      <w:r w:rsidR="00D23695">
        <w:rPr>
          <w:sz w:val="22"/>
          <w:szCs w:val="22"/>
        </w:rPr>
        <w:t xml:space="preserve">The </w:t>
      </w:r>
      <w:r w:rsidR="000E4FE3">
        <w:rPr>
          <w:sz w:val="22"/>
          <w:szCs w:val="22"/>
        </w:rPr>
        <w:t xml:space="preserve">2022 index surveyed over 18,00 participants across </w:t>
      </w:r>
      <w:r w:rsidR="009A3C49">
        <w:rPr>
          <w:sz w:val="22"/>
          <w:szCs w:val="22"/>
        </w:rPr>
        <w:t>twenty-six</w:t>
      </w:r>
      <w:r w:rsidR="000E4FE3">
        <w:rPr>
          <w:sz w:val="22"/>
          <w:szCs w:val="22"/>
        </w:rPr>
        <w:t xml:space="preserve"> countries to compare global trust of the police. </w:t>
      </w:r>
      <w:r w:rsidR="004B3EC9">
        <w:rPr>
          <w:sz w:val="22"/>
          <w:szCs w:val="22"/>
        </w:rPr>
        <w:t>Police forces across the United Kingdom fell</w:t>
      </w:r>
      <w:r w:rsidR="009A3C49">
        <w:rPr>
          <w:sz w:val="22"/>
          <w:szCs w:val="22"/>
        </w:rPr>
        <w:t xml:space="preserve"> to ninth place in 2022 with forty four percent of the Great British public supporting and having trust within the police. (Ipsos, 2022</w:t>
      </w:r>
      <w:r w:rsidR="009A3C49" w:rsidRPr="00C079A8">
        <w:rPr>
          <w:sz w:val="22"/>
          <w:szCs w:val="22"/>
        </w:rPr>
        <w:t xml:space="preserve">). </w:t>
      </w:r>
      <w:r w:rsidR="00C079A8" w:rsidRPr="00C079A8">
        <w:rPr>
          <w:sz w:val="22"/>
          <w:szCs w:val="22"/>
        </w:rPr>
        <w:t>In March 2022, the Government published its response to the Commission on Race and Ethnic Disparities report, ‘Inclusive Britain’ which, among other things, recommended creating partnerships between police and communities to build trust</w:t>
      </w:r>
      <w:r w:rsidR="00CC7F55">
        <w:rPr>
          <w:sz w:val="22"/>
          <w:szCs w:val="22"/>
        </w:rPr>
        <w:t>, especially when dealing with critical incidents</w:t>
      </w:r>
      <w:r w:rsidR="00C079A8">
        <w:rPr>
          <w:sz w:val="22"/>
          <w:szCs w:val="22"/>
        </w:rPr>
        <w:t>. (</w:t>
      </w:r>
      <w:r w:rsidR="00540CCD">
        <w:rPr>
          <w:sz w:val="22"/>
          <w:szCs w:val="22"/>
        </w:rPr>
        <w:t xml:space="preserve">Department for levelling up, housing and communities, 2022). </w:t>
      </w:r>
      <w:r w:rsidR="00181F3D">
        <w:rPr>
          <w:sz w:val="22"/>
          <w:szCs w:val="22"/>
        </w:rPr>
        <w:t xml:space="preserve">The report which is due to be released in full by the end of Summer 2023 has indicated several priorities for policymakers and chief constables at police organisations to </w:t>
      </w:r>
      <w:r w:rsidR="008A5D64">
        <w:rPr>
          <w:sz w:val="22"/>
          <w:szCs w:val="22"/>
        </w:rPr>
        <w:t xml:space="preserve">improve trust and they include: </w:t>
      </w:r>
    </w:p>
    <w:p w14:paraId="7CB9A665" w14:textId="77777777" w:rsidR="0027268A" w:rsidRDefault="0027268A" w:rsidP="00B320D5">
      <w:pPr>
        <w:pStyle w:val="Default"/>
        <w:jc w:val="both"/>
        <w:rPr>
          <w:sz w:val="22"/>
          <w:szCs w:val="22"/>
        </w:rPr>
      </w:pPr>
    </w:p>
    <w:p w14:paraId="13CE5C29" w14:textId="3FCB5AFF" w:rsidR="005729BF" w:rsidRDefault="003A7059" w:rsidP="00B320D5">
      <w:pPr>
        <w:pStyle w:val="Default"/>
        <w:numPr>
          <w:ilvl w:val="0"/>
          <w:numId w:val="1"/>
        </w:numPr>
        <w:jc w:val="both"/>
        <w:rPr>
          <w:sz w:val="22"/>
          <w:szCs w:val="22"/>
        </w:rPr>
      </w:pPr>
      <w:r>
        <w:rPr>
          <w:sz w:val="22"/>
          <w:szCs w:val="22"/>
        </w:rPr>
        <w:t>Transparency and accountability</w:t>
      </w:r>
      <w:r w:rsidRPr="003A7059">
        <w:rPr>
          <w:sz w:val="22"/>
          <w:szCs w:val="22"/>
        </w:rPr>
        <w:t>, in January 2023, the Home Office began a review into the process of police officer dismissals to “ensure that the public can be confident that those falling far short of the high standards expected of them can be removed from policing</w:t>
      </w:r>
      <w:r>
        <w:rPr>
          <w:sz w:val="22"/>
          <w:szCs w:val="22"/>
        </w:rPr>
        <w:t xml:space="preserve">. </w:t>
      </w:r>
      <w:r w:rsidR="00EA31C4">
        <w:rPr>
          <w:sz w:val="22"/>
          <w:szCs w:val="22"/>
        </w:rPr>
        <w:t xml:space="preserve">(Home Office, 2023). </w:t>
      </w:r>
    </w:p>
    <w:p w14:paraId="492C3437" w14:textId="058781B9" w:rsidR="005729BF" w:rsidRDefault="0027268A" w:rsidP="00B320D5">
      <w:pPr>
        <w:pStyle w:val="Default"/>
        <w:numPr>
          <w:ilvl w:val="0"/>
          <w:numId w:val="1"/>
        </w:numPr>
        <w:jc w:val="both"/>
        <w:rPr>
          <w:sz w:val="22"/>
          <w:szCs w:val="22"/>
        </w:rPr>
      </w:pPr>
      <w:r>
        <w:rPr>
          <w:sz w:val="22"/>
          <w:szCs w:val="22"/>
        </w:rPr>
        <w:t xml:space="preserve">Policing performance and culture, </w:t>
      </w:r>
      <w:r w:rsidR="00243746" w:rsidRPr="00671873">
        <w:rPr>
          <w:sz w:val="22"/>
          <w:szCs w:val="22"/>
        </w:rPr>
        <w:t>several</w:t>
      </w:r>
      <w:r w:rsidR="00671873" w:rsidRPr="00671873">
        <w:rPr>
          <w:sz w:val="22"/>
          <w:szCs w:val="22"/>
        </w:rPr>
        <w:t xml:space="preserve"> inquiries into police culture and the protection of women are ongoing, including Operation </w:t>
      </w:r>
      <w:proofErr w:type="spellStart"/>
      <w:r w:rsidR="00671873" w:rsidRPr="00671873">
        <w:rPr>
          <w:sz w:val="22"/>
          <w:szCs w:val="22"/>
        </w:rPr>
        <w:t>Soteria</w:t>
      </w:r>
      <w:proofErr w:type="spellEnd"/>
      <w:r w:rsidR="00671873" w:rsidRPr="00671873">
        <w:rPr>
          <w:sz w:val="22"/>
          <w:szCs w:val="22"/>
        </w:rPr>
        <w:t xml:space="preserve"> Bluestone’s investigation in response to the Government’s End-to-End Rape Review, 80 and Part two of the </w:t>
      </w:r>
      <w:proofErr w:type="spellStart"/>
      <w:r w:rsidR="00671873" w:rsidRPr="00671873">
        <w:rPr>
          <w:sz w:val="22"/>
          <w:szCs w:val="22"/>
        </w:rPr>
        <w:t>Angiolini</w:t>
      </w:r>
      <w:proofErr w:type="spellEnd"/>
      <w:r w:rsidR="00671873" w:rsidRPr="00671873">
        <w:rPr>
          <w:sz w:val="22"/>
          <w:szCs w:val="22"/>
        </w:rPr>
        <w:t xml:space="preserve"> Inquiry to investigate police culture and concerns surrounding women’s safety. </w:t>
      </w:r>
      <w:r w:rsidR="00243746">
        <w:rPr>
          <w:sz w:val="22"/>
          <w:szCs w:val="22"/>
        </w:rPr>
        <w:t>(Home Office, 2023)</w:t>
      </w:r>
    </w:p>
    <w:p w14:paraId="710CB237" w14:textId="6C894D10" w:rsidR="00243746" w:rsidRDefault="00243746" w:rsidP="00B320D5">
      <w:pPr>
        <w:pStyle w:val="Default"/>
        <w:numPr>
          <w:ilvl w:val="0"/>
          <w:numId w:val="1"/>
        </w:numPr>
        <w:jc w:val="both"/>
        <w:rPr>
          <w:sz w:val="22"/>
          <w:szCs w:val="22"/>
        </w:rPr>
      </w:pPr>
      <w:r>
        <w:rPr>
          <w:sz w:val="22"/>
          <w:szCs w:val="22"/>
        </w:rPr>
        <w:t>Police and public interactions,</w:t>
      </w:r>
      <w:r w:rsidR="007559D6">
        <w:t xml:space="preserve"> </w:t>
      </w:r>
      <w:r w:rsidR="007559D6" w:rsidRPr="007559D6">
        <w:rPr>
          <w:sz w:val="22"/>
          <w:szCs w:val="22"/>
        </w:rPr>
        <w:t>the 2022 ‘Police Race Action Plan’, developed jointly by the National Police Chiefs’ Council and the College of Policing, recognises the “longstanding challenges” in the relationship between Black communities and the police and committed to carrying out an assessment of neighbourhood policing with respect to Black communities.</w:t>
      </w:r>
      <w:r w:rsidR="00BB399D">
        <w:rPr>
          <w:sz w:val="22"/>
          <w:szCs w:val="22"/>
        </w:rPr>
        <w:t xml:space="preserve"> (NPCC et al, 2022)</w:t>
      </w:r>
    </w:p>
    <w:p w14:paraId="7A4C56A3" w14:textId="77777777" w:rsidR="00A82323" w:rsidRDefault="00A82323" w:rsidP="00A82323">
      <w:pPr>
        <w:pStyle w:val="Default"/>
        <w:jc w:val="both"/>
        <w:rPr>
          <w:sz w:val="22"/>
          <w:szCs w:val="22"/>
        </w:rPr>
      </w:pPr>
    </w:p>
    <w:p w14:paraId="0FC44B78" w14:textId="77777777" w:rsidR="00A82323" w:rsidRDefault="00A82323" w:rsidP="00A82323">
      <w:pPr>
        <w:pStyle w:val="Default"/>
        <w:jc w:val="both"/>
        <w:rPr>
          <w:sz w:val="22"/>
          <w:szCs w:val="22"/>
        </w:rPr>
      </w:pPr>
    </w:p>
    <w:p w14:paraId="44A45A99" w14:textId="6AB963D1" w:rsidR="00A82323" w:rsidRDefault="00A82323" w:rsidP="00A82323">
      <w:pPr>
        <w:pStyle w:val="Default"/>
        <w:jc w:val="both"/>
        <w:rPr>
          <w:b/>
          <w:bCs/>
          <w:sz w:val="22"/>
          <w:szCs w:val="22"/>
        </w:rPr>
      </w:pPr>
      <w:r w:rsidRPr="00A82323">
        <w:rPr>
          <w:b/>
          <w:bCs/>
          <w:sz w:val="22"/>
          <w:szCs w:val="22"/>
        </w:rPr>
        <w:t>Words: 1851 words.</w:t>
      </w:r>
    </w:p>
    <w:p w14:paraId="5E3594DA" w14:textId="77777777" w:rsidR="00A82323" w:rsidRDefault="00A82323" w:rsidP="00A82323">
      <w:pPr>
        <w:pStyle w:val="Default"/>
        <w:jc w:val="both"/>
        <w:rPr>
          <w:b/>
          <w:bCs/>
          <w:sz w:val="22"/>
          <w:szCs w:val="22"/>
        </w:rPr>
      </w:pPr>
    </w:p>
    <w:p w14:paraId="2EBBEF2B" w14:textId="77777777" w:rsidR="00A82323" w:rsidRDefault="00A82323" w:rsidP="00A82323">
      <w:pPr>
        <w:pStyle w:val="Default"/>
        <w:jc w:val="both"/>
        <w:rPr>
          <w:b/>
          <w:bCs/>
          <w:sz w:val="22"/>
          <w:szCs w:val="22"/>
        </w:rPr>
      </w:pPr>
    </w:p>
    <w:p w14:paraId="0C7E91FF" w14:textId="77777777" w:rsidR="00A82323" w:rsidRDefault="00A82323" w:rsidP="00A82323">
      <w:pPr>
        <w:pStyle w:val="Default"/>
        <w:jc w:val="both"/>
        <w:rPr>
          <w:b/>
          <w:bCs/>
          <w:sz w:val="22"/>
          <w:szCs w:val="22"/>
        </w:rPr>
      </w:pPr>
    </w:p>
    <w:p w14:paraId="7B377F83" w14:textId="77777777" w:rsidR="00A82323" w:rsidRDefault="00A82323" w:rsidP="00A82323">
      <w:pPr>
        <w:pStyle w:val="Default"/>
        <w:jc w:val="both"/>
        <w:rPr>
          <w:b/>
          <w:bCs/>
          <w:sz w:val="22"/>
          <w:szCs w:val="22"/>
        </w:rPr>
      </w:pPr>
    </w:p>
    <w:p w14:paraId="47C85FE8" w14:textId="77777777" w:rsidR="00A82323" w:rsidRDefault="00A82323" w:rsidP="00A82323">
      <w:pPr>
        <w:pStyle w:val="Default"/>
        <w:jc w:val="both"/>
        <w:rPr>
          <w:b/>
          <w:bCs/>
          <w:sz w:val="22"/>
          <w:szCs w:val="22"/>
        </w:rPr>
      </w:pPr>
    </w:p>
    <w:p w14:paraId="35C0B108" w14:textId="77777777" w:rsidR="00A82323" w:rsidRDefault="00A82323" w:rsidP="00A82323">
      <w:pPr>
        <w:pStyle w:val="Default"/>
        <w:jc w:val="both"/>
        <w:rPr>
          <w:b/>
          <w:bCs/>
          <w:sz w:val="22"/>
          <w:szCs w:val="22"/>
        </w:rPr>
      </w:pPr>
    </w:p>
    <w:p w14:paraId="0BEF7B75" w14:textId="77777777" w:rsidR="00A82323" w:rsidRDefault="00A82323" w:rsidP="00A82323">
      <w:pPr>
        <w:pStyle w:val="Default"/>
        <w:jc w:val="both"/>
        <w:rPr>
          <w:b/>
          <w:bCs/>
          <w:sz w:val="22"/>
          <w:szCs w:val="22"/>
        </w:rPr>
      </w:pPr>
    </w:p>
    <w:p w14:paraId="64CEE4F5" w14:textId="77777777" w:rsidR="00A82323" w:rsidRDefault="00A82323" w:rsidP="00A82323">
      <w:pPr>
        <w:pStyle w:val="Default"/>
        <w:jc w:val="both"/>
        <w:rPr>
          <w:b/>
          <w:bCs/>
          <w:sz w:val="22"/>
          <w:szCs w:val="22"/>
        </w:rPr>
      </w:pPr>
    </w:p>
    <w:p w14:paraId="58F47CE6" w14:textId="77777777" w:rsidR="00A82323" w:rsidRDefault="00A82323" w:rsidP="00A82323">
      <w:pPr>
        <w:pStyle w:val="Default"/>
        <w:jc w:val="both"/>
        <w:rPr>
          <w:b/>
          <w:bCs/>
          <w:sz w:val="22"/>
          <w:szCs w:val="22"/>
        </w:rPr>
      </w:pPr>
    </w:p>
    <w:p w14:paraId="5CB13EEA" w14:textId="77777777" w:rsidR="00A82323" w:rsidRDefault="00A82323" w:rsidP="00A82323">
      <w:pPr>
        <w:pStyle w:val="Default"/>
        <w:jc w:val="both"/>
        <w:rPr>
          <w:b/>
          <w:bCs/>
          <w:sz w:val="22"/>
          <w:szCs w:val="22"/>
        </w:rPr>
      </w:pPr>
    </w:p>
    <w:p w14:paraId="4E5C5081" w14:textId="77777777" w:rsidR="00A82323" w:rsidRDefault="00A82323" w:rsidP="00A82323">
      <w:pPr>
        <w:pStyle w:val="Default"/>
        <w:jc w:val="both"/>
        <w:rPr>
          <w:b/>
          <w:bCs/>
          <w:sz w:val="22"/>
          <w:szCs w:val="22"/>
        </w:rPr>
      </w:pPr>
    </w:p>
    <w:p w14:paraId="28C62E91" w14:textId="46E5C756" w:rsidR="00A82323" w:rsidRDefault="00A82323" w:rsidP="00A82323">
      <w:pPr>
        <w:pStyle w:val="Default"/>
        <w:jc w:val="center"/>
        <w:rPr>
          <w:b/>
          <w:bCs/>
          <w:sz w:val="22"/>
          <w:szCs w:val="22"/>
        </w:rPr>
      </w:pPr>
      <w:r>
        <w:rPr>
          <w:b/>
          <w:bCs/>
          <w:sz w:val="22"/>
          <w:szCs w:val="22"/>
        </w:rPr>
        <w:lastRenderedPageBreak/>
        <w:t>Reference list:</w:t>
      </w:r>
    </w:p>
    <w:p w14:paraId="0A84598F" w14:textId="77777777" w:rsidR="00A82323" w:rsidRDefault="00A82323" w:rsidP="00A82323">
      <w:pPr>
        <w:pStyle w:val="Default"/>
        <w:jc w:val="center"/>
        <w:rPr>
          <w:b/>
          <w:bCs/>
          <w:sz w:val="22"/>
          <w:szCs w:val="22"/>
        </w:rPr>
      </w:pPr>
    </w:p>
    <w:p w14:paraId="64DD12B8" w14:textId="77777777" w:rsidR="00A82323" w:rsidRDefault="00A82323" w:rsidP="00A82323">
      <w:pPr>
        <w:pStyle w:val="Default"/>
        <w:rPr>
          <w:b/>
          <w:bCs/>
          <w:sz w:val="22"/>
          <w:szCs w:val="22"/>
        </w:rPr>
      </w:pPr>
    </w:p>
    <w:p w14:paraId="6F084B35" w14:textId="77777777" w:rsidR="00CA56BD" w:rsidRDefault="00CA56BD" w:rsidP="00A82323">
      <w:pPr>
        <w:pStyle w:val="Default"/>
        <w:rPr>
          <w:b/>
          <w:bCs/>
          <w:sz w:val="22"/>
          <w:szCs w:val="22"/>
        </w:rPr>
      </w:pPr>
    </w:p>
    <w:p w14:paraId="139593DA" w14:textId="77777777" w:rsidR="00CA56BD" w:rsidRPr="00A67FB8" w:rsidRDefault="00CA56BD" w:rsidP="00CA56BD">
      <w:pPr>
        <w:rPr>
          <w:rFonts w:ascii="Arial" w:hAnsi="Arial" w:cs="Arial"/>
        </w:rPr>
      </w:pPr>
      <w:r w:rsidRPr="00A67FB8">
        <w:rPr>
          <w:rFonts w:ascii="Arial" w:hAnsi="Arial" w:cs="Arial"/>
        </w:rPr>
        <w:t xml:space="preserve">Ratcliffe, J. (2008) Intelligence-led Policing. Cullompton: Willan Publishing. </w:t>
      </w:r>
    </w:p>
    <w:p w14:paraId="6C55CF1C" w14:textId="77777777" w:rsidR="00CA56BD" w:rsidRPr="00A67FB8" w:rsidRDefault="00CA56BD" w:rsidP="00CA56BD">
      <w:pPr>
        <w:rPr>
          <w:rFonts w:ascii="Arial" w:hAnsi="Arial" w:cs="Arial"/>
        </w:rPr>
      </w:pPr>
    </w:p>
    <w:p w14:paraId="32F758DD" w14:textId="77777777" w:rsidR="00CA56BD" w:rsidRPr="00A67FB8" w:rsidRDefault="00CA56BD" w:rsidP="00CA56BD">
      <w:pPr>
        <w:rPr>
          <w:rFonts w:ascii="Arial" w:hAnsi="Arial" w:cs="Arial"/>
        </w:rPr>
      </w:pPr>
      <w:r w:rsidRPr="00A67FB8">
        <w:rPr>
          <w:rFonts w:ascii="Arial" w:hAnsi="Arial" w:cs="Arial"/>
        </w:rPr>
        <w:t xml:space="preserve">ACPO/Centrex (2007) Practice Advice: Introduction to Intelligence-led Policing. </w:t>
      </w:r>
      <w:proofErr w:type="spellStart"/>
      <w:r w:rsidRPr="00A67FB8">
        <w:rPr>
          <w:rFonts w:ascii="Arial" w:hAnsi="Arial" w:cs="Arial"/>
        </w:rPr>
        <w:t>Wyboston</w:t>
      </w:r>
      <w:proofErr w:type="spellEnd"/>
      <w:r w:rsidRPr="00A67FB8">
        <w:rPr>
          <w:rFonts w:ascii="Arial" w:hAnsi="Arial" w:cs="Arial"/>
        </w:rPr>
        <w:t xml:space="preserve">: National Centre for Policing Excellence. </w:t>
      </w:r>
    </w:p>
    <w:p w14:paraId="5618DB25" w14:textId="77777777" w:rsidR="00CA56BD" w:rsidRPr="00A67FB8" w:rsidRDefault="00CA56BD" w:rsidP="00CA56BD">
      <w:pPr>
        <w:rPr>
          <w:rFonts w:ascii="Arial" w:hAnsi="Arial" w:cs="Arial"/>
        </w:rPr>
      </w:pPr>
    </w:p>
    <w:p w14:paraId="129BF183" w14:textId="77777777" w:rsidR="00CA56BD" w:rsidRPr="00A67FB8" w:rsidRDefault="00CA56BD" w:rsidP="00CA56BD">
      <w:pPr>
        <w:rPr>
          <w:rFonts w:ascii="Arial" w:hAnsi="Arial" w:cs="Arial"/>
        </w:rPr>
      </w:pPr>
      <w:r w:rsidRPr="00A67FB8">
        <w:rPr>
          <w:rFonts w:ascii="Arial" w:hAnsi="Arial" w:cs="Arial"/>
        </w:rPr>
        <w:t xml:space="preserve">http://www.acpo.police.uk/asp/policies/Data/Intelligence_led_policing_17x08x2007.p </w:t>
      </w:r>
      <w:proofErr w:type="spellStart"/>
      <w:r w:rsidRPr="00A67FB8">
        <w:rPr>
          <w:rFonts w:ascii="Arial" w:hAnsi="Arial" w:cs="Arial"/>
        </w:rPr>
        <w:t>df</w:t>
      </w:r>
      <w:proofErr w:type="spellEnd"/>
      <w:r w:rsidRPr="00A67FB8">
        <w:rPr>
          <w:rFonts w:ascii="Arial" w:hAnsi="Arial" w:cs="Arial"/>
        </w:rPr>
        <w:t xml:space="preserve"> [9th August 2010] ACPO/NCPE (2005) Guidance on the National Intelligence Model. </w:t>
      </w:r>
      <w:proofErr w:type="spellStart"/>
      <w:r w:rsidRPr="00A67FB8">
        <w:rPr>
          <w:rFonts w:ascii="Arial" w:hAnsi="Arial" w:cs="Arial"/>
        </w:rPr>
        <w:t>Wyboston</w:t>
      </w:r>
      <w:proofErr w:type="spellEnd"/>
      <w:r w:rsidRPr="00A67FB8">
        <w:rPr>
          <w:rFonts w:ascii="Arial" w:hAnsi="Arial" w:cs="Arial"/>
        </w:rPr>
        <w:t xml:space="preserve">: NCPE Available at: </w:t>
      </w:r>
      <w:hyperlink r:id="rId7" w:history="1">
        <w:r w:rsidRPr="00A67FB8">
          <w:rPr>
            <w:rStyle w:val="Hyperlink"/>
            <w:rFonts w:ascii="Arial" w:hAnsi="Arial" w:cs="Arial"/>
          </w:rPr>
          <w:t>http://tulliallan.police.uk/workingparties/nim/documents/NIMManual(New05Interaction</w:t>
        </w:r>
      </w:hyperlink>
    </w:p>
    <w:p w14:paraId="038CE49E" w14:textId="77777777" w:rsidR="00CA56BD" w:rsidRPr="00A67FB8" w:rsidRDefault="00CA56BD" w:rsidP="00CA56BD">
      <w:pPr>
        <w:rPr>
          <w:rFonts w:ascii="Arial" w:hAnsi="Arial" w:cs="Arial"/>
        </w:rPr>
      </w:pPr>
    </w:p>
    <w:p w14:paraId="4F2B3373" w14:textId="77777777" w:rsidR="00CA56BD" w:rsidRPr="00A67FB8" w:rsidRDefault="00CA56BD" w:rsidP="00CA56BD">
      <w:pPr>
        <w:rPr>
          <w:rFonts w:ascii="Arial" w:hAnsi="Arial" w:cs="Arial"/>
          <w:color w:val="202122"/>
          <w:shd w:val="clear" w:color="auto" w:fill="EAF3FF"/>
        </w:rPr>
      </w:pPr>
      <w:proofErr w:type="spellStart"/>
      <w:r w:rsidRPr="00A67FB8">
        <w:rPr>
          <w:rFonts w:ascii="Arial" w:hAnsi="Arial" w:cs="Arial"/>
          <w:color w:val="202122"/>
          <w:shd w:val="clear" w:color="auto" w:fill="EAF3FF"/>
        </w:rPr>
        <w:t>Finkelhor</w:t>
      </w:r>
      <w:proofErr w:type="spellEnd"/>
      <w:r w:rsidRPr="00A67FB8">
        <w:rPr>
          <w:rFonts w:ascii="Arial" w:hAnsi="Arial" w:cs="Arial"/>
          <w:color w:val="202122"/>
          <w:shd w:val="clear" w:color="auto" w:fill="EAF3FF"/>
        </w:rPr>
        <w:t>, D.; Ormrod, RK.; Turner, HA. (May 2007). "Re-victimization patterns in a national longitudinal sample of children and youth".</w:t>
      </w:r>
    </w:p>
    <w:p w14:paraId="4761A981" w14:textId="77777777" w:rsidR="00CA56BD" w:rsidRPr="00A67FB8" w:rsidRDefault="00CA56BD" w:rsidP="00CA56BD">
      <w:pPr>
        <w:rPr>
          <w:rFonts w:ascii="Arial" w:hAnsi="Arial" w:cs="Arial"/>
          <w:color w:val="202122"/>
          <w:shd w:val="clear" w:color="auto" w:fill="EAF3FF"/>
        </w:rPr>
      </w:pPr>
    </w:p>
    <w:p w14:paraId="08B094D4" w14:textId="77777777" w:rsidR="00CA56BD" w:rsidRPr="00A67FB8" w:rsidRDefault="00CA56BD" w:rsidP="00CA56BD">
      <w:pPr>
        <w:rPr>
          <w:rStyle w:val="cs1-lock-free"/>
          <w:rFonts w:ascii="Arial" w:hAnsi="Arial" w:cs="Arial"/>
          <w:i/>
          <w:iCs/>
          <w:color w:val="202122"/>
        </w:rPr>
      </w:pPr>
      <w:r w:rsidRPr="00A67FB8">
        <w:rPr>
          <w:rFonts w:ascii="Arial" w:hAnsi="Arial" w:cs="Arial"/>
          <w:color w:val="202122"/>
          <w:shd w:val="clear" w:color="auto" w:fill="EAF3FF"/>
        </w:rPr>
        <w:t> </w:t>
      </w:r>
      <w:proofErr w:type="spellStart"/>
      <w:r w:rsidRPr="00A67FB8">
        <w:rPr>
          <w:rStyle w:val="HTMLCite"/>
          <w:rFonts w:ascii="Arial" w:hAnsi="Arial" w:cs="Arial"/>
          <w:color w:val="202122"/>
        </w:rPr>
        <w:t>Bjørnholt</w:t>
      </w:r>
      <w:proofErr w:type="spellEnd"/>
      <w:r w:rsidRPr="00A67FB8">
        <w:rPr>
          <w:rStyle w:val="HTMLCite"/>
          <w:rFonts w:ascii="Arial" w:hAnsi="Arial" w:cs="Arial"/>
          <w:color w:val="202122"/>
        </w:rPr>
        <w:t>, M (2019). </w:t>
      </w:r>
      <w:hyperlink r:id="rId8" w:history="1">
        <w:r w:rsidRPr="00A67FB8">
          <w:rPr>
            <w:rStyle w:val="Hyperlink"/>
            <w:rFonts w:ascii="Arial" w:hAnsi="Arial" w:cs="Arial"/>
            <w:i/>
            <w:iCs/>
            <w:color w:val="3366CC"/>
          </w:rPr>
          <w:t>"The social dynamics of revictimization and intimate partner violence: an embodied, gendered, institutional and life course perspective"</w:t>
        </w:r>
      </w:hyperlink>
      <w:r w:rsidRPr="00A67FB8">
        <w:rPr>
          <w:rStyle w:val="HTMLCite"/>
          <w:rFonts w:ascii="Arial" w:hAnsi="Arial" w:cs="Arial"/>
          <w:color w:val="202122"/>
        </w:rPr>
        <w:t>. </w:t>
      </w:r>
      <w:hyperlink r:id="rId9" w:tooltip="Nordic Journal of Criminology" w:history="1">
        <w:r w:rsidRPr="00A67FB8">
          <w:rPr>
            <w:rStyle w:val="Hyperlink"/>
            <w:rFonts w:ascii="Arial" w:hAnsi="Arial" w:cs="Arial"/>
            <w:i/>
            <w:iCs/>
            <w:color w:val="3366CC"/>
          </w:rPr>
          <w:t>Nordic Journal of Criminology</w:t>
        </w:r>
      </w:hyperlink>
      <w:r w:rsidRPr="00A67FB8">
        <w:rPr>
          <w:rStyle w:val="HTMLCite"/>
          <w:rFonts w:ascii="Arial" w:hAnsi="Arial" w:cs="Arial"/>
          <w:color w:val="202122"/>
        </w:rPr>
        <w:t>. </w:t>
      </w:r>
      <w:r w:rsidRPr="00A67FB8">
        <w:rPr>
          <w:rStyle w:val="HTMLCite"/>
          <w:rFonts w:ascii="Arial" w:hAnsi="Arial" w:cs="Arial"/>
          <w:b/>
          <w:bCs/>
          <w:color w:val="202122"/>
        </w:rPr>
        <w:t>20</w:t>
      </w:r>
      <w:r w:rsidRPr="00A67FB8">
        <w:rPr>
          <w:rStyle w:val="HTMLCite"/>
          <w:rFonts w:ascii="Arial" w:hAnsi="Arial" w:cs="Arial"/>
          <w:color w:val="202122"/>
        </w:rPr>
        <w:t> (1): 90–110. </w:t>
      </w:r>
      <w:hyperlink r:id="rId10" w:tooltip="Doi (identifier)" w:history="1">
        <w:r w:rsidRPr="00A67FB8">
          <w:rPr>
            <w:rStyle w:val="Hyperlink"/>
            <w:rFonts w:ascii="Arial" w:hAnsi="Arial" w:cs="Arial"/>
            <w:i/>
            <w:iCs/>
            <w:color w:val="3366CC"/>
          </w:rPr>
          <w:t>doi</w:t>
        </w:r>
      </w:hyperlink>
      <w:r w:rsidRPr="00A67FB8">
        <w:rPr>
          <w:rStyle w:val="HTMLCite"/>
          <w:rFonts w:ascii="Arial" w:hAnsi="Arial" w:cs="Arial"/>
          <w:color w:val="202122"/>
        </w:rPr>
        <w:t>:</w:t>
      </w:r>
      <w:hyperlink r:id="rId11" w:history="1">
        <w:r w:rsidRPr="00A67FB8">
          <w:rPr>
            <w:rStyle w:val="Hyperlink"/>
            <w:rFonts w:ascii="Arial" w:hAnsi="Arial" w:cs="Arial"/>
            <w:i/>
            <w:iCs/>
            <w:color w:val="3366CC"/>
          </w:rPr>
          <w:t>10.1080/14043858.2019.1568103</w:t>
        </w:r>
      </w:hyperlink>
      <w:r w:rsidRPr="00A67FB8">
        <w:rPr>
          <w:rStyle w:val="cs1-lock-free"/>
          <w:rFonts w:ascii="Arial" w:hAnsi="Arial" w:cs="Arial"/>
          <w:i/>
          <w:iCs/>
          <w:color w:val="202122"/>
        </w:rPr>
        <w:t xml:space="preserve"> </w:t>
      </w:r>
    </w:p>
    <w:p w14:paraId="794A501F" w14:textId="77777777" w:rsidR="00CA56BD" w:rsidRPr="00A67FB8" w:rsidRDefault="00CA56BD" w:rsidP="00CA56BD">
      <w:pPr>
        <w:rPr>
          <w:rStyle w:val="cs1-lock-free"/>
          <w:rFonts w:ascii="Arial" w:hAnsi="Arial" w:cs="Arial"/>
          <w:i/>
          <w:iCs/>
          <w:color w:val="202122"/>
        </w:rPr>
      </w:pPr>
    </w:p>
    <w:p w14:paraId="32F09D90" w14:textId="77777777" w:rsidR="00CA56BD" w:rsidRPr="00CA56BD" w:rsidRDefault="00CA56BD" w:rsidP="00CA56BD">
      <w:pPr>
        <w:rPr>
          <w:rFonts w:ascii="Arial" w:hAnsi="Arial" w:cs="Arial"/>
          <w:color w:val="000000"/>
          <w:spacing w:val="3"/>
          <w:shd w:val="clear" w:color="auto" w:fill="D5D5E2"/>
        </w:rPr>
      </w:pPr>
      <w:proofErr w:type="spellStart"/>
      <w:r w:rsidRPr="00CA56BD">
        <w:rPr>
          <w:rFonts w:ascii="Arial" w:hAnsi="Arial" w:cs="Arial"/>
          <w:color w:val="000000"/>
          <w:spacing w:val="3"/>
          <w:shd w:val="clear" w:color="auto" w:fill="D5D5E2"/>
        </w:rPr>
        <w:t>SooHyun</w:t>
      </w:r>
      <w:proofErr w:type="spellEnd"/>
      <w:r w:rsidRPr="00CA56BD">
        <w:rPr>
          <w:rFonts w:ascii="Arial" w:hAnsi="Arial" w:cs="Arial"/>
          <w:color w:val="000000"/>
          <w:spacing w:val="3"/>
          <w:shd w:val="clear" w:color="auto" w:fill="D5D5E2"/>
        </w:rPr>
        <w:t xml:space="preserve"> O and others. (2017). 'How concentrated is crime among victims? A systematic review from 1977 to 2014'. Crime Science, 6(1), 9. </w:t>
      </w:r>
    </w:p>
    <w:p w14:paraId="53D97128" w14:textId="77777777" w:rsidR="00CA56BD" w:rsidRPr="00CA56BD" w:rsidRDefault="00CA56BD" w:rsidP="00CA56BD">
      <w:pPr>
        <w:rPr>
          <w:rFonts w:ascii="Arial" w:hAnsi="Arial" w:cs="Arial"/>
          <w:color w:val="000000"/>
          <w:spacing w:val="3"/>
          <w:shd w:val="clear" w:color="auto" w:fill="D5D5E2"/>
        </w:rPr>
      </w:pPr>
    </w:p>
    <w:p w14:paraId="57D6EF2F"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 xml:space="preserve">Office for National Statistics (2020) 'The nature of violent crime in England and Wales: Year ending March 2020'. </w:t>
      </w:r>
    </w:p>
    <w:p w14:paraId="6BA2CE3D" w14:textId="77777777" w:rsidR="00CA56BD" w:rsidRPr="00CA56BD" w:rsidRDefault="00CA56BD" w:rsidP="00CA56BD">
      <w:pPr>
        <w:rPr>
          <w:rFonts w:ascii="Arial" w:hAnsi="Arial" w:cs="Arial"/>
          <w:color w:val="000000"/>
          <w:spacing w:val="3"/>
          <w:shd w:val="clear" w:color="auto" w:fill="D5D5E2"/>
        </w:rPr>
      </w:pPr>
    </w:p>
    <w:p w14:paraId="5FCEF724" w14:textId="77777777" w:rsidR="00CA56BD" w:rsidRPr="00CA56BD" w:rsidRDefault="00CA56BD" w:rsidP="00CA56BD">
      <w:pPr>
        <w:rPr>
          <w:rFonts w:ascii="Arial" w:hAnsi="Arial" w:cs="Arial"/>
          <w:color w:val="000000"/>
          <w:spacing w:val="3"/>
          <w:shd w:val="clear" w:color="auto" w:fill="D5D5E2"/>
        </w:rPr>
      </w:pPr>
      <w:proofErr w:type="spellStart"/>
      <w:r w:rsidRPr="00CA56BD">
        <w:rPr>
          <w:rFonts w:ascii="Arial" w:hAnsi="Arial" w:cs="Arial"/>
          <w:color w:val="000000"/>
          <w:spacing w:val="3"/>
          <w:shd w:val="clear" w:color="auto" w:fill="D5D5E2"/>
        </w:rPr>
        <w:t>Ørke</w:t>
      </w:r>
      <w:proofErr w:type="spellEnd"/>
      <w:r w:rsidRPr="00CA56BD">
        <w:rPr>
          <w:rFonts w:ascii="Arial" w:hAnsi="Arial" w:cs="Arial"/>
          <w:color w:val="000000"/>
          <w:spacing w:val="3"/>
          <w:shd w:val="clear" w:color="auto" w:fill="D5D5E2"/>
        </w:rPr>
        <w:t xml:space="preserve"> EC, </w:t>
      </w:r>
      <w:proofErr w:type="spellStart"/>
      <w:r w:rsidRPr="00CA56BD">
        <w:rPr>
          <w:rFonts w:ascii="Arial" w:hAnsi="Arial" w:cs="Arial"/>
          <w:color w:val="000000"/>
          <w:spacing w:val="3"/>
          <w:shd w:val="clear" w:color="auto" w:fill="D5D5E2"/>
        </w:rPr>
        <w:t>Vatnar</w:t>
      </w:r>
      <w:proofErr w:type="spellEnd"/>
      <w:r w:rsidRPr="00CA56BD">
        <w:rPr>
          <w:rFonts w:ascii="Arial" w:hAnsi="Arial" w:cs="Arial"/>
          <w:color w:val="000000"/>
          <w:spacing w:val="3"/>
          <w:shd w:val="clear" w:color="auto" w:fill="D5D5E2"/>
        </w:rPr>
        <w:t xml:space="preserve"> SKB and </w:t>
      </w:r>
      <w:proofErr w:type="spellStart"/>
      <w:r w:rsidRPr="00CA56BD">
        <w:rPr>
          <w:rFonts w:ascii="Arial" w:hAnsi="Arial" w:cs="Arial"/>
          <w:color w:val="000000"/>
          <w:spacing w:val="3"/>
          <w:shd w:val="clear" w:color="auto" w:fill="D5D5E2"/>
        </w:rPr>
        <w:t>Bjørkly</w:t>
      </w:r>
      <w:proofErr w:type="spellEnd"/>
      <w:r w:rsidRPr="00CA56BD">
        <w:rPr>
          <w:rFonts w:ascii="Arial" w:hAnsi="Arial" w:cs="Arial"/>
          <w:color w:val="000000"/>
          <w:spacing w:val="3"/>
          <w:shd w:val="clear" w:color="auto" w:fill="D5D5E2"/>
        </w:rPr>
        <w:t xml:space="preserve"> S. (2018). 'Risk for revictimization of intimate partner violence by multiple partners: a systematic review'. Journal of Family Violence, 33(5), pp 325-339 </w:t>
      </w:r>
    </w:p>
    <w:p w14:paraId="21EBF905" w14:textId="77777777" w:rsidR="00CA56BD" w:rsidRPr="00CA56BD" w:rsidRDefault="00CA56BD" w:rsidP="00CA56BD">
      <w:pPr>
        <w:rPr>
          <w:rFonts w:ascii="Arial" w:hAnsi="Arial" w:cs="Arial"/>
          <w:color w:val="000000"/>
          <w:spacing w:val="3"/>
          <w:shd w:val="clear" w:color="auto" w:fill="D5D5E2"/>
        </w:rPr>
      </w:pPr>
    </w:p>
    <w:p w14:paraId="74BCFF98"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Lantz B and Ruback RB. (2017). 'A networked boost: Burglary co-offending and repeat victimization using a network approach'. Crime &amp; Delinquency, 63(9), pp 1066-1090.</w:t>
      </w:r>
    </w:p>
    <w:p w14:paraId="11A64EB3" w14:textId="77777777" w:rsidR="00CA56BD" w:rsidRPr="00CA56BD" w:rsidRDefault="00CA56BD" w:rsidP="00CA56BD">
      <w:pPr>
        <w:rPr>
          <w:rFonts w:ascii="Arial" w:hAnsi="Arial" w:cs="Arial"/>
          <w:color w:val="000000"/>
          <w:spacing w:val="3"/>
          <w:shd w:val="clear" w:color="auto" w:fill="D5D5E2"/>
        </w:rPr>
      </w:pPr>
    </w:p>
    <w:p w14:paraId="3425F2D5"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Johnson D. (2013). 'The space/time behaviour of dwelling burglars: Finding near repeat patterns in serial offender data'. Applied Geography, 41, pp 139-146.</w:t>
      </w:r>
    </w:p>
    <w:p w14:paraId="2EE1ABFF" w14:textId="77777777" w:rsidR="00CA56BD" w:rsidRPr="00CA56BD" w:rsidRDefault="00CA56BD" w:rsidP="00CA56BD">
      <w:pPr>
        <w:rPr>
          <w:rFonts w:ascii="Arial" w:hAnsi="Arial" w:cs="Arial"/>
          <w:color w:val="000000"/>
          <w:spacing w:val="3"/>
          <w:shd w:val="clear" w:color="auto" w:fill="D5D5E2"/>
        </w:rPr>
      </w:pPr>
    </w:p>
    <w:p w14:paraId="22902E94"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 xml:space="preserve">Lantz B and Ruback RB. (2017). 'A networked boost: Burglary co-offending and repeat victimization using a network approach'. Crime &amp; Delinquency, 63(9), pp 1066-1090. </w:t>
      </w:r>
    </w:p>
    <w:p w14:paraId="1057AE8C" w14:textId="77777777" w:rsidR="00CA56BD" w:rsidRPr="00CA56BD" w:rsidRDefault="00CA56BD" w:rsidP="00CA56BD">
      <w:pPr>
        <w:rPr>
          <w:rFonts w:ascii="Arial" w:hAnsi="Arial" w:cs="Arial"/>
          <w:color w:val="000000"/>
          <w:spacing w:val="3"/>
          <w:shd w:val="clear" w:color="auto" w:fill="D5D5E2"/>
        </w:rPr>
      </w:pPr>
    </w:p>
    <w:p w14:paraId="0ECFEEFA"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Prime J and others. (2001) 'Criminal Careers of Those Born Between 1953 and 1978'. London: Home Office.</w:t>
      </w:r>
    </w:p>
    <w:p w14:paraId="5A0FB68C"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Wikström, P-O and others. (2012). 'Breaking Rules: The Social and Situational Dynamics of Young People's Urban Crime'. Oxford: Oxford University Press.</w:t>
      </w:r>
    </w:p>
    <w:p w14:paraId="27DB0EE0" w14:textId="77777777" w:rsidR="00CA56BD" w:rsidRPr="00CA56BD" w:rsidRDefault="00CA56BD" w:rsidP="00CA56BD">
      <w:pPr>
        <w:rPr>
          <w:rFonts w:ascii="Arial" w:hAnsi="Arial" w:cs="Arial"/>
          <w:color w:val="000000"/>
          <w:spacing w:val="3"/>
          <w:shd w:val="clear" w:color="auto" w:fill="D5D5E2"/>
        </w:rPr>
      </w:pPr>
    </w:p>
    <w:p w14:paraId="19D65E13"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Home Office</w:t>
      </w:r>
      <w:r w:rsidRPr="00CA56BD">
        <w:rPr>
          <w:rStyle w:val="Strong"/>
          <w:rFonts w:ascii="Arial" w:hAnsi="Arial" w:cs="Arial"/>
          <w:color w:val="000000"/>
          <w:spacing w:val="3"/>
          <w:shd w:val="clear" w:color="auto" w:fill="D5D5E2"/>
        </w:rPr>
        <w:t> </w:t>
      </w:r>
      <w:r w:rsidRPr="00CA56BD">
        <w:rPr>
          <w:rFonts w:ascii="Arial" w:hAnsi="Arial" w:cs="Arial"/>
          <w:color w:val="000000"/>
          <w:spacing w:val="3"/>
          <w:shd w:val="clear" w:color="auto" w:fill="D5D5E2"/>
        </w:rPr>
        <w:t>(2001) 'Criminal Justice: The Way Ahead'</w:t>
      </w:r>
      <w:r w:rsidRPr="00CA56BD">
        <w:rPr>
          <w:rStyle w:val="Emphasis"/>
          <w:rFonts w:ascii="Arial" w:hAnsi="Arial" w:cs="Arial"/>
          <w:color w:val="000000"/>
          <w:spacing w:val="3"/>
          <w:shd w:val="clear" w:color="auto" w:fill="D5D5E2"/>
        </w:rPr>
        <w:t>.</w:t>
      </w:r>
      <w:r w:rsidRPr="00CA56BD">
        <w:rPr>
          <w:rFonts w:ascii="Arial" w:hAnsi="Arial" w:cs="Arial"/>
          <w:color w:val="000000"/>
          <w:spacing w:val="3"/>
          <w:shd w:val="clear" w:color="auto" w:fill="D5D5E2"/>
        </w:rPr>
        <w:t> Cm 5074. London: Home Office.</w:t>
      </w:r>
    </w:p>
    <w:p w14:paraId="4FE3C94E" w14:textId="77777777" w:rsidR="00CA56BD" w:rsidRPr="00CA56BD" w:rsidRDefault="00CA56BD" w:rsidP="00CA56BD">
      <w:pPr>
        <w:rPr>
          <w:rFonts w:ascii="Arial" w:hAnsi="Arial" w:cs="Arial"/>
          <w:color w:val="202122"/>
          <w:shd w:val="clear" w:color="auto" w:fill="EAF3FF"/>
        </w:rPr>
      </w:pPr>
    </w:p>
    <w:p w14:paraId="70AE9D55"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Bernasco W. (2008). 'Them Again? Same Offender Involvement in Repeat and Near Repeat Burglaries'. European Journal of Criminology, 5(4), pp 411-431.</w:t>
      </w:r>
    </w:p>
    <w:p w14:paraId="75D6CA93" w14:textId="77777777" w:rsidR="00CA56BD" w:rsidRPr="00CA56BD" w:rsidRDefault="00CA56BD" w:rsidP="00CA56BD">
      <w:pPr>
        <w:rPr>
          <w:rFonts w:ascii="Arial" w:hAnsi="Arial" w:cs="Arial"/>
          <w:color w:val="000000"/>
          <w:spacing w:val="3"/>
          <w:shd w:val="clear" w:color="auto" w:fill="D5D5E2"/>
        </w:rPr>
      </w:pPr>
    </w:p>
    <w:p w14:paraId="4C265D9E"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Pease K. (1998). 'Repeat Victimisation: Taking Stock'. London: Home Office.</w:t>
      </w:r>
      <w:r w:rsidRPr="00CA56BD">
        <w:rPr>
          <w:rFonts w:ascii="Arial" w:hAnsi="Arial" w:cs="Arial"/>
          <w:color w:val="000000"/>
          <w:spacing w:val="3"/>
        </w:rPr>
        <w:br/>
      </w:r>
      <w:r w:rsidRPr="00CA56BD">
        <w:rPr>
          <w:rFonts w:ascii="Arial" w:hAnsi="Arial" w:cs="Arial"/>
          <w:color w:val="000000"/>
          <w:spacing w:val="3"/>
        </w:rPr>
        <w:br/>
      </w:r>
      <w:r w:rsidRPr="00CA56BD">
        <w:rPr>
          <w:rFonts w:ascii="Arial" w:hAnsi="Arial" w:cs="Arial"/>
          <w:color w:val="000000"/>
          <w:spacing w:val="3"/>
          <w:shd w:val="clear" w:color="auto" w:fill="D5D5E2"/>
        </w:rPr>
        <w:t xml:space="preserve">Pease K, </w:t>
      </w:r>
      <w:proofErr w:type="spellStart"/>
      <w:r w:rsidRPr="00CA56BD">
        <w:rPr>
          <w:rFonts w:ascii="Arial" w:hAnsi="Arial" w:cs="Arial"/>
          <w:color w:val="000000"/>
          <w:spacing w:val="3"/>
          <w:shd w:val="clear" w:color="auto" w:fill="D5D5E2"/>
        </w:rPr>
        <w:t>Ignatans</w:t>
      </w:r>
      <w:proofErr w:type="spellEnd"/>
      <w:r w:rsidRPr="00CA56BD">
        <w:rPr>
          <w:rFonts w:ascii="Arial" w:hAnsi="Arial" w:cs="Arial"/>
          <w:color w:val="000000"/>
          <w:spacing w:val="3"/>
          <w:shd w:val="clear" w:color="auto" w:fill="D5D5E2"/>
        </w:rPr>
        <w:t xml:space="preserve"> D and Batty L. (2018). 'Whatever happened to repeat victimisation?' Crime prevention and community safety, 20(4), pp 256-267.</w:t>
      </w:r>
    </w:p>
    <w:p w14:paraId="76E245BF" w14:textId="77777777" w:rsidR="00CA56BD" w:rsidRPr="00CA56BD" w:rsidRDefault="00CA56BD" w:rsidP="00CA56BD">
      <w:pPr>
        <w:rPr>
          <w:rFonts w:ascii="Arial" w:hAnsi="Arial" w:cs="Arial"/>
          <w:color w:val="000000"/>
          <w:spacing w:val="3"/>
          <w:shd w:val="clear" w:color="auto" w:fill="D5D5E2"/>
        </w:rPr>
      </w:pPr>
    </w:p>
    <w:p w14:paraId="619A97F0"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Farrell G, Chenery S and Pease K. (1998). 'Consolidating Police Crackdowns: Findings from an Anti-Burglary Project'. London: Home Office.</w:t>
      </w:r>
      <w:r w:rsidRPr="00CA56BD">
        <w:rPr>
          <w:rFonts w:ascii="Arial" w:hAnsi="Arial" w:cs="Arial"/>
          <w:color w:val="000000"/>
          <w:spacing w:val="3"/>
        </w:rPr>
        <w:br/>
      </w:r>
      <w:r w:rsidRPr="00CA56BD">
        <w:rPr>
          <w:rFonts w:ascii="Arial" w:hAnsi="Arial" w:cs="Arial"/>
          <w:color w:val="000000"/>
          <w:spacing w:val="3"/>
        </w:rPr>
        <w:br/>
      </w:r>
      <w:r w:rsidRPr="00CA56BD">
        <w:rPr>
          <w:rFonts w:ascii="Arial" w:hAnsi="Arial" w:cs="Arial"/>
          <w:color w:val="000000"/>
          <w:spacing w:val="3"/>
          <w:shd w:val="clear" w:color="auto" w:fill="D5D5E2"/>
        </w:rPr>
        <w:t>Farrell G and Pease K. (2003). 'Measuring and Interpreting Repeat Victimization Using Police Data: An Analysis of Burglary Data and Policy for Charlotte, North Carolina'. In: Smith M and Cornish D, eds. 'Theory for Practice in Situational Crime Prevention'. Monsey, NY: Criminal Justice Press.</w:t>
      </w:r>
    </w:p>
    <w:p w14:paraId="02C3AD3B" w14:textId="77777777" w:rsidR="00CA56BD" w:rsidRPr="00CA56BD" w:rsidRDefault="00CA56BD" w:rsidP="00CA56BD">
      <w:pPr>
        <w:rPr>
          <w:rFonts w:ascii="Arial" w:hAnsi="Arial" w:cs="Arial"/>
          <w:color w:val="000000"/>
          <w:spacing w:val="3"/>
          <w:shd w:val="clear" w:color="auto" w:fill="D5D5E2"/>
        </w:rPr>
      </w:pPr>
    </w:p>
    <w:p w14:paraId="27D95826"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 xml:space="preserve">Laub J. and Sampson R. (2001) 'Understanding Desistance from Crime'. In: </w:t>
      </w:r>
      <w:proofErr w:type="spellStart"/>
      <w:r w:rsidRPr="00CA56BD">
        <w:rPr>
          <w:rFonts w:ascii="Arial" w:hAnsi="Arial" w:cs="Arial"/>
          <w:color w:val="000000"/>
          <w:spacing w:val="3"/>
          <w:shd w:val="clear" w:color="auto" w:fill="D5D5E2"/>
        </w:rPr>
        <w:t>Tonry</w:t>
      </w:r>
      <w:proofErr w:type="spellEnd"/>
      <w:r w:rsidRPr="00CA56BD">
        <w:rPr>
          <w:rFonts w:ascii="Arial" w:hAnsi="Arial" w:cs="Arial"/>
          <w:color w:val="000000"/>
          <w:spacing w:val="3"/>
          <w:shd w:val="clear" w:color="auto" w:fill="D5D5E2"/>
        </w:rPr>
        <w:t xml:space="preserve"> M, ed. 'Crime and Justice'. Chicago: University of Chicago Press.</w:t>
      </w:r>
    </w:p>
    <w:p w14:paraId="5817679F" w14:textId="77777777" w:rsidR="00CA56BD" w:rsidRPr="00CA56BD" w:rsidRDefault="00CA56BD" w:rsidP="00CA56BD">
      <w:pPr>
        <w:rPr>
          <w:rFonts w:ascii="Arial" w:hAnsi="Arial" w:cs="Arial"/>
          <w:color w:val="000000"/>
          <w:spacing w:val="3"/>
          <w:shd w:val="clear" w:color="auto" w:fill="D5D5E2"/>
        </w:rPr>
      </w:pPr>
    </w:p>
    <w:p w14:paraId="14EF29FD"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Rocque M (2015). 'The lost concept: The (re) emerging link between maturation and desistance from crime'. Criminology &amp; Criminal Justice, 15(3), pp 340-360.</w:t>
      </w:r>
    </w:p>
    <w:p w14:paraId="362A7F9D" w14:textId="77777777" w:rsidR="00CA56BD" w:rsidRPr="00CA56BD" w:rsidRDefault="00CA56BD" w:rsidP="00CA56BD">
      <w:pPr>
        <w:rPr>
          <w:rFonts w:ascii="Arial" w:hAnsi="Arial" w:cs="Arial"/>
          <w:color w:val="000000"/>
          <w:spacing w:val="3"/>
          <w:shd w:val="clear" w:color="auto" w:fill="D5D5E2"/>
        </w:rPr>
      </w:pPr>
    </w:p>
    <w:p w14:paraId="176E866D" w14:textId="77777777" w:rsidR="00CA56BD" w:rsidRPr="00CA56BD"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Sampson R and Laub J. (2003). 'Desistance from Crime over the Life Course'. In: Mortimer J and Shanahan M, eds. 'Handbook of the Life Course'. New York: Kluwer Academic/Plenum.</w:t>
      </w:r>
    </w:p>
    <w:p w14:paraId="0627B5A7" w14:textId="77777777" w:rsidR="00CA56BD" w:rsidRPr="00CA56BD" w:rsidRDefault="00CA56BD" w:rsidP="00CA56BD">
      <w:pPr>
        <w:rPr>
          <w:rFonts w:ascii="Arial" w:hAnsi="Arial" w:cs="Arial"/>
          <w:color w:val="000000"/>
          <w:spacing w:val="3"/>
          <w:shd w:val="clear" w:color="auto" w:fill="D5D5E2"/>
        </w:rPr>
      </w:pPr>
    </w:p>
    <w:p w14:paraId="3C708808" w14:textId="77777777" w:rsidR="00CA56BD" w:rsidRPr="00A67FB8" w:rsidRDefault="00CA56BD" w:rsidP="00CA56BD">
      <w:pPr>
        <w:rPr>
          <w:rFonts w:ascii="Arial" w:hAnsi="Arial" w:cs="Arial"/>
          <w:color w:val="000000"/>
          <w:spacing w:val="3"/>
          <w:shd w:val="clear" w:color="auto" w:fill="D5D5E2"/>
        </w:rPr>
      </w:pPr>
      <w:r w:rsidRPr="00CA56BD">
        <w:rPr>
          <w:rFonts w:ascii="Arial" w:hAnsi="Arial" w:cs="Arial"/>
          <w:color w:val="000000"/>
          <w:spacing w:val="3"/>
          <w:shd w:val="clear" w:color="auto" w:fill="D5D5E2"/>
        </w:rPr>
        <w:t xml:space="preserve">K Pease (2002) Crime reduction in M Maguire, R Morgan, R </w:t>
      </w:r>
      <w:proofErr w:type="spellStart"/>
      <w:r w:rsidRPr="00CA56BD">
        <w:rPr>
          <w:rFonts w:ascii="Arial" w:hAnsi="Arial" w:cs="Arial"/>
          <w:color w:val="000000"/>
          <w:spacing w:val="3"/>
          <w:shd w:val="clear" w:color="auto" w:fill="D5D5E2"/>
        </w:rPr>
        <w:t>reiner</w:t>
      </w:r>
      <w:proofErr w:type="spellEnd"/>
      <w:r w:rsidRPr="00CA56BD">
        <w:rPr>
          <w:rFonts w:ascii="Arial" w:hAnsi="Arial" w:cs="Arial"/>
          <w:color w:val="000000"/>
          <w:spacing w:val="3"/>
          <w:shd w:val="clear" w:color="auto" w:fill="D5D5E2"/>
        </w:rPr>
        <w:t xml:space="preserve"> (eds.) The Oxford Handbook of Criminology OUP, Oxford: 947-979</w:t>
      </w:r>
    </w:p>
    <w:p w14:paraId="441F75DF" w14:textId="77777777" w:rsidR="00CA56BD" w:rsidRPr="00A67FB8" w:rsidRDefault="00CA56BD" w:rsidP="00CA56BD">
      <w:pPr>
        <w:rPr>
          <w:rFonts w:ascii="Arial" w:hAnsi="Arial" w:cs="Arial"/>
          <w:color w:val="000000"/>
          <w:spacing w:val="3"/>
          <w:shd w:val="clear" w:color="auto" w:fill="D5D5E2"/>
        </w:rPr>
      </w:pPr>
    </w:p>
    <w:p w14:paraId="05F9B31F" w14:textId="77777777" w:rsidR="00CA56BD" w:rsidRPr="00A67FB8" w:rsidRDefault="00CA56BD" w:rsidP="00CA56BD">
      <w:pPr>
        <w:rPr>
          <w:rFonts w:ascii="Arial" w:hAnsi="Arial" w:cs="Arial"/>
        </w:rPr>
      </w:pPr>
      <w:r w:rsidRPr="00A67FB8">
        <w:rPr>
          <w:rFonts w:ascii="Arial" w:hAnsi="Arial" w:cs="Arial"/>
        </w:rPr>
        <w:lastRenderedPageBreak/>
        <w:t xml:space="preserve">Sidebottom, A., Tilley, N. and Eck, J. (2012). Towards checklists to reduce common sources of problem-solving failure. Policing: A Journal of Policy and Practice, advanced access version doi:10.1093/police/par054 </w:t>
      </w:r>
    </w:p>
    <w:p w14:paraId="57596E33" w14:textId="77777777" w:rsidR="00CA56BD" w:rsidRPr="00A67FB8" w:rsidRDefault="00CA56BD" w:rsidP="00CA56BD">
      <w:pPr>
        <w:rPr>
          <w:rFonts w:ascii="Arial" w:hAnsi="Arial" w:cs="Arial"/>
        </w:rPr>
      </w:pPr>
    </w:p>
    <w:p w14:paraId="1CE56E60" w14:textId="77777777" w:rsidR="00CA56BD" w:rsidRPr="00A67FB8" w:rsidRDefault="00CA56BD" w:rsidP="00CA56BD">
      <w:pPr>
        <w:rPr>
          <w:rFonts w:ascii="Arial" w:hAnsi="Arial" w:cs="Arial"/>
        </w:rPr>
      </w:pPr>
      <w:r w:rsidRPr="00A67FB8">
        <w:rPr>
          <w:rFonts w:ascii="Arial" w:hAnsi="Arial" w:cs="Arial"/>
        </w:rPr>
        <w:t xml:space="preserve">*Forrester, D., Chatterton, M. and Pease, K. (1988). The </w:t>
      </w:r>
      <w:proofErr w:type="spellStart"/>
      <w:r w:rsidRPr="00A67FB8">
        <w:rPr>
          <w:rFonts w:ascii="Arial" w:hAnsi="Arial" w:cs="Arial"/>
        </w:rPr>
        <w:t>Kirkholt</w:t>
      </w:r>
      <w:proofErr w:type="spellEnd"/>
      <w:r w:rsidRPr="00A67FB8">
        <w:rPr>
          <w:rFonts w:ascii="Arial" w:hAnsi="Arial" w:cs="Arial"/>
        </w:rPr>
        <w:t xml:space="preserve"> Burglary Prevention Project, Rochdale. Crime Prevention Unit Paper 13. London: Home Office. </w:t>
      </w:r>
    </w:p>
    <w:p w14:paraId="28C8162B" w14:textId="77777777" w:rsidR="00CA56BD" w:rsidRPr="00A67FB8" w:rsidRDefault="00CA56BD" w:rsidP="00CA56BD">
      <w:pPr>
        <w:rPr>
          <w:rFonts w:ascii="Arial" w:hAnsi="Arial" w:cs="Arial"/>
        </w:rPr>
      </w:pPr>
    </w:p>
    <w:p w14:paraId="1F07396E" w14:textId="77777777" w:rsidR="00CA56BD" w:rsidRPr="00A67FB8" w:rsidRDefault="00CA56BD" w:rsidP="00CA56BD">
      <w:pPr>
        <w:rPr>
          <w:rFonts w:ascii="Arial" w:hAnsi="Arial" w:cs="Arial"/>
        </w:rPr>
      </w:pPr>
      <w:r w:rsidRPr="00A67FB8">
        <w:rPr>
          <w:rFonts w:ascii="Arial" w:hAnsi="Arial" w:cs="Arial"/>
        </w:rPr>
        <w:t xml:space="preserve">*Forrester, D., </w:t>
      </w:r>
      <w:proofErr w:type="spellStart"/>
      <w:r w:rsidRPr="00A67FB8">
        <w:rPr>
          <w:rFonts w:ascii="Arial" w:hAnsi="Arial" w:cs="Arial"/>
        </w:rPr>
        <w:t>Frenz</w:t>
      </w:r>
      <w:proofErr w:type="spellEnd"/>
      <w:r w:rsidRPr="00A67FB8">
        <w:rPr>
          <w:rFonts w:ascii="Arial" w:hAnsi="Arial" w:cs="Arial"/>
        </w:rPr>
        <w:t xml:space="preserve">, S., O’Connell, M., and Pease, K. (1990). The </w:t>
      </w:r>
      <w:proofErr w:type="spellStart"/>
      <w:r w:rsidRPr="00A67FB8">
        <w:rPr>
          <w:rFonts w:ascii="Arial" w:hAnsi="Arial" w:cs="Arial"/>
        </w:rPr>
        <w:t>Kirkholt</w:t>
      </w:r>
      <w:proofErr w:type="spellEnd"/>
      <w:r w:rsidRPr="00A67FB8">
        <w:rPr>
          <w:rFonts w:ascii="Arial" w:hAnsi="Arial" w:cs="Arial"/>
        </w:rPr>
        <w:t xml:space="preserve"> Burglary Prevention Project: Phase II. Crime Prevention Unit Paper 23. London: Her Majesty's Stationery Office</w:t>
      </w:r>
    </w:p>
    <w:p w14:paraId="7332E136" w14:textId="77777777" w:rsidR="00CA56BD" w:rsidRPr="00A67FB8" w:rsidRDefault="00CA56BD" w:rsidP="00CA56BD">
      <w:pPr>
        <w:rPr>
          <w:rFonts w:ascii="Arial" w:hAnsi="Arial" w:cs="Arial"/>
        </w:rPr>
      </w:pPr>
    </w:p>
    <w:p w14:paraId="01F6D3ED" w14:textId="77777777" w:rsidR="00CA56BD" w:rsidRPr="00A67FB8" w:rsidRDefault="00CA56BD" w:rsidP="00CA56BD">
      <w:pPr>
        <w:rPr>
          <w:rFonts w:ascii="Arial" w:hAnsi="Arial" w:cs="Arial"/>
        </w:rPr>
      </w:pPr>
      <w:r w:rsidRPr="00A67FB8">
        <w:rPr>
          <w:rFonts w:ascii="Arial" w:hAnsi="Arial" w:cs="Arial"/>
        </w:rPr>
        <w:t xml:space="preserve">Assignment 2: </w:t>
      </w:r>
    </w:p>
    <w:p w14:paraId="752CCF96" w14:textId="77777777" w:rsidR="00CA56BD" w:rsidRPr="00A67FB8" w:rsidRDefault="00CA56BD" w:rsidP="00CA56BD">
      <w:pPr>
        <w:rPr>
          <w:rFonts w:ascii="Arial" w:hAnsi="Arial" w:cs="Arial"/>
        </w:rPr>
      </w:pPr>
    </w:p>
    <w:p w14:paraId="532498F1" w14:textId="77777777" w:rsidR="00CA56BD" w:rsidRPr="00A67FB8" w:rsidRDefault="00CA56BD" w:rsidP="00CA56BD">
      <w:pPr>
        <w:rPr>
          <w:rFonts w:ascii="Arial" w:hAnsi="Arial" w:cs="Arial"/>
        </w:rPr>
      </w:pPr>
      <w:r w:rsidRPr="00A67FB8">
        <w:rPr>
          <w:rFonts w:ascii="Arial" w:hAnsi="Arial" w:cs="Arial"/>
        </w:rPr>
        <w:t xml:space="preserve">Home Office (2012). Definition of policing by consent. </w:t>
      </w:r>
    </w:p>
    <w:p w14:paraId="3E0C323D" w14:textId="77777777" w:rsidR="00CA56BD" w:rsidRPr="00A67FB8" w:rsidRDefault="00CA56BD" w:rsidP="00CA56BD">
      <w:pPr>
        <w:rPr>
          <w:rFonts w:ascii="Arial" w:hAnsi="Arial" w:cs="Arial"/>
        </w:rPr>
      </w:pPr>
    </w:p>
    <w:p w14:paraId="74F01C15" w14:textId="77777777" w:rsidR="00CA56BD" w:rsidRPr="00A67FB8" w:rsidRDefault="00CA56BD" w:rsidP="00CA56BD">
      <w:pPr>
        <w:rPr>
          <w:rFonts w:ascii="Arial" w:hAnsi="Arial" w:cs="Arial"/>
        </w:rPr>
      </w:pPr>
      <w:r w:rsidRPr="00A67FB8">
        <w:rPr>
          <w:rFonts w:ascii="Arial" w:hAnsi="Arial" w:cs="Arial"/>
        </w:rPr>
        <w:t xml:space="preserve">Bradford, B. et al. (2010). Trust and Confidence in the Police: A Conceptual Review </w:t>
      </w:r>
    </w:p>
    <w:p w14:paraId="3A724E3C" w14:textId="77777777" w:rsidR="00CA56BD" w:rsidRPr="00A67FB8" w:rsidRDefault="00CA56BD" w:rsidP="00CA56BD">
      <w:pPr>
        <w:rPr>
          <w:rFonts w:ascii="Arial" w:hAnsi="Arial" w:cs="Arial"/>
        </w:rPr>
      </w:pPr>
    </w:p>
    <w:p w14:paraId="4E303055" w14:textId="77777777" w:rsidR="00CA56BD" w:rsidRPr="00A67FB8" w:rsidRDefault="00CA56BD" w:rsidP="00CA56BD">
      <w:pPr>
        <w:rPr>
          <w:rFonts w:ascii="Arial" w:hAnsi="Arial" w:cs="Arial"/>
        </w:rPr>
      </w:pPr>
      <w:r w:rsidRPr="00A67FB8">
        <w:rPr>
          <w:rFonts w:ascii="Arial" w:hAnsi="Arial" w:cs="Arial"/>
        </w:rPr>
        <w:t xml:space="preserve">Hough, Mike et al. (2013). Attitudes to sentencing and trust in justice: exploring trends from the crime survey for England and Wales. </w:t>
      </w:r>
      <w:proofErr w:type="spellStart"/>
      <w:r w:rsidRPr="00A67FB8">
        <w:rPr>
          <w:rFonts w:ascii="Arial" w:hAnsi="Arial" w:cs="Arial"/>
        </w:rPr>
        <w:t>Minist</w:t>
      </w:r>
      <w:proofErr w:type="spellEnd"/>
      <w:r w:rsidRPr="00A67FB8">
        <w:rPr>
          <w:rFonts w:ascii="Arial" w:hAnsi="Arial" w:cs="Arial"/>
        </w:rPr>
        <w:t xml:space="preserve">. Justice Anal. Ser., </w:t>
      </w:r>
    </w:p>
    <w:p w14:paraId="29BB133C" w14:textId="77777777" w:rsidR="00CA56BD" w:rsidRPr="00A67FB8" w:rsidRDefault="00CA56BD" w:rsidP="00CA56BD">
      <w:pPr>
        <w:rPr>
          <w:rFonts w:ascii="Arial" w:hAnsi="Arial" w:cs="Arial"/>
        </w:rPr>
      </w:pPr>
    </w:p>
    <w:p w14:paraId="08DD9CEC" w14:textId="77777777" w:rsidR="00CA56BD" w:rsidRPr="00A67FB8" w:rsidRDefault="00CA56BD" w:rsidP="00CA56BD">
      <w:pPr>
        <w:rPr>
          <w:rFonts w:ascii="Arial" w:hAnsi="Arial" w:cs="Arial"/>
        </w:rPr>
      </w:pPr>
      <w:proofErr w:type="spellStart"/>
      <w:r w:rsidRPr="00A67FB8">
        <w:rPr>
          <w:rFonts w:ascii="Arial" w:hAnsi="Arial" w:cs="Arial"/>
        </w:rPr>
        <w:t>Dirikx</w:t>
      </w:r>
      <w:proofErr w:type="spellEnd"/>
      <w:r w:rsidRPr="00A67FB8">
        <w:rPr>
          <w:rFonts w:ascii="Arial" w:hAnsi="Arial" w:cs="Arial"/>
        </w:rPr>
        <w:t xml:space="preserve">, A. et al. (2014). Media use and the Process-Based Model for Police Cooperation: An Integrative Approach towards Explaining Adolescents’ Intentions to Cooperate with the Police. Br. J. </w:t>
      </w:r>
      <w:proofErr w:type="spellStart"/>
      <w:r w:rsidRPr="00A67FB8">
        <w:rPr>
          <w:rFonts w:ascii="Arial" w:hAnsi="Arial" w:cs="Arial"/>
        </w:rPr>
        <w:t>Criminol</w:t>
      </w:r>
      <w:proofErr w:type="spellEnd"/>
      <w:r w:rsidRPr="00A67FB8">
        <w:rPr>
          <w:rFonts w:ascii="Arial" w:hAnsi="Arial" w:cs="Arial"/>
        </w:rPr>
        <w:t xml:space="preserve">., Vol 54, 344–365 </w:t>
      </w:r>
    </w:p>
    <w:p w14:paraId="38D9BF16" w14:textId="77777777" w:rsidR="00CA56BD" w:rsidRPr="00A67FB8" w:rsidRDefault="00CA56BD" w:rsidP="00CA56BD">
      <w:pPr>
        <w:rPr>
          <w:rFonts w:ascii="Arial" w:hAnsi="Arial" w:cs="Arial"/>
        </w:rPr>
      </w:pPr>
    </w:p>
    <w:p w14:paraId="14846F0F" w14:textId="77777777" w:rsidR="00CA56BD" w:rsidRPr="00A67FB8" w:rsidRDefault="00CA56BD" w:rsidP="00CA56BD">
      <w:pPr>
        <w:rPr>
          <w:rFonts w:ascii="Arial" w:hAnsi="Arial" w:cs="Arial"/>
        </w:rPr>
      </w:pPr>
      <w:r w:rsidRPr="00A67FB8">
        <w:rPr>
          <w:rFonts w:ascii="Arial" w:hAnsi="Arial" w:cs="Arial"/>
        </w:rPr>
        <w:t>Office for National Statistics (2022). Contact and trust with the police, year ending March 2016 to March 2020.</w:t>
      </w:r>
    </w:p>
    <w:p w14:paraId="37A5518A" w14:textId="77777777" w:rsidR="00CA56BD" w:rsidRPr="00A67FB8" w:rsidRDefault="00CA56BD" w:rsidP="00CA56BD">
      <w:pPr>
        <w:rPr>
          <w:rFonts w:ascii="Arial" w:hAnsi="Arial" w:cs="Arial"/>
        </w:rPr>
      </w:pPr>
    </w:p>
    <w:p w14:paraId="5C35F2B9" w14:textId="77777777" w:rsidR="00CA56BD" w:rsidRPr="00A67FB8" w:rsidRDefault="00CA56BD" w:rsidP="00CA56BD">
      <w:pPr>
        <w:rPr>
          <w:rFonts w:ascii="Arial" w:hAnsi="Arial" w:cs="Arial"/>
        </w:rPr>
      </w:pPr>
      <w:r w:rsidRPr="00A67FB8">
        <w:rPr>
          <w:rFonts w:ascii="Arial" w:hAnsi="Arial" w:cs="Arial"/>
        </w:rPr>
        <w:t xml:space="preserve">Graziano, L. M. (2018). News media and perceptions of police: a stateof-the-art-review. </w:t>
      </w:r>
      <w:proofErr w:type="spellStart"/>
      <w:r w:rsidRPr="00A67FB8">
        <w:rPr>
          <w:rFonts w:ascii="Arial" w:hAnsi="Arial" w:cs="Arial"/>
        </w:rPr>
        <w:t>Polic</w:t>
      </w:r>
      <w:proofErr w:type="spellEnd"/>
      <w:r w:rsidRPr="00A67FB8">
        <w:rPr>
          <w:rFonts w:ascii="Arial" w:hAnsi="Arial" w:cs="Arial"/>
        </w:rPr>
        <w:t xml:space="preserve">. Int. J., Vol 42, 209–225. Emerald Publishing Limited </w:t>
      </w:r>
    </w:p>
    <w:p w14:paraId="1CAD8A03" w14:textId="77777777" w:rsidR="00CA56BD" w:rsidRPr="00A67FB8" w:rsidRDefault="00CA56BD" w:rsidP="00CA56BD">
      <w:pPr>
        <w:rPr>
          <w:rFonts w:ascii="Arial" w:hAnsi="Arial" w:cs="Arial"/>
        </w:rPr>
      </w:pPr>
    </w:p>
    <w:p w14:paraId="489450A8" w14:textId="77777777" w:rsidR="00CA56BD" w:rsidRPr="00A67FB8" w:rsidRDefault="00CA56BD" w:rsidP="00CA56BD">
      <w:pPr>
        <w:rPr>
          <w:rFonts w:ascii="Arial" w:hAnsi="Arial" w:cs="Arial"/>
        </w:rPr>
      </w:pPr>
      <w:proofErr w:type="spellStart"/>
      <w:r w:rsidRPr="00A67FB8">
        <w:rPr>
          <w:rFonts w:ascii="Arial" w:hAnsi="Arial" w:cs="Arial"/>
        </w:rPr>
        <w:t>Nägel</w:t>
      </w:r>
      <w:proofErr w:type="spellEnd"/>
      <w:r w:rsidRPr="00A67FB8">
        <w:rPr>
          <w:rFonts w:ascii="Arial" w:hAnsi="Arial" w:cs="Arial"/>
        </w:rPr>
        <w:t xml:space="preserve">, C. et al. (2022). Unexpected events during survey design and trust in the police: a systematic review. J. Exp. </w:t>
      </w:r>
      <w:proofErr w:type="spellStart"/>
      <w:r w:rsidRPr="00A67FB8">
        <w:rPr>
          <w:rFonts w:ascii="Arial" w:hAnsi="Arial" w:cs="Arial"/>
        </w:rPr>
        <w:t>Criminol</w:t>
      </w:r>
      <w:proofErr w:type="spellEnd"/>
      <w:r w:rsidRPr="00A67FB8">
        <w:rPr>
          <w:rFonts w:ascii="Arial" w:hAnsi="Arial" w:cs="Arial"/>
        </w:rPr>
        <w:t xml:space="preserve">. </w:t>
      </w:r>
    </w:p>
    <w:p w14:paraId="7CE72661" w14:textId="77777777" w:rsidR="00CA56BD" w:rsidRPr="00A67FB8" w:rsidRDefault="00CA56BD" w:rsidP="00CA56BD">
      <w:pPr>
        <w:rPr>
          <w:rFonts w:ascii="Arial" w:hAnsi="Arial" w:cs="Arial"/>
        </w:rPr>
      </w:pPr>
    </w:p>
    <w:p w14:paraId="4AB83FEA" w14:textId="77777777" w:rsidR="00CA56BD" w:rsidRPr="00A67FB8" w:rsidRDefault="00CA56BD" w:rsidP="00CA56BD">
      <w:pPr>
        <w:rPr>
          <w:rFonts w:ascii="Arial" w:hAnsi="Arial" w:cs="Arial"/>
        </w:rPr>
      </w:pPr>
      <w:proofErr w:type="spellStart"/>
      <w:r w:rsidRPr="00A67FB8">
        <w:rPr>
          <w:rFonts w:ascii="Arial" w:hAnsi="Arial" w:cs="Arial"/>
        </w:rPr>
        <w:t>Reny</w:t>
      </w:r>
      <w:proofErr w:type="spellEnd"/>
      <w:r w:rsidRPr="00A67FB8">
        <w:rPr>
          <w:rFonts w:ascii="Arial" w:hAnsi="Arial" w:cs="Arial"/>
        </w:rPr>
        <w:t>, T. T. et al. (2021). The Opinion-Mobilizing Effect of Social Protest against Police Violence: Evidence from the 2020 George Floyd Protests. Am. Polit. Sci. Rev., Vol 115, 1499–1507. Cambridge University Press.</w:t>
      </w:r>
    </w:p>
    <w:p w14:paraId="1978C469" w14:textId="77777777" w:rsidR="00CA56BD" w:rsidRPr="00A67FB8" w:rsidRDefault="00CA56BD" w:rsidP="00CA56BD">
      <w:pPr>
        <w:rPr>
          <w:rFonts w:ascii="Arial" w:hAnsi="Arial" w:cs="Arial"/>
        </w:rPr>
      </w:pPr>
    </w:p>
    <w:p w14:paraId="49139FCC" w14:textId="77777777" w:rsidR="00CA56BD" w:rsidRPr="00A67FB8" w:rsidRDefault="00CA56BD" w:rsidP="00CA56BD">
      <w:pPr>
        <w:rPr>
          <w:rFonts w:ascii="Arial" w:hAnsi="Arial" w:cs="Arial"/>
        </w:rPr>
      </w:pPr>
      <w:r w:rsidRPr="00A67FB8">
        <w:rPr>
          <w:rFonts w:ascii="Arial" w:hAnsi="Arial" w:cs="Arial"/>
        </w:rPr>
        <w:lastRenderedPageBreak/>
        <w:t xml:space="preserve">BBC News (2022). Police errors contributed to Solihull deaths. BBC News </w:t>
      </w:r>
    </w:p>
    <w:p w14:paraId="10E64308" w14:textId="77777777" w:rsidR="00CA56BD" w:rsidRPr="00A67FB8" w:rsidRDefault="00CA56BD" w:rsidP="00CA56BD">
      <w:pPr>
        <w:rPr>
          <w:rFonts w:ascii="Arial" w:hAnsi="Arial" w:cs="Arial"/>
        </w:rPr>
      </w:pPr>
    </w:p>
    <w:p w14:paraId="6CA64F4A" w14:textId="77777777" w:rsidR="00CA56BD" w:rsidRPr="00A67FB8" w:rsidRDefault="00CA56BD" w:rsidP="00CA56BD">
      <w:pPr>
        <w:rPr>
          <w:rFonts w:ascii="Arial" w:hAnsi="Arial" w:cs="Arial"/>
        </w:rPr>
      </w:pPr>
      <w:r w:rsidRPr="00A67FB8">
        <w:rPr>
          <w:rFonts w:ascii="Arial" w:hAnsi="Arial" w:cs="Arial"/>
        </w:rPr>
        <w:t>IOPC (2022). Investigation finds missed opportunities over prior police contact with Birmingham murder victim.</w:t>
      </w:r>
    </w:p>
    <w:p w14:paraId="433CAB5D" w14:textId="77777777" w:rsidR="00CA56BD" w:rsidRPr="00A67FB8" w:rsidRDefault="00CA56BD" w:rsidP="00CA56BD">
      <w:pPr>
        <w:rPr>
          <w:rFonts w:ascii="Arial" w:hAnsi="Arial" w:cs="Arial"/>
        </w:rPr>
      </w:pPr>
    </w:p>
    <w:p w14:paraId="0986F4C4" w14:textId="77777777" w:rsidR="00CA56BD" w:rsidRPr="00A67FB8" w:rsidRDefault="00CA56BD" w:rsidP="00CA56BD">
      <w:pPr>
        <w:rPr>
          <w:rFonts w:ascii="Arial" w:hAnsi="Arial" w:cs="Arial"/>
        </w:rPr>
      </w:pPr>
      <w:r w:rsidRPr="00A67FB8">
        <w:rPr>
          <w:rFonts w:ascii="Arial" w:hAnsi="Arial" w:cs="Arial"/>
        </w:rPr>
        <w:t>Dray, S. (2021). Black Lives Matter: New race inequalities commission and a London statue review.</w:t>
      </w:r>
    </w:p>
    <w:p w14:paraId="1968BED9" w14:textId="77777777" w:rsidR="00CA56BD" w:rsidRPr="00A67FB8" w:rsidRDefault="00CA56BD" w:rsidP="00CA56BD">
      <w:pPr>
        <w:rPr>
          <w:rFonts w:ascii="Arial" w:hAnsi="Arial" w:cs="Arial"/>
        </w:rPr>
      </w:pPr>
    </w:p>
    <w:p w14:paraId="626E54C9" w14:textId="77777777" w:rsidR="00CA56BD" w:rsidRPr="00A67FB8" w:rsidRDefault="00CA56BD" w:rsidP="00CA56BD">
      <w:pPr>
        <w:rPr>
          <w:rFonts w:ascii="Arial" w:hAnsi="Arial" w:cs="Arial"/>
        </w:rPr>
      </w:pPr>
      <w:r w:rsidRPr="00A67FB8">
        <w:rPr>
          <w:rFonts w:ascii="Arial" w:hAnsi="Arial" w:cs="Arial"/>
        </w:rPr>
        <w:t>Joseph–Salisbury, R. et al. (2020). “The UK is not innocent”: Black Lives Matter, policing and abolition in the UK. Equal. Divers. Incl. Int. J., Vol 40, 21–28. Emerald Publishing Limited.</w:t>
      </w:r>
    </w:p>
    <w:p w14:paraId="3DB78793" w14:textId="77777777" w:rsidR="00CA56BD" w:rsidRPr="00A67FB8" w:rsidRDefault="00CA56BD" w:rsidP="00CA56BD">
      <w:pPr>
        <w:rPr>
          <w:rFonts w:ascii="Arial" w:hAnsi="Arial" w:cs="Arial"/>
        </w:rPr>
      </w:pPr>
    </w:p>
    <w:p w14:paraId="44D8E31A" w14:textId="77777777" w:rsidR="00CA56BD" w:rsidRPr="00A67FB8" w:rsidRDefault="00CA56BD" w:rsidP="00CA56BD">
      <w:pPr>
        <w:rPr>
          <w:rFonts w:ascii="Arial" w:hAnsi="Arial" w:cs="Arial"/>
        </w:rPr>
      </w:pPr>
      <w:proofErr w:type="spellStart"/>
      <w:r w:rsidRPr="00A67FB8">
        <w:rPr>
          <w:rFonts w:ascii="Arial" w:hAnsi="Arial" w:cs="Arial"/>
        </w:rPr>
        <w:t>Brantingham</w:t>
      </w:r>
      <w:proofErr w:type="spellEnd"/>
      <w:r w:rsidRPr="00A67FB8">
        <w:rPr>
          <w:rFonts w:ascii="Arial" w:hAnsi="Arial" w:cs="Arial"/>
        </w:rPr>
        <w:t>, P. J. et al. (2022). Changes in public–police cooperation following the murder of George Floyd. PNAS Nexus, Vol 1, pgac189.</w:t>
      </w:r>
    </w:p>
    <w:p w14:paraId="4F8D27F9" w14:textId="77777777" w:rsidR="00CA56BD" w:rsidRPr="00A67FB8" w:rsidRDefault="00CA56BD" w:rsidP="00CA56BD">
      <w:pPr>
        <w:rPr>
          <w:rFonts w:ascii="Arial" w:hAnsi="Arial" w:cs="Arial"/>
        </w:rPr>
      </w:pPr>
    </w:p>
    <w:p w14:paraId="754358E4" w14:textId="77777777" w:rsidR="00CA56BD" w:rsidRPr="00A67FB8" w:rsidRDefault="00CA56BD" w:rsidP="00CA56BD">
      <w:pPr>
        <w:rPr>
          <w:rFonts w:ascii="Arial" w:hAnsi="Arial" w:cs="Arial"/>
        </w:rPr>
      </w:pPr>
      <w:proofErr w:type="spellStart"/>
      <w:r w:rsidRPr="00A67FB8">
        <w:rPr>
          <w:rFonts w:ascii="Arial" w:hAnsi="Arial" w:cs="Arial"/>
        </w:rPr>
        <w:t>Nivette</w:t>
      </w:r>
      <w:proofErr w:type="spellEnd"/>
      <w:r w:rsidRPr="00A67FB8">
        <w:rPr>
          <w:rFonts w:ascii="Arial" w:hAnsi="Arial" w:cs="Arial"/>
        </w:rPr>
        <w:t xml:space="preserve">, A. et al. (2023). Examining the effects of the killing of George Floyd by police in the United States on attitudes of Black Londoners: a replication. Police </w:t>
      </w:r>
      <w:proofErr w:type="spellStart"/>
      <w:r w:rsidRPr="00A67FB8">
        <w:rPr>
          <w:rFonts w:ascii="Arial" w:hAnsi="Arial" w:cs="Arial"/>
        </w:rPr>
        <w:t>Pract</w:t>
      </w:r>
      <w:proofErr w:type="spellEnd"/>
      <w:r w:rsidRPr="00A67FB8">
        <w:rPr>
          <w:rFonts w:ascii="Arial" w:hAnsi="Arial" w:cs="Arial"/>
        </w:rPr>
        <w:t>. Res., Vol 0, 1–22. Routledge</w:t>
      </w:r>
    </w:p>
    <w:p w14:paraId="33B61013" w14:textId="77777777" w:rsidR="00CA56BD" w:rsidRPr="00A67FB8" w:rsidRDefault="00CA56BD" w:rsidP="00CA56BD">
      <w:pPr>
        <w:rPr>
          <w:rFonts w:ascii="Arial" w:hAnsi="Arial" w:cs="Arial"/>
        </w:rPr>
      </w:pPr>
    </w:p>
    <w:p w14:paraId="6A937C72" w14:textId="77777777" w:rsidR="00CA56BD" w:rsidRPr="00A67FB8" w:rsidRDefault="00CA56BD" w:rsidP="00CA56BD">
      <w:pPr>
        <w:rPr>
          <w:rFonts w:ascii="Arial" w:hAnsi="Arial" w:cs="Arial"/>
        </w:rPr>
      </w:pPr>
      <w:r w:rsidRPr="00A67FB8">
        <w:rPr>
          <w:rFonts w:ascii="Arial" w:hAnsi="Arial" w:cs="Arial"/>
        </w:rPr>
        <w:t xml:space="preserve">Home Office (2021). Inquiry launched into issues raised by </w:t>
      </w:r>
      <w:proofErr w:type="spellStart"/>
      <w:r w:rsidRPr="00A67FB8">
        <w:rPr>
          <w:rFonts w:ascii="Arial" w:hAnsi="Arial" w:cs="Arial"/>
        </w:rPr>
        <w:t>Couzens</w:t>
      </w:r>
      <w:proofErr w:type="spellEnd"/>
      <w:r w:rsidRPr="00A67FB8">
        <w:rPr>
          <w:rFonts w:ascii="Arial" w:hAnsi="Arial" w:cs="Arial"/>
        </w:rPr>
        <w:t xml:space="preserve"> conviction.</w:t>
      </w:r>
    </w:p>
    <w:p w14:paraId="371A0F8F" w14:textId="77777777" w:rsidR="00CA56BD" w:rsidRPr="00A67FB8" w:rsidRDefault="00CA56BD" w:rsidP="00CA56BD">
      <w:pPr>
        <w:rPr>
          <w:rFonts w:ascii="Arial" w:hAnsi="Arial" w:cs="Arial"/>
        </w:rPr>
      </w:pPr>
    </w:p>
    <w:p w14:paraId="7DD3BB3C" w14:textId="77777777" w:rsidR="00CA56BD" w:rsidRPr="00A67FB8" w:rsidRDefault="00CA56BD" w:rsidP="00CA56BD">
      <w:pPr>
        <w:rPr>
          <w:rFonts w:ascii="Arial" w:hAnsi="Arial" w:cs="Arial"/>
        </w:rPr>
      </w:pPr>
      <w:r w:rsidRPr="00A67FB8">
        <w:rPr>
          <w:rFonts w:ascii="Arial" w:hAnsi="Arial" w:cs="Arial"/>
        </w:rPr>
        <w:t xml:space="preserve">HM Inspectorate of Constabulary and Fire &amp; Rescue Services (HMICFRS) (2021). Inspection of the policing of the Sarah Everard vigil. His Majesty’s Inspectorate of Constabulary and Fire &amp; Rescue Services (HMICFRS) – Home </w:t>
      </w:r>
    </w:p>
    <w:p w14:paraId="3EC2E847" w14:textId="77777777" w:rsidR="00CA56BD" w:rsidRPr="00A67FB8" w:rsidRDefault="00CA56BD" w:rsidP="00CA56BD">
      <w:pPr>
        <w:rPr>
          <w:rFonts w:ascii="Arial" w:hAnsi="Arial" w:cs="Arial"/>
        </w:rPr>
      </w:pPr>
    </w:p>
    <w:p w14:paraId="5655D2D1" w14:textId="77777777" w:rsidR="00CA56BD" w:rsidRPr="00A67FB8" w:rsidRDefault="00CA56BD" w:rsidP="00CA56BD">
      <w:pPr>
        <w:rPr>
          <w:rFonts w:ascii="Arial" w:hAnsi="Arial" w:cs="Arial"/>
        </w:rPr>
      </w:pPr>
      <w:r w:rsidRPr="00A67FB8">
        <w:rPr>
          <w:rFonts w:ascii="Arial" w:hAnsi="Arial" w:cs="Arial"/>
        </w:rPr>
        <w:t xml:space="preserve">IOPC (2023). Investigation report into offensive </w:t>
      </w:r>
      <w:proofErr w:type="spellStart"/>
      <w:r w:rsidRPr="00A67FB8">
        <w:rPr>
          <w:rFonts w:ascii="Arial" w:hAnsi="Arial" w:cs="Arial"/>
        </w:rPr>
        <w:t>Whatsapp</w:t>
      </w:r>
      <w:proofErr w:type="spellEnd"/>
      <w:r w:rsidRPr="00A67FB8">
        <w:rPr>
          <w:rFonts w:ascii="Arial" w:hAnsi="Arial" w:cs="Arial"/>
        </w:rPr>
        <w:t xml:space="preserve"> messages by officers linked to Wayne </w:t>
      </w:r>
      <w:proofErr w:type="spellStart"/>
      <w:r w:rsidRPr="00A67FB8">
        <w:rPr>
          <w:rFonts w:ascii="Arial" w:hAnsi="Arial" w:cs="Arial"/>
        </w:rPr>
        <w:t>Couzens</w:t>
      </w:r>
      <w:proofErr w:type="spellEnd"/>
      <w:r w:rsidRPr="00A67FB8">
        <w:rPr>
          <w:rFonts w:ascii="Arial" w:hAnsi="Arial" w:cs="Arial"/>
        </w:rPr>
        <w:t>.</w:t>
      </w:r>
    </w:p>
    <w:p w14:paraId="358592C3" w14:textId="77777777" w:rsidR="00CA56BD" w:rsidRPr="00A67FB8" w:rsidRDefault="00CA56BD" w:rsidP="00CA56BD">
      <w:pPr>
        <w:rPr>
          <w:rFonts w:ascii="Arial" w:hAnsi="Arial" w:cs="Arial"/>
        </w:rPr>
      </w:pPr>
    </w:p>
    <w:p w14:paraId="605C1FD3" w14:textId="77777777" w:rsidR="00CA56BD" w:rsidRPr="00A67FB8" w:rsidRDefault="00CA56BD" w:rsidP="00CA56BD">
      <w:pPr>
        <w:rPr>
          <w:rFonts w:ascii="Arial" w:hAnsi="Arial" w:cs="Arial"/>
        </w:rPr>
      </w:pPr>
      <w:r w:rsidRPr="00A67FB8">
        <w:rPr>
          <w:rFonts w:ascii="Arial" w:hAnsi="Arial" w:cs="Arial"/>
        </w:rPr>
        <w:t>CPS News Centre (2023). CPS statement following the sentencing of David Carrick | The Crown Prosecution Service.</w:t>
      </w:r>
    </w:p>
    <w:p w14:paraId="493DCB73" w14:textId="77777777" w:rsidR="00CA56BD" w:rsidRPr="00A67FB8" w:rsidRDefault="00CA56BD" w:rsidP="00CA56BD">
      <w:pPr>
        <w:rPr>
          <w:rFonts w:ascii="Arial" w:hAnsi="Arial" w:cs="Arial"/>
        </w:rPr>
      </w:pPr>
    </w:p>
    <w:p w14:paraId="62B2E6E6" w14:textId="77777777" w:rsidR="00CA56BD" w:rsidRPr="00A67FB8" w:rsidRDefault="00CA56BD" w:rsidP="00CA56BD">
      <w:pPr>
        <w:rPr>
          <w:rFonts w:ascii="Arial" w:hAnsi="Arial" w:cs="Arial"/>
        </w:rPr>
      </w:pPr>
      <w:r w:rsidRPr="00A67FB8">
        <w:rPr>
          <w:rFonts w:ascii="Arial" w:hAnsi="Arial" w:cs="Arial"/>
        </w:rPr>
        <w:t>Spurrier, M. (2023). The police are perpetrating harm, so why is the government giving them more power? BMJ, Vol 380, p429. British Medical Journal Publishing Group</w:t>
      </w:r>
    </w:p>
    <w:p w14:paraId="0450E385" w14:textId="77777777" w:rsidR="00CA56BD" w:rsidRPr="00A67FB8" w:rsidRDefault="00CA56BD" w:rsidP="00CA56BD">
      <w:pPr>
        <w:rPr>
          <w:rFonts w:ascii="Arial" w:hAnsi="Arial" w:cs="Arial"/>
        </w:rPr>
      </w:pPr>
    </w:p>
    <w:p w14:paraId="2E351040" w14:textId="77777777" w:rsidR="00CA56BD" w:rsidRPr="00A67FB8" w:rsidRDefault="00CA56BD" w:rsidP="00CA56BD">
      <w:pPr>
        <w:rPr>
          <w:rFonts w:ascii="Arial" w:hAnsi="Arial" w:cs="Arial"/>
        </w:rPr>
      </w:pPr>
      <w:r w:rsidRPr="00A67FB8">
        <w:rPr>
          <w:rFonts w:ascii="Arial" w:hAnsi="Arial" w:cs="Arial"/>
        </w:rPr>
        <w:t>Gallup (2022). Global Law and Order Report.</w:t>
      </w:r>
    </w:p>
    <w:p w14:paraId="44BD4429" w14:textId="77777777" w:rsidR="00CA56BD" w:rsidRPr="00A67FB8" w:rsidRDefault="00CA56BD" w:rsidP="00CA56BD">
      <w:pPr>
        <w:rPr>
          <w:rFonts w:ascii="Arial" w:hAnsi="Arial" w:cs="Arial"/>
        </w:rPr>
      </w:pPr>
    </w:p>
    <w:p w14:paraId="2BECBBBA" w14:textId="77777777" w:rsidR="00CA56BD" w:rsidRPr="00A67FB8" w:rsidRDefault="00CA56BD" w:rsidP="00CA56BD">
      <w:pPr>
        <w:rPr>
          <w:rFonts w:ascii="Arial" w:hAnsi="Arial" w:cs="Arial"/>
        </w:rPr>
      </w:pPr>
      <w:r w:rsidRPr="00A67FB8">
        <w:rPr>
          <w:rFonts w:ascii="Arial" w:hAnsi="Arial" w:cs="Arial"/>
        </w:rPr>
        <w:t>Ipsos (2022). Global Trustworthiness Index</w:t>
      </w:r>
    </w:p>
    <w:p w14:paraId="33EA9873" w14:textId="77777777" w:rsidR="00CA56BD" w:rsidRPr="00A67FB8" w:rsidRDefault="00CA56BD" w:rsidP="00CA56BD">
      <w:pPr>
        <w:rPr>
          <w:rFonts w:ascii="Arial" w:hAnsi="Arial" w:cs="Arial"/>
        </w:rPr>
      </w:pPr>
    </w:p>
    <w:p w14:paraId="49E7515D" w14:textId="77777777" w:rsidR="00CA56BD" w:rsidRPr="00A67FB8" w:rsidRDefault="00CA56BD" w:rsidP="00CA56BD">
      <w:pPr>
        <w:rPr>
          <w:rFonts w:ascii="Arial" w:hAnsi="Arial" w:cs="Arial"/>
        </w:rPr>
      </w:pPr>
      <w:r w:rsidRPr="00A67FB8">
        <w:rPr>
          <w:rFonts w:ascii="Arial" w:hAnsi="Arial" w:cs="Arial"/>
        </w:rPr>
        <w:t xml:space="preserve">Bradford, B. et al. (2017). A Leap of Faith? Trust in the Police Among Immigrants in England and Wales. Br. J. </w:t>
      </w:r>
      <w:proofErr w:type="spellStart"/>
      <w:r w:rsidRPr="00A67FB8">
        <w:rPr>
          <w:rFonts w:ascii="Arial" w:hAnsi="Arial" w:cs="Arial"/>
        </w:rPr>
        <w:t>Criminol</w:t>
      </w:r>
      <w:proofErr w:type="spellEnd"/>
      <w:r w:rsidRPr="00A67FB8">
        <w:rPr>
          <w:rFonts w:ascii="Arial" w:hAnsi="Arial" w:cs="Arial"/>
        </w:rPr>
        <w:t xml:space="preserve">., Vol 57, 381–401. 45. </w:t>
      </w:r>
    </w:p>
    <w:p w14:paraId="4A29319B" w14:textId="77777777" w:rsidR="00CA56BD" w:rsidRPr="00A67FB8" w:rsidRDefault="00CA56BD" w:rsidP="00CA56BD">
      <w:pPr>
        <w:rPr>
          <w:rFonts w:ascii="Arial" w:hAnsi="Arial" w:cs="Arial"/>
        </w:rPr>
      </w:pPr>
      <w:proofErr w:type="spellStart"/>
      <w:r w:rsidRPr="00A67FB8">
        <w:rPr>
          <w:rFonts w:ascii="Arial" w:hAnsi="Arial" w:cs="Arial"/>
        </w:rPr>
        <w:t>Kautt</w:t>
      </w:r>
      <w:proofErr w:type="spellEnd"/>
      <w:r w:rsidRPr="00A67FB8">
        <w:rPr>
          <w:rFonts w:ascii="Arial" w:hAnsi="Arial" w:cs="Arial"/>
        </w:rPr>
        <w:t>, P. et al. (2011). Confidence in the Criminal Justice System in England and Wales: A Test of Ethnic Effects. Int. Crim. Justice Rev., Vol 21, 93–117. SAGE Publications Inc</w:t>
      </w:r>
    </w:p>
    <w:p w14:paraId="2960D277" w14:textId="77777777" w:rsidR="00CA56BD" w:rsidRPr="00A67FB8" w:rsidRDefault="00CA56BD" w:rsidP="00CA56BD">
      <w:pPr>
        <w:rPr>
          <w:rFonts w:ascii="Arial" w:hAnsi="Arial" w:cs="Arial"/>
        </w:rPr>
      </w:pPr>
    </w:p>
    <w:p w14:paraId="0276D9D4" w14:textId="77777777" w:rsidR="00CA56BD" w:rsidRPr="00A67FB8" w:rsidRDefault="00CA56BD" w:rsidP="00CA56BD">
      <w:pPr>
        <w:rPr>
          <w:rFonts w:ascii="Arial" w:hAnsi="Arial" w:cs="Arial"/>
        </w:rPr>
      </w:pPr>
      <w:r w:rsidRPr="00A67FB8">
        <w:rPr>
          <w:rFonts w:ascii="Arial" w:hAnsi="Arial" w:cs="Arial"/>
        </w:rPr>
        <w:t>Department for Levelling Up, Housing and Communities (2022). Inclusive Britain: summary of recommendations and actions</w:t>
      </w:r>
    </w:p>
    <w:p w14:paraId="248F4F24" w14:textId="77777777" w:rsidR="00CA56BD" w:rsidRPr="00A67FB8" w:rsidRDefault="00CA56BD" w:rsidP="00CA56BD">
      <w:pPr>
        <w:rPr>
          <w:rFonts w:ascii="Arial" w:hAnsi="Arial" w:cs="Arial"/>
        </w:rPr>
      </w:pPr>
    </w:p>
    <w:p w14:paraId="28DBE99B" w14:textId="77777777" w:rsidR="00CA56BD" w:rsidRPr="00A67FB8" w:rsidRDefault="00CA56BD" w:rsidP="00CA56BD">
      <w:pPr>
        <w:rPr>
          <w:rFonts w:ascii="Arial" w:hAnsi="Arial" w:cs="Arial"/>
        </w:rPr>
      </w:pPr>
      <w:r w:rsidRPr="00A67FB8">
        <w:rPr>
          <w:rFonts w:ascii="Arial" w:hAnsi="Arial" w:cs="Arial"/>
        </w:rPr>
        <w:t xml:space="preserve">Murphy, K. et al. (2014). Promoting trust in police: findings from a randomised experimental field trial of procedural justice policing. </w:t>
      </w:r>
    </w:p>
    <w:p w14:paraId="179D9B67" w14:textId="77777777" w:rsidR="00CA56BD" w:rsidRPr="00A67FB8" w:rsidRDefault="00CA56BD" w:rsidP="00CA56BD">
      <w:pPr>
        <w:rPr>
          <w:rFonts w:ascii="Arial" w:hAnsi="Arial" w:cs="Arial"/>
        </w:rPr>
      </w:pPr>
    </w:p>
    <w:p w14:paraId="145F8BD2" w14:textId="77777777" w:rsidR="00CA56BD" w:rsidRPr="00A67FB8" w:rsidRDefault="00CA56BD" w:rsidP="00CA56BD">
      <w:pPr>
        <w:rPr>
          <w:rFonts w:ascii="Arial" w:hAnsi="Arial" w:cs="Arial"/>
        </w:rPr>
      </w:pPr>
      <w:r w:rsidRPr="00A67FB8">
        <w:rPr>
          <w:rFonts w:ascii="Arial" w:hAnsi="Arial" w:cs="Arial"/>
        </w:rPr>
        <w:t>Home Office (2023). Review into the process of police officer dismissals: terms of reference. GOV.UK</w:t>
      </w:r>
    </w:p>
    <w:p w14:paraId="3083C31E" w14:textId="77777777" w:rsidR="00CA56BD" w:rsidRPr="00A67FB8" w:rsidRDefault="00CA56BD" w:rsidP="00CA56BD">
      <w:pPr>
        <w:rPr>
          <w:rFonts w:ascii="Arial" w:hAnsi="Arial" w:cs="Arial"/>
        </w:rPr>
      </w:pPr>
    </w:p>
    <w:p w14:paraId="49E128D8" w14:textId="77777777" w:rsidR="00CA56BD" w:rsidRPr="00A67FB8" w:rsidRDefault="00CA56BD" w:rsidP="00CA56BD">
      <w:pPr>
        <w:rPr>
          <w:rFonts w:ascii="Arial" w:hAnsi="Arial" w:cs="Arial"/>
        </w:rPr>
      </w:pPr>
      <w:r w:rsidRPr="00A67FB8">
        <w:rPr>
          <w:rFonts w:ascii="Arial" w:hAnsi="Arial" w:cs="Arial"/>
        </w:rPr>
        <w:t xml:space="preserve">NPCC et al. (2022). Police Race Action Plan: Improving policing for Black people. </w:t>
      </w:r>
    </w:p>
    <w:p w14:paraId="5DE8C33A" w14:textId="77777777" w:rsidR="00CA56BD" w:rsidRPr="00A67FB8" w:rsidRDefault="00CA56BD" w:rsidP="00CA56BD">
      <w:pPr>
        <w:rPr>
          <w:rFonts w:ascii="Arial" w:hAnsi="Arial" w:cs="Arial"/>
        </w:rPr>
      </w:pPr>
    </w:p>
    <w:p w14:paraId="4CAFE94A" w14:textId="77777777" w:rsidR="00CA56BD" w:rsidRPr="00A82323" w:rsidRDefault="00CA56BD" w:rsidP="00A82323">
      <w:pPr>
        <w:pStyle w:val="Default"/>
        <w:rPr>
          <w:b/>
          <w:bCs/>
          <w:sz w:val="22"/>
          <w:szCs w:val="22"/>
        </w:rPr>
      </w:pPr>
    </w:p>
    <w:sectPr w:rsidR="00CA56BD" w:rsidRPr="00A82323">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4BDE5" w14:textId="77777777" w:rsidR="00C8445B" w:rsidRDefault="00C8445B" w:rsidP="0071496A">
      <w:pPr>
        <w:spacing w:after="0" w:line="240" w:lineRule="auto"/>
      </w:pPr>
      <w:r>
        <w:separator/>
      </w:r>
    </w:p>
  </w:endnote>
  <w:endnote w:type="continuationSeparator" w:id="0">
    <w:p w14:paraId="621BFC0C" w14:textId="77777777" w:rsidR="00C8445B" w:rsidRDefault="00C8445B" w:rsidP="00714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DB7A3" w14:textId="77777777" w:rsidR="00C8445B" w:rsidRDefault="00C8445B" w:rsidP="0071496A">
      <w:pPr>
        <w:spacing w:after="0" w:line="240" w:lineRule="auto"/>
      </w:pPr>
      <w:r>
        <w:separator/>
      </w:r>
    </w:p>
  </w:footnote>
  <w:footnote w:type="continuationSeparator" w:id="0">
    <w:p w14:paraId="0556F2AC" w14:textId="77777777" w:rsidR="00C8445B" w:rsidRDefault="00C8445B" w:rsidP="007149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363BA" w14:textId="77777777" w:rsidR="00BB0C9C" w:rsidRDefault="00BB0C9C" w:rsidP="00BB0C9C">
    <w:pPr>
      <w:pStyle w:val="Header"/>
    </w:pPr>
    <w:r>
      <w:t>Jordan Morris (2125113)</w:t>
    </w:r>
  </w:p>
  <w:p w14:paraId="37F4082B" w14:textId="77777777" w:rsidR="00BB0C9C" w:rsidRDefault="00BB0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00E34"/>
    <w:multiLevelType w:val="hybridMultilevel"/>
    <w:tmpl w:val="93941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3564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32B"/>
    <w:rsid w:val="00004B20"/>
    <w:rsid w:val="000455F7"/>
    <w:rsid w:val="000913B8"/>
    <w:rsid w:val="000A0CA3"/>
    <w:rsid w:val="000B6494"/>
    <w:rsid w:val="000E4FE3"/>
    <w:rsid w:val="000F3EB4"/>
    <w:rsid w:val="000F78DE"/>
    <w:rsid w:val="00107079"/>
    <w:rsid w:val="001261E2"/>
    <w:rsid w:val="00181F3D"/>
    <w:rsid w:val="001C6155"/>
    <w:rsid w:val="001C7439"/>
    <w:rsid w:val="001D1612"/>
    <w:rsid w:val="001E7C50"/>
    <w:rsid w:val="002146DF"/>
    <w:rsid w:val="00223D35"/>
    <w:rsid w:val="00243746"/>
    <w:rsid w:val="0027268A"/>
    <w:rsid w:val="00281705"/>
    <w:rsid w:val="002948D2"/>
    <w:rsid w:val="002A2D54"/>
    <w:rsid w:val="002C47C3"/>
    <w:rsid w:val="00312210"/>
    <w:rsid w:val="0031244E"/>
    <w:rsid w:val="003171D5"/>
    <w:rsid w:val="003368AD"/>
    <w:rsid w:val="00341185"/>
    <w:rsid w:val="00347A6E"/>
    <w:rsid w:val="003600A2"/>
    <w:rsid w:val="0037070B"/>
    <w:rsid w:val="003925DA"/>
    <w:rsid w:val="003A7059"/>
    <w:rsid w:val="003B67C1"/>
    <w:rsid w:val="003E5635"/>
    <w:rsid w:val="00410EAB"/>
    <w:rsid w:val="00453394"/>
    <w:rsid w:val="004571BD"/>
    <w:rsid w:val="004667BD"/>
    <w:rsid w:val="0049103A"/>
    <w:rsid w:val="00495529"/>
    <w:rsid w:val="004A6AA6"/>
    <w:rsid w:val="004B3EC9"/>
    <w:rsid w:val="004D2AE6"/>
    <w:rsid w:val="00507420"/>
    <w:rsid w:val="00512954"/>
    <w:rsid w:val="00520376"/>
    <w:rsid w:val="005218B7"/>
    <w:rsid w:val="00540CCD"/>
    <w:rsid w:val="00546559"/>
    <w:rsid w:val="00561D7E"/>
    <w:rsid w:val="00570CE0"/>
    <w:rsid w:val="005729BF"/>
    <w:rsid w:val="00587995"/>
    <w:rsid w:val="00597CA4"/>
    <w:rsid w:val="005A589D"/>
    <w:rsid w:val="005A669B"/>
    <w:rsid w:val="005C2316"/>
    <w:rsid w:val="005C3841"/>
    <w:rsid w:val="005D684F"/>
    <w:rsid w:val="005E18A1"/>
    <w:rsid w:val="005F7F00"/>
    <w:rsid w:val="00600D61"/>
    <w:rsid w:val="00602B7F"/>
    <w:rsid w:val="0060582C"/>
    <w:rsid w:val="0064218B"/>
    <w:rsid w:val="006608E8"/>
    <w:rsid w:val="00671873"/>
    <w:rsid w:val="00673B29"/>
    <w:rsid w:val="006828A5"/>
    <w:rsid w:val="00683AB7"/>
    <w:rsid w:val="006857CC"/>
    <w:rsid w:val="006923B5"/>
    <w:rsid w:val="00696F4D"/>
    <w:rsid w:val="006B28E0"/>
    <w:rsid w:val="006B6566"/>
    <w:rsid w:val="006B72BA"/>
    <w:rsid w:val="006B7E12"/>
    <w:rsid w:val="006C04E0"/>
    <w:rsid w:val="006C1B09"/>
    <w:rsid w:val="006F68C7"/>
    <w:rsid w:val="0071496A"/>
    <w:rsid w:val="00744EC9"/>
    <w:rsid w:val="007559D6"/>
    <w:rsid w:val="00760548"/>
    <w:rsid w:val="0076746B"/>
    <w:rsid w:val="00771A82"/>
    <w:rsid w:val="007733DC"/>
    <w:rsid w:val="00776E2B"/>
    <w:rsid w:val="007861A6"/>
    <w:rsid w:val="007863CC"/>
    <w:rsid w:val="00787543"/>
    <w:rsid w:val="007A05BA"/>
    <w:rsid w:val="007C7DD4"/>
    <w:rsid w:val="007E3552"/>
    <w:rsid w:val="007E64F1"/>
    <w:rsid w:val="007F4C20"/>
    <w:rsid w:val="008026C1"/>
    <w:rsid w:val="00852F04"/>
    <w:rsid w:val="00864013"/>
    <w:rsid w:val="00885CD8"/>
    <w:rsid w:val="008A0182"/>
    <w:rsid w:val="008A5897"/>
    <w:rsid w:val="008A5B7E"/>
    <w:rsid w:val="008A5D64"/>
    <w:rsid w:val="008B5D2C"/>
    <w:rsid w:val="008E4D5A"/>
    <w:rsid w:val="008E5DDA"/>
    <w:rsid w:val="008F3FCA"/>
    <w:rsid w:val="008F54A2"/>
    <w:rsid w:val="008F6719"/>
    <w:rsid w:val="00901F57"/>
    <w:rsid w:val="00906102"/>
    <w:rsid w:val="00952B41"/>
    <w:rsid w:val="00962DE8"/>
    <w:rsid w:val="00963DFB"/>
    <w:rsid w:val="00975856"/>
    <w:rsid w:val="009758A3"/>
    <w:rsid w:val="00982C0C"/>
    <w:rsid w:val="009A12F3"/>
    <w:rsid w:val="009A3C49"/>
    <w:rsid w:val="009A57B8"/>
    <w:rsid w:val="009B7190"/>
    <w:rsid w:val="009C274A"/>
    <w:rsid w:val="00A178C0"/>
    <w:rsid w:val="00A82323"/>
    <w:rsid w:val="00A91936"/>
    <w:rsid w:val="00AC4E3E"/>
    <w:rsid w:val="00AC6EFA"/>
    <w:rsid w:val="00AD7471"/>
    <w:rsid w:val="00AE6485"/>
    <w:rsid w:val="00AE7A00"/>
    <w:rsid w:val="00AF2093"/>
    <w:rsid w:val="00AF2F33"/>
    <w:rsid w:val="00B00298"/>
    <w:rsid w:val="00B031F8"/>
    <w:rsid w:val="00B0432B"/>
    <w:rsid w:val="00B320D5"/>
    <w:rsid w:val="00B50958"/>
    <w:rsid w:val="00B873AC"/>
    <w:rsid w:val="00BA3328"/>
    <w:rsid w:val="00BB0C9C"/>
    <w:rsid w:val="00BB399D"/>
    <w:rsid w:val="00BB5F03"/>
    <w:rsid w:val="00BE0D7C"/>
    <w:rsid w:val="00BE3623"/>
    <w:rsid w:val="00BE7156"/>
    <w:rsid w:val="00BF2BF4"/>
    <w:rsid w:val="00C0220D"/>
    <w:rsid w:val="00C079A8"/>
    <w:rsid w:val="00C30021"/>
    <w:rsid w:val="00C402B7"/>
    <w:rsid w:val="00C56D99"/>
    <w:rsid w:val="00C8445B"/>
    <w:rsid w:val="00CA56BD"/>
    <w:rsid w:val="00CB0D73"/>
    <w:rsid w:val="00CC7607"/>
    <w:rsid w:val="00CC7F55"/>
    <w:rsid w:val="00CD1BF3"/>
    <w:rsid w:val="00CF39D7"/>
    <w:rsid w:val="00CF6219"/>
    <w:rsid w:val="00D00D08"/>
    <w:rsid w:val="00D00D2A"/>
    <w:rsid w:val="00D02E92"/>
    <w:rsid w:val="00D23695"/>
    <w:rsid w:val="00D25269"/>
    <w:rsid w:val="00D274E8"/>
    <w:rsid w:val="00D33484"/>
    <w:rsid w:val="00D45BDE"/>
    <w:rsid w:val="00D471B0"/>
    <w:rsid w:val="00D87A25"/>
    <w:rsid w:val="00D9083E"/>
    <w:rsid w:val="00D97D67"/>
    <w:rsid w:val="00DA2E65"/>
    <w:rsid w:val="00DF3B8E"/>
    <w:rsid w:val="00DF5282"/>
    <w:rsid w:val="00E27588"/>
    <w:rsid w:val="00E60BEC"/>
    <w:rsid w:val="00E72AF5"/>
    <w:rsid w:val="00E746D0"/>
    <w:rsid w:val="00E82090"/>
    <w:rsid w:val="00E83804"/>
    <w:rsid w:val="00EA31C4"/>
    <w:rsid w:val="00EB524F"/>
    <w:rsid w:val="00ED1841"/>
    <w:rsid w:val="00ED373A"/>
    <w:rsid w:val="00ED4DA5"/>
    <w:rsid w:val="00EF0C9B"/>
    <w:rsid w:val="00EF4AB5"/>
    <w:rsid w:val="00F04E8B"/>
    <w:rsid w:val="00F0719B"/>
    <w:rsid w:val="00F1310D"/>
    <w:rsid w:val="00F30981"/>
    <w:rsid w:val="00F50B13"/>
    <w:rsid w:val="00F7002D"/>
    <w:rsid w:val="00F83A59"/>
    <w:rsid w:val="00F85DFE"/>
    <w:rsid w:val="00FA0997"/>
    <w:rsid w:val="00FA1173"/>
    <w:rsid w:val="00FA7638"/>
    <w:rsid w:val="00FC0DC7"/>
    <w:rsid w:val="00FD15A3"/>
    <w:rsid w:val="00FE4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55595"/>
  <w15:chartTrackingRefBased/>
  <w15:docId w15:val="{4F2A70B5-4D56-40DE-B886-073BF9FD5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0432B"/>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semiHidden/>
    <w:unhideWhenUsed/>
    <w:rsid w:val="006857CC"/>
    <w:rPr>
      <w:color w:val="0000FF"/>
      <w:u w:val="single"/>
    </w:rPr>
  </w:style>
  <w:style w:type="paragraph" w:styleId="NormalWeb">
    <w:name w:val="Normal (Web)"/>
    <w:basedOn w:val="Normal"/>
    <w:uiPriority w:val="99"/>
    <w:semiHidden/>
    <w:unhideWhenUsed/>
    <w:rsid w:val="00ED18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14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96A"/>
  </w:style>
  <w:style w:type="paragraph" w:styleId="Footer">
    <w:name w:val="footer"/>
    <w:basedOn w:val="Normal"/>
    <w:link w:val="FooterChar"/>
    <w:uiPriority w:val="99"/>
    <w:unhideWhenUsed/>
    <w:rsid w:val="00714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96A"/>
  </w:style>
  <w:style w:type="character" w:styleId="HTMLCite">
    <w:name w:val="HTML Cite"/>
    <w:basedOn w:val="DefaultParagraphFont"/>
    <w:uiPriority w:val="99"/>
    <w:semiHidden/>
    <w:unhideWhenUsed/>
    <w:rsid w:val="00CA56BD"/>
    <w:rPr>
      <w:i/>
      <w:iCs/>
    </w:rPr>
  </w:style>
  <w:style w:type="character" w:customStyle="1" w:styleId="cs1-lock-free">
    <w:name w:val="cs1-lock-free"/>
    <w:basedOn w:val="DefaultParagraphFont"/>
    <w:rsid w:val="00CA56BD"/>
  </w:style>
  <w:style w:type="character" w:styleId="Strong">
    <w:name w:val="Strong"/>
    <w:basedOn w:val="DefaultParagraphFont"/>
    <w:uiPriority w:val="22"/>
    <w:qFormat/>
    <w:rsid w:val="00CA56BD"/>
    <w:rPr>
      <w:b/>
      <w:bCs/>
    </w:rPr>
  </w:style>
  <w:style w:type="character" w:styleId="Emphasis">
    <w:name w:val="Emphasis"/>
    <w:basedOn w:val="DefaultParagraphFont"/>
    <w:uiPriority w:val="20"/>
    <w:qFormat/>
    <w:rsid w:val="00CA56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027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F14043858.2019.156810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tulliallan.police.uk/workingparties/nim/documents/NIMManual(New05Interaction"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2F14043858.2019.1568103" TargetMode="External"/><Relationship Id="rId5" Type="http://schemas.openxmlformats.org/officeDocument/2006/relationships/footnotes" Target="footnotes.xml"/><Relationship Id="rId10" Type="http://schemas.openxmlformats.org/officeDocument/2006/relationships/hyperlink" Target="https://en.wikipedia.org/wiki/Doi_(identifier)" TargetMode="External"/><Relationship Id="rId4" Type="http://schemas.openxmlformats.org/officeDocument/2006/relationships/webSettings" Target="webSettings.xml"/><Relationship Id="rId9" Type="http://schemas.openxmlformats.org/officeDocument/2006/relationships/hyperlink" Target="https://en.wikipedia.org/wiki/Nordic_Journal_of_Criminolog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TotalTime>
  <Pages>11</Pages>
  <Words>4846</Words>
  <Characters>27624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Jordan</dc:creator>
  <cp:keywords/>
  <dc:description/>
  <cp:lastModifiedBy>Morris, Jordan</cp:lastModifiedBy>
  <cp:revision>189</cp:revision>
  <dcterms:created xsi:type="dcterms:W3CDTF">2023-09-18T10:58:00Z</dcterms:created>
  <dcterms:modified xsi:type="dcterms:W3CDTF">2023-09-21T15:19:00Z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2023-09-18T12:56:32Z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49c07611-ce7f-4cdf-9f6c-02363d41d30c</vt:lpwstr>
  </property>
  <property fmtid="{D5CDD505-2E9C-101B-9397-08002B2CF9AE}" pid="8" name="MSIP_Label_f2acd28b-79a3-4a0f-b0ff-4b75658b1549_ContentBits">
    <vt:lpwstr>0</vt:lpwstr>
  </property>
</Properties>
</file>