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CB58FF" w14:textId="77777777" w:rsidR="007D2C0C" w:rsidRDefault="007D2C0C">
      <w:pPr>
        <w:pStyle w:val="p1"/>
      </w:pPr>
      <w:r>
        <w:rPr>
          <w:rStyle w:val="s1"/>
        </w:rPr>
        <w:t>Module Title:</w:t>
      </w:r>
      <w:r>
        <w:rPr>
          <w:rStyle w:val="s2"/>
        </w:rPr>
        <w:t xml:space="preserve"> Introduction to Health and Social Care (LCHS4003)</w:t>
      </w:r>
    </w:p>
    <w:p w14:paraId="1E21DCB8" w14:textId="77777777" w:rsidR="007D2C0C" w:rsidRDefault="007D2C0C">
      <w:pPr>
        <w:pStyle w:val="p1"/>
      </w:pPr>
      <w:r>
        <w:rPr>
          <w:rStyle w:val="s1"/>
        </w:rPr>
        <w:t>Assignment Title:</w:t>
      </w:r>
      <w:r>
        <w:rPr>
          <w:rStyle w:val="s2"/>
        </w:rPr>
        <w:t xml:space="preserve"> Component 2 – Written Report</w:t>
      </w:r>
    </w:p>
    <w:p w14:paraId="141D4D85" w14:textId="77777777" w:rsidR="007D2C0C" w:rsidRDefault="007D2C0C">
      <w:pPr>
        <w:pStyle w:val="p2"/>
      </w:pPr>
    </w:p>
    <w:p w14:paraId="4333B684" w14:textId="250C1180" w:rsidR="007D2C0C" w:rsidRDefault="007D2C0C">
      <w:pPr>
        <w:pStyle w:val="p1"/>
      </w:pPr>
      <w:r>
        <w:rPr>
          <w:rStyle w:val="s1"/>
        </w:rPr>
        <w:t>Student Name:</w:t>
      </w:r>
      <w:r>
        <w:rPr>
          <w:rStyle w:val="s2"/>
        </w:rPr>
        <w:t xml:space="preserve"> Maria Tomescu </w:t>
      </w:r>
    </w:p>
    <w:p w14:paraId="31EDBF92" w14:textId="6D4A050A" w:rsidR="007D2C0C" w:rsidRDefault="007D2C0C">
      <w:pPr>
        <w:pStyle w:val="p1"/>
      </w:pPr>
      <w:r>
        <w:rPr>
          <w:rStyle w:val="s1"/>
        </w:rPr>
        <w:t>Student ID:</w:t>
      </w:r>
      <w:r>
        <w:rPr>
          <w:rStyle w:val="s2"/>
        </w:rPr>
        <w:t xml:space="preserve"> </w:t>
      </w:r>
      <w:r w:rsidR="00A1069D">
        <w:rPr>
          <w:rStyle w:val="s2"/>
        </w:rPr>
        <w:t>2509710</w:t>
      </w:r>
    </w:p>
    <w:p w14:paraId="08DB00CF" w14:textId="77777777" w:rsidR="007D2C0C" w:rsidRDefault="007D2C0C">
      <w:pPr>
        <w:pStyle w:val="p2"/>
      </w:pPr>
    </w:p>
    <w:p w14:paraId="54BAC496" w14:textId="77777777" w:rsidR="007D2C0C" w:rsidRDefault="007D2C0C">
      <w:pPr>
        <w:pStyle w:val="p1"/>
      </w:pPr>
      <w:r>
        <w:rPr>
          <w:rStyle w:val="s1"/>
        </w:rPr>
        <w:t>Module Leader:</w:t>
      </w:r>
      <w:r>
        <w:rPr>
          <w:rStyle w:val="s2"/>
        </w:rPr>
        <w:t xml:space="preserve"> Dr Helen Parsons</w:t>
      </w:r>
    </w:p>
    <w:p w14:paraId="1C14A1F6" w14:textId="77777777" w:rsidR="007D2C0C" w:rsidRDefault="007D2C0C">
      <w:pPr>
        <w:pStyle w:val="p2"/>
      </w:pPr>
    </w:p>
    <w:p w14:paraId="5E960A52" w14:textId="77777777" w:rsidR="007D2C0C" w:rsidRDefault="007D2C0C">
      <w:pPr>
        <w:pStyle w:val="p1"/>
        <w:rPr>
          <w:rStyle w:val="s2"/>
        </w:rPr>
      </w:pPr>
      <w:r>
        <w:rPr>
          <w:rStyle w:val="s1"/>
        </w:rPr>
        <w:t>Submission Date:</w:t>
      </w:r>
      <w:r>
        <w:rPr>
          <w:rStyle w:val="s2"/>
        </w:rPr>
        <w:t xml:space="preserve"> 27 March 2026</w:t>
      </w:r>
    </w:p>
    <w:p w14:paraId="41264C72" w14:textId="77777777" w:rsidR="00A1069D" w:rsidRDefault="00A1069D">
      <w:pPr>
        <w:pStyle w:val="p1"/>
        <w:rPr>
          <w:rStyle w:val="s2"/>
        </w:rPr>
      </w:pPr>
    </w:p>
    <w:p w14:paraId="3E3E612B" w14:textId="77777777" w:rsidR="00652AE1" w:rsidRDefault="00652AE1">
      <w:pPr>
        <w:pStyle w:val="p1"/>
      </w:pPr>
      <w:r>
        <w:rPr>
          <w:rStyle w:val="s1"/>
        </w:rPr>
        <w:t>CONTENTS PAGE</w:t>
      </w:r>
    </w:p>
    <w:p w14:paraId="7A22920C" w14:textId="29556FB4" w:rsidR="00652AE1" w:rsidRDefault="00652AE1">
      <w:pPr>
        <w:pStyle w:val="p1"/>
        <w:numPr>
          <w:ilvl w:val="0"/>
          <w:numId w:val="1"/>
        </w:numPr>
      </w:pPr>
      <w:r>
        <w:rPr>
          <w:rStyle w:val="s1"/>
        </w:rPr>
        <w:t>Introductio…………………………………………….. Page 1</w:t>
      </w:r>
    </w:p>
    <w:p w14:paraId="1B49D7FD" w14:textId="77777777" w:rsidR="00652AE1" w:rsidRDefault="00652AE1">
      <w:pPr>
        <w:pStyle w:val="p1"/>
        <w:numPr>
          <w:ilvl w:val="0"/>
          <w:numId w:val="1"/>
        </w:numPr>
      </w:pPr>
      <w:r>
        <w:rPr>
          <w:rStyle w:val="s1"/>
        </w:rPr>
        <w:t>Effective Communication in Mr Ahmed’s Care ………. Page 2</w:t>
      </w:r>
    </w:p>
    <w:p w14:paraId="7AEFC186" w14:textId="77777777" w:rsidR="00652AE1" w:rsidRDefault="00652AE1">
      <w:pPr>
        <w:pStyle w:val="p1"/>
        <w:numPr>
          <w:ilvl w:val="0"/>
          <w:numId w:val="1"/>
        </w:numPr>
      </w:pPr>
      <w:r>
        <w:rPr>
          <w:rStyle w:val="s1"/>
        </w:rPr>
        <w:t>Administrative Skills and Record-Keeping …………….. Page 4</w:t>
      </w:r>
    </w:p>
    <w:p w14:paraId="5AE02FDC" w14:textId="77777777" w:rsidR="00652AE1" w:rsidRDefault="00652AE1">
      <w:pPr>
        <w:pStyle w:val="p1"/>
        <w:numPr>
          <w:ilvl w:val="0"/>
          <w:numId w:val="1"/>
        </w:numPr>
      </w:pPr>
      <w:r>
        <w:rPr>
          <w:rStyle w:val="s1"/>
        </w:rPr>
        <w:t>Collaborative Working and Multi-Agency Practice ….. Page 6</w:t>
      </w:r>
    </w:p>
    <w:p w14:paraId="6598E043" w14:textId="77777777" w:rsidR="00652AE1" w:rsidRDefault="00652AE1">
      <w:pPr>
        <w:pStyle w:val="p1"/>
        <w:numPr>
          <w:ilvl w:val="0"/>
          <w:numId w:val="1"/>
        </w:numPr>
      </w:pPr>
      <w:r>
        <w:rPr>
          <w:rStyle w:val="s1"/>
        </w:rPr>
        <w:t>Conclusion ………………………………………………. Page 7</w:t>
      </w:r>
    </w:p>
    <w:p w14:paraId="4448E6F5" w14:textId="77777777" w:rsidR="001C6025" w:rsidRDefault="00652AE1">
      <w:pPr>
        <w:pStyle w:val="p1"/>
        <w:numPr>
          <w:ilvl w:val="0"/>
          <w:numId w:val="1"/>
        </w:numPr>
        <w:rPr>
          <w:rStyle w:val="s1"/>
        </w:rPr>
      </w:pPr>
      <w:r>
        <w:rPr>
          <w:rStyle w:val="s1"/>
        </w:rPr>
        <w:t>Reference List</w:t>
      </w:r>
    </w:p>
    <w:p w14:paraId="34E06646" w14:textId="6664CE3D" w:rsidR="00652AE1" w:rsidRDefault="00652AE1">
      <w:pPr>
        <w:pStyle w:val="p1"/>
        <w:numPr>
          <w:ilvl w:val="0"/>
          <w:numId w:val="1"/>
        </w:numPr>
        <w:rPr>
          <w:rStyle w:val="s1"/>
        </w:rPr>
      </w:pPr>
      <w:r>
        <w:rPr>
          <w:rStyle w:val="s1"/>
        </w:rPr>
        <w:t>…………………………………………… Page 8</w:t>
      </w:r>
    </w:p>
    <w:p w14:paraId="1D7D3565" w14:textId="77777777" w:rsidR="00D31A86" w:rsidRDefault="00D31A86" w:rsidP="00D31A86">
      <w:pPr>
        <w:pStyle w:val="p1"/>
        <w:rPr>
          <w:rStyle w:val="s1"/>
        </w:rPr>
      </w:pPr>
    </w:p>
    <w:p w14:paraId="3801E2B1" w14:textId="77777777" w:rsidR="00D31A86" w:rsidRDefault="00D31A86" w:rsidP="00D31A86">
      <w:pPr>
        <w:pStyle w:val="p1"/>
        <w:rPr>
          <w:rStyle w:val="s1"/>
        </w:rPr>
      </w:pPr>
    </w:p>
    <w:p w14:paraId="3A66ECB4" w14:textId="53529F39"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 xml:space="preserve">Introduction </w:t>
      </w:r>
    </w:p>
    <w:p w14:paraId="19937D06"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4A301B88"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Health and social care in the United Kingdom is a complex and integrated system that relies on effective communication, accurate record-keeping, and collaborative working to deliver high-quality, person-centred care. These components are particularly important when supporting individuals with complex health needs, such as those recovering from a stroke. This report focuses on the case of Mr Ahmed, a 68-year-old man recently discharged from hospital who requires ongoing support from a multidisciplinary team, including domiciliary care workers, a GP, a district nurse, and a speech and language therapist.</w:t>
      </w:r>
    </w:p>
    <w:p w14:paraId="329D0DC5"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4E25FE7B"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The report will examine the importance of effective communication in meeting Mr Ahmed’s needs, particularly in relation to his language barrier and health condition. It will also explore the role of administrative skills, including record-keeping and data protection, in ensuring safe and efficient care delivery. Finally, the report will discuss the significance of collaborative working and identify strategies to overcome challenges in multi-agency practice.</w:t>
      </w:r>
    </w:p>
    <w:p w14:paraId="22A08C34" w14:textId="77777777" w:rsidR="00D516C5" w:rsidRPr="00D516C5" w:rsidRDefault="00D516C5" w:rsidP="00D516C5">
      <w:pPr>
        <w:spacing w:after="0" w:line="240" w:lineRule="auto"/>
        <w:rPr>
          <w:rFonts w:ascii="Times New Roman" w:eastAsia="Times New Roman" w:hAnsi="Times New Roman" w:cs="Times New Roman"/>
          <w:kern w:val="0"/>
          <w14:ligatures w14:val="none"/>
        </w:rPr>
      </w:pPr>
      <w:r w:rsidRPr="00D516C5">
        <w:rPr>
          <w:rFonts w:ascii="Times New Roman" w:eastAsia="Times New Roman" w:hAnsi="Times New Roman" w:cs="Times New Roman"/>
          <w:noProof/>
          <w:kern w:val="0"/>
          <w14:ligatures w14:val="none"/>
        </w:rPr>
        <mc:AlternateContent>
          <mc:Choice Requires="wps">
            <w:drawing>
              <wp:inline distT="0" distB="0" distL="0" distR="0" wp14:anchorId="0667D742" wp14:editId="58B9A770">
                <wp:extent cx="5731510" cy="1270"/>
                <wp:effectExtent l="0" t="31750" r="0" b="36830"/>
                <wp:docPr id="64830540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F7F7601"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42F605D" w14:textId="1622F6B4"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 xml:space="preserve">Effective Communication in Mr Ahmed’s Care </w:t>
      </w:r>
    </w:p>
    <w:p w14:paraId="28908F7A"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4CDCFDEE"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Effective communication is fundamental to the delivery of safe and person-centred care, as it enables accurate information exchange and supports positive relationships between service users and professionals (Nursing and Midwifery Council, 2018). In Mr Ahmed’s case, communication is particularly significant due to the combined impact of his recent stroke and limited proficiency in English. These factors increase the risk of misunderstanding, which may lead to serious consequences, as illustrated by the missed home visit and delayed medication.</w:t>
      </w:r>
    </w:p>
    <w:p w14:paraId="55067FA8"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755C34F5"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To communicate effectively, health and social care professionals must adopt a person-centred approach that considers Mr Ahmed’s individual needs. This includes using clear and simple language, avoiding medical jargon, and allowing additional time for him to process and respond to information. Non-verbal communication methods, such as gestures and visual aids, can further enhance understanding. Given that Bengali is Mr Ahmed’s first language, access to professional interpreters or translation services is essential to ensure accurate and inclusive communication. While his wife plays an important role in supporting communication, over-reliance on family members may compromise accuracy, confidentiality, and Mr Ahmed’s autonomy. This highlights the need for balanced communication strategies that promote independence while ensuring safety.</w:t>
      </w:r>
    </w:p>
    <w:p w14:paraId="6D688E8A"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5F3147C8"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The principles of the Equality Act 2010 are highly relevant in this context, as the legislation requires services to make reasonable adjustments to prevent discrimination and promote equality (Equality Act, 2010). Mr Ahmed’s stroke may constitute a disability, and his language needs relate to his cultural background. Therefore, providing appropriate communication support is both a legal and ethical responsibility.</w:t>
      </w:r>
    </w:p>
    <w:p w14:paraId="009BA30B"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6DCA993C"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The Shannon and Weaver model of communication provides a useful framework for understanding potential barriers. The model emphasises how “noise,” such as language differences, cognitive impairment, and environmental distractions, can disrupt the transmission of messages (Shannon and Weaver, 1949). In Mr Ahmed’s case, these barriers can be reduced by checking understanding, encouraging feedback, and ensuring a suitable communication environment.</w:t>
      </w:r>
    </w:p>
    <w:p w14:paraId="10659481"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23FEC18D"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Overall, effective communication enhances trust, reduces the likelihood of errors, and improves health outcomes. In Mr Ahmed’s situation, it is essential for ensuring that he receives safe, dignified, and person-centred care.</w:t>
      </w:r>
    </w:p>
    <w:p w14:paraId="7F5409E6" w14:textId="77777777" w:rsidR="00D516C5" w:rsidRPr="00D516C5" w:rsidRDefault="00D516C5" w:rsidP="00D516C5">
      <w:pPr>
        <w:spacing w:after="0" w:line="240" w:lineRule="auto"/>
        <w:rPr>
          <w:rFonts w:ascii="Times New Roman" w:eastAsia="Times New Roman" w:hAnsi="Times New Roman" w:cs="Times New Roman"/>
          <w:kern w:val="0"/>
          <w14:ligatures w14:val="none"/>
        </w:rPr>
      </w:pPr>
      <w:r w:rsidRPr="00D516C5">
        <w:rPr>
          <w:rFonts w:ascii="Times New Roman" w:eastAsia="Times New Roman" w:hAnsi="Times New Roman" w:cs="Times New Roman"/>
          <w:noProof/>
          <w:kern w:val="0"/>
          <w14:ligatures w14:val="none"/>
        </w:rPr>
        <mc:AlternateContent>
          <mc:Choice Requires="wps">
            <w:drawing>
              <wp:inline distT="0" distB="0" distL="0" distR="0" wp14:anchorId="655950D2" wp14:editId="2E7E8007">
                <wp:extent cx="5731510" cy="1270"/>
                <wp:effectExtent l="0" t="31750" r="0" b="36830"/>
                <wp:docPr id="37370713"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DB69548"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60CA7ED" w14:textId="1CCAD8F3"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 xml:space="preserve">Administrative Skills and Record-Keeping </w:t>
      </w:r>
    </w:p>
    <w:p w14:paraId="3E93142D"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2B79DD76"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Administrative skills, particularly effective record-keeping, are essential in health and social care as they support continuity, accountability, and safe practice. Accurate documentation ensures that all professionals involved in a service user’s care have access to up-to-date and relevant information, which is critical in complex cases such as Mr Ahmed’s. Poor administrative practices can lead to serious consequences, as demonstrated by the missed domiciliary care visit and delayed medication.</w:t>
      </w:r>
    </w:p>
    <w:p w14:paraId="7D31CCE8"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7A8EE6B3"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Record-keeping involves maintaining clear, accurate, and timely documentation of care activities, including medication administration, care plans, and communication between professionals. According to NHS England (2023), high-quality records are essential for ensuring patient safety and continuity of care. In Mr Ahmed’s case, consistent documentation would enable professionals to identify missed visits quickly and take corrective action, thereby reducing risks to his health. This demonstrates how effective record-keeping is not only an administrative task but also a critical component of clinical safety.</w:t>
      </w:r>
    </w:p>
    <w:p w14:paraId="57355BFC"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3516AF3C"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The Data Protection Act 2018 provides the legal framework for handling personal information in the UK. It requires that data is processed lawfully, stored securely, and shared only with authorised individuals (Department of Health and Social Care, 2018). In the context of Mr Ahmed’s care, sensitive information regarding his medical condition, language needs, and care arrangements must be protected to maintain confidentiality and trust. However, there is also a need to balance confidentiality with information sharing, as effective communication between professionals is essential for coordinated care.</w:t>
      </w:r>
    </w:p>
    <w:p w14:paraId="424D5EB9"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2D37B573"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The Caldicott Principles further support this balance by emphasising that personal information should only be shared when necessary and that the minimum required information should be disclosed (Caldicott, 2013). Applying these principles ensures that Mr Ahmed’s privacy is respected while enabling effective multi-agency working.</w:t>
      </w:r>
    </w:p>
    <w:p w14:paraId="4D38D93D"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18F2D88C"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The missed care visit suggests potential weaknesses in administrative systems, such as poor scheduling, lack of communication, or incomplete records. To address these issues, organisations can implement digital record systems, conduct regular audits, and establish clear protocols for reporting and responding to missed visits. These strategies highlight the importance of strong administrative practices in preventing errors and improving care quality.</w:t>
      </w:r>
    </w:p>
    <w:p w14:paraId="376A2F1A"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7F9DD3C8"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In conclusion, effective record-keeping and adherence to data protection legislation are essential for ensuring safe, efficient, and accountable care for Mr Ahmed.</w:t>
      </w:r>
    </w:p>
    <w:p w14:paraId="64D2899A" w14:textId="77777777" w:rsidR="00D516C5" w:rsidRPr="00D516C5" w:rsidRDefault="00D516C5" w:rsidP="00D516C5">
      <w:pPr>
        <w:spacing w:after="0" w:line="240" w:lineRule="auto"/>
        <w:rPr>
          <w:rFonts w:ascii="Times New Roman" w:eastAsia="Times New Roman" w:hAnsi="Times New Roman" w:cs="Times New Roman"/>
          <w:kern w:val="0"/>
          <w14:ligatures w14:val="none"/>
        </w:rPr>
      </w:pPr>
      <w:r w:rsidRPr="00D516C5">
        <w:rPr>
          <w:rFonts w:ascii="Times New Roman" w:eastAsia="Times New Roman" w:hAnsi="Times New Roman" w:cs="Times New Roman"/>
          <w:noProof/>
          <w:kern w:val="0"/>
          <w14:ligatures w14:val="none"/>
        </w:rPr>
        <mc:AlternateContent>
          <mc:Choice Requires="wps">
            <w:drawing>
              <wp:inline distT="0" distB="0" distL="0" distR="0" wp14:anchorId="46024A0F" wp14:editId="60E00028">
                <wp:extent cx="5731510" cy="1270"/>
                <wp:effectExtent l="0" t="31750" r="0" b="36830"/>
                <wp:docPr id="211154833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04EE058"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BF5D300" w14:textId="34F55EE8"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 xml:space="preserve">Collaborative Working and Multi-Agency Practice </w:t>
      </w:r>
    </w:p>
    <w:p w14:paraId="20ACA315"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19F92EAE"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Collaborative working is a fundamental aspect of health and social care, particularly when supporting individuals with complex and ongoing needs. In Mr Ahmed’s case, care is delivered by a multidisciplinary team that includes a GP, district nurse, domiciliary care workers, and a speech and language therapist. Each professional contributes specialised knowledge, and effective collaboration ensures that care is holistic, coordinated, and responsive to changing needs.</w:t>
      </w:r>
    </w:p>
    <w:p w14:paraId="078078B8"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66A3E476"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According to Beauchamp and Childress (2019), collaborative practice supports ethical decision-making and promotes the best interests of service users. In Mr Ahmed’s case, information sharing between professionals is essential for monitoring his condition, managing medication, and supporting his communication needs. For example, the speech and language therapist’s input is crucial in improving his ability to communicate, which in turn enhances his engagement with other aspects of care.</w:t>
      </w:r>
    </w:p>
    <w:p w14:paraId="388076DB"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335C904B"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However, multi-agency working can present challenges, including communication breakdowns, unclear roles, and differences in professional perspectives. The missed domiciliary care visit may indicate a lack of coordination or ineffective communication within the team. Additionally, Mr Ahmed’s language barrier may further complicate interactions between professionals and the service user.</w:t>
      </w:r>
    </w:p>
    <w:p w14:paraId="011853D5"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1D54C9E7"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Tuckman’s (1965) model of group development highlights the importance of clear roles, communication, and teamwork in achieving effective collaboration. To overcome challenges, strategies such as regular team meetings, shared care plans, and digital communication systems can be implemented. Clear accountability and role definition are also essential in preventing errors and ensuring that responsibilities are understood. Furthermore, training in cultural competence can improve professionals’ ability to meet Mr Ahmed’s diverse needs.</w:t>
      </w:r>
    </w:p>
    <w:p w14:paraId="58D26D3F"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1BB5F66C"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Overall, effective collaborative working enhances care quality, reduces risks, and ensures that Mr Ahmed receives comprehensive and person-centred support.</w:t>
      </w:r>
    </w:p>
    <w:p w14:paraId="2EBB5804" w14:textId="77777777" w:rsidR="00D516C5" w:rsidRPr="00D516C5" w:rsidRDefault="00D516C5" w:rsidP="00D516C5">
      <w:pPr>
        <w:spacing w:after="0" w:line="240" w:lineRule="auto"/>
        <w:rPr>
          <w:rFonts w:ascii="Times New Roman" w:eastAsia="Times New Roman" w:hAnsi="Times New Roman" w:cs="Times New Roman"/>
          <w:kern w:val="0"/>
          <w14:ligatures w14:val="none"/>
        </w:rPr>
      </w:pPr>
      <w:r w:rsidRPr="00D516C5">
        <w:rPr>
          <w:rFonts w:ascii="Times New Roman" w:eastAsia="Times New Roman" w:hAnsi="Times New Roman" w:cs="Times New Roman"/>
          <w:noProof/>
          <w:kern w:val="0"/>
          <w14:ligatures w14:val="none"/>
        </w:rPr>
        <mc:AlternateContent>
          <mc:Choice Requires="wps">
            <w:drawing>
              <wp:inline distT="0" distB="0" distL="0" distR="0" wp14:anchorId="0C72EF27" wp14:editId="304D5EDF">
                <wp:extent cx="5731510" cy="1270"/>
                <wp:effectExtent l="0" t="31750" r="0" b="36830"/>
                <wp:docPr id="174518562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1978896"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42C4F91" w14:textId="043D7E0A"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 xml:space="preserve">Conclusion </w:t>
      </w:r>
    </w:p>
    <w:p w14:paraId="12F55DC6"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6A1B1E37"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In conclusion, effective communication, strong administrative practices, and collaborative working are essential components of high-quality health and social care. In the case of Mr Ahmed, these elements are particularly important due to his complex needs, including the effects of a stroke and a language barrier. Effective communication ensures that he can understand and participate in his care, while the Equality Act 2010 promotes inclusive and non-discriminatory practice.</w:t>
      </w:r>
    </w:p>
    <w:p w14:paraId="2D63010B"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4A2BCD66"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Accurate record-keeping and adherence to the Data Protection Act 2018 are critical for maintaining confidentiality and ensuring continuity of care. Furthermore, collaborative working among professionals enables a coordinated approach that addresses all aspects of Mr Ahmed’s health and wellbeing.</w:t>
      </w:r>
    </w:p>
    <w:p w14:paraId="0D73AA0F"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294FB96C"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The missed home visit highlights the potential risks associated with poor communication and administrative systems, reinforcing the need for robust processes and effective teamwork. By addressing these areas, health and social care providers can improve outcomes and deliver safe, person-centred care.</w:t>
      </w:r>
    </w:p>
    <w:p w14:paraId="72893202" w14:textId="77777777" w:rsidR="00D516C5" w:rsidRPr="00D516C5" w:rsidRDefault="00D516C5" w:rsidP="00D516C5">
      <w:pPr>
        <w:spacing w:after="0" w:line="240" w:lineRule="auto"/>
        <w:rPr>
          <w:rFonts w:ascii="Times New Roman" w:eastAsia="Times New Roman" w:hAnsi="Times New Roman" w:cs="Times New Roman"/>
          <w:kern w:val="0"/>
          <w14:ligatures w14:val="none"/>
        </w:rPr>
      </w:pPr>
      <w:r w:rsidRPr="00D516C5">
        <w:rPr>
          <w:rFonts w:ascii="Times New Roman" w:eastAsia="Times New Roman" w:hAnsi="Times New Roman" w:cs="Times New Roman"/>
          <w:noProof/>
          <w:kern w:val="0"/>
          <w14:ligatures w14:val="none"/>
        </w:rPr>
        <mc:AlternateContent>
          <mc:Choice Requires="wps">
            <w:drawing>
              <wp:inline distT="0" distB="0" distL="0" distR="0" wp14:anchorId="233D513A" wp14:editId="0261EB1A">
                <wp:extent cx="5731510" cy="1270"/>
                <wp:effectExtent l="0" t="31750" r="0" b="36830"/>
                <wp:docPr id="139896626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C2B4B4D"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45098EB" w14:textId="77777777" w:rsidR="00FD090F" w:rsidRDefault="00FD090F" w:rsidP="00D516C5">
      <w:pPr>
        <w:spacing w:before="100" w:beforeAutospacing="1" w:after="100" w:afterAutospacing="1" w:line="240" w:lineRule="auto"/>
        <w:rPr>
          <w:rFonts w:ascii="Times New Roman" w:hAnsi="Times New Roman" w:cs="Times New Roman"/>
          <w:kern w:val="0"/>
          <w14:ligatures w14:val="none"/>
        </w:rPr>
      </w:pPr>
    </w:p>
    <w:p w14:paraId="276E46DD" w14:textId="77777777" w:rsidR="00FD090F" w:rsidRDefault="00FD090F" w:rsidP="00D516C5">
      <w:pPr>
        <w:spacing w:before="100" w:beforeAutospacing="1" w:after="100" w:afterAutospacing="1" w:line="240" w:lineRule="auto"/>
        <w:rPr>
          <w:rFonts w:ascii="Times New Roman" w:hAnsi="Times New Roman" w:cs="Times New Roman"/>
          <w:kern w:val="0"/>
          <w14:ligatures w14:val="none"/>
        </w:rPr>
      </w:pPr>
    </w:p>
    <w:p w14:paraId="63625321" w14:textId="77777777" w:rsidR="00FD090F" w:rsidRDefault="00FD090F" w:rsidP="00D516C5">
      <w:pPr>
        <w:spacing w:before="100" w:beforeAutospacing="1" w:after="100" w:afterAutospacing="1" w:line="240" w:lineRule="auto"/>
        <w:rPr>
          <w:rFonts w:ascii="Times New Roman" w:hAnsi="Times New Roman" w:cs="Times New Roman"/>
          <w:kern w:val="0"/>
          <w14:ligatures w14:val="none"/>
        </w:rPr>
      </w:pPr>
    </w:p>
    <w:p w14:paraId="21ACBBC6" w14:textId="77777777" w:rsidR="00FD090F" w:rsidRDefault="00FD090F" w:rsidP="00D516C5">
      <w:pPr>
        <w:spacing w:before="100" w:beforeAutospacing="1" w:after="100" w:afterAutospacing="1" w:line="240" w:lineRule="auto"/>
        <w:rPr>
          <w:rFonts w:ascii="Times New Roman" w:hAnsi="Times New Roman" w:cs="Times New Roman"/>
          <w:kern w:val="0"/>
          <w14:ligatures w14:val="none"/>
        </w:rPr>
      </w:pPr>
    </w:p>
    <w:p w14:paraId="447E8172" w14:textId="77777777" w:rsidR="00FD090F" w:rsidRDefault="00FD090F" w:rsidP="00D516C5">
      <w:pPr>
        <w:spacing w:before="100" w:beforeAutospacing="1" w:after="100" w:afterAutospacing="1" w:line="240" w:lineRule="auto"/>
        <w:rPr>
          <w:rFonts w:ascii="Times New Roman" w:hAnsi="Times New Roman" w:cs="Times New Roman"/>
          <w:kern w:val="0"/>
          <w14:ligatures w14:val="none"/>
        </w:rPr>
      </w:pPr>
    </w:p>
    <w:p w14:paraId="52D561B7" w14:textId="77777777" w:rsidR="00FD090F" w:rsidRDefault="00FD090F" w:rsidP="00D516C5">
      <w:pPr>
        <w:spacing w:before="100" w:beforeAutospacing="1" w:after="100" w:afterAutospacing="1" w:line="240" w:lineRule="auto"/>
        <w:rPr>
          <w:rFonts w:ascii="Times New Roman" w:hAnsi="Times New Roman" w:cs="Times New Roman"/>
          <w:kern w:val="0"/>
          <w14:ligatures w14:val="none"/>
        </w:rPr>
      </w:pPr>
    </w:p>
    <w:p w14:paraId="647E2FDF" w14:textId="77777777" w:rsidR="00FD090F" w:rsidRDefault="00FD090F" w:rsidP="00D516C5">
      <w:pPr>
        <w:spacing w:before="100" w:beforeAutospacing="1" w:after="100" w:afterAutospacing="1" w:line="240" w:lineRule="auto"/>
        <w:rPr>
          <w:rFonts w:ascii="Times New Roman" w:hAnsi="Times New Roman" w:cs="Times New Roman"/>
          <w:kern w:val="0"/>
          <w14:ligatures w14:val="none"/>
        </w:rPr>
      </w:pPr>
    </w:p>
    <w:p w14:paraId="7EAE2041" w14:textId="77777777" w:rsidR="00FD090F" w:rsidRDefault="00FD090F" w:rsidP="00D516C5">
      <w:pPr>
        <w:spacing w:before="100" w:beforeAutospacing="1" w:after="100" w:afterAutospacing="1" w:line="240" w:lineRule="auto"/>
        <w:rPr>
          <w:rFonts w:ascii="Times New Roman" w:hAnsi="Times New Roman" w:cs="Times New Roman"/>
          <w:kern w:val="0"/>
          <w14:ligatures w14:val="none"/>
        </w:rPr>
      </w:pPr>
    </w:p>
    <w:p w14:paraId="62C68B7F" w14:textId="77777777" w:rsidR="00FD090F" w:rsidRDefault="00FD090F" w:rsidP="00D516C5">
      <w:pPr>
        <w:spacing w:before="100" w:beforeAutospacing="1" w:after="100" w:afterAutospacing="1" w:line="240" w:lineRule="auto"/>
        <w:rPr>
          <w:rFonts w:ascii="Times New Roman" w:hAnsi="Times New Roman" w:cs="Times New Roman"/>
          <w:kern w:val="0"/>
          <w14:ligatures w14:val="none"/>
        </w:rPr>
      </w:pPr>
    </w:p>
    <w:p w14:paraId="14506566" w14:textId="639EEBBD"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Reference List</w:t>
      </w:r>
    </w:p>
    <w:p w14:paraId="6B4EB878"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4607B932"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Beauchamp, T.L. and Childress, J.F. (2019) Principles of Biomedical Ethics. 8th edn. Oxford: Oxford University Press.</w:t>
      </w:r>
    </w:p>
    <w:p w14:paraId="315898B1"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2EE69CDD"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Caldicott, F. (2013) Information: To share or not to share? The Information Governance Review. London: Department of Health.</w:t>
      </w:r>
    </w:p>
    <w:p w14:paraId="601C869A"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4164A440"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Department of Health and Social Care (2018) The Data Protection Act 2018. London: HMSO.</w:t>
      </w:r>
    </w:p>
    <w:p w14:paraId="4CFE1114"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49E20056"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Equality Act 2010. (2010) London: The Stationery Office.</w:t>
      </w:r>
    </w:p>
    <w:p w14:paraId="7E33B56F"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20C46D7F"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NHS England (2023) Record keeping guidance. Available at: https://www.england.nhs.uk</w:t>
      </w:r>
    </w:p>
    <w:p w14:paraId="2AA95284"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3CCF6054"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Nursing and Midwifery Council (2018) The Code: Professional standards of practice and behaviour for nurses, midwives and nursing associates. London: NMC.</w:t>
      </w:r>
    </w:p>
    <w:p w14:paraId="7AAF5034"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32A4C4FD"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Shannon, C.E. and Weaver, W. (1949) The Mathematical Theory of Communication. Urbana: University of Illinois Press.</w:t>
      </w:r>
    </w:p>
    <w:p w14:paraId="7625FF8A"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p>
    <w:p w14:paraId="2AC944F9" w14:textId="77777777" w:rsidR="00D516C5" w:rsidRPr="00D516C5" w:rsidRDefault="00D516C5" w:rsidP="00D516C5">
      <w:pPr>
        <w:spacing w:before="100" w:beforeAutospacing="1" w:after="100" w:afterAutospacing="1" w:line="240" w:lineRule="auto"/>
        <w:rPr>
          <w:rFonts w:ascii="Times New Roman" w:hAnsi="Times New Roman" w:cs="Times New Roman"/>
          <w:kern w:val="0"/>
          <w14:ligatures w14:val="none"/>
        </w:rPr>
      </w:pPr>
      <w:r w:rsidRPr="00D516C5">
        <w:rPr>
          <w:rFonts w:ascii="Times New Roman" w:hAnsi="Times New Roman" w:cs="Times New Roman"/>
          <w:kern w:val="0"/>
          <w14:ligatures w14:val="none"/>
        </w:rPr>
        <w:t>Tuckman, B.W. (1965) ‘Developmental sequence in small groups’, Psychological Bulletin, 63(6), pp. 384–399.</w:t>
      </w:r>
    </w:p>
    <w:p w14:paraId="4962278C" w14:textId="77777777" w:rsidR="00D31A86" w:rsidRDefault="00D31A86" w:rsidP="00D31A86">
      <w:pPr>
        <w:pStyle w:val="p1"/>
      </w:pPr>
    </w:p>
    <w:p w14:paraId="09B1D65D" w14:textId="77777777" w:rsidR="00A1069D" w:rsidRDefault="00A1069D">
      <w:pPr>
        <w:pStyle w:val="p1"/>
      </w:pPr>
    </w:p>
    <w:p w14:paraId="40210097" w14:textId="77777777" w:rsidR="007D2C0C" w:rsidRDefault="007D2C0C"/>
    <w:sectPr w:rsidR="007D2C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2303F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836428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51"/>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C0C"/>
    <w:rsid w:val="000E4C4D"/>
    <w:rsid w:val="001C6025"/>
    <w:rsid w:val="00652AE1"/>
    <w:rsid w:val="00767A7C"/>
    <w:rsid w:val="007D2C0C"/>
    <w:rsid w:val="00904FB5"/>
    <w:rsid w:val="00A1069D"/>
    <w:rsid w:val="00D31A86"/>
    <w:rsid w:val="00D516C5"/>
    <w:rsid w:val="00DE77F5"/>
    <w:rsid w:val="00FD090F"/>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7E72FEDD"/>
  <w15:chartTrackingRefBased/>
  <w15:docId w15:val="{DD4BBCE7-2F9D-F54C-B2A2-D789330C8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RO"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C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2C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2C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2C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2C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2C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2C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2C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2C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C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2C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2C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2C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2C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2C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2C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2C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2C0C"/>
    <w:rPr>
      <w:rFonts w:eastAsiaTheme="majorEastAsia" w:cstheme="majorBidi"/>
      <w:color w:val="272727" w:themeColor="text1" w:themeTint="D8"/>
    </w:rPr>
  </w:style>
  <w:style w:type="paragraph" w:styleId="Title">
    <w:name w:val="Title"/>
    <w:basedOn w:val="Normal"/>
    <w:next w:val="Normal"/>
    <w:link w:val="TitleChar"/>
    <w:uiPriority w:val="10"/>
    <w:qFormat/>
    <w:rsid w:val="007D2C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2C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2C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2C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2C0C"/>
    <w:pPr>
      <w:spacing w:before="160"/>
      <w:jc w:val="center"/>
    </w:pPr>
    <w:rPr>
      <w:i/>
      <w:iCs/>
      <w:color w:val="404040" w:themeColor="text1" w:themeTint="BF"/>
    </w:rPr>
  </w:style>
  <w:style w:type="character" w:customStyle="1" w:styleId="QuoteChar">
    <w:name w:val="Quote Char"/>
    <w:basedOn w:val="DefaultParagraphFont"/>
    <w:link w:val="Quote"/>
    <w:uiPriority w:val="29"/>
    <w:rsid w:val="007D2C0C"/>
    <w:rPr>
      <w:i/>
      <w:iCs/>
      <w:color w:val="404040" w:themeColor="text1" w:themeTint="BF"/>
    </w:rPr>
  </w:style>
  <w:style w:type="paragraph" w:styleId="ListParagraph">
    <w:name w:val="List Paragraph"/>
    <w:basedOn w:val="Normal"/>
    <w:uiPriority w:val="34"/>
    <w:qFormat/>
    <w:rsid w:val="007D2C0C"/>
    <w:pPr>
      <w:ind w:left="720"/>
      <w:contextualSpacing/>
    </w:pPr>
  </w:style>
  <w:style w:type="character" w:styleId="IntenseEmphasis">
    <w:name w:val="Intense Emphasis"/>
    <w:basedOn w:val="DefaultParagraphFont"/>
    <w:uiPriority w:val="21"/>
    <w:qFormat/>
    <w:rsid w:val="007D2C0C"/>
    <w:rPr>
      <w:i/>
      <w:iCs/>
      <w:color w:val="0F4761" w:themeColor="accent1" w:themeShade="BF"/>
    </w:rPr>
  </w:style>
  <w:style w:type="paragraph" w:styleId="IntenseQuote">
    <w:name w:val="Intense Quote"/>
    <w:basedOn w:val="Normal"/>
    <w:next w:val="Normal"/>
    <w:link w:val="IntenseQuoteChar"/>
    <w:uiPriority w:val="30"/>
    <w:qFormat/>
    <w:rsid w:val="007D2C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2C0C"/>
    <w:rPr>
      <w:i/>
      <w:iCs/>
      <w:color w:val="0F4761" w:themeColor="accent1" w:themeShade="BF"/>
    </w:rPr>
  </w:style>
  <w:style w:type="character" w:styleId="IntenseReference">
    <w:name w:val="Intense Reference"/>
    <w:basedOn w:val="DefaultParagraphFont"/>
    <w:uiPriority w:val="32"/>
    <w:qFormat/>
    <w:rsid w:val="007D2C0C"/>
    <w:rPr>
      <w:b/>
      <w:bCs/>
      <w:smallCaps/>
      <w:color w:val="0F4761" w:themeColor="accent1" w:themeShade="BF"/>
      <w:spacing w:val="5"/>
    </w:rPr>
  </w:style>
  <w:style w:type="paragraph" w:customStyle="1" w:styleId="p1">
    <w:name w:val="p1"/>
    <w:basedOn w:val="Normal"/>
    <w:rsid w:val="007D2C0C"/>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7D2C0C"/>
  </w:style>
  <w:style w:type="character" w:customStyle="1" w:styleId="s2">
    <w:name w:val="s2"/>
    <w:basedOn w:val="DefaultParagraphFont"/>
    <w:rsid w:val="007D2C0C"/>
  </w:style>
  <w:style w:type="paragraph" w:customStyle="1" w:styleId="p2">
    <w:name w:val="p2"/>
    <w:basedOn w:val="Normal"/>
    <w:rsid w:val="007D2C0C"/>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D516C5"/>
  </w:style>
  <w:style w:type="character" w:customStyle="1" w:styleId="s4">
    <w:name w:val="s4"/>
    <w:basedOn w:val="DefaultParagraphFont"/>
    <w:rsid w:val="00D516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e8549c2e-0d2e-4560-9591-3186755fc587}" enabled="0" method="" siteId="{e8549c2e-0d2e-4560-9591-3186755fc587}" removed="1"/>
</clbl:labelList>
</file>

<file path=docProps/app.xml><?xml version="1.0" encoding="utf-8"?>
<Properties xmlns="http://schemas.openxmlformats.org/officeDocument/2006/extended-properties" xmlns:vt="http://schemas.openxmlformats.org/officeDocument/2006/docPropsVTypes">
  <Template>Normal</Template>
  <TotalTime>0</TotalTime>
  <Pages>1</Pages>
  <Words>1635</Words>
  <Characters>9321</Characters>
  <Application>Microsoft Office Word</Application>
  <DocSecurity>0</DocSecurity>
  <Lines>77</Lines>
  <Paragraphs>21</Paragraphs>
  <ScaleCrop>false</ScaleCrop>
  <Company/>
  <LinksUpToDate>false</LinksUpToDate>
  <CharactersWithSpaces>10935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Preda</dc:creator>
  <cp:keywords/>
  <dc:description/>
  <cp:lastModifiedBy>Vasile Preda</cp:lastModifiedBy>
  <cp:revision>2</cp:revision>
  <dcterms:created xsi:type="dcterms:W3CDTF">2026-03-26T15:32:00Z</dcterms:created>
  <dcterms:modified xsi:type="dcterms:W3CDTF">2026-03-26T15:32:00Z</dcterms:modified>
</cp:coreProperties>
</file>