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08151" w14:textId="77777777" w:rsidR="006563DE" w:rsidRDefault="006563DE" w:rsidP="006563DE">
      <w:pPr>
        <w:jc w:val="center"/>
      </w:pPr>
    </w:p>
    <w:p w14:paraId="55ADD35F" w14:textId="77777777" w:rsidR="006563DE" w:rsidRDefault="006563DE" w:rsidP="006563DE">
      <w:pPr>
        <w:jc w:val="center"/>
      </w:pPr>
    </w:p>
    <w:p w14:paraId="0892C047" w14:textId="77777777" w:rsidR="006563DE" w:rsidRDefault="006563DE" w:rsidP="006563DE">
      <w:pPr>
        <w:spacing w:after="200"/>
        <w:jc w:val="center"/>
        <w:rPr>
          <w:rFonts w:ascii="Arial" w:hAnsi="Arial"/>
        </w:rPr>
      </w:pPr>
      <w:r>
        <w:rPr>
          <w:rFonts w:ascii="Arial" w:hAnsi="Arial"/>
          <w:noProof/>
        </w:rPr>
        <w:drawing>
          <wp:inline distT="0" distB="0" distL="0" distR="0" wp14:anchorId="525CD0DE" wp14:editId="4DC5BCA6">
            <wp:extent cx="1240403" cy="689307"/>
            <wp:effectExtent l="0" t="0" r="0" b="0"/>
            <wp:docPr id="3" name="Picture 3" descr="C:\Users\USER\Downloads\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university-of-wales-trinity-saint-david-logo-vector.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51792" cy="695636"/>
                    </a:xfrm>
                    <a:prstGeom prst="rect">
                      <a:avLst/>
                    </a:prstGeom>
                    <a:noFill/>
                    <a:ln>
                      <a:noFill/>
                    </a:ln>
                  </pic:spPr>
                </pic:pic>
              </a:graphicData>
            </a:graphic>
          </wp:inline>
        </w:drawing>
      </w:r>
    </w:p>
    <w:p w14:paraId="00E71254" w14:textId="77777777" w:rsidR="006563DE" w:rsidRDefault="006563DE" w:rsidP="006563DE">
      <w:pPr>
        <w:spacing w:after="200"/>
        <w:jc w:val="center"/>
        <w:rPr>
          <w:rFonts w:ascii="Arial" w:hAnsi="Arial"/>
          <w:sz w:val="44"/>
        </w:rPr>
      </w:pPr>
    </w:p>
    <w:p w14:paraId="3BB6CC46" w14:textId="77777777" w:rsidR="006563DE" w:rsidRPr="006563DE" w:rsidRDefault="006563DE" w:rsidP="006563DE">
      <w:pPr>
        <w:spacing w:after="200"/>
        <w:jc w:val="center"/>
        <w:rPr>
          <w:sz w:val="44"/>
        </w:rPr>
      </w:pPr>
      <w:r w:rsidRPr="006563DE">
        <w:rPr>
          <w:rFonts w:ascii="Arial" w:hAnsi="Arial"/>
          <w:sz w:val="44"/>
        </w:rPr>
        <w:t>Portfolio</w:t>
      </w:r>
    </w:p>
    <w:p w14:paraId="6EC77644" w14:textId="77777777" w:rsidR="006563DE" w:rsidRDefault="006563DE" w:rsidP="006563DE">
      <w:pPr>
        <w:pBdr>
          <w:bottom w:val="single" w:sz="6" w:space="1" w:color="2C3E50"/>
        </w:pBdr>
        <w:spacing w:before="240" w:after="240"/>
        <w:jc w:val="center"/>
      </w:pPr>
    </w:p>
    <w:p w14:paraId="7510F607" w14:textId="77777777" w:rsidR="00F25A77" w:rsidRDefault="00F25A77" w:rsidP="00D55B13">
      <w:pPr>
        <w:spacing w:after="80"/>
        <w:rPr>
          <w:b/>
          <w:bCs/>
        </w:rPr>
      </w:pPr>
    </w:p>
    <w:p w14:paraId="26BB56F7" w14:textId="77777777" w:rsidR="00F25A77" w:rsidRDefault="00F25A77" w:rsidP="00DD2FE7">
      <w:pPr>
        <w:spacing w:after="80"/>
        <w:jc w:val="center"/>
        <w:rPr>
          <w:b/>
          <w:bCs/>
        </w:rPr>
      </w:pPr>
    </w:p>
    <w:p w14:paraId="7C041546" w14:textId="77777777" w:rsidR="000020F8" w:rsidRPr="006563DE" w:rsidRDefault="000020F8" w:rsidP="000020F8">
      <w:pPr>
        <w:spacing w:after="160"/>
        <w:jc w:val="center"/>
        <w:rPr>
          <w:sz w:val="22"/>
        </w:rPr>
      </w:pPr>
    </w:p>
    <w:p w14:paraId="43B10C93" w14:textId="77777777" w:rsidR="000020F8" w:rsidRPr="006563DE" w:rsidRDefault="000020F8" w:rsidP="000020F8">
      <w:pPr>
        <w:spacing w:after="120" w:line="276" w:lineRule="auto"/>
        <w:jc w:val="center"/>
        <w:rPr>
          <w:sz w:val="28"/>
        </w:rPr>
      </w:pPr>
      <w:r w:rsidRPr="006563DE">
        <w:rPr>
          <w:rFonts w:ascii="Arial" w:hAnsi="Arial"/>
          <w:color w:val="555555"/>
          <w:sz w:val="28"/>
        </w:rPr>
        <w:t>Name</w:t>
      </w:r>
    </w:p>
    <w:p w14:paraId="7A3C3DD6" w14:textId="77777777" w:rsidR="000020F8" w:rsidRPr="006563DE" w:rsidRDefault="000020F8" w:rsidP="000020F8">
      <w:pPr>
        <w:spacing w:after="280" w:line="276" w:lineRule="auto"/>
        <w:jc w:val="center"/>
        <w:rPr>
          <w:rFonts w:ascii="Arial" w:hAnsi="Arial"/>
          <w:b/>
          <w:sz w:val="32"/>
          <w:szCs w:val="28"/>
        </w:rPr>
      </w:pPr>
      <w:r w:rsidRPr="006563DE">
        <w:rPr>
          <w:rFonts w:ascii="Arial" w:hAnsi="Arial"/>
          <w:b/>
          <w:sz w:val="32"/>
          <w:szCs w:val="28"/>
        </w:rPr>
        <w:t>Elizabeth Olukemi Obafemi</w:t>
      </w:r>
    </w:p>
    <w:p w14:paraId="741D4428" w14:textId="77777777" w:rsidR="000020F8" w:rsidRPr="006563DE" w:rsidRDefault="000020F8" w:rsidP="000020F8">
      <w:pPr>
        <w:spacing w:after="280" w:line="276" w:lineRule="auto"/>
        <w:jc w:val="center"/>
        <w:rPr>
          <w:sz w:val="28"/>
        </w:rPr>
      </w:pPr>
    </w:p>
    <w:p w14:paraId="21CCB7D5" w14:textId="77777777" w:rsidR="000020F8" w:rsidRPr="006563DE" w:rsidRDefault="000020F8" w:rsidP="000020F8">
      <w:pPr>
        <w:spacing w:after="120" w:line="276" w:lineRule="auto"/>
        <w:jc w:val="center"/>
        <w:rPr>
          <w:sz w:val="28"/>
        </w:rPr>
      </w:pPr>
      <w:r w:rsidRPr="006563DE">
        <w:rPr>
          <w:rFonts w:ascii="Arial" w:hAnsi="Arial"/>
          <w:color w:val="555555"/>
          <w:sz w:val="28"/>
        </w:rPr>
        <w:t>Student ID</w:t>
      </w:r>
    </w:p>
    <w:p w14:paraId="45B51F40" w14:textId="77777777" w:rsidR="000020F8" w:rsidRPr="006563DE" w:rsidRDefault="000020F8" w:rsidP="000020F8">
      <w:pPr>
        <w:spacing w:after="280" w:line="276" w:lineRule="auto"/>
        <w:jc w:val="center"/>
        <w:rPr>
          <w:rFonts w:ascii="Arial" w:hAnsi="Arial"/>
          <w:b/>
          <w:sz w:val="32"/>
          <w:szCs w:val="28"/>
        </w:rPr>
      </w:pPr>
      <w:r w:rsidRPr="006563DE">
        <w:rPr>
          <w:rFonts w:ascii="Arial" w:hAnsi="Arial"/>
          <w:b/>
          <w:sz w:val="32"/>
          <w:szCs w:val="28"/>
        </w:rPr>
        <w:t>2517115</w:t>
      </w:r>
    </w:p>
    <w:p w14:paraId="507CAEEB" w14:textId="77777777" w:rsidR="000020F8" w:rsidRPr="006563DE" w:rsidRDefault="000020F8" w:rsidP="000020F8">
      <w:pPr>
        <w:spacing w:after="280" w:line="276" w:lineRule="auto"/>
        <w:jc w:val="center"/>
        <w:rPr>
          <w:sz w:val="28"/>
        </w:rPr>
      </w:pPr>
    </w:p>
    <w:p w14:paraId="5A4F50F3" w14:textId="77777777" w:rsidR="000020F8" w:rsidRPr="006563DE" w:rsidRDefault="000020F8" w:rsidP="000020F8">
      <w:pPr>
        <w:spacing w:after="120" w:line="276" w:lineRule="auto"/>
        <w:jc w:val="center"/>
        <w:rPr>
          <w:sz w:val="28"/>
        </w:rPr>
      </w:pPr>
      <w:r w:rsidRPr="006563DE">
        <w:rPr>
          <w:rFonts w:ascii="Arial" w:hAnsi="Arial"/>
          <w:color w:val="555555"/>
          <w:sz w:val="28"/>
        </w:rPr>
        <w:t>Module</w:t>
      </w:r>
    </w:p>
    <w:p w14:paraId="2FE1637A" w14:textId="77777777" w:rsidR="000020F8" w:rsidRPr="006563DE" w:rsidRDefault="000020F8" w:rsidP="000020F8">
      <w:pPr>
        <w:spacing w:after="280" w:line="276" w:lineRule="auto"/>
        <w:jc w:val="center"/>
        <w:rPr>
          <w:rFonts w:ascii="Arial" w:hAnsi="Arial"/>
          <w:b/>
          <w:sz w:val="32"/>
          <w:szCs w:val="28"/>
        </w:rPr>
      </w:pPr>
      <w:r w:rsidRPr="006563DE">
        <w:rPr>
          <w:rFonts w:ascii="Arial" w:hAnsi="Arial"/>
          <w:b/>
          <w:sz w:val="32"/>
          <w:szCs w:val="28"/>
        </w:rPr>
        <w:t>Introduction to Health and Social Care (LCHS4001_LON)</w:t>
      </w:r>
    </w:p>
    <w:p w14:paraId="74B21A0E" w14:textId="77777777" w:rsidR="000020F8" w:rsidRPr="006563DE" w:rsidRDefault="000020F8" w:rsidP="000020F8">
      <w:pPr>
        <w:spacing w:after="280" w:line="276" w:lineRule="auto"/>
        <w:jc w:val="center"/>
        <w:rPr>
          <w:sz w:val="28"/>
        </w:rPr>
      </w:pPr>
    </w:p>
    <w:p w14:paraId="6F9E8A03" w14:textId="77777777" w:rsidR="000020F8" w:rsidRPr="006563DE" w:rsidRDefault="000020F8" w:rsidP="000020F8">
      <w:pPr>
        <w:spacing w:after="120" w:line="276" w:lineRule="auto"/>
        <w:jc w:val="center"/>
        <w:rPr>
          <w:sz w:val="28"/>
        </w:rPr>
      </w:pPr>
      <w:r w:rsidRPr="006563DE">
        <w:rPr>
          <w:rFonts w:ascii="Arial" w:hAnsi="Arial"/>
          <w:color w:val="555555"/>
          <w:sz w:val="28"/>
        </w:rPr>
        <w:t>Lecturer</w:t>
      </w:r>
    </w:p>
    <w:p w14:paraId="302189E8" w14:textId="77777777" w:rsidR="000020F8" w:rsidRPr="006563DE" w:rsidRDefault="000020F8" w:rsidP="000020F8">
      <w:pPr>
        <w:spacing w:after="480" w:line="276" w:lineRule="auto"/>
        <w:jc w:val="center"/>
        <w:rPr>
          <w:rFonts w:ascii="Arial" w:hAnsi="Arial"/>
          <w:b/>
          <w:sz w:val="32"/>
          <w:szCs w:val="28"/>
        </w:rPr>
      </w:pPr>
      <w:r w:rsidRPr="006563DE">
        <w:rPr>
          <w:rFonts w:ascii="Arial" w:hAnsi="Arial"/>
          <w:b/>
          <w:sz w:val="32"/>
          <w:szCs w:val="28"/>
        </w:rPr>
        <w:t>Aliyu Muhammad</w:t>
      </w:r>
    </w:p>
    <w:p w14:paraId="11B443A7" w14:textId="77777777" w:rsidR="000020F8" w:rsidRPr="006563DE" w:rsidRDefault="000020F8" w:rsidP="000020F8">
      <w:pPr>
        <w:spacing w:after="480" w:line="276" w:lineRule="auto"/>
        <w:jc w:val="center"/>
        <w:rPr>
          <w:sz w:val="28"/>
        </w:rPr>
      </w:pPr>
    </w:p>
    <w:p w14:paraId="4B942440" w14:textId="77777777" w:rsidR="000020F8" w:rsidRPr="006563DE" w:rsidRDefault="000020F8" w:rsidP="000020F8">
      <w:pPr>
        <w:spacing w:after="120" w:line="276" w:lineRule="auto"/>
        <w:jc w:val="center"/>
        <w:rPr>
          <w:sz w:val="28"/>
        </w:rPr>
      </w:pPr>
      <w:r w:rsidRPr="006563DE">
        <w:rPr>
          <w:rFonts w:ascii="Arial" w:hAnsi="Arial"/>
          <w:color w:val="555555"/>
          <w:sz w:val="28"/>
        </w:rPr>
        <w:t>Date of Submission</w:t>
      </w:r>
    </w:p>
    <w:p w14:paraId="0D3F8923" w14:textId="77777777" w:rsidR="000020F8" w:rsidRPr="006563DE" w:rsidRDefault="000020F8" w:rsidP="000020F8">
      <w:pPr>
        <w:spacing w:after="480" w:line="276" w:lineRule="auto"/>
        <w:jc w:val="center"/>
        <w:rPr>
          <w:sz w:val="28"/>
        </w:rPr>
      </w:pPr>
      <w:r w:rsidRPr="006563DE">
        <w:rPr>
          <w:rFonts w:ascii="Arial" w:hAnsi="Arial"/>
          <w:b/>
          <w:sz w:val="32"/>
          <w:szCs w:val="28"/>
        </w:rPr>
        <w:t>March 2026</w:t>
      </w:r>
    </w:p>
    <w:p w14:paraId="597CCE0B" w14:textId="77777777" w:rsidR="000020F8" w:rsidRDefault="000020F8" w:rsidP="00D55B13">
      <w:pPr>
        <w:spacing w:after="80"/>
        <w:rPr>
          <w:b/>
          <w:bCs/>
        </w:rPr>
      </w:pPr>
    </w:p>
    <w:p w14:paraId="23F95D08" w14:textId="77777777" w:rsidR="000020F8" w:rsidRDefault="000020F8">
      <w:pPr>
        <w:rPr>
          <w:b/>
          <w:bCs/>
        </w:rPr>
      </w:pPr>
    </w:p>
    <w:p w14:paraId="3072B800" w14:textId="77777777" w:rsidR="000020F8" w:rsidRDefault="000020F8" w:rsidP="00D55B13">
      <w:pPr>
        <w:spacing w:after="80"/>
        <w:rPr>
          <w:b/>
          <w:bCs/>
        </w:rPr>
      </w:pPr>
    </w:p>
    <w:p w14:paraId="3C09A567" w14:textId="77777777" w:rsidR="000020F8" w:rsidRDefault="000020F8">
      <w:pPr>
        <w:rPr>
          <w:b/>
          <w:bCs/>
        </w:rPr>
      </w:pPr>
    </w:p>
    <w:p w14:paraId="591B2C3F" w14:textId="77777777" w:rsidR="00F25A77" w:rsidRDefault="00F25A77" w:rsidP="00D55B13">
      <w:pPr>
        <w:spacing w:after="80"/>
        <w:rPr>
          <w:b/>
          <w:bCs/>
        </w:rPr>
      </w:pPr>
    </w:p>
    <w:p w14:paraId="027D3FD6" w14:textId="77777777" w:rsidR="00F25A77" w:rsidRDefault="00F25A77" w:rsidP="00DD2FE7">
      <w:pPr>
        <w:spacing w:after="80"/>
        <w:jc w:val="center"/>
        <w:rPr>
          <w:b/>
          <w:bCs/>
        </w:rPr>
      </w:pPr>
    </w:p>
    <w:p w14:paraId="1A06AB25" w14:textId="77777777" w:rsidR="00F25A77" w:rsidRDefault="00F25A77" w:rsidP="00DD2FE7">
      <w:pPr>
        <w:spacing w:after="80"/>
        <w:jc w:val="center"/>
        <w:rPr>
          <w:b/>
          <w:bCs/>
        </w:rPr>
      </w:pPr>
    </w:p>
    <w:p w14:paraId="0CE058FA" w14:textId="77777777" w:rsidR="00F25A77" w:rsidRDefault="00F25A77" w:rsidP="00DD2FE7">
      <w:pPr>
        <w:spacing w:after="80"/>
        <w:jc w:val="center"/>
        <w:rPr>
          <w:b/>
          <w:bCs/>
        </w:rPr>
      </w:pPr>
    </w:p>
    <w:p w14:paraId="15C23196" w14:textId="77777777" w:rsidR="00F25A77" w:rsidRDefault="00F25A77" w:rsidP="00DD2FE7">
      <w:pPr>
        <w:spacing w:after="80"/>
        <w:jc w:val="center"/>
        <w:rPr>
          <w:b/>
          <w:bCs/>
        </w:rPr>
      </w:pPr>
    </w:p>
    <w:p w14:paraId="55F4F4E6" w14:textId="77777777" w:rsidR="00F25A77" w:rsidRDefault="006D365C">
      <w:pPr>
        <w:rPr>
          <w:b/>
          <w:bCs/>
        </w:rPr>
      </w:pPr>
      <w:r>
        <w:rPr>
          <w:b/>
          <w:bCs/>
          <w:noProof/>
        </w:rPr>
        <w:drawing>
          <wp:inline distT="0" distB="0" distL="0" distR="0" wp14:anchorId="35E30AA4" wp14:editId="621C035A">
            <wp:extent cx="5731510" cy="3226438"/>
            <wp:effectExtent l="0" t="0" r="2540" b="0"/>
            <wp:docPr id="4" name="Picture 4" descr="C:\Users\USER\Downloads\Task1 updat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Task1 update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6438"/>
                    </a:xfrm>
                    <a:prstGeom prst="rect">
                      <a:avLst/>
                    </a:prstGeom>
                    <a:noFill/>
                    <a:ln>
                      <a:noFill/>
                    </a:ln>
                  </pic:spPr>
                </pic:pic>
              </a:graphicData>
            </a:graphic>
          </wp:inline>
        </w:drawing>
      </w:r>
    </w:p>
    <w:p w14:paraId="3163F83E" w14:textId="77777777" w:rsidR="00F25A77" w:rsidRDefault="00F25A77">
      <w:pPr>
        <w:rPr>
          <w:b/>
          <w:bCs/>
        </w:rPr>
      </w:pPr>
      <w:r>
        <w:rPr>
          <w:b/>
          <w:bCs/>
        </w:rPr>
        <w:br w:type="page"/>
      </w:r>
    </w:p>
    <w:p w14:paraId="63373072" w14:textId="77777777" w:rsidR="004D19C5" w:rsidRPr="00002EA0" w:rsidRDefault="00002EA0" w:rsidP="00002EA0">
      <w:pPr>
        <w:jc w:val="center"/>
        <w:rPr>
          <w:b/>
        </w:rPr>
      </w:pPr>
      <w:r w:rsidRPr="00002EA0">
        <w:rPr>
          <w:b/>
        </w:rPr>
        <w:lastRenderedPageBreak/>
        <w:t>Community Antenatal Midwifery Services</w:t>
      </w:r>
    </w:p>
    <w:p w14:paraId="574A8205" w14:textId="77777777" w:rsidR="004D19C5" w:rsidRDefault="004D19C5" w:rsidP="004D19C5"/>
    <w:p w14:paraId="606AD647" w14:textId="77777777" w:rsidR="007973D2" w:rsidRDefault="007973D2" w:rsidP="007973D2">
      <w:pPr>
        <w:pStyle w:val="Heading1"/>
      </w:pPr>
      <w:r>
        <w:t>Introduction</w:t>
      </w:r>
    </w:p>
    <w:p w14:paraId="7DAB412C" w14:textId="77777777" w:rsidR="007973D2" w:rsidRDefault="007973D2" w:rsidP="007973D2">
      <w:pPr>
        <w:spacing w:after="200" w:line="360" w:lineRule="auto"/>
        <w:jc w:val="both"/>
      </w:pPr>
      <w:r>
        <w:t>Community antenatal midwifery services are an essential part of maternity care, supporting women throughout pregnancy and helping to improve the health outcomes of both mothers and babies. These services take place in community settings such as clinics, health centres, and women’s homes. Community midwives monitor the wellbeing of the mother and foetus, offer health education, and provide continuous and personalised support throughout pregnancy. This essay explores the historical development of community antenatal midwifery services, evaluates how they currently function, and discusses their importance in improving outcomes and quality of care for service users.</w:t>
      </w:r>
    </w:p>
    <w:p w14:paraId="2DF03DF4" w14:textId="77777777" w:rsidR="007973D2" w:rsidRDefault="007973D2" w:rsidP="007973D2">
      <w:pPr>
        <w:pStyle w:val="Heading1"/>
      </w:pPr>
      <w:r>
        <w:t>Historical Development</w:t>
      </w:r>
    </w:p>
    <w:p w14:paraId="748594FA" w14:textId="77777777" w:rsidR="007973D2" w:rsidRDefault="007973D2" w:rsidP="007973D2">
      <w:pPr>
        <w:spacing w:after="200" w:line="360" w:lineRule="auto"/>
        <w:jc w:val="both"/>
      </w:pPr>
      <w:r>
        <w:t>The origins of community antenatal midwifery services can be traced back to the nineteenth century, when midwives and nurses primarily cared for women in their homes. At that time, most births took place at home, and midwives were the principal providers of maternity care. As community nursing services became more organised, maternal health improved and mortality rates declined. The professionalisation of midwifery was driven by legislative reform, including the Midwives Act 1902, which prohibited untrained individuals from practising and raised standards across the profession (Donnison, 1988).</w:t>
      </w:r>
    </w:p>
    <w:p w14:paraId="43B124C5" w14:textId="77777777" w:rsidR="007973D2" w:rsidRDefault="007973D2" w:rsidP="007973D2">
      <w:pPr>
        <w:spacing w:after="200" w:line="360" w:lineRule="auto"/>
        <w:jc w:val="both"/>
      </w:pPr>
      <w:r>
        <w:t>A key moment in the development of maternity care came in 1948 with the creation of the National Health Service (NHS). The NHS made healthcare free at the point of use and integrated maternity services into a national framework. District midwives became part of the formal healthcare workforce, collaborating with obstetricians and other professionals to deliver integrated maternity care (Bick and Sandall, 2014). However, from the 1960s onwards, more births took place in hospitals due to advances in medical technology. Despite this shift, community midwives remained essential, supporting women throughout pregnancy and after birth.</w:t>
      </w:r>
    </w:p>
    <w:p w14:paraId="7DDC6D68" w14:textId="77777777" w:rsidR="007973D2" w:rsidRDefault="007973D2" w:rsidP="007973D2">
      <w:pPr>
        <w:pStyle w:val="Heading1"/>
      </w:pPr>
      <w:r>
        <w:t>Roles of Modern Midwives</w:t>
      </w:r>
    </w:p>
    <w:p w14:paraId="0C5E38CD" w14:textId="77777777" w:rsidR="007973D2" w:rsidRDefault="007973D2" w:rsidP="007973D2">
      <w:pPr>
        <w:spacing w:after="200" w:line="360" w:lineRule="auto"/>
        <w:jc w:val="both"/>
      </w:pPr>
      <w:r>
        <w:t xml:space="preserve">Today, community antenatal midwifery services remain a vital part of UK maternity care. Midwives support women from early pregnancy until after the baby is born. Their work includes routine antenatal checks, monitoring fetal growth, carrying out screening tests, and providing advice on diet, lifestyle, and preparation for labour (NICE, 2021). They also </w:t>
      </w:r>
      <w:r>
        <w:lastRenderedPageBreak/>
        <w:t>collaborate closely with obstetricians, GPs, and health visitors to ensure coordinated, joined-up care. Research confirms that midwife-led models of care are associated with improved outcomes and greater maternal satisfaction (Renfrew et al., 2014).</w:t>
      </w:r>
    </w:p>
    <w:p w14:paraId="15B5DA6E" w14:textId="77777777" w:rsidR="007973D2" w:rsidRDefault="007973D2" w:rsidP="007973D2">
      <w:pPr>
        <w:pStyle w:val="Heading1"/>
      </w:pPr>
      <w:r>
        <w:t>Challenges and Significance</w:t>
      </w:r>
    </w:p>
    <w:p w14:paraId="7C896C26" w14:textId="77777777" w:rsidR="007973D2" w:rsidRDefault="007973D2" w:rsidP="007973D2">
      <w:pPr>
        <w:spacing w:after="200" w:line="360" w:lineRule="auto"/>
        <w:jc w:val="both"/>
      </w:pPr>
      <w:r>
        <w:t>Despite their value, community antenatal services face several significant challenges. Workforce shortages remain a pressing concern, with the Royal College of Midwives reporting that thousands more midwives are needed to meet current demand, placing strain on existing staff and risking care quality (Royal College of Midwives, 2023). Furthermore, the increasing medicalisation of pregnancy means more women are referred to hospital services, reducing the continuity of care that community midwives traditionally provide (Sandall et al., 2016). Safety concerns have also been highlighted, with the Care Quality Commission identifying staffing gaps and communication failures in maternity services (Care Quality Commission, 2022).</w:t>
      </w:r>
    </w:p>
    <w:p w14:paraId="3F06E4DE" w14:textId="77777777" w:rsidR="007973D2" w:rsidRDefault="007973D2" w:rsidP="007973D2">
      <w:pPr>
        <w:spacing w:after="200" w:line="360" w:lineRule="auto"/>
        <w:jc w:val="both"/>
      </w:pPr>
      <w:r>
        <w:t>Another key contribution of community midwives is the early identification of complications. By monitoring pregnant women regularly, they can detect potential problems and refer women to specialist care promptly. Early detection and timely referral can prevent serious health outcomes for both mother and baby. Community antenatal services therefore play a crucial role in ensuring safer pregnancies and more positive childbirth experiences for women across the United Kingdom.</w:t>
      </w:r>
    </w:p>
    <w:p w14:paraId="0686E441" w14:textId="77777777" w:rsidR="007973D2" w:rsidRDefault="007973D2" w:rsidP="007973D2">
      <w:pPr>
        <w:pStyle w:val="Heading1"/>
      </w:pPr>
      <w:r>
        <w:t>Conclusion</w:t>
      </w:r>
    </w:p>
    <w:p w14:paraId="7FEF4FA6" w14:textId="77777777" w:rsidR="00002EA0" w:rsidRDefault="007973D2" w:rsidP="007973D2">
      <w:pPr>
        <w:spacing w:after="200" w:line="360" w:lineRule="auto"/>
        <w:jc w:val="both"/>
      </w:pPr>
      <w:r>
        <w:t>In conclusion, community antenatal midwifery services have evolved from home-based care in the nineteenth century into an indispensable component of modern maternity provision. Although challenges such as staffing pressures, medicalisation and safety concerns remain, community midwives continue to provide essential and compassionate support. Their work improves access to care, promotes health education, and contributes significantly to the safety and quality of maternity services in the United Kingdom.</w:t>
      </w:r>
    </w:p>
    <w:p w14:paraId="1ACFA2CC" w14:textId="77777777" w:rsidR="0044366C" w:rsidRDefault="0044366C">
      <w:pPr>
        <w:spacing w:after="200" w:line="360" w:lineRule="auto"/>
        <w:jc w:val="both"/>
      </w:pPr>
    </w:p>
    <w:p w14:paraId="2AA51998" w14:textId="77777777" w:rsidR="0044366C" w:rsidRDefault="0044366C">
      <w:pPr>
        <w:pageBreakBefore/>
      </w:pPr>
    </w:p>
    <w:p w14:paraId="1AD39983" w14:textId="77777777" w:rsidR="007973D2" w:rsidRDefault="007973D2" w:rsidP="007973D2">
      <w:pPr>
        <w:spacing w:before="480" w:after="160"/>
      </w:pPr>
      <w:r>
        <w:rPr>
          <w:b/>
          <w:bCs/>
        </w:rPr>
        <w:t>References</w:t>
      </w:r>
    </w:p>
    <w:p w14:paraId="42B50065" w14:textId="77777777" w:rsidR="007973D2" w:rsidRDefault="007973D2" w:rsidP="007973D2">
      <w:pPr>
        <w:spacing w:after="160" w:line="360" w:lineRule="auto"/>
        <w:ind w:left="720" w:hanging="720"/>
      </w:pPr>
      <w:r>
        <w:t xml:space="preserve">Bick, D. and Sandall, J. (2014) </w:t>
      </w:r>
      <w:r>
        <w:rPr>
          <w:i/>
          <w:iCs/>
        </w:rPr>
        <w:t>Essential midwifery practice: leadership, expertise and collaborative working.</w:t>
      </w:r>
      <w:r>
        <w:t xml:space="preserve"> Oxford: Wiley-Blackwell.</w:t>
      </w:r>
    </w:p>
    <w:p w14:paraId="34DCF94F" w14:textId="77777777" w:rsidR="007973D2" w:rsidRDefault="007973D2" w:rsidP="007973D2">
      <w:pPr>
        <w:spacing w:after="160" w:line="360" w:lineRule="auto"/>
        <w:ind w:left="720" w:hanging="720"/>
      </w:pPr>
      <w:r>
        <w:t xml:space="preserve">Care Quality Commission (2022) </w:t>
      </w:r>
      <w:r>
        <w:rPr>
          <w:i/>
          <w:iCs/>
        </w:rPr>
        <w:t>Maternity services survey.</w:t>
      </w:r>
      <w:r>
        <w:t xml:space="preserve"> London: CQC.</w:t>
      </w:r>
    </w:p>
    <w:p w14:paraId="1C5524A4" w14:textId="77777777" w:rsidR="007973D2" w:rsidRDefault="007973D2" w:rsidP="007973D2">
      <w:pPr>
        <w:spacing w:after="160" w:line="360" w:lineRule="auto"/>
        <w:ind w:left="720" w:hanging="720"/>
      </w:pPr>
      <w:r>
        <w:t xml:space="preserve">Donnison, J. (1988) </w:t>
      </w:r>
      <w:r>
        <w:rPr>
          <w:i/>
          <w:iCs/>
        </w:rPr>
        <w:t>Midwives and medical men: A history of the struggle for the control of childbirth.</w:t>
      </w:r>
      <w:r>
        <w:t xml:space="preserve"> London: Historical Publications.</w:t>
      </w:r>
    </w:p>
    <w:p w14:paraId="096B725C" w14:textId="77777777" w:rsidR="007973D2" w:rsidRDefault="007973D2" w:rsidP="007973D2">
      <w:pPr>
        <w:spacing w:after="160" w:line="360" w:lineRule="auto"/>
        <w:ind w:left="720" w:hanging="720"/>
      </w:pPr>
      <w:r>
        <w:t xml:space="preserve">National Institute for Health and Care Excellence (2021) </w:t>
      </w:r>
      <w:r>
        <w:rPr>
          <w:i/>
          <w:iCs/>
        </w:rPr>
        <w:t>Antenatal care for uncomplicated pregnancies.</w:t>
      </w:r>
      <w:r>
        <w:t xml:space="preserve"> London: NICE. Available at: https://www.nice.org.uk/guidance/ng201 (Accessed: 15 March 2026).</w:t>
      </w:r>
    </w:p>
    <w:p w14:paraId="7A0EF189" w14:textId="77777777" w:rsidR="007973D2" w:rsidRDefault="007973D2" w:rsidP="007973D2">
      <w:pPr>
        <w:spacing w:after="160" w:line="360" w:lineRule="auto"/>
        <w:ind w:left="720" w:hanging="720"/>
      </w:pPr>
      <w:r>
        <w:t xml:space="preserve">Renfrew, M.J., McFadden, A., Bastos, M.H., Campbell, J., Channon, A.A., Cheung, N.F., Silva, D.R.A.D., Downe, S., Kennedy, H.P., Malata, A., McCormick, F., Wick, L. and Declercq, E. (2014) ‘Midwifery and quality care: findings from a new evidence-informed framework for maternal and newborn care’, </w:t>
      </w:r>
      <w:r>
        <w:rPr>
          <w:i/>
          <w:iCs/>
        </w:rPr>
        <w:t>The Lancet,</w:t>
      </w:r>
      <w:r>
        <w:t xml:space="preserve"> 384(9948), pp. 1129–1145.</w:t>
      </w:r>
    </w:p>
    <w:p w14:paraId="2A5504DD" w14:textId="77777777" w:rsidR="007973D2" w:rsidRDefault="007973D2" w:rsidP="007973D2">
      <w:pPr>
        <w:spacing w:after="160" w:line="360" w:lineRule="auto"/>
        <w:ind w:left="720" w:hanging="720"/>
      </w:pPr>
      <w:r>
        <w:t xml:space="preserve">Royal College of Midwives (2023) </w:t>
      </w:r>
      <w:r>
        <w:rPr>
          <w:i/>
          <w:iCs/>
        </w:rPr>
        <w:t>State of maternity services report.</w:t>
      </w:r>
      <w:r>
        <w:t xml:space="preserve"> London: RCM.</w:t>
      </w:r>
    </w:p>
    <w:p w14:paraId="1AA861F0" w14:textId="77777777" w:rsidR="007973D2" w:rsidRDefault="007973D2" w:rsidP="007973D2">
      <w:pPr>
        <w:spacing w:after="160" w:line="360" w:lineRule="auto"/>
        <w:ind w:left="720" w:hanging="720"/>
      </w:pPr>
      <w:r>
        <w:t xml:space="preserve">Sandall, J., Soltani, H., Gates, S., Shennan, A. and Devane, D. (2016) ‘Midwife-led continuity models versus other models of care for childbearing women’, </w:t>
      </w:r>
      <w:r>
        <w:rPr>
          <w:i/>
          <w:iCs/>
        </w:rPr>
        <w:t>Cochrane Database of Systematic Reviews,</w:t>
      </w:r>
      <w:r>
        <w:t xml:space="preserve"> Issue 4, Art. No.: CD004667.</w:t>
      </w:r>
    </w:p>
    <w:p w14:paraId="48C1EAE3" w14:textId="77777777" w:rsidR="0044366C" w:rsidRDefault="0044366C" w:rsidP="007973D2">
      <w:pPr>
        <w:pStyle w:val="Heading1"/>
      </w:pPr>
    </w:p>
    <w:sectPr w:rsidR="0044366C">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C87B4" w14:textId="77777777" w:rsidR="002F4D9C" w:rsidRDefault="002F4D9C">
      <w:r>
        <w:separator/>
      </w:r>
    </w:p>
  </w:endnote>
  <w:endnote w:type="continuationSeparator" w:id="0">
    <w:p w14:paraId="58830FC4" w14:textId="77777777" w:rsidR="002F4D9C" w:rsidRDefault="002F4D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636C5" w14:textId="77777777" w:rsidR="0044366C" w:rsidRDefault="00C216DC">
    <w:pPr>
      <w:jc w:val="right"/>
    </w:pPr>
    <w:r>
      <w:rPr>
        <w:sz w:val="20"/>
        <w:szCs w:val="20"/>
      </w:rPr>
      <w:fldChar w:fldCharType="begin"/>
    </w:r>
    <w:r>
      <w:rPr>
        <w:sz w:val="20"/>
        <w:szCs w:val="20"/>
      </w:rPr>
      <w:instrText>PAGE</w:instrText>
    </w:r>
    <w:r>
      <w:rPr>
        <w:sz w:val="20"/>
        <w:szCs w:val="20"/>
      </w:rPr>
      <w:fldChar w:fldCharType="separate"/>
    </w:r>
    <w:r w:rsidR="007973D2">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C2247" w14:textId="77777777" w:rsidR="002F4D9C" w:rsidRDefault="002F4D9C">
      <w:r>
        <w:separator/>
      </w:r>
    </w:p>
  </w:footnote>
  <w:footnote w:type="continuationSeparator" w:id="0">
    <w:p w14:paraId="04CF59DD" w14:textId="77777777" w:rsidR="002F4D9C" w:rsidRDefault="002F4D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6C3C98"/>
    <w:multiLevelType w:val="hybridMultilevel"/>
    <w:tmpl w:val="BD282FC2"/>
    <w:lvl w:ilvl="0" w:tplc="826AB85C">
      <w:start w:val="1"/>
      <w:numFmt w:val="bullet"/>
      <w:lvlText w:val="●"/>
      <w:lvlJc w:val="left"/>
      <w:pPr>
        <w:ind w:left="720" w:hanging="360"/>
      </w:pPr>
    </w:lvl>
    <w:lvl w:ilvl="1" w:tplc="396C6AB2">
      <w:start w:val="1"/>
      <w:numFmt w:val="bullet"/>
      <w:lvlText w:val="○"/>
      <w:lvlJc w:val="left"/>
      <w:pPr>
        <w:ind w:left="1440" w:hanging="360"/>
      </w:pPr>
    </w:lvl>
    <w:lvl w:ilvl="2" w:tplc="B0287768">
      <w:start w:val="1"/>
      <w:numFmt w:val="bullet"/>
      <w:lvlText w:val="■"/>
      <w:lvlJc w:val="left"/>
      <w:pPr>
        <w:ind w:left="2160" w:hanging="360"/>
      </w:pPr>
    </w:lvl>
    <w:lvl w:ilvl="3" w:tplc="6862FA58">
      <w:start w:val="1"/>
      <w:numFmt w:val="bullet"/>
      <w:lvlText w:val="●"/>
      <w:lvlJc w:val="left"/>
      <w:pPr>
        <w:ind w:left="2880" w:hanging="360"/>
      </w:pPr>
    </w:lvl>
    <w:lvl w:ilvl="4" w:tplc="B2364C32">
      <w:start w:val="1"/>
      <w:numFmt w:val="bullet"/>
      <w:lvlText w:val="○"/>
      <w:lvlJc w:val="left"/>
      <w:pPr>
        <w:ind w:left="3600" w:hanging="360"/>
      </w:pPr>
    </w:lvl>
    <w:lvl w:ilvl="5" w:tplc="6D2A55D8">
      <w:start w:val="1"/>
      <w:numFmt w:val="bullet"/>
      <w:lvlText w:val="■"/>
      <w:lvlJc w:val="left"/>
      <w:pPr>
        <w:ind w:left="4320" w:hanging="360"/>
      </w:pPr>
    </w:lvl>
    <w:lvl w:ilvl="6" w:tplc="978E9B6C">
      <w:start w:val="1"/>
      <w:numFmt w:val="bullet"/>
      <w:lvlText w:val="●"/>
      <w:lvlJc w:val="left"/>
      <w:pPr>
        <w:ind w:left="5040" w:hanging="360"/>
      </w:pPr>
    </w:lvl>
    <w:lvl w:ilvl="7" w:tplc="20466562">
      <w:start w:val="1"/>
      <w:numFmt w:val="bullet"/>
      <w:lvlText w:val="●"/>
      <w:lvlJc w:val="left"/>
      <w:pPr>
        <w:ind w:left="5760" w:hanging="360"/>
      </w:pPr>
    </w:lvl>
    <w:lvl w:ilvl="8" w:tplc="E2429508">
      <w:start w:val="1"/>
      <w:numFmt w:val="bullet"/>
      <w:lvlText w:val="●"/>
      <w:lvlJc w:val="left"/>
      <w:pPr>
        <w:ind w:left="6480" w:hanging="360"/>
      </w:pPr>
    </w:lvl>
  </w:abstractNum>
  <w:num w:numId="1" w16cid:durableId="15795551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66C"/>
    <w:rsid w:val="000020F8"/>
    <w:rsid w:val="00002EA0"/>
    <w:rsid w:val="001E0B29"/>
    <w:rsid w:val="002B3256"/>
    <w:rsid w:val="002F422C"/>
    <w:rsid w:val="002F4D9C"/>
    <w:rsid w:val="002F7E86"/>
    <w:rsid w:val="0041386D"/>
    <w:rsid w:val="0044366C"/>
    <w:rsid w:val="004D19C5"/>
    <w:rsid w:val="005D0A76"/>
    <w:rsid w:val="006563DE"/>
    <w:rsid w:val="006D365C"/>
    <w:rsid w:val="007973D2"/>
    <w:rsid w:val="008926A7"/>
    <w:rsid w:val="008E44A4"/>
    <w:rsid w:val="00C216DC"/>
    <w:rsid w:val="00D55B13"/>
    <w:rsid w:val="00DD2FE7"/>
    <w:rsid w:val="00E17FFC"/>
    <w:rsid w:val="00F25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ED7D0"/>
  <w15:docId w15:val="{DF5AD7F6-ECE0-4EF6-BF81-C2CE8069A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240" w:after="120"/>
      <w:outlineLvl w:val="0"/>
    </w:pPr>
    <w:rPr>
      <w:b/>
      <w:bCs/>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BalloonText">
    <w:name w:val="Balloon Text"/>
    <w:basedOn w:val="Normal"/>
    <w:link w:val="BalloonTextChar"/>
    <w:uiPriority w:val="99"/>
    <w:semiHidden/>
    <w:unhideWhenUsed/>
    <w:rsid w:val="002F7E86"/>
    <w:rPr>
      <w:rFonts w:ascii="Tahoma" w:hAnsi="Tahoma" w:cs="Tahoma"/>
      <w:sz w:val="16"/>
      <w:szCs w:val="16"/>
    </w:rPr>
  </w:style>
  <w:style w:type="character" w:customStyle="1" w:styleId="BalloonTextChar">
    <w:name w:val="Balloon Text Char"/>
    <w:basedOn w:val="DefaultParagraphFont"/>
    <w:link w:val="BalloonText"/>
    <w:uiPriority w:val="99"/>
    <w:semiHidden/>
    <w:rsid w:val="002F7E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9686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861</Words>
  <Characters>4909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Elizabeth Obafemi</cp:lastModifiedBy>
  <cp:revision>2</cp:revision>
  <dcterms:created xsi:type="dcterms:W3CDTF">2026-03-20T14:30:00Z</dcterms:created>
  <dcterms:modified xsi:type="dcterms:W3CDTF">2026-03-20T14:30:00Z</dcterms:modified>
</cp:coreProperties>
</file>