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1E3EDE" w14:textId="21E164D5" w:rsidR="00B46579" w:rsidRPr="00415C4E" w:rsidRDefault="00B46579" w:rsidP="00B46579">
      <w:pPr>
        <w:spacing w:line="360" w:lineRule="auto"/>
        <w:ind w:firstLine="720"/>
        <w:jc w:val="center"/>
        <w:rPr>
          <w:rFonts w:ascii="Times New Roman" w:hAnsi="Times New Roman" w:cs="Times New Roman"/>
          <w:b/>
          <w:bCs/>
          <w:sz w:val="72"/>
          <w:szCs w:val="72"/>
        </w:rPr>
      </w:pPr>
      <w:r w:rsidRPr="00415C4E">
        <w:rPr>
          <w:rFonts w:ascii="Times New Roman" w:hAnsi="Times New Roman" w:cs="Times New Roman"/>
          <w:b/>
          <w:bCs/>
          <w:sz w:val="72"/>
          <w:szCs w:val="72"/>
        </w:rPr>
        <w:t xml:space="preserve">Student Name:  </w:t>
      </w:r>
      <w:r w:rsidRPr="00913D31">
        <w:rPr>
          <w:rFonts w:ascii="Times New Roman" w:hAnsi="Times New Roman" w:cs="Times New Roman"/>
          <w:b/>
          <w:bCs/>
          <w:i/>
          <w:iCs/>
          <w:sz w:val="72"/>
          <w:szCs w:val="72"/>
        </w:rPr>
        <w:t>Corneliu</w:t>
      </w:r>
      <w:r>
        <w:rPr>
          <w:rFonts w:ascii="Times New Roman" w:hAnsi="Times New Roman" w:cs="Times New Roman"/>
          <w:b/>
          <w:bCs/>
          <w:i/>
          <w:iCs/>
          <w:sz w:val="72"/>
          <w:szCs w:val="72"/>
        </w:rPr>
        <w:t xml:space="preserve"> </w:t>
      </w:r>
      <w:r w:rsidRPr="00913D31">
        <w:rPr>
          <w:rFonts w:ascii="Times New Roman" w:hAnsi="Times New Roman" w:cs="Times New Roman"/>
          <w:b/>
          <w:bCs/>
          <w:i/>
          <w:iCs/>
          <w:sz w:val="72"/>
          <w:szCs w:val="72"/>
        </w:rPr>
        <w:t>Bogdan Dan</w:t>
      </w:r>
    </w:p>
    <w:p w14:paraId="195EB99F" w14:textId="77777777" w:rsidR="00B46579" w:rsidRPr="00415C4E" w:rsidRDefault="00B46579" w:rsidP="00B46579">
      <w:pPr>
        <w:spacing w:line="360" w:lineRule="auto"/>
        <w:jc w:val="center"/>
        <w:rPr>
          <w:rFonts w:ascii="Times New Roman" w:hAnsi="Times New Roman" w:cs="Times New Roman"/>
          <w:b/>
          <w:bCs/>
          <w:sz w:val="72"/>
          <w:szCs w:val="72"/>
        </w:rPr>
      </w:pPr>
      <w:r w:rsidRPr="00415C4E">
        <w:rPr>
          <w:rFonts w:ascii="Times New Roman" w:hAnsi="Times New Roman" w:cs="Times New Roman"/>
          <w:b/>
          <w:bCs/>
          <w:sz w:val="72"/>
          <w:szCs w:val="72"/>
        </w:rPr>
        <w:t>Student ID:  2310378</w:t>
      </w:r>
    </w:p>
    <w:p w14:paraId="6203BCAF" w14:textId="594D1462" w:rsidR="00B46579" w:rsidRPr="00415C4E" w:rsidRDefault="00B46579" w:rsidP="00B46579">
      <w:pPr>
        <w:spacing w:line="360" w:lineRule="auto"/>
        <w:jc w:val="center"/>
        <w:rPr>
          <w:rFonts w:ascii="Times New Roman" w:hAnsi="Times New Roman" w:cs="Times New Roman"/>
          <w:b/>
          <w:bCs/>
          <w:sz w:val="72"/>
          <w:szCs w:val="72"/>
          <w:lang w:val="nl-NL"/>
        </w:rPr>
      </w:pPr>
      <w:r w:rsidRPr="00415C4E">
        <w:rPr>
          <w:rFonts w:ascii="Times New Roman" w:hAnsi="Times New Roman" w:cs="Times New Roman"/>
          <w:b/>
          <w:bCs/>
          <w:sz w:val="72"/>
          <w:szCs w:val="72"/>
          <w:lang w:val="nl-NL"/>
        </w:rPr>
        <w:t>Module code:  LCBB</w:t>
      </w:r>
      <w:r>
        <w:rPr>
          <w:rFonts w:ascii="Times New Roman" w:hAnsi="Times New Roman" w:cs="Times New Roman"/>
          <w:b/>
          <w:bCs/>
          <w:sz w:val="72"/>
          <w:szCs w:val="72"/>
          <w:lang w:val="nl-NL"/>
        </w:rPr>
        <w:t>5015</w:t>
      </w:r>
    </w:p>
    <w:p w14:paraId="446A810E" w14:textId="77777777" w:rsidR="00B46579" w:rsidRPr="00415C4E" w:rsidRDefault="00B46579" w:rsidP="00B46579">
      <w:pPr>
        <w:spacing w:line="360" w:lineRule="auto"/>
        <w:jc w:val="center"/>
        <w:rPr>
          <w:rFonts w:ascii="Times New Roman" w:hAnsi="Times New Roman" w:cs="Times New Roman"/>
          <w:b/>
          <w:bCs/>
          <w:sz w:val="72"/>
          <w:szCs w:val="72"/>
        </w:rPr>
      </w:pPr>
      <w:r w:rsidRPr="00415C4E">
        <w:rPr>
          <w:rFonts w:ascii="Times New Roman" w:hAnsi="Times New Roman" w:cs="Times New Roman"/>
          <w:b/>
          <w:bCs/>
          <w:sz w:val="72"/>
          <w:szCs w:val="72"/>
        </w:rPr>
        <w:t xml:space="preserve">Assignment title: Component </w:t>
      </w:r>
      <w:r>
        <w:rPr>
          <w:rFonts w:ascii="Times New Roman" w:hAnsi="Times New Roman" w:cs="Times New Roman"/>
          <w:b/>
          <w:bCs/>
          <w:sz w:val="72"/>
          <w:szCs w:val="72"/>
        </w:rPr>
        <w:t>1</w:t>
      </w:r>
      <w:r w:rsidRPr="00415C4E">
        <w:rPr>
          <w:rFonts w:ascii="Times New Roman" w:hAnsi="Times New Roman" w:cs="Times New Roman"/>
          <w:b/>
          <w:bCs/>
          <w:sz w:val="72"/>
          <w:szCs w:val="72"/>
        </w:rPr>
        <w:t xml:space="preserve">: Coursework: </w:t>
      </w:r>
      <w:r>
        <w:rPr>
          <w:rFonts w:ascii="Times New Roman" w:hAnsi="Times New Roman" w:cs="Times New Roman"/>
          <w:b/>
          <w:bCs/>
          <w:sz w:val="72"/>
          <w:szCs w:val="72"/>
        </w:rPr>
        <w:t>Individual Report</w:t>
      </w:r>
    </w:p>
    <w:p w14:paraId="2ECF2432" w14:textId="26CA17F7" w:rsidR="00B46579" w:rsidRDefault="00B46579" w:rsidP="00B46579">
      <w:pPr>
        <w:spacing w:line="360" w:lineRule="auto"/>
        <w:jc w:val="center"/>
        <w:rPr>
          <w:rFonts w:ascii="Times New Roman" w:hAnsi="Times New Roman" w:cs="Times New Roman"/>
          <w:b/>
          <w:bCs/>
          <w:sz w:val="72"/>
          <w:szCs w:val="72"/>
        </w:rPr>
      </w:pPr>
      <w:r w:rsidRPr="00415C4E">
        <w:rPr>
          <w:rFonts w:ascii="Times New Roman" w:hAnsi="Times New Roman" w:cs="Times New Roman"/>
          <w:b/>
          <w:bCs/>
          <w:sz w:val="72"/>
          <w:szCs w:val="72"/>
        </w:rPr>
        <w:t xml:space="preserve">Lecturer’s name: </w:t>
      </w:r>
      <w:proofErr w:type="spellStart"/>
      <w:r w:rsidR="00862FBD">
        <w:rPr>
          <w:rStyle w:val="Emphasis"/>
          <w:rFonts w:ascii="Times New Roman" w:hAnsi="Times New Roman" w:cs="Times New Roman"/>
          <w:b/>
          <w:bCs/>
          <w:sz w:val="72"/>
          <w:szCs w:val="72"/>
          <w:shd w:val="clear" w:color="auto" w:fill="FFFFFF"/>
        </w:rPr>
        <w:t>Ashikul</w:t>
      </w:r>
      <w:proofErr w:type="spellEnd"/>
      <w:r w:rsidR="00862FBD">
        <w:rPr>
          <w:rStyle w:val="Emphasis"/>
          <w:rFonts w:ascii="Times New Roman" w:hAnsi="Times New Roman" w:cs="Times New Roman"/>
          <w:b/>
          <w:bCs/>
          <w:sz w:val="72"/>
          <w:szCs w:val="72"/>
          <w:shd w:val="clear" w:color="auto" w:fill="FFFFFF"/>
        </w:rPr>
        <w:t xml:space="preserve"> Khan</w:t>
      </w:r>
    </w:p>
    <w:p w14:paraId="6F28158A" w14:textId="77777777" w:rsidR="00B46579" w:rsidRPr="00B46579" w:rsidRDefault="00B46579" w:rsidP="00B46579">
      <w:pPr>
        <w:spacing w:line="360" w:lineRule="auto"/>
        <w:jc w:val="center"/>
        <w:rPr>
          <w:rFonts w:ascii="Times New Roman" w:hAnsi="Times New Roman" w:cs="Times New Roman"/>
          <w:b/>
          <w:bCs/>
          <w:sz w:val="56"/>
          <w:szCs w:val="56"/>
        </w:rPr>
      </w:pPr>
    </w:p>
    <w:p w14:paraId="587A8A54" w14:textId="77777777" w:rsidR="00B46579" w:rsidRPr="00862FBD" w:rsidRDefault="00B46579">
      <w:pPr>
        <w:rPr>
          <w:rFonts w:ascii="Times New Roman" w:hAnsi="Times New Roman" w:cs="Times New Roman"/>
          <w:b/>
          <w:bCs/>
          <w:i/>
          <w:iCs/>
          <w:sz w:val="36"/>
          <w:szCs w:val="36"/>
        </w:rPr>
      </w:pPr>
    </w:p>
    <w:sdt>
      <w:sdtPr>
        <w:rPr>
          <w:rFonts w:asciiTheme="minorHAnsi" w:eastAsiaTheme="minorEastAsia" w:hAnsiTheme="minorHAnsi" w:cstheme="minorBidi"/>
          <w:b w:val="0"/>
          <w:bCs w:val="0"/>
          <w:color w:val="auto"/>
          <w:sz w:val="36"/>
          <w:szCs w:val="36"/>
        </w:rPr>
        <w:id w:val="-1096712378"/>
        <w:docPartObj>
          <w:docPartGallery w:val="Table of Contents"/>
          <w:docPartUnique/>
        </w:docPartObj>
      </w:sdtPr>
      <w:sdtEndPr>
        <w:rPr>
          <w:rFonts w:ascii="Times New Roman" w:hAnsi="Times New Roman" w:cs="Times New Roman"/>
          <w:noProof/>
          <w:sz w:val="22"/>
          <w:szCs w:val="22"/>
        </w:rPr>
      </w:sdtEndPr>
      <w:sdtContent>
        <w:p w14:paraId="3F2B20FF" w14:textId="66DA49E0" w:rsidR="00862FBD" w:rsidRPr="00862FBD" w:rsidRDefault="00862FBD">
          <w:pPr>
            <w:pStyle w:val="TOCHeading"/>
            <w:rPr>
              <w:rFonts w:ascii="Times New Roman" w:hAnsi="Times New Roman" w:cs="Times New Roman"/>
              <w:color w:val="auto"/>
              <w:sz w:val="36"/>
              <w:szCs w:val="36"/>
            </w:rPr>
          </w:pPr>
          <w:r w:rsidRPr="00862FBD">
            <w:rPr>
              <w:rFonts w:ascii="Times New Roman" w:hAnsi="Times New Roman" w:cs="Times New Roman"/>
              <w:color w:val="auto"/>
              <w:sz w:val="36"/>
              <w:szCs w:val="36"/>
            </w:rPr>
            <w:t>Contents</w:t>
          </w:r>
        </w:p>
        <w:p w14:paraId="06F49757" w14:textId="22A710A9" w:rsidR="00862FBD" w:rsidRPr="00862FBD" w:rsidRDefault="00862FBD">
          <w:pPr>
            <w:pStyle w:val="TOC1"/>
            <w:tabs>
              <w:tab w:val="right" w:leader="dot" w:pos="8630"/>
            </w:tabs>
            <w:rPr>
              <w:rFonts w:ascii="Times New Roman" w:hAnsi="Times New Roman" w:cs="Times New Roman"/>
              <w:noProof/>
              <w:sz w:val="28"/>
              <w:szCs w:val="28"/>
            </w:rPr>
          </w:pPr>
          <w:r w:rsidRPr="00862FBD">
            <w:rPr>
              <w:rFonts w:ascii="Times New Roman" w:hAnsi="Times New Roman" w:cs="Times New Roman"/>
              <w:sz w:val="28"/>
              <w:szCs w:val="28"/>
            </w:rPr>
            <w:fldChar w:fldCharType="begin"/>
          </w:r>
          <w:r w:rsidRPr="00862FBD">
            <w:rPr>
              <w:rFonts w:ascii="Times New Roman" w:hAnsi="Times New Roman" w:cs="Times New Roman"/>
              <w:sz w:val="28"/>
              <w:szCs w:val="28"/>
            </w:rPr>
            <w:instrText xml:space="preserve"> TOC \o "1-3" \h \z \u </w:instrText>
          </w:r>
          <w:r w:rsidRPr="00862FBD">
            <w:rPr>
              <w:rFonts w:ascii="Times New Roman" w:hAnsi="Times New Roman" w:cs="Times New Roman"/>
              <w:sz w:val="28"/>
              <w:szCs w:val="28"/>
            </w:rPr>
            <w:fldChar w:fldCharType="separate"/>
          </w:r>
          <w:hyperlink w:anchor="_Toc211165651" w:history="1">
            <w:r w:rsidRPr="00862FBD">
              <w:rPr>
                <w:rStyle w:val="Hyperlink"/>
                <w:rFonts w:ascii="Times New Roman" w:hAnsi="Times New Roman" w:cs="Times New Roman"/>
                <w:noProof/>
                <w:color w:val="auto"/>
                <w:sz w:val="28"/>
                <w:szCs w:val="28"/>
              </w:rPr>
              <w:t>1. Introduction</w:t>
            </w:r>
            <w:r w:rsidRPr="00862FBD">
              <w:rPr>
                <w:rFonts w:ascii="Times New Roman" w:hAnsi="Times New Roman" w:cs="Times New Roman"/>
                <w:noProof/>
                <w:webHidden/>
                <w:sz w:val="28"/>
                <w:szCs w:val="28"/>
              </w:rPr>
              <w:tab/>
            </w:r>
            <w:r w:rsidRPr="00862FBD">
              <w:rPr>
                <w:rFonts w:ascii="Times New Roman" w:hAnsi="Times New Roman" w:cs="Times New Roman"/>
                <w:noProof/>
                <w:webHidden/>
                <w:sz w:val="28"/>
                <w:szCs w:val="28"/>
              </w:rPr>
              <w:fldChar w:fldCharType="begin"/>
            </w:r>
            <w:r w:rsidRPr="00862FBD">
              <w:rPr>
                <w:rFonts w:ascii="Times New Roman" w:hAnsi="Times New Roman" w:cs="Times New Roman"/>
                <w:noProof/>
                <w:webHidden/>
                <w:sz w:val="28"/>
                <w:szCs w:val="28"/>
              </w:rPr>
              <w:instrText xml:space="preserve"> PAGEREF _Toc211165651 \h </w:instrText>
            </w:r>
            <w:r w:rsidRPr="00862FBD">
              <w:rPr>
                <w:rFonts w:ascii="Times New Roman" w:hAnsi="Times New Roman" w:cs="Times New Roman"/>
                <w:noProof/>
                <w:webHidden/>
                <w:sz w:val="28"/>
                <w:szCs w:val="28"/>
              </w:rPr>
            </w:r>
            <w:r w:rsidRPr="00862FBD">
              <w:rPr>
                <w:rFonts w:ascii="Times New Roman" w:hAnsi="Times New Roman" w:cs="Times New Roman"/>
                <w:noProof/>
                <w:webHidden/>
                <w:sz w:val="28"/>
                <w:szCs w:val="28"/>
              </w:rPr>
              <w:fldChar w:fldCharType="separate"/>
            </w:r>
            <w:r w:rsidRPr="00862FBD">
              <w:rPr>
                <w:rFonts w:ascii="Times New Roman" w:hAnsi="Times New Roman" w:cs="Times New Roman"/>
                <w:noProof/>
                <w:webHidden/>
                <w:sz w:val="28"/>
                <w:szCs w:val="28"/>
              </w:rPr>
              <w:t>3</w:t>
            </w:r>
            <w:r w:rsidRPr="00862FBD">
              <w:rPr>
                <w:rFonts w:ascii="Times New Roman" w:hAnsi="Times New Roman" w:cs="Times New Roman"/>
                <w:noProof/>
                <w:webHidden/>
                <w:sz w:val="28"/>
                <w:szCs w:val="28"/>
              </w:rPr>
              <w:fldChar w:fldCharType="end"/>
            </w:r>
          </w:hyperlink>
        </w:p>
        <w:p w14:paraId="705E8978" w14:textId="7E9ED710" w:rsidR="00862FBD" w:rsidRPr="00862FBD" w:rsidRDefault="00000000">
          <w:pPr>
            <w:pStyle w:val="TOC1"/>
            <w:tabs>
              <w:tab w:val="right" w:leader="dot" w:pos="8630"/>
            </w:tabs>
            <w:rPr>
              <w:rFonts w:ascii="Times New Roman" w:hAnsi="Times New Roman" w:cs="Times New Roman"/>
              <w:noProof/>
              <w:sz w:val="28"/>
              <w:szCs w:val="28"/>
            </w:rPr>
          </w:pPr>
          <w:hyperlink w:anchor="_Toc211165652" w:history="1">
            <w:r w:rsidR="00862FBD" w:rsidRPr="00862FBD">
              <w:rPr>
                <w:rStyle w:val="Hyperlink"/>
                <w:rFonts w:ascii="Times New Roman" w:hAnsi="Times New Roman" w:cs="Times New Roman"/>
                <w:noProof/>
                <w:color w:val="auto"/>
                <w:sz w:val="28"/>
                <w:szCs w:val="28"/>
              </w:rPr>
              <w:t>2. Situational Analysis – SWOT</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_Toc211165652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3</w:t>
            </w:r>
            <w:r w:rsidR="00862FBD" w:rsidRPr="00862FBD">
              <w:rPr>
                <w:rFonts w:ascii="Times New Roman" w:hAnsi="Times New Roman" w:cs="Times New Roman"/>
                <w:noProof/>
                <w:webHidden/>
                <w:sz w:val="28"/>
                <w:szCs w:val="28"/>
              </w:rPr>
              <w:fldChar w:fldCharType="end"/>
            </w:r>
          </w:hyperlink>
        </w:p>
        <w:p w14:paraId="75CCA884" w14:textId="181FF90B" w:rsidR="00862FBD" w:rsidRPr="00862FBD" w:rsidRDefault="00000000">
          <w:pPr>
            <w:pStyle w:val="TOC2"/>
            <w:tabs>
              <w:tab w:val="right" w:leader="dot" w:pos="8630"/>
            </w:tabs>
            <w:rPr>
              <w:rFonts w:ascii="Times New Roman" w:hAnsi="Times New Roman" w:cs="Times New Roman"/>
              <w:noProof/>
              <w:sz w:val="28"/>
              <w:szCs w:val="28"/>
            </w:rPr>
          </w:pPr>
          <w:hyperlink w:anchor="_Toc211165653" w:history="1">
            <w:r w:rsidR="00862FBD" w:rsidRPr="00862FBD">
              <w:rPr>
                <w:rStyle w:val="Hyperlink"/>
                <w:rFonts w:ascii="Times New Roman" w:hAnsi="Times New Roman" w:cs="Times New Roman"/>
                <w:noProof/>
                <w:color w:val="auto"/>
                <w:sz w:val="28"/>
                <w:szCs w:val="28"/>
              </w:rPr>
              <w:t>Strengths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_Toc211165653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3</w:t>
            </w:r>
            <w:r w:rsidR="00862FBD" w:rsidRPr="00862FBD">
              <w:rPr>
                <w:rFonts w:ascii="Times New Roman" w:hAnsi="Times New Roman" w:cs="Times New Roman"/>
                <w:noProof/>
                <w:webHidden/>
                <w:sz w:val="28"/>
                <w:szCs w:val="28"/>
              </w:rPr>
              <w:fldChar w:fldCharType="end"/>
            </w:r>
          </w:hyperlink>
        </w:p>
        <w:p w14:paraId="4769CDC2" w14:textId="6A0E9F5C" w:rsidR="00862FBD" w:rsidRPr="00862FBD" w:rsidRDefault="00000000">
          <w:pPr>
            <w:pStyle w:val="TOC2"/>
            <w:tabs>
              <w:tab w:val="right" w:leader="dot" w:pos="8630"/>
            </w:tabs>
            <w:rPr>
              <w:rFonts w:ascii="Times New Roman" w:hAnsi="Times New Roman" w:cs="Times New Roman"/>
              <w:noProof/>
              <w:sz w:val="28"/>
              <w:szCs w:val="28"/>
            </w:rPr>
          </w:pPr>
          <w:hyperlink w:anchor="_Toc211165654" w:history="1">
            <w:r w:rsidR="00862FBD" w:rsidRPr="00862FBD">
              <w:rPr>
                <w:rStyle w:val="Hyperlink"/>
                <w:rFonts w:ascii="Times New Roman" w:hAnsi="Times New Roman" w:cs="Times New Roman"/>
                <w:noProof/>
                <w:color w:val="auto"/>
                <w:sz w:val="28"/>
                <w:szCs w:val="28"/>
              </w:rPr>
              <w:t>Weaknesses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_Toc211165654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3</w:t>
            </w:r>
            <w:r w:rsidR="00862FBD" w:rsidRPr="00862FBD">
              <w:rPr>
                <w:rFonts w:ascii="Times New Roman" w:hAnsi="Times New Roman" w:cs="Times New Roman"/>
                <w:noProof/>
                <w:webHidden/>
                <w:sz w:val="28"/>
                <w:szCs w:val="28"/>
              </w:rPr>
              <w:fldChar w:fldCharType="end"/>
            </w:r>
          </w:hyperlink>
        </w:p>
        <w:p w14:paraId="4107646B" w14:textId="3E02FBCA" w:rsidR="00862FBD" w:rsidRPr="00862FBD" w:rsidRDefault="00000000">
          <w:pPr>
            <w:pStyle w:val="TOC2"/>
            <w:tabs>
              <w:tab w:val="right" w:leader="dot" w:pos="8630"/>
            </w:tabs>
            <w:rPr>
              <w:rFonts w:ascii="Times New Roman" w:hAnsi="Times New Roman" w:cs="Times New Roman"/>
              <w:noProof/>
              <w:sz w:val="28"/>
              <w:szCs w:val="28"/>
            </w:rPr>
          </w:pPr>
          <w:hyperlink w:anchor="_Toc211165655" w:history="1">
            <w:r w:rsidR="00862FBD" w:rsidRPr="00862FBD">
              <w:rPr>
                <w:rStyle w:val="Hyperlink"/>
                <w:rFonts w:ascii="Times New Roman" w:hAnsi="Times New Roman" w:cs="Times New Roman"/>
                <w:noProof/>
                <w:color w:val="auto"/>
                <w:sz w:val="28"/>
                <w:szCs w:val="28"/>
              </w:rPr>
              <w:t>Opportunities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_Toc211165655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4</w:t>
            </w:r>
            <w:r w:rsidR="00862FBD" w:rsidRPr="00862FBD">
              <w:rPr>
                <w:rFonts w:ascii="Times New Roman" w:hAnsi="Times New Roman" w:cs="Times New Roman"/>
                <w:noProof/>
                <w:webHidden/>
                <w:sz w:val="28"/>
                <w:szCs w:val="28"/>
              </w:rPr>
              <w:fldChar w:fldCharType="end"/>
            </w:r>
          </w:hyperlink>
        </w:p>
        <w:p w14:paraId="53A427A6" w14:textId="6681FA0E" w:rsidR="00862FBD" w:rsidRPr="00862FBD" w:rsidRDefault="00000000">
          <w:pPr>
            <w:pStyle w:val="TOC2"/>
            <w:tabs>
              <w:tab w:val="right" w:leader="dot" w:pos="8630"/>
            </w:tabs>
            <w:rPr>
              <w:rFonts w:ascii="Times New Roman" w:hAnsi="Times New Roman" w:cs="Times New Roman"/>
              <w:noProof/>
              <w:sz w:val="28"/>
              <w:szCs w:val="28"/>
            </w:rPr>
          </w:pPr>
          <w:hyperlink w:anchor="_Toc211165656" w:history="1">
            <w:r w:rsidR="00862FBD" w:rsidRPr="00862FBD">
              <w:rPr>
                <w:rStyle w:val="Hyperlink"/>
                <w:rFonts w:ascii="Times New Roman" w:hAnsi="Times New Roman" w:cs="Times New Roman"/>
                <w:noProof/>
                <w:color w:val="auto"/>
                <w:sz w:val="28"/>
                <w:szCs w:val="28"/>
              </w:rPr>
              <w:t>Threats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_Toc211165656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4</w:t>
            </w:r>
            <w:r w:rsidR="00862FBD" w:rsidRPr="00862FBD">
              <w:rPr>
                <w:rFonts w:ascii="Times New Roman" w:hAnsi="Times New Roman" w:cs="Times New Roman"/>
                <w:noProof/>
                <w:webHidden/>
                <w:sz w:val="28"/>
                <w:szCs w:val="28"/>
              </w:rPr>
              <w:fldChar w:fldCharType="end"/>
            </w:r>
          </w:hyperlink>
        </w:p>
        <w:p w14:paraId="5B91EFC8" w14:textId="53E3021C" w:rsidR="00862FBD" w:rsidRPr="00862FBD" w:rsidRDefault="00000000">
          <w:pPr>
            <w:pStyle w:val="TOC1"/>
            <w:tabs>
              <w:tab w:val="right" w:leader="dot" w:pos="8630"/>
            </w:tabs>
            <w:rPr>
              <w:rFonts w:ascii="Times New Roman" w:hAnsi="Times New Roman" w:cs="Times New Roman"/>
              <w:noProof/>
              <w:sz w:val="28"/>
              <w:szCs w:val="28"/>
            </w:rPr>
          </w:pPr>
          <w:hyperlink w:anchor="_Toc211165657" w:history="1">
            <w:r w:rsidR="00862FBD" w:rsidRPr="00862FBD">
              <w:rPr>
                <w:rStyle w:val="Hyperlink"/>
                <w:rFonts w:ascii="Times New Roman" w:hAnsi="Times New Roman" w:cs="Times New Roman"/>
                <w:noProof/>
                <w:color w:val="auto"/>
                <w:sz w:val="28"/>
                <w:szCs w:val="28"/>
              </w:rPr>
              <w:t>3. Critical Analysis and Evaluation</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_Toc211165657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4</w:t>
            </w:r>
            <w:r w:rsidR="00862FBD" w:rsidRPr="00862FBD">
              <w:rPr>
                <w:rFonts w:ascii="Times New Roman" w:hAnsi="Times New Roman" w:cs="Times New Roman"/>
                <w:noProof/>
                <w:webHidden/>
                <w:sz w:val="28"/>
                <w:szCs w:val="28"/>
              </w:rPr>
              <w:fldChar w:fldCharType="end"/>
            </w:r>
          </w:hyperlink>
        </w:p>
        <w:p w14:paraId="08A8BBC1" w14:textId="16AF1DE6" w:rsidR="00862FBD" w:rsidRPr="00862FBD" w:rsidRDefault="00000000">
          <w:pPr>
            <w:pStyle w:val="TOC1"/>
            <w:tabs>
              <w:tab w:val="right" w:leader="dot" w:pos="8630"/>
            </w:tabs>
            <w:rPr>
              <w:rFonts w:ascii="Times New Roman" w:hAnsi="Times New Roman" w:cs="Times New Roman"/>
              <w:noProof/>
              <w:sz w:val="28"/>
              <w:szCs w:val="28"/>
            </w:rPr>
          </w:pPr>
          <w:hyperlink w:anchor="_Toc211165658" w:history="1">
            <w:r w:rsidR="00862FBD" w:rsidRPr="00862FBD">
              <w:rPr>
                <w:rStyle w:val="Hyperlink"/>
                <w:rFonts w:ascii="Times New Roman" w:hAnsi="Times New Roman" w:cs="Times New Roman"/>
                <w:noProof/>
                <w:color w:val="auto"/>
                <w:sz w:val="28"/>
                <w:szCs w:val="28"/>
              </w:rPr>
              <w:t>4. Conclusion and Recommendations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_Toc211165658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5</w:t>
            </w:r>
            <w:r w:rsidR="00862FBD" w:rsidRPr="00862FBD">
              <w:rPr>
                <w:rFonts w:ascii="Times New Roman" w:hAnsi="Times New Roman" w:cs="Times New Roman"/>
                <w:noProof/>
                <w:webHidden/>
                <w:sz w:val="28"/>
                <w:szCs w:val="28"/>
              </w:rPr>
              <w:fldChar w:fldCharType="end"/>
            </w:r>
          </w:hyperlink>
        </w:p>
        <w:p w14:paraId="4C378466" w14:textId="467FF44C" w:rsidR="00862FBD" w:rsidRPr="00862FBD" w:rsidRDefault="00000000">
          <w:pPr>
            <w:pStyle w:val="TOC1"/>
            <w:tabs>
              <w:tab w:val="right" w:leader="dot" w:pos="8630"/>
            </w:tabs>
            <w:rPr>
              <w:rFonts w:ascii="Times New Roman" w:hAnsi="Times New Roman" w:cs="Times New Roman"/>
              <w:noProof/>
              <w:sz w:val="28"/>
              <w:szCs w:val="28"/>
            </w:rPr>
          </w:pPr>
          <w:hyperlink w:anchor="_Toc211165659" w:history="1">
            <w:r w:rsidR="00862FBD" w:rsidRPr="00862FBD">
              <w:rPr>
                <w:rStyle w:val="Hyperlink"/>
                <w:rFonts w:ascii="Times New Roman" w:hAnsi="Times New Roman" w:cs="Times New Roman"/>
                <w:noProof/>
                <w:color w:val="auto"/>
                <w:sz w:val="28"/>
                <w:szCs w:val="28"/>
              </w:rPr>
              <w:t>Reference list</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_Toc211165659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7</w:t>
            </w:r>
            <w:r w:rsidR="00862FBD" w:rsidRPr="00862FBD">
              <w:rPr>
                <w:rFonts w:ascii="Times New Roman" w:hAnsi="Times New Roman" w:cs="Times New Roman"/>
                <w:noProof/>
                <w:webHidden/>
                <w:sz w:val="28"/>
                <w:szCs w:val="28"/>
              </w:rPr>
              <w:fldChar w:fldCharType="end"/>
            </w:r>
          </w:hyperlink>
        </w:p>
        <w:p w14:paraId="749DB4AB" w14:textId="35CBCF3E" w:rsidR="00862FBD" w:rsidRPr="00862FBD" w:rsidRDefault="00862FBD">
          <w:pPr>
            <w:rPr>
              <w:rFonts w:ascii="Times New Roman" w:hAnsi="Times New Roman" w:cs="Times New Roman"/>
            </w:rPr>
          </w:pPr>
          <w:r w:rsidRPr="00862FBD">
            <w:rPr>
              <w:rFonts w:ascii="Times New Roman" w:hAnsi="Times New Roman" w:cs="Times New Roman"/>
              <w:b/>
              <w:bCs/>
              <w:noProof/>
              <w:sz w:val="28"/>
              <w:szCs w:val="28"/>
            </w:rPr>
            <w:fldChar w:fldCharType="end"/>
          </w:r>
        </w:p>
      </w:sdtContent>
    </w:sdt>
    <w:p w14:paraId="20277DB3" w14:textId="77777777" w:rsidR="00B46579" w:rsidRPr="00862FBD" w:rsidRDefault="00B46579">
      <w:pPr>
        <w:rPr>
          <w:rFonts w:ascii="Times New Roman" w:hAnsi="Times New Roman" w:cs="Times New Roman"/>
          <w:sz w:val="28"/>
          <w:szCs w:val="28"/>
        </w:rPr>
      </w:pPr>
    </w:p>
    <w:p w14:paraId="006D70BF" w14:textId="77777777" w:rsidR="00B46579" w:rsidRDefault="00B46579">
      <w:pPr>
        <w:rPr>
          <w:rFonts w:ascii="Times New Roman" w:hAnsi="Times New Roman" w:cs="Times New Roman"/>
          <w:b/>
          <w:bCs/>
          <w:i/>
          <w:iCs/>
          <w:sz w:val="28"/>
          <w:szCs w:val="28"/>
        </w:rPr>
      </w:pPr>
    </w:p>
    <w:p w14:paraId="4B27FEE9" w14:textId="77777777" w:rsidR="00B46579" w:rsidRDefault="00B46579">
      <w:pPr>
        <w:rPr>
          <w:rFonts w:ascii="Times New Roman" w:hAnsi="Times New Roman" w:cs="Times New Roman"/>
          <w:b/>
          <w:bCs/>
          <w:i/>
          <w:iCs/>
          <w:sz w:val="28"/>
          <w:szCs w:val="28"/>
        </w:rPr>
      </w:pPr>
    </w:p>
    <w:p w14:paraId="1BB65641" w14:textId="77777777" w:rsidR="00B46579" w:rsidRDefault="00B46579">
      <w:pPr>
        <w:rPr>
          <w:rFonts w:ascii="Times New Roman" w:hAnsi="Times New Roman" w:cs="Times New Roman"/>
          <w:b/>
          <w:bCs/>
          <w:i/>
          <w:iCs/>
          <w:sz w:val="28"/>
          <w:szCs w:val="28"/>
        </w:rPr>
      </w:pPr>
    </w:p>
    <w:p w14:paraId="529BE065" w14:textId="77777777" w:rsidR="00B46579" w:rsidRDefault="00B46579">
      <w:pPr>
        <w:rPr>
          <w:rFonts w:ascii="Times New Roman" w:hAnsi="Times New Roman" w:cs="Times New Roman"/>
          <w:b/>
          <w:bCs/>
          <w:i/>
          <w:iCs/>
          <w:sz w:val="28"/>
          <w:szCs w:val="28"/>
        </w:rPr>
      </w:pPr>
    </w:p>
    <w:p w14:paraId="2D8D7289" w14:textId="77777777" w:rsidR="00B46579" w:rsidRDefault="00B46579">
      <w:pPr>
        <w:rPr>
          <w:rFonts w:ascii="Times New Roman" w:hAnsi="Times New Roman" w:cs="Times New Roman"/>
          <w:b/>
          <w:bCs/>
          <w:i/>
          <w:iCs/>
          <w:sz w:val="28"/>
          <w:szCs w:val="28"/>
        </w:rPr>
      </w:pPr>
    </w:p>
    <w:p w14:paraId="2767ADED" w14:textId="77777777" w:rsidR="00B46579" w:rsidRDefault="00B46579">
      <w:pPr>
        <w:rPr>
          <w:rFonts w:ascii="Times New Roman" w:hAnsi="Times New Roman" w:cs="Times New Roman"/>
          <w:b/>
          <w:bCs/>
          <w:i/>
          <w:iCs/>
          <w:sz w:val="28"/>
          <w:szCs w:val="28"/>
        </w:rPr>
      </w:pPr>
    </w:p>
    <w:p w14:paraId="3620D8D6" w14:textId="77777777" w:rsidR="00B46579" w:rsidRDefault="00B46579">
      <w:pPr>
        <w:rPr>
          <w:rFonts w:ascii="Times New Roman" w:hAnsi="Times New Roman" w:cs="Times New Roman"/>
          <w:b/>
          <w:bCs/>
          <w:i/>
          <w:iCs/>
          <w:sz w:val="28"/>
          <w:szCs w:val="28"/>
        </w:rPr>
      </w:pPr>
    </w:p>
    <w:p w14:paraId="0C22421B" w14:textId="77777777" w:rsidR="00B46579" w:rsidRDefault="00B46579">
      <w:pPr>
        <w:rPr>
          <w:rFonts w:ascii="Times New Roman" w:hAnsi="Times New Roman" w:cs="Times New Roman"/>
          <w:b/>
          <w:bCs/>
          <w:i/>
          <w:iCs/>
          <w:sz w:val="28"/>
          <w:szCs w:val="28"/>
        </w:rPr>
      </w:pPr>
    </w:p>
    <w:p w14:paraId="7E68BD32" w14:textId="77777777" w:rsidR="00B46579" w:rsidRDefault="00B46579">
      <w:pPr>
        <w:rPr>
          <w:rFonts w:ascii="Times New Roman" w:hAnsi="Times New Roman" w:cs="Times New Roman"/>
          <w:b/>
          <w:bCs/>
          <w:i/>
          <w:iCs/>
          <w:sz w:val="28"/>
          <w:szCs w:val="28"/>
        </w:rPr>
      </w:pPr>
    </w:p>
    <w:p w14:paraId="0F8DDAEF" w14:textId="77777777" w:rsidR="00B46579" w:rsidRDefault="00B46579">
      <w:pPr>
        <w:rPr>
          <w:rFonts w:ascii="Times New Roman" w:hAnsi="Times New Roman" w:cs="Times New Roman"/>
          <w:b/>
          <w:bCs/>
          <w:i/>
          <w:iCs/>
          <w:sz w:val="28"/>
          <w:szCs w:val="28"/>
        </w:rPr>
      </w:pPr>
    </w:p>
    <w:p w14:paraId="71538E24" w14:textId="3B93F4BF" w:rsidR="00CB49F9" w:rsidRPr="008563A7" w:rsidRDefault="00000000">
      <w:pPr>
        <w:rPr>
          <w:rFonts w:ascii="Times New Roman" w:eastAsia="Times New Roman" w:hAnsi="Times New Roman" w:cs="Times New Roman"/>
          <w:sz w:val="24"/>
          <w:szCs w:val="24"/>
          <w:lang w:val="en-GB" w:eastAsia="en-GB"/>
        </w:rPr>
      </w:pPr>
      <w:bookmarkStart w:id="0" w:name="_Toc211165651"/>
      <w:r w:rsidRPr="008563A7">
        <w:rPr>
          <w:rStyle w:val="Heading1Char"/>
          <w:rFonts w:ascii="Times New Roman" w:hAnsi="Times New Roman" w:cs="Times New Roman"/>
          <w:color w:val="auto"/>
        </w:rPr>
        <w:lastRenderedPageBreak/>
        <w:t>1. Introduction</w:t>
      </w:r>
      <w:bookmarkEnd w:id="0"/>
      <w:r w:rsidRPr="008563A7">
        <w:rPr>
          <w:rFonts w:ascii="Times New Roman" w:hAnsi="Times New Roman" w:cs="Times New Roman"/>
          <w:sz w:val="24"/>
          <w:szCs w:val="24"/>
        </w:rPr>
        <w:br/>
      </w:r>
      <w:r w:rsidR="008563A7" w:rsidRPr="008563A7">
        <w:rPr>
          <w:rFonts w:ascii="Times New Roman" w:hAnsi="Times New Roman" w:cs="Times New Roman"/>
          <w:sz w:val="24"/>
          <w:szCs w:val="24"/>
        </w:rPr>
        <w:t>DHL UK serves as a pivotal component of the national logistics and supply chain infrastructure, delivering an integrated portfolio of services encompassing parcel distribution, international freight forwarding, large-scale warehousing, and technologically enabled e-commerce fulfilment.</w:t>
      </w:r>
      <w:r w:rsidR="00BB15CF" w:rsidRPr="008563A7">
        <w:rPr>
          <w:rFonts w:ascii="Times New Roman" w:hAnsi="Times New Roman" w:cs="Times New Roman"/>
          <w:sz w:val="24"/>
          <w:szCs w:val="24"/>
        </w:rPr>
        <w:t xml:space="preserve"> </w:t>
      </w:r>
      <w:r w:rsidRPr="008563A7">
        <w:rPr>
          <w:rFonts w:ascii="Times New Roman" w:hAnsi="Times New Roman" w:cs="Times New Roman"/>
          <w:sz w:val="24"/>
          <w:szCs w:val="24"/>
        </w:rPr>
        <w:t>As part of the Deutsche Post DHL Group,</w:t>
      </w:r>
      <w:r w:rsidR="00864240" w:rsidRPr="008563A7">
        <w:rPr>
          <w:rFonts w:ascii="Times New Roman" w:hAnsi="Times New Roman" w:cs="Times New Roman"/>
          <w:sz w:val="24"/>
          <w:szCs w:val="24"/>
        </w:rPr>
        <w:t xml:space="preserve"> (</w:t>
      </w:r>
      <w:r w:rsidR="00864240" w:rsidRPr="008563A7">
        <w:rPr>
          <w:rFonts w:ascii="Times New Roman" w:eastAsia="Times New Roman" w:hAnsi="Times New Roman" w:cs="Times New Roman"/>
          <w:sz w:val="24"/>
          <w:szCs w:val="24"/>
          <w:lang w:val="en-GB" w:eastAsia="en-GB"/>
        </w:rPr>
        <w:t>DHL, 2024)</w:t>
      </w:r>
      <w:r w:rsidRPr="008563A7">
        <w:rPr>
          <w:rFonts w:ascii="Times New Roman" w:hAnsi="Times New Roman" w:cs="Times New Roman"/>
          <w:sz w:val="24"/>
          <w:szCs w:val="24"/>
        </w:rPr>
        <w:t xml:space="preserve"> the </w:t>
      </w:r>
      <w:r w:rsidR="00864240" w:rsidRPr="008563A7">
        <w:rPr>
          <w:rFonts w:ascii="Times New Roman" w:hAnsi="Times New Roman" w:cs="Times New Roman"/>
          <w:sz w:val="24"/>
          <w:szCs w:val="24"/>
        </w:rPr>
        <w:t>organization</w:t>
      </w:r>
      <w:r w:rsidRPr="008563A7">
        <w:rPr>
          <w:rFonts w:ascii="Times New Roman" w:hAnsi="Times New Roman" w:cs="Times New Roman"/>
          <w:sz w:val="24"/>
          <w:szCs w:val="24"/>
        </w:rPr>
        <w:t xml:space="preserve"> has a substantial footprint in both domestic and international markets, with services spanning B2B and B2C segments</w:t>
      </w:r>
      <w:r w:rsidR="00864240" w:rsidRPr="008563A7">
        <w:rPr>
          <w:rFonts w:ascii="Times New Roman" w:hAnsi="Times New Roman" w:cs="Times New Roman"/>
          <w:sz w:val="24"/>
          <w:szCs w:val="24"/>
        </w:rPr>
        <w:t xml:space="preserve">. </w:t>
      </w:r>
      <w:r w:rsidRPr="008563A7">
        <w:rPr>
          <w:rFonts w:ascii="Times New Roman" w:hAnsi="Times New Roman" w:cs="Times New Roman"/>
          <w:sz w:val="24"/>
          <w:szCs w:val="24"/>
        </w:rPr>
        <w:t>Its extensive hub-and-spoke infrastructure, transportation networks, and partnerships with major retailers and manufacturers strengthen its market position in the UK logistic industry.</w:t>
      </w:r>
    </w:p>
    <w:p w14:paraId="2D810014" w14:textId="6AF4D5C7" w:rsidR="00CB49F9" w:rsidRPr="00BB15CF" w:rsidRDefault="008563A7">
      <w:pPr>
        <w:rPr>
          <w:rFonts w:ascii="Times New Roman" w:hAnsi="Times New Roman" w:cs="Times New Roman"/>
          <w:sz w:val="24"/>
          <w:szCs w:val="24"/>
        </w:rPr>
      </w:pPr>
      <w:r w:rsidRPr="008563A7">
        <w:rPr>
          <w:rFonts w:ascii="Times New Roman" w:hAnsi="Times New Roman" w:cs="Times New Roman"/>
          <w:sz w:val="24"/>
          <w:szCs w:val="24"/>
        </w:rPr>
        <w:t>The</w:t>
      </w:r>
      <w:r w:rsidR="00406C77">
        <w:rPr>
          <w:rFonts w:ascii="Times New Roman" w:hAnsi="Times New Roman" w:cs="Times New Roman"/>
          <w:sz w:val="24"/>
          <w:szCs w:val="24"/>
        </w:rPr>
        <w:t xml:space="preserve"> main objective</w:t>
      </w:r>
      <w:r w:rsidRPr="008563A7">
        <w:rPr>
          <w:rFonts w:ascii="Times New Roman" w:hAnsi="Times New Roman" w:cs="Times New Roman"/>
          <w:sz w:val="24"/>
          <w:szCs w:val="24"/>
        </w:rPr>
        <w:t xml:space="preserve"> of this report is to </w:t>
      </w:r>
      <w:r w:rsidR="008B0F48">
        <w:rPr>
          <w:rFonts w:ascii="Times New Roman" w:hAnsi="Times New Roman" w:cs="Times New Roman"/>
          <w:sz w:val="24"/>
          <w:szCs w:val="24"/>
        </w:rPr>
        <w:t>facilitate</w:t>
      </w:r>
      <w:r w:rsidRPr="008563A7">
        <w:rPr>
          <w:rFonts w:ascii="Times New Roman" w:hAnsi="Times New Roman" w:cs="Times New Roman"/>
          <w:sz w:val="24"/>
          <w:szCs w:val="24"/>
        </w:rPr>
        <w:t xml:space="preserve"> a comprehensive evaluation of DHL UK’s </w:t>
      </w:r>
      <w:r w:rsidRPr="008563A7">
        <w:rPr>
          <w:rFonts w:ascii="Times New Roman" w:hAnsi="Times New Roman" w:cs="Times New Roman"/>
          <w:sz w:val="24"/>
          <w:szCs w:val="24"/>
        </w:rPr>
        <w:t>organizational</w:t>
      </w:r>
      <w:r w:rsidRPr="008563A7">
        <w:rPr>
          <w:rFonts w:ascii="Times New Roman" w:hAnsi="Times New Roman" w:cs="Times New Roman"/>
          <w:sz w:val="24"/>
          <w:szCs w:val="24"/>
        </w:rPr>
        <w:t xml:space="preserve"> capabilities and operating context by applying the SWOT analytical framework to assess its internal resources and external environmental factors.</w:t>
      </w:r>
      <w:r w:rsidR="00000000" w:rsidRPr="008563A7">
        <w:rPr>
          <w:rFonts w:ascii="Times New Roman" w:hAnsi="Times New Roman" w:cs="Times New Roman"/>
          <w:sz w:val="24"/>
          <w:szCs w:val="24"/>
        </w:rPr>
        <w:t xml:space="preserve"> This enables the identification of strategic implications for marketing decisions and organisational growth. The analysis focuses on how strengths, weaknesses, opportunities, and threats influence strategic choices, brand positioning, and competitive resilience</w:t>
      </w:r>
      <w:r w:rsidR="00000000" w:rsidRPr="00BB15CF">
        <w:rPr>
          <w:rFonts w:ascii="Times New Roman" w:hAnsi="Times New Roman" w:cs="Times New Roman"/>
          <w:sz w:val="24"/>
          <w:szCs w:val="24"/>
        </w:rPr>
        <w:t>.</w:t>
      </w:r>
    </w:p>
    <w:p w14:paraId="48ECC2A0" w14:textId="77777777" w:rsidR="00CB49F9" w:rsidRPr="00862FBD" w:rsidRDefault="00000000" w:rsidP="00862FBD">
      <w:pPr>
        <w:pStyle w:val="Heading1"/>
        <w:rPr>
          <w:rFonts w:ascii="Times New Roman" w:hAnsi="Times New Roman" w:cs="Times New Roman"/>
          <w:color w:val="auto"/>
        </w:rPr>
      </w:pPr>
      <w:bookmarkStart w:id="1" w:name="_Toc211165652"/>
      <w:r w:rsidRPr="00862FBD">
        <w:rPr>
          <w:rFonts w:ascii="Times New Roman" w:hAnsi="Times New Roman" w:cs="Times New Roman"/>
          <w:color w:val="auto"/>
        </w:rPr>
        <w:t>2. Situational Analysis – SWOT</w:t>
      </w:r>
      <w:bookmarkEnd w:id="1"/>
    </w:p>
    <w:p w14:paraId="3DF35947" w14:textId="77777777" w:rsidR="00CB49F9" w:rsidRPr="006D78BF" w:rsidRDefault="00000000">
      <w:pPr>
        <w:rPr>
          <w:rFonts w:ascii="Times New Roman" w:hAnsi="Times New Roman" w:cs="Times New Roman"/>
          <w:sz w:val="24"/>
          <w:szCs w:val="24"/>
        </w:rPr>
      </w:pPr>
      <w:bookmarkStart w:id="2" w:name="_Toc211165653"/>
      <w:r w:rsidRPr="00862FBD">
        <w:rPr>
          <w:rStyle w:val="Heading2Char"/>
          <w:rFonts w:ascii="Times New Roman" w:hAnsi="Times New Roman" w:cs="Times New Roman"/>
          <w:color w:val="auto"/>
        </w:rPr>
        <w:t>Strengths</w:t>
      </w:r>
      <w:bookmarkEnd w:id="2"/>
      <w:r w:rsidRPr="006D78BF">
        <w:rPr>
          <w:rFonts w:ascii="Times New Roman" w:hAnsi="Times New Roman" w:cs="Times New Roman"/>
          <w:sz w:val="24"/>
          <w:szCs w:val="24"/>
        </w:rPr>
        <w:br/>
        <w:t>DHL UK benefits from strong brand recognition and market leadership in logistics. Its global presence reinforces credibility and trust, which is vital for customer acquisition and business retention. The company’s investment in technology, including automation, AI-enabled tracking, warehouse robotics, and digital route planning, enhances operational efficiency and customer satisfaction.</w:t>
      </w:r>
    </w:p>
    <w:p w14:paraId="3BB4DAE0" w14:textId="2E6C1759"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 xml:space="preserve">A diverse portfolio of </w:t>
      </w:r>
      <w:r w:rsidR="003618A7">
        <w:rPr>
          <w:rFonts w:ascii="Times New Roman" w:hAnsi="Times New Roman" w:cs="Times New Roman"/>
          <w:sz w:val="24"/>
          <w:szCs w:val="24"/>
        </w:rPr>
        <w:t>warehousing and transport</w:t>
      </w:r>
      <w:r w:rsidRPr="006D78BF">
        <w:rPr>
          <w:rFonts w:ascii="Times New Roman" w:hAnsi="Times New Roman" w:cs="Times New Roman"/>
          <w:sz w:val="24"/>
          <w:szCs w:val="24"/>
        </w:rPr>
        <w:t xml:space="preserve"> services also supports resilience. DHL UK operates across express delivery, freight, warehousing, and supply chain management, enabling the company to target multiple customer types and markets. In addition, its sustainability initiatives, including the GoGreen programme and net-zero emissions targets by 2050, strengthen corporate reputation and align with environmental regulations.</w:t>
      </w:r>
    </w:p>
    <w:p w14:paraId="243D944D" w14:textId="6232EAD1" w:rsidR="00CB49F9" w:rsidRPr="006D78BF" w:rsidRDefault="00000000">
      <w:pPr>
        <w:rPr>
          <w:rFonts w:ascii="Times New Roman" w:hAnsi="Times New Roman" w:cs="Times New Roman"/>
          <w:sz w:val="24"/>
          <w:szCs w:val="24"/>
        </w:rPr>
      </w:pPr>
      <w:bookmarkStart w:id="3" w:name="_Toc211165654"/>
      <w:r w:rsidRPr="00862FBD">
        <w:rPr>
          <w:rStyle w:val="Heading2Char"/>
          <w:rFonts w:ascii="Times New Roman" w:hAnsi="Times New Roman" w:cs="Times New Roman"/>
          <w:color w:val="auto"/>
        </w:rPr>
        <w:t>Weaknesses</w:t>
      </w:r>
      <w:bookmarkEnd w:id="3"/>
      <w:r w:rsidRPr="006D78BF">
        <w:rPr>
          <w:rFonts w:ascii="Times New Roman" w:hAnsi="Times New Roman" w:cs="Times New Roman"/>
          <w:sz w:val="24"/>
          <w:szCs w:val="24"/>
        </w:rPr>
        <w:br/>
        <w:t xml:space="preserve">Despite its strengths, DHL UK has high operational costs driven by fuel, labour, and infrastructure. These overheads can restrict price-based competition in an industry where some </w:t>
      </w:r>
      <w:r w:rsidR="00864240">
        <w:rPr>
          <w:rFonts w:ascii="Times New Roman" w:hAnsi="Times New Roman" w:cs="Times New Roman"/>
          <w:sz w:val="24"/>
          <w:szCs w:val="24"/>
        </w:rPr>
        <w:t xml:space="preserve">of the </w:t>
      </w:r>
      <w:r w:rsidRPr="006D78BF">
        <w:rPr>
          <w:rFonts w:ascii="Times New Roman" w:hAnsi="Times New Roman" w:cs="Times New Roman"/>
          <w:sz w:val="24"/>
          <w:szCs w:val="24"/>
        </w:rPr>
        <w:t>rivals operate on thinner cost structures. The organisation’s dependency on interconnected global operations also makes it vulnerable to disruptions such as customs delays, currency shifts, and geopolitical tensions.</w:t>
      </w:r>
    </w:p>
    <w:p w14:paraId="696F080A"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 xml:space="preserve">Another weakness lies in the complexity of its organisational structure. Multiple business units and hierarchical systems can slow decision-making, impacting marketing agility </w:t>
      </w:r>
      <w:r w:rsidRPr="006D78BF">
        <w:rPr>
          <w:rFonts w:ascii="Times New Roman" w:hAnsi="Times New Roman" w:cs="Times New Roman"/>
          <w:sz w:val="24"/>
          <w:szCs w:val="24"/>
        </w:rPr>
        <w:lastRenderedPageBreak/>
        <w:t>and innovation. While digital systems improve performance, large-scale transformation also increases integration challenges and maintenance costs.</w:t>
      </w:r>
    </w:p>
    <w:p w14:paraId="63945F11" w14:textId="77777777" w:rsidR="00CB49F9" w:rsidRPr="006D78BF" w:rsidRDefault="00000000">
      <w:pPr>
        <w:rPr>
          <w:rFonts w:ascii="Times New Roman" w:hAnsi="Times New Roman" w:cs="Times New Roman"/>
          <w:sz w:val="24"/>
          <w:szCs w:val="24"/>
        </w:rPr>
      </w:pPr>
      <w:bookmarkStart w:id="4" w:name="_Toc211165655"/>
      <w:r w:rsidRPr="00862FBD">
        <w:rPr>
          <w:rStyle w:val="Heading2Char"/>
          <w:rFonts w:ascii="Times New Roman" w:hAnsi="Times New Roman" w:cs="Times New Roman"/>
          <w:color w:val="auto"/>
        </w:rPr>
        <w:t>Opportunities</w:t>
      </w:r>
      <w:bookmarkEnd w:id="4"/>
      <w:r w:rsidRPr="00B46579">
        <w:rPr>
          <w:rFonts w:ascii="Times New Roman" w:hAnsi="Times New Roman" w:cs="Times New Roman"/>
          <w:sz w:val="26"/>
          <w:szCs w:val="26"/>
        </w:rPr>
        <w:br/>
      </w:r>
      <w:r w:rsidRPr="006D78BF">
        <w:rPr>
          <w:rFonts w:ascii="Times New Roman" w:hAnsi="Times New Roman" w:cs="Times New Roman"/>
          <w:sz w:val="24"/>
          <w:szCs w:val="24"/>
        </w:rPr>
        <w:t>E-commerce continues to expand rapidly in the UK, amplified by consumer expectations for fast and reliable deliveries. This trend presents DHL with opportunities to scale last-mile delivery, click-and-collect partnerships, and fulfilment centre services. Digital innovation in data analytics, predictive logistics, and personalised service can also enhance customer engagement and operational flexibility.</w:t>
      </w:r>
    </w:p>
    <w:p w14:paraId="4E0FFD8B"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Sustainability is another opportunity. Growing regulatory and consumer attention on emissions and ethical supply chains enables DHL to use its environmental credentials as a marketing differentiator. Emerging technologies such as electric vehicles, alternative fuels, and carbon reporting tools can reinforce competitive positioning and corporate client appeal.</w:t>
      </w:r>
    </w:p>
    <w:p w14:paraId="567EACB0" w14:textId="5F5A3BC4" w:rsidR="00CB49F9" w:rsidRPr="006D78BF" w:rsidRDefault="00000000">
      <w:pPr>
        <w:rPr>
          <w:rFonts w:ascii="Times New Roman" w:hAnsi="Times New Roman" w:cs="Times New Roman"/>
          <w:sz w:val="24"/>
          <w:szCs w:val="24"/>
        </w:rPr>
      </w:pPr>
      <w:bookmarkStart w:id="5" w:name="_Toc211165656"/>
      <w:r w:rsidRPr="00862FBD">
        <w:rPr>
          <w:rStyle w:val="Heading2Char"/>
          <w:rFonts w:ascii="Times New Roman" w:hAnsi="Times New Roman" w:cs="Times New Roman"/>
          <w:color w:val="auto"/>
        </w:rPr>
        <w:t>Threats</w:t>
      </w:r>
      <w:bookmarkEnd w:id="5"/>
      <w:r w:rsidRPr="006D78BF">
        <w:rPr>
          <w:rFonts w:ascii="Times New Roman" w:hAnsi="Times New Roman" w:cs="Times New Roman"/>
          <w:sz w:val="24"/>
          <w:szCs w:val="24"/>
        </w:rPr>
        <w:br/>
        <w:t xml:space="preserve">DHL UK faces intense competition from established </w:t>
      </w:r>
      <w:r w:rsidR="003618A7">
        <w:rPr>
          <w:rFonts w:ascii="Times New Roman" w:hAnsi="Times New Roman" w:cs="Times New Roman"/>
          <w:sz w:val="24"/>
          <w:szCs w:val="24"/>
        </w:rPr>
        <w:t>parcel delivery</w:t>
      </w:r>
      <w:r w:rsidRPr="006D78BF">
        <w:rPr>
          <w:rFonts w:ascii="Times New Roman" w:hAnsi="Times New Roman" w:cs="Times New Roman"/>
          <w:sz w:val="24"/>
          <w:szCs w:val="24"/>
        </w:rPr>
        <w:t xml:space="preserve"> firms such as FedEx, UPS, DPD, and Royal Mail, along with newer disruptors like Amazon Logistics. These competitors challenge market share and influence pricing pressures. Economic instability, such as inflation or recessions, can reduce consumer spending and </w:t>
      </w:r>
      <w:r w:rsidR="00864240">
        <w:rPr>
          <w:rFonts w:ascii="Times New Roman" w:hAnsi="Times New Roman" w:cs="Times New Roman"/>
          <w:sz w:val="24"/>
          <w:szCs w:val="24"/>
        </w:rPr>
        <w:t>have an impact</w:t>
      </w:r>
      <w:r w:rsidRPr="006D78BF">
        <w:rPr>
          <w:rFonts w:ascii="Times New Roman" w:hAnsi="Times New Roman" w:cs="Times New Roman"/>
          <w:sz w:val="24"/>
          <w:szCs w:val="24"/>
        </w:rPr>
        <w:t xml:space="preserve"> </w:t>
      </w:r>
      <w:r w:rsidR="00864240">
        <w:rPr>
          <w:rFonts w:ascii="Times New Roman" w:hAnsi="Times New Roman" w:cs="Times New Roman"/>
          <w:sz w:val="24"/>
          <w:szCs w:val="24"/>
        </w:rPr>
        <w:t>on profits in a negative way</w:t>
      </w:r>
      <w:r w:rsidRPr="006D78BF">
        <w:rPr>
          <w:rFonts w:ascii="Times New Roman" w:hAnsi="Times New Roman" w:cs="Times New Roman"/>
          <w:sz w:val="24"/>
          <w:szCs w:val="24"/>
        </w:rPr>
        <w:t>.</w:t>
      </w:r>
    </w:p>
    <w:p w14:paraId="54B3CB0E"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Regulatory uncertainty also poses a threat. Post-Brexit trade arrangements create administrative and customs complexities, affecting delivery speed and supply chain reliability. Environmental regulations increase compliance obligations and cost pressures. Cybersecurity risks associated with digital platforms add another layer of vulnerability.</w:t>
      </w:r>
    </w:p>
    <w:p w14:paraId="1081C03D" w14:textId="77777777" w:rsidR="00CB49F9" w:rsidRPr="006D78BF" w:rsidRDefault="00000000">
      <w:pPr>
        <w:rPr>
          <w:rFonts w:ascii="Times New Roman" w:hAnsi="Times New Roman" w:cs="Times New Roman"/>
          <w:sz w:val="24"/>
          <w:szCs w:val="24"/>
        </w:rPr>
      </w:pPr>
      <w:bookmarkStart w:id="6" w:name="_Toc211165657"/>
      <w:r w:rsidRPr="00862FBD">
        <w:rPr>
          <w:rStyle w:val="Heading1Char"/>
          <w:rFonts w:ascii="Times New Roman" w:hAnsi="Times New Roman" w:cs="Times New Roman"/>
          <w:color w:val="auto"/>
        </w:rPr>
        <w:t>3. Critical Analysis and Evaluation</w:t>
      </w:r>
      <w:bookmarkEnd w:id="6"/>
      <w:r w:rsidRPr="006D78BF">
        <w:rPr>
          <w:rFonts w:ascii="Times New Roman" w:hAnsi="Times New Roman" w:cs="Times New Roman"/>
          <w:sz w:val="24"/>
          <w:szCs w:val="24"/>
        </w:rPr>
        <w:br/>
        <w:t>The SWOT findings highlight how DHL UK’s strategic marketing decisions must balance internal capabilities with external demands. The Resource-Based View (Barney, 1991) suggests that DHL’s brand equity, network infrastructure, and digital systems act as strategic assets that sustain competitive advantage. These strengths support differentiation in an increasingly commoditised market.</w:t>
      </w:r>
    </w:p>
    <w:p w14:paraId="5CB8AA11"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However, high operating costs limit flexibility in pricing strategies. Porter’s (1985) theory on competitive advantage implies that DHL competes through differentiation rather than cost leadership. Without continued efficiency improvements through automation and data analytics, rising labour and fuel costs could weaken profitability and reduce marketing investment.</w:t>
      </w:r>
    </w:p>
    <w:p w14:paraId="33613A13" w14:textId="11EB474D"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 xml:space="preserve">The growth of e-commerce presents a clear opportunity, especially in last-mile logistics. Industry evidence suggests that consumer loyalty in parcel delivery correlates with </w:t>
      </w:r>
      <w:r w:rsidRPr="006D78BF">
        <w:rPr>
          <w:rFonts w:ascii="Times New Roman" w:hAnsi="Times New Roman" w:cs="Times New Roman"/>
          <w:sz w:val="24"/>
          <w:szCs w:val="24"/>
        </w:rPr>
        <w:lastRenderedPageBreak/>
        <w:t>reliability, convenience, and transparency (Mangan</w:t>
      </w:r>
      <w:r w:rsidR="003618A7">
        <w:rPr>
          <w:rFonts w:ascii="Times New Roman" w:hAnsi="Times New Roman" w:cs="Times New Roman"/>
          <w:sz w:val="24"/>
          <w:szCs w:val="24"/>
        </w:rPr>
        <w:t>,</w:t>
      </w:r>
      <w:r w:rsidRPr="006D78BF">
        <w:rPr>
          <w:rFonts w:ascii="Times New Roman" w:hAnsi="Times New Roman" w:cs="Times New Roman"/>
          <w:sz w:val="24"/>
          <w:szCs w:val="24"/>
        </w:rPr>
        <w:t xml:space="preserve"> Lalwani</w:t>
      </w:r>
      <w:r w:rsidR="003618A7">
        <w:rPr>
          <w:rFonts w:ascii="Times New Roman" w:hAnsi="Times New Roman" w:cs="Times New Roman"/>
          <w:sz w:val="24"/>
          <w:szCs w:val="24"/>
        </w:rPr>
        <w:t xml:space="preserve"> and Calatayud</w:t>
      </w:r>
      <w:r w:rsidRPr="006D78BF">
        <w:rPr>
          <w:rFonts w:ascii="Times New Roman" w:hAnsi="Times New Roman" w:cs="Times New Roman"/>
          <w:sz w:val="24"/>
          <w:szCs w:val="24"/>
        </w:rPr>
        <w:t>, 20</w:t>
      </w:r>
      <w:r w:rsidR="003618A7">
        <w:rPr>
          <w:rFonts w:ascii="Times New Roman" w:hAnsi="Times New Roman" w:cs="Times New Roman"/>
          <w:sz w:val="24"/>
          <w:szCs w:val="24"/>
        </w:rPr>
        <w:t>20</w:t>
      </w:r>
      <w:r w:rsidRPr="006D78BF">
        <w:rPr>
          <w:rFonts w:ascii="Times New Roman" w:hAnsi="Times New Roman" w:cs="Times New Roman"/>
          <w:sz w:val="24"/>
          <w:szCs w:val="24"/>
        </w:rPr>
        <w:t>). DHL’s technological capabilities allow it to market itself as a trusted delivery partner for retailers and SMEs. Yet competition from Amazon, which integrates logistics with retail, threatens traditional market segmentation.</w:t>
      </w:r>
    </w:p>
    <w:p w14:paraId="33FDB3F5" w14:textId="405EA72A"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Sustainability initiatives provide marketing leverage. Fernie and Sparks (20</w:t>
      </w:r>
      <w:r w:rsidR="006D78BF">
        <w:rPr>
          <w:rFonts w:ascii="Times New Roman" w:hAnsi="Times New Roman" w:cs="Times New Roman"/>
          <w:sz w:val="24"/>
          <w:szCs w:val="24"/>
        </w:rPr>
        <w:t>04</w:t>
      </w:r>
      <w:r w:rsidRPr="006D78BF">
        <w:rPr>
          <w:rFonts w:ascii="Times New Roman" w:hAnsi="Times New Roman" w:cs="Times New Roman"/>
          <w:sz w:val="24"/>
          <w:szCs w:val="24"/>
        </w:rPr>
        <w:t>) argue that firms with credible environmental strategies outperform competitors in tender processes and CSR-based procurement. DHL’s emissions reduction agenda could differentiate its services among environmentally focused businesses, particularly in sectors with sustainability reporting obligations.</w:t>
      </w:r>
    </w:p>
    <w:p w14:paraId="26ED9BAB"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Regulatory change continues to impact marketing strategy. Brexit-related customs challenges require DHL to focus on resilience, compliance expertise, and advisory services in its communications with corporate clients. By promoting customs knowledge and secure international routing, the company can turn perceived threats into marketing strength.</w:t>
      </w:r>
    </w:p>
    <w:p w14:paraId="0479A48D"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Digital transformation enables DHL to enhance value propositions through tracking visibility, route optimisation, and predictive analytics. Kotler and Keller (2016) highlight that digital service integration supports personalisation and customer retention. DHL can use these attributes in marketing to reinforce reliability and responsiveness.</w:t>
      </w:r>
    </w:p>
    <w:p w14:paraId="49AA55E4" w14:textId="2249825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 xml:space="preserve">Competitor threats require segmentation and positioning strategies. DHL can prioritise sectors needing sophisticated </w:t>
      </w:r>
      <w:r w:rsidR="00864240">
        <w:rPr>
          <w:rFonts w:ascii="Times New Roman" w:hAnsi="Times New Roman" w:cs="Times New Roman"/>
          <w:sz w:val="24"/>
          <w:szCs w:val="24"/>
        </w:rPr>
        <w:t>operations</w:t>
      </w:r>
      <w:r w:rsidRPr="006D78BF">
        <w:rPr>
          <w:rFonts w:ascii="Times New Roman" w:hAnsi="Times New Roman" w:cs="Times New Roman"/>
          <w:sz w:val="24"/>
          <w:szCs w:val="24"/>
        </w:rPr>
        <w:t>, such as pharmaceuticals, fashion, and manufacturing, rather than competing purely on price in standard parcel markets. Partnership models with e-commerce platforms, retailers, and tech firms can embed DHL’s services deeper within supply ecosystems.</w:t>
      </w:r>
    </w:p>
    <w:p w14:paraId="26ADED29"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Overall, the SWOT analysis shows that DHL UK must leverage innovation, sustainability, and scale while addressing cost constraints and competition. Strategic marketing requires a focus on differentiation, customer partnerships, and digital value rather than volume-based rivalry.</w:t>
      </w:r>
    </w:p>
    <w:p w14:paraId="797015DB" w14:textId="77777777" w:rsidR="00CB49F9" w:rsidRPr="006D78BF" w:rsidRDefault="00000000">
      <w:pPr>
        <w:rPr>
          <w:rFonts w:ascii="Times New Roman" w:hAnsi="Times New Roman" w:cs="Times New Roman"/>
          <w:sz w:val="24"/>
          <w:szCs w:val="24"/>
        </w:rPr>
      </w:pPr>
      <w:bookmarkStart w:id="7" w:name="_Toc211165658"/>
      <w:r w:rsidRPr="00862FBD">
        <w:rPr>
          <w:rStyle w:val="Heading1Char"/>
          <w:rFonts w:ascii="Times New Roman" w:hAnsi="Times New Roman" w:cs="Times New Roman"/>
          <w:color w:val="auto"/>
        </w:rPr>
        <w:t>4. Conclusion and Recommendations</w:t>
      </w:r>
      <w:bookmarkEnd w:id="7"/>
      <w:r w:rsidRPr="006D78BF">
        <w:rPr>
          <w:rFonts w:ascii="Times New Roman" w:hAnsi="Times New Roman" w:cs="Times New Roman"/>
          <w:sz w:val="24"/>
          <w:szCs w:val="24"/>
        </w:rPr>
        <w:br/>
        <w:t>The analysis shows that DHL UK possesses strong brand recognition, advanced digital capabilities, and a broad service offering. Combined with a recognised sustainability strategy, these strengths position the firm well in a competitive landscape. However, challenges such as operational costs, regulatory complexity, and competitive threats could undermine growth without targeted marketing strategies.</w:t>
      </w:r>
    </w:p>
    <w:p w14:paraId="5C037C33"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To capitalise on its strengths and external opportunities, DHL UK should:</w:t>
      </w:r>
      <w:r w:rsidRPr="006D78BF">
        <w:rPr>
          <w:rFonts w:ascii="Times New Roman" w:hAnsi="Times New Roman" w:cs="Times New Roman"/>
          <w:sz w:val="24"/>
          <w:szCs w:val="24"/>
        </w:rPr>
        <w:br/>
      </w:r>
      <w:r w:rsidRPr="00864240">
        <w:rPr>
          <w:rFonts w:ascii="Times New Roman" w:hAnsi="Times New Roman" w:cs="Times New Roman"/>
          <w:b/>
          <w:bCs/>
          <w:sz w:val="24"/>
          <w:szCs w:val="24"/>
        </w:rPr>
        <w:t>1</w:t>
      </w:r>
      <w:r w:rsidRPr="006D78BF">
        <w:rPr>
          <w:rFonts w:ascii="Times New Roman" w:hAnsi="Times New Roman" w:cs="Times New Roman"/>
          <w:sz w:val="24"/>
          <w:szCs w:val="24"/>
        </w:rPr>
        <w:t>. Strengthen digital marketing and customer personalisation through analytics-driven service offerings tailored to SMEs, corporate clients, and e-commerce retailers.</w:t>
      </w:r>
      <w:r w:rsidRPr="006D78BF">
        <w:rPr>
          <w:rFonts w:ascii="Times New Roman" w:hAnsi="Times New Roman" w:cs="Times New Roman"/>
          <w:sz w:val="24"/>
          <w:szCs w:val="24"/>
        </w:rPr>
        <w:br/>
      </w:r>
      <w:r w:rsidRPr="00864240">
        <w:rPr>
          <w:rFonts w:ascii="Times New Roman" w:hAnsi="Times New Roman" w:cs="Times New Roman"/>
          <w:b/>
          <w:bCs/>
          <w:sz w:val="24"/>
          <w:szCs w:val="24"/>
        </w:rPr>
        <w:lastRenderedPageBreak/>
        <w:t>2</w:t>
      </w:r>
      <w:r w:rsidRPr="006D78BF">
        <w:rPr>
          <w:rFonts w:ascii="Times New Roman" w:hAnsi="Times New Roman" w:cs="Times New Roman"/>
          <w:sz w:val="24"/>
          <w:szCs w:val="24"/>
        </w:rPr>
        <w:t>. Use sustainability commitments as a value proposition to win contracts where carbon reduction and CSR credentials influence procurement decisions.</w:t>
      </w:r>
      <w:r w:rsidRPr="006D78BF">
        <w:rPr>
          <w:rFonts w:ascii="Times New Roman" w:hAnsi="Times New Roman" w:cs="Times New Roman"/>
          <w:sz w:val="24"/>
          <w:szCs w:val="24"/>
        </w:rPr>
        <w:br/>
      </w:r>
      <w:r w:rsidRPr="00864240">
        <w:rPr>
          <w:rFonts w:ascii="Times New Roman" w:hAnsi="Times New Roman" w:cs="Times New Roman"/>
          <w:b/>
          <w:bCs/>
          <w:sz w:val="24"/>
          <w:szCs w:val="24"/>
        </w:rPr>
        <w:t>3</w:t>
      </w:r>
      <w:r w:rsidRPr="006D78BF">
        <w:rPr>
          <w:rFonts w:ascii="Times New Roman" w:hAnsi="Times New Roman" w:cs="Times New Roman"/>
          <w:sz w:val="24"/>
          <w:szCs w:val="24"/>
        </w:rPr>
        <w:t>. Invest in operational optimisation to counteract cost pressures and protect margins, allowing more effective pricing and promotional strategies.</w:t>
      </w:r>
      <w:r w:rsidRPr="006D78BF">
        <w:rPr>
          <w:rFonts w:ascii="Times New Roman" w:hAnsi="Times New Roman" w:cs="Times New Roman"/>
          <w:sz w:val="24"/>
          <w:szCs w:val="24"/>
        </w:rPr>
        <w:br/>
      </w:r>
      <w:r w:rsidRPr="00864240">
        <w:rPr>
          <w:rFonts w:ascii="Times New Roman" w:hAnsi="Times New Roman" w:cs="Times New Roman"/>
          <w:b/>
          <w:bCs/>
          <w:sz w:val="24"/>
          <w:szCs w:val="24"/>
        </w:rPr>
        <w:t>4</w:t>
      </w:r>
      <w:r w:rsidRPr="006D78BF">
        <w:rPr>
          <w:rFonts w:ascii="Times New Roman" w:hAnsi="Times New Roman" w:cs="Times New Roman"/>
          <w:sz w:val="24"/>
          <w:szCs w:val="24"/>
        </w:rPr>
        <w:t>. Promote reliability and regulatory expertise in response to Brexit-related challenges to reassure corporate clients about cross-border delivery.</w:t>
      </w:r>
      <w:r w:rsidRPr="006D78BF">
        <w:rPr>
          <w:rFonts w:ascii="Times New Roman" w:hAnsi="Times New Roman" w:cs="Times New Roman"/>
          <w:sz w:val="24"/>
          <w:szCs w:val="24"/>
        </w:rPr>
        <w:br/>
      </w:r>
      <w:r w:rsidRPr="00864240">
        <w:rPr>
          <w:rFonts w:ascii="Times New Roman" w:hAnsi="Times New Roman" w:cs="Times New Roman"/>
          <w:b/>
          <w:bCs/>
          <w:sz w:val="24"/>
          <w:szCs w:val="24"/>
        </w:rPr>
        <w:t>5.</w:t>
      </w:r>
      <w:r w:rsidRPr="006D78BF">
        <w:rPr>
          <w:rFonts w:ascii="Times New Roman" w:hAnsi="Times New Roman" w:cs="Times New Roman"/>
          <w:sz w:val="24"/>
          <w:szCs w:val="24"/>
        </w:rPr>
        <w:t xml:space="preserve"> Develop partnerships within key verticals to increase market stickiness and integrate logistics deeper into customer operations.</w:t>
      </w:r>
    </w:p>
    <w:p w14:paraId="0CC0A44C" w14:textId="5F3B918D" w:rsidR="00CB49F9" w:rsidRDefault="00000000">
      <w:pPr>
        <w:rPr>
          <w:rFonts w:ascii="Times New Roman" w:hAnsi="Times New Roman" w:cs="Times New Roman"/>
          <w:sz w:val="24"/>
          <w:szCs w:val="24"/>
        </w:rPr>
      </w:pPr>
      <w:r w:rsidRPr="006D78BF">
        <w:rPr>
          <w:rFonts w:ascii="Times New Roman" w:hAnsi="Times New Roman" w:cs="Times New Roman"/>
          <w:sz w:val="24"/>
          <w:szCs w:val="24"/>
        </w:rPr>
        <w:t>Reflecting on the role of situational analysis, SWOT</w:t>
      </w:r>
      <w:r w:rsidR="00B46579">
        <w:rPr>
          <w:rFonts w:ascii="Times New Roman" w:hAnsi="Times New Roman" w:cs="Times New Roman"/>
          <w:sz w:val="24"/>
          <w:szCs w:val="24"/>
        </w:rPr>
        <w:t xml:space="preserve"> analysis</w:t>
      </w:r>
      <w:r w:rsidRPr="006D78BF">
        <w:rPr>
          <w:rFonts w:ascii="Times New Roman" w:hAnsi="Times New Roman" w:cs="Times New Roman"/>
          <w:sz w:val="24"/>
          <w:szCs w:val="24"/>
        </w:rPr>
        <w:t xml:space="preserve"> supports structured </w:t>
      </w:r>
      <w:r w:rsidR="00864240">
        <w:rPr>
          <w:rFonts w:ascii="Times New Roman" w:hAnsi="Times New Roman" w:cs="Times New Roman"/>
          <w:sz w:val="24"/>
          <w:szCs w:val="24"/>
        </w:rPr>
        <w:t>contemplating</w:t>
      </w:r>
      <w:r w:rsidRPr="006D78BF">
        <w:rPr>
          <w:rFonts w:ascii="Times New Roman" w:hAnsi="Times New Roman" w:cs="Times New Roman"/>
          <w:sz w:val="24"/>
          <w:szCs w:val="24"/>
        </w:rPr>
        <w:t xml:space="preserve"> around internal and external realities. It enables strategic clarity by linking operational capabilities to marketing decisions and long-term planning. Without this analysis, resource allocation, competitive positioning, and customer engagement would be reactive rather than strategic.</w:t>
      </w:r>
    </w:p>
    <w:p w14:paraId="148AEDB6" w14:textId="77777777" w:rsidR="00B46579" w:rsidRDefault="00B46579">
      <w:pPr>
        <w:rPr>
          <w:rFonts w:ascii="Times New Roman" w:hAnsi="Times New Roman" w:cs="Times New Roman"/>
          <w:sz w:val="24"/>
          <w:szCs w:val="24"/>
        </w:rPr>
      </w:pPr>
    </w:p>
    <w:p w14:paraId="6F1906F4" w14:textId="77777777" w:rsidR="00B46579" w:rsidRDefault="00B46579">
      <w:pPr>
        <w:rPr>
          <w:rFonts w:ascii="Times New Roman" w:hAnsi="Times New Roman" w:cs="Times New Roman"/>
          <w:sz w:val="24"/>
          <w:szCs w:val="24"/>
        </w:rPr>
      </w:pPr>
    </w:p>
    <w:p w14:paraId="04660472" w14:textId="77777777" w:rsidR="00B46579" w:rsidRDefault="00B46579">
      <w:pPr>
        <w:rPr>
          <w:rFonts w:ascii="Times New Roman" w:hAnsi="Times New Roman" w:cs="Times New Roman"/>
          <w:sz w:val="24"/>
          <w:szCs w:val="24"/>
        </w:rPr>
      </w:pPr>
    </w:p>
    <w:p w14:paraId="21A9A968" w14:textId="77777777" w:rsidR="00B46579" w:rsidRDefault="00B46579">
      <w:pPr>
        <w:rPr>
          <w:rFonts w:ascii="Times New Roman" w:hAnsi="Times New Roman" w:cs="Times New Roman"/>
          <w:sz w:val="24"/>
          <w:szCs w:val="24"/>
        </w:rPr>
      </w:pPr>
    </w:p>
    <w:p w14:paraId="726F5AA2" w14:textId="77777777" w:rsidR="00B46579" w:rsidRDefault="00B46579">
      <w:pPr>
        <w:rPr>
          <w:rFonts w:ascii="Times New Roman" w:hAnsi="Times New Roman" w:cs="Times New Roman"/>
          <w:sz w:val="24"/>
          <w:szCs w:val="24"/>
        </w:rPr>
      </w:pPr>
    </w:p>
    <w:p w14:paraId="30D8EFBD" w14:textId="77777777" w:rsidR="00B46579" w:rsidRDefault="00B46579">
      <w:pPr>
        <w:rPr>
          <w:rFonts w:ascii="Times New Roman" w:hAnsi="Times New Roman" w:cs="Times New Roman"/>
          <w:sz w:val="24"/>
          <w:szCs w:val="24"/>
        </w:rPr>
      </w:pPr>
    </w:p>
    <w:p w14:paraId="687ACDA5" w14:textId="77777777" w:rsidR="00B46579" w:rsidRDefault="00B46579">
      <w:pPr>
        <w:rPr>
          <w:rFonts w:ascii="Times New Roman" w:hAnsi="Times New Roman" w:cs="Times New Roman"/>
          <w:sz w:val="24"/>
          <w:szCs w:val="24"/>
        </w:rPr>
      </w:pPr>
    </w:p>
    <w:p w14:paraId="345DD8AD" w14:textId="77777777" w:rsidR="00B46579" w:rsidRDefault="00B46579">
      <w:pPr>
        <w:rPr>
          <w:rFonts w:ascii="Times New Roman" w:hAnsi="Times New Roman" w:cs="Times New Roman"/>
          <w:sz w:val="24"/>
          <w:szCs w:val="24"/>
        </w:rPr>
      </w:pPr>
    </w:p>
    <w:p w14:paraId="482C5315" w14:textId="77777777" w:rsidR="00B46579" w:rsidRDefault="00B46579">
      <w:pPr>
        <w:rPr>
          <w:rFonts w:ascii="Times New Roman" w:hAnsi="Times New Roman" w:cs="Times New Roman"/>
          <w:sz w:val="24"/>
          <w:szCs w:val="24"/>
        </w:rPr>
      </w:pPr>
    </w:p>
    <w:p w14:paraId="222CEC23" w14:textId="77777777" w:rsidR="00B46579" w:rsidRDefault="00B46579">
      <w:pPr>
        <w:rPr>
          <w:rFonts w:ascii="Times New Roman" w:hAnsi="Times New Roman" w:cs="Times New Roman"/>
          <w:sz w:val="24"/>
          <w:szCs w:val="24"/>
        </w:rPr>
      </w:pPr>
    </w:p>
    <w:p w14:paraId="307063AB" w14:textId="77777777" w:rsidR="00B46579" w:rsidRDefault="00B46579">
      <w:pPr>
        <w:rPr>
          <w:rFonts w:ascii="Times New Roman" w:hAnsi="Times New Roman" w:cs="Times New Roman"/>
          <w:sz w:val="24"/>
          <w:szCs w:val="24"/>
        </w:rPr>
      </w:pPr>
    </w:p>
    <w:p w14:paraId="0BD84628" w14:textId="77777777" w:rsidR="00B46579" w:rsidRDefault="00B46579">
      <w:pPr>
        <w:rPr>
          <w:rFonts w:ascii="Times New Roman" w:hAnsi="Times New Roman" w:cs="Times New Roman"/>
          <w:sz w:val="24"/>
          <w:szCs w:val="24"/>
        </w:rPr>
      </w:pPr>
    </w:p>
    <w:p w14:paraId="69286540" w14:textId="77777777" w:rsidR="00B46579" w:rsidRDefault="00B46579">
      <w:pPr>
        <w:rPr>
          <w:rFonts w:ascii="Times New Roman" w:hAnsi="Times New Roman" w:cs="Times New Roman"/>
          <w:sz w:val="24"/>
          <w:szCs w:val="24"/>
        </w:rPr>
      </w:pPr>
    </w:p>
    <w:p w14:paraId="0930E7E6" w14:textId="77777777" w:rsidR="00B46579" w:rsidRDefault="00B46579">
      <w:pPr>
        <w:rPr>
          <w:rFonts w:ascii="Times New Roman" w:hAnsi="Times New Roman" w:cs="Times New Roman"/>
          <w:sz w:val="24"/>
          <w:szCs w:val="24"/>
        </w:rPr>
      </w:pPr>
    </w:p>
    <w:p w14:paraId="28043140" w14:textId="77777777" w:rsidR="00B46579" w:rsidRDefault="00B46579">
      <w:pPr>
        <w:rPr>
          <w:rFonts w:ascii="Times New Roman" w:hAnsi="Times New Roman" w:cs="Times New Roman"/>
          <w:sz w:val="24"/>
          <w:szCs w:val="24"/>
        </w:rPr>
      </w:pPr>
    </w:p>
    <w:p w14:paraId="571EE4ED" w14:textId="77777777" w:rsidR="00B46579" w:rsidRDefault="00B46579">
      <w:pPr>
        <w:rPr>
          <w:rFonts w:ascii="Times New Roman" w:hAnsi="Times New Roman" w:cs="Times New Roman"/>
          <w:sz w:val="24"/>
          <w:szCs w:val="24"/>
        </w:rPr>
      </w:pPr>
    </w:p>
    <w:p w14:paraId="7D0E3FDF" w14:textId="77777777" w:rsidR="00B46579" w:rsidRPr="006D78BF" w:rsidRDefault="00B46579">
      <w:pPr>
        <w:rPr>
          <w:rFonts w:ascii="Times New Roman" w:hAnsi="Times New Roman" w:cs="Times New Roman"/>
          <w:sz w:val="24"/>
          <w:szCs w:val="24"/>
        </w:rPr>
      </w:pPr>
    </w:p>
    <w:p w14:paraId="5B152A78" w14:textId="77777777" w:rsidR="00B46579" w:rsidRPr="00862FBD" w:rsidRDefault="003618A7" w:rsidP="00862FBD">
      <w:pPr>
        <w:pStyle w:val="Heading1"/>
        <w:rPr>
          <w:rFonts w:ascii="Times New Roman" w:hAnsi="Times New Roman" w:cs="Times New Roman"/>
          <w:color w:val="auto"/>
          <w:sz w:val="20"/>
          <w:szCs w:val="20"/>
        </w:rPr>
      </w:pPr>
      <w:bookmarkStart w:id="8" w:name="_Toc211165659"/>
      <w:r w:rsidRPr="00862FBD">
        <w:rPr>
          <w:rFonts w:ascii="Times New Roman" w:hAnsi="Times New Roman" w:cs="Times New Roman"/>
          <w:color w:val="auto"/>
        </w:rPr>
        <w:t>Reference list</w:t>
      </w:r>
      <w:bookmarkEnd w:id="8"/>
    </w:p>
    <w:p w14:paraId="21397214" w14:textId="06602307" w:rsidR="003618A7" w:rsidRPr="00B46579" w:rsidRDefault="003618A7" w:rsidP="003618A7">
      <w:pPr>
        <w:widowControl w:val="0"/>
        <w:autoSpaceDE w:val="0"/>
        <w:autoSpaceDN w:val="0"/>
        <w:adjustRightInd w:val="0"/>
        <w:spacing w:after="240" w:line="360" w:lineRule="auto"/>
        <w:rPr>
          <w:rFonts w:ascii="Times New Roman" w:hAnsi="Times New Roman" w:cs="Times New Roman"/>
          <w:b/>
          <w:bCs/>
          <w:sz w:val="20"/>
          <w:szCs w:val="20"/>
        </w:rPr>
      </w:pPr>
      <w:r w:rsidRPr="00B46579">
        <w:rPr>
          <w:rFonts w:ascii="Times New Roman" w:hAnsi="Times New Roman" w:cs="Times New Roman"/>
          <w:i/>
          <w:iCs/>
          <w:sz w:val="24"/>
          <w:szCs w:val="24"/>
        </w:rPr>
        <w:t xml:space="preserve">Barney, J. (1991) ‘Firm Resources and Sustained Competitive Advantage’, Journal of Management, 17(1), pp. 99–120. Available at: </w:t>
      </w:r>
      <w:hyperlink r:id="rId8" w:history="1">
        <w:r w:rsidRPr="00B46579">
          <w:rPr>
            <w:rStyle w:val="Hyperlink"/>
            <w:rFonts w:ascii="Times New Roman" w:hAnsi="Times New Roman" w:cs="Times New Roman"/>
            <w:i/>
            <w:iCs/>
            <w:sz w:val="24"/>
            <w:szCs w:val="24"/>
          </w:rPr>
          <w:t>https://doi.org/10.1177/014920639101700108</w:t>
        </w:r>
      </w:hyperlink>
      <w:r w:rsidRPr="00B46579">
        <w:rPr>
          <w:rFonts w:ascii="Times New Roman" w:hAnsi="Times New Roman" w:cs="Times New Roman"/>
          <w:i/>
          <w:iCs/>
          <w:sz w:val="24"/>
          <w:szCs w:val="24"/>
        </w:rPr>
        <w:t>.</w:t>
      </w:r>
    </w:p>
    <w:p w14:paraId="33DA1C98"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Christopher, M. (2016) Logistics and Supply Chain Management: Logistics &amp; Supply Chain Management, Google Books. Pearson UK.</w:t>
      </w:r>
    </w:p>
    <w:p w14:paraId="75CF3F49" w14:textId="4527B2E5" w:rsidR="00864240" w:rsidRPr="00B46579" w:rsidRDefault="00864240" w:rsidP="00864240">
      <w:pPr>
        <w:pStyle w:val="NormalWeb"/>
        <w:spacing w:before="0" w:beforeAutospacing="0" w:after="240" w:afterAutospacing="0" w:line="360" w:lineRule="auto"/>
        <w:rPr>
          <w:i/>
          <w:iCs/>
        </w:rPr>
      </w:pPr>
      <w:r w:rsidRPr="00B46579">
        <w:rPr>
          <w:i/>
          <w:iCs/>
        </w:rPr>
        <w:t>DHL (2024) Global Logistics - International Shipping | DHL Home |, DHL. Available at: https://www.dhl.com/gb-en/home.html.</w:t>
      </w:r>
    </w:p>
    <w:p w14:paraId="5187B6F4"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Fernie, J. (2009) Logistics and Retail Management [electronic resource]. Kogan Page Limited.</w:t>
      </w:r>
    </w:p>
    <w:p w14:paraId="5E829045"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Hesse, M. and Rodrigue, J.-P. (2004) ‘The Transport Geography of Logistics and Freight Distribution’, Journal of Transport Geography, 12(3), pp. 171–184. Available at: </w:t>
      </w:r>
      <w:hyperlink r:id="rId9" w:history="1">
        <w:r w:rsidRPr="00B46579">
          <w:rPr>
            <w:rStyle w:val="Hyperlink"/>
            <w:rFonts w:ascii="Times New Roman" w:hAnsi="Times New Roman" w:cs="Times New Roman"/>
            <w:i/>
            <w:iCs/>
            <w:sz w:val="24"/>
            <w:szCs w:val="24"/>
          </w:rPr>
          <w:t>https://doi.org/10.1016/j.jtrangeo.2003.12.004</w:t>
        </w:r>
      </w:hyperlink>
      <w:r w:rsidRPr="00B46579">
        <w:rPr>
          <w:rFonts w:ascii="Times New Roman" w:hAnsi="Times New Roman" w:cs="Times New Roman"/>
          <w:i/>
          <w:iCs/>
          <w:sz w:val="24"/>
          <w:szCs w:val="24"/>
        </w:rPr>
        <w:t>.</w:t>
      </w:r>
    </w:p>
    <w:p w14:paraId="51E59AE8"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Kotler, </w:t>
      </w:r>
      <w:proofErr w:type="gramStart"/>
      <w:r w:rsidRPr="00B46579">
        <w:rPr>
          <w:rFonts w:ascii="Times New Roman" w:hAnsi="Times New Roman" w:cs="Times New Roman"/>
          <w:i/>
          <w:iCs/>
          <w:sz w:val="24"/>
          <w:szCs w:val="24"/>
        </w:rPr>
        <w:t>P.</w:t>
      </w:r>
      <w:proofErr w:type="gramEnd"/>
      <w:r w:rsidRPr="00B46579">
        <w:rPr>
          <w:rFonts w:ascii="Times New Roman" w:hAnsi="Times New Roman" w:cs="Times New Roman"/>
          <w:i/>
          <w:iCs/>
          <w:sz w:val="24"/>
          <w:szCs w:val="24"/>
        </w:rPr>
        <w:t xml:space="preserve"> and Keller, K.L. (2016) Marketing Management. 15th edn. Pearson.</w:t>
      </w:r>
    </w:p>
    <w:p w14:paraId="70748913"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Mangan, J., Lalwanis, C. and Calatayud, A. (2020) Global Logistics and Supply Chain Management. 4th edn. Wiley.</w:t>
      </w:r>
    </w:p>
    <w:p w14:paraId="41BB9317" w14:textId="7119585E"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Mckinnon, A.C. (2018) Decarbonizing </w:t>
      </w:r>
      <w:r w:rsidR="00B46579" w:rsidRPr="00B46579">
        <w:rPr>
          <w:rFonts w:ascii="Times New Roman" w:hAnsi="Times New Roman" w:cs="Times New Roman"/>
          <w:i/>
          <w:iCs/>
          <w:sz w:val="24"/>
          <w:szCs w:val="24"/>
        </w:rPr>
        <w:t>Logistics:</w:t>
      </w:r>
      <w:r w:rsidRPr="00B46579">
        <w:rPr>
          <w:rFonts w:ascii="Times New Roman" w:hAnsi="Times New Roman" w:cs="Times New Roman"/>
          <w:i/>
          <w:iCs/>
          <w:sz w:val="24"/>
          <w:szCs w:val="24"/>
        </w:rPr>
        <w:t xml:space="preserve"> Distributing Goods in a Low Carbon World. </w:t>
      </w:r>
      <w:proofErr w:type="spellStart"/>
      <w:r w:rsidRPr="00B46579">
        <w:rPr>
          <w:rFonts w:ascii="Times New Roman" w:hAnsi="Times New Roman" w:cs="Times New Roman"/>
          <w:i/>
          <w:iCs/>
          <w:sz w:val="24"/>
          <w:szCs w:val="24"/>
        </w:rPr>
        <w:t>Koganpage</w:t>
      </w:r>
      <w:proofErr w:type="spellEnd"/>
      <w:r w:rsidRPr="00B46579">
        <w:rPr>
          <w:rFonts w:ascii="Times New Roman" w:hAnsi="Times New Roman" w:cs="Times New Roman"/>
          <w:i/>
          <w:iCs/>
          <w:sz w:val="24"/>
          <w:szCs w:val="24"/>
        </w:rPr>
        <w:t>.</w:t>
      </w:r>
    </w:p>
    <w:p w14:paraId="5406B67E"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Porter, M. and </w:t>
      </w:r>
      <w:proofErr w:type="spellStart"/>
      <w:r w:rsidRPr="00B46579">
        <w:rPr>
          <w:rFonts w:ascii="Times New Roman" w:hAnsi="Times New Roman" w:cs="Times New Roman"/>
          <w:i/>
          <w:iCs/>
          <w:sz w:val="24"/>
          <w:szCs w:val="24"/>
        </w:rPr>
        <w:t>Heppelmann</w:t>
      </w:r>
      <w:proofErr w:type="spellEnd"/>
      <w:r w:rsidRPr="00B46579">
        <w:rPr>
          <w:rFonts w:ascii="Times New Roman" w:hAnsi="Times New Roman" w:cs="Times New Roman"/>
          <w:i/>
          <w:iCs/>
          <w:sz w:val="24"/>
          <w:szCs w:val="24"/>
        </w:rPr>
        <w:t>, J. (2014</w:t>
      </w:r>
      <w:proofErr w:type="gramStart"/>
      <w:r w:rsidRPr="00B46579">
        <w:rPr>
          <w:rFonts w:ascii="Times New Roman" w:hAnsi="Times New Roman" w:cs="Times New Roman"/>
          <w:i/>
          <w:iCs/>
          <w:sz w:val="24"/>
          <w:szCs w:val="24"/>
        </w:rPr>
        <w:t>)  How</w:t>
      </w:r>
      <w:proofErr w:type="gramEnd"/>
      <w:r w:rsidRPr="00B46579">
        <w:rPr>
          <w:rFonts w:ascii="Times New Roman" w:hAnsi="Times New Roman" w:cs="Times New Roman"/>
          <w:i/>
          <w:iCs/>
          <w:sz w:val="24"/>
          <w:szCs w:val="24"/>
        </w:rPr>
        <w:t xml:space="preserve"> Smart, Connected Products Are Transforming Competition. Available at: </w:t>
      </w:r>
      <w:hyperlink r:id="rId10" w:history="1">
        <w:r w:rsidRPr="00B46579">
          <w:rPr>
            <w:rStyle w:val="Hyperlink"/>
            <w:rFonts w:ascii="Times New Roman" w:hAnsi="Times New Roman" w:cs="Times New Roman"/>
            <w:i/>
            <w:iCs/>
            <w:sz w:val="24"/>
            <w:szCs w:val="24"/>
          </w:rPr>
          <w:t>https://moodle2.units.it/pluginfile.php/727297/mod_resource/content/1/How-smart-connected-products-are-transforming-competition.pdf</w:t>
        </w:r>
      </w:hyperlink>
      <w:r w:rsidRPr="00B46579">
        <w:rPr>
          <w:rFonts w:ascii="Times New Roman" w:hAnsi="Times New Roman" w:cs="Times New Roman"/>
          <w:i/>
          <w:iCs/>
          <w:sz w:val="24"/>
          <w:szCs w:val="24"/>
        </w:rPr>
        <w:t>.</w:t>
      </w:r>
    </w:p>
    <w:p w14:paraId="2093D126"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Porter, M.E. (1985) Competitive Advantage. Free Press.</w:t>
      </w:r>
    </w:p>
    <w:p w14:paraId="556B9D13" w14:textId="32062A42" w:rsidR="00CB49F9" w:rsidRPr="00862FBD" w:rsidRDefault="003618A7" w:rsidP="00862FBD">
      <w:pPr>
        <w:widowControl w:val="0"/>
        <w:autoSpaceDE w:val="0"/>
        <w:autoSpaceDN w:val="0"/>
        <w:adjustRightInd w:val="0"/>
        <w:spacing w:after="240" w:line="360" w:lineRule="auto"/>
        <w:rPr>
          <w:rFonts w:ascii="Times New Roman" w:hAnsi="Times New Roman" w:cs="Times New Roman"/>
          <w:i/>
          <w:iCs/>
          <w:sz w:val="24"/>
          <w:szCs w:val="24"/>
        </w:rPr>
      </w:pPr>
      <w:proofErr w:type="spellStart"/>
      <w:r w:rsidRPr="00B46579">
        <w:rPr>
          <w:rFonts w:ascii="Times New Roman" w:hAnsi="Times New Roman" w:cs="Times New Roman"/>
          <w:i/>
          <w:iCs/>
          <w:sz w:val="24"/>
          <w:szCs w:val="24"/>
        </w:rPr>
        <w:t>Wensveen</w:t>
      </w:r>
      <w:proofErr w:type="spellEnd"/>
      <w:r w:rsidRPr="00B46579">
        <w:rPr>
          <w:rFonts w:ascii="Times New Roman" w:hAnsi="Times New Roman" w:cs="Times New Roman"/>
          <w:i/>
          <w:iCs/>
          <w:sz w:val="24"/>
          <w:szCs w:val="24"/>
        </w:rPr>
        <w:t xml:space="preserve">, J.G. (2018) Air </w:t>
      </w:r>
      <w:r w:rsidR="00B46579" w:rsidRPr="00B46579">
        <w:rPr>
          <w:rFonts w:ascii="Times New Roman" w:hAnsi="Times New Roman" w:cs="Times New Roman"/>
          <w:i/>
          <w:iCs/>
          <w:sz w:val="24"/>
          <w:szCs w:val="24"/>
        </w:rPr>
        <w:t>Transportation:</w:t>
      </w:r>
      <w:r w:rsidRPr="00B46579">
        <w:rPr>
          <w:rFonts w:ascii="Times New Roman" w:hAnsi="Times New Roman" w:cs="Times New Roman"/>
          <w:i/>
          <w:iCs/>
          <w:sz w:val="24"/>
          <w:szCs w:val="24"/>
        </w:rPr>
        <w:t xml:space="preserve"> </w:t>
      </w:r>
      <w:proofErr w:type="gramStart"/>
      <w:r w:rsidRPr="00B46579">
        <w:rPr>
          <w:rFonts w:ascii="Times New Roman" w:hAnsi="Times New Roman" w:cs="Times New Roman"/>
          <w:i/>
          <w:iCs/>
          <w:sz w:val="24"/>
          <w:szCs w:val="24"/>
        </w:rPr>
        <w:t>a</w:t>
      </w:r>
      <w:proofErr w:type="gramEnd"/>
      <w:r w:rsidRPr="00B46579">
        <w:rPr>
          <w:rFonts w:ascii="Times New Roman" w:hAnsi="Times New Roman" w:cs="Times New Roman"/>
          <w:i/>
          <w:iCs/>
          <w:sz w:val="24"/>
          <w:szCs w:val="24"/>
        </w:rPr>
        <w:t xml:space="preserve"> Management Perspective. Taylor and </w:t>
      </w:r>
      <w:r w:rsidRPr="00B46579">
        <w:rPr>
          <w:rFonts w:ascii="Times New Roman" w:hAnsi="Times New Roman" w:cs="Times New Roman"/>
          <w:i/>
          <w:iCs/>
          <w:sz w:val="24"/>
          <w:szCs w:val="24"/>
        </w:rPr>
        <w:lastRenderedPageBreak/>
        <w:t>Francis.</w:t>
      </w:r>
    </w:p>
    <w:sectPr w:rsidR="00CB49F9" w:rsidRPr="00862FBD" w:rsidSect="00034616">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DFB54" w14:textId="77777777" w:rsidR="003E2960" w:rsidRDefault="003E2960" w:rsidP="00B46579">
      <w:pPr>
        <w:spacing w:after="0" w:line="240" w:lineRule="auto"/>
      </w:pPr>
      <w:r>
        <w:separator/>
      </w:r>
    </w:p>
  </w:endnote>
  <w:endnote w:type="continuationSeparator" w:id="0">
    <w:p w14:paraId="1DC676D8" w14:textId="77777777" w:rsidR="003E2960" w:rsidRDefault="003E2960" w:rsidP="00B46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AF4E32" w14:textId="77777777" w:rsidR="00B46579" w:rsidRPr="00B46579" w:rsidRDefault="00B46579">
    <w:pPr>
      <w:pStyle w:val="Footer"/>
      <w:tabs>
        <w:tab w:val="clear" w:pos="4680"/>
        <w:tab w:val="clear" w:pos="9360"/>
      </w:tabs>
      <w:jc w:val="center"/>
      <w:rPr>
        <w:caps/>
        <w:noProof/>
      </w:rPr>
    </w:pPr>
    <w:r w:rsidRPr="00B46579">
      <w:rPr>
        <w:caps/>
      </w:rPr>
      <w:fldChar w:fldCharType="begin"/>
    </w:r>
    <w:r w:rsidRPr="00B46579">
      <w:rPr>
        <w:caps/>
      </w:rPr>
      <w:instrText xml:space="preserve"> PAGE   \* MERGEFORMAT </w:instrText>
    </w:r>
    <w:r w:rsidRPr="00B46579">
      <w:rPr>
        <w:caps/>
      </w:rPr>
      <w:fldChar w:fldCharType="separate"/>
    </w:r>
    <w:r w:rsidRPr="00B46579">
      <w:rPr>
        <w:caps/>
        <w:noProof/>
      </w:rPr>
      <w:t>2</w:t>
    </w:r>
    <w:r w:rsidRPr="00B46579">
      <w:rPr>
        <w:caps/>
        <w:noProof/>
      </w:rPr>
      <w:fldChar w:fldCharType="end"/>
    </w:r>
  </w:p>
  <w:p w14:paraId="6EFBFFB1" w14:textId="77777777" w:rsidR="00B46579" w:rsidRDefault="00B46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6506DE" w14:textId="77777777" w:rsidR="003E2960" w:rsidRDefault="003E2960" w:rsidP="00B46579">
      <w:pPr>
        <w:spacing w:after="0" w:line="240" w:lineRule="auto"/>
      </w:pPr>
      <w:r>
        <w:separator/>
      </w:r>
    </w:p>
  </w:footnote>
  <w:footnote w:type="continuationSeparator" w:id="0">
    <w:p w14:paraId="28412208" w14:textId="77777777" w:rsidR="003E2960" w:rsidRDefault="003E2960" w:rsidP="00B465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6323867">
    <w:abstractNumId w:val="8"/>
  </w:num>
  <w:num w:numId="2" w16cid:durableId="1187520252">
    <w:abstractNumId w:val="6"/>
  </w:num>
  <w:num w:numId="3" w16cid:durableId="690181015">
    <w:abstractNumId w:val="5"/>
  </w:num>
  <w:num w:numId="4" w16cid:durableId="270825774">
    <w:abstractNumId w:val="4"/>
  </w:num>
  <w:num w:numId="5" w16cid:durableId="1464302164">
    <w:abstractNumId w:val="7"/>
  </w:num>
  <w:num w:numId="6" w16cid:durableId="1469668528">
    <w:abstractNumId w:val="3"/>
  </w:num>
  <w:num w:numId="7" w16cid:durableId="1803229686">
    <w:abstractNumId w:val="2"/>
  </w:num>
  <w:num w:numId="8" w16cid:durableId="1098989444">
    <w:abstractNumId w:val="1"/>
  </w:num>
  <w:num w:numId="9" w16cid:durableId="901141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618A7"/>
    <w:rsid w:val="003E2960"/>
    <w:rsid w:val="00406C77"/>
    <w:rsid w:val="006D78BF"/>
    <w:rsid w:val="008563A7"/>
    <w:rsid w:val="00862FBD"/>
    <w:rsid w:val="00864240"/>
    <w:rsid w:val="008B0F48"/>
    <w:rsid w:val="00AA1D8D"/>
    <w:rsid w:val="00B46579"/>
    <w:rsid w:val="00B47730"/>
    <w:rsid w:val="00BB15CF"/>
    <w:rsid w:val="00CB0664"/>
    <w:rsid w:val="00CB49F9"/>
    <w:rsid w:val="00DE5C6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AA7C597"/>
  <w14:defaultImageDpi w14:val="300"/>
  <w15:docId w15:val="{EE7CFD71-9AE5-476E-8F9B-B9A6C0983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Revision">
    <w:name w:val="Revision"/>
    <w:hidden/>
    <w:uiPriority w:val="99"/>
    <w:semiHidden/>
    <w:rsid w:val="006D78BF"/>
    <w:pPr>
      <w:spacing w:after="0" w:line="240" w:lineRule="auto"/>
    </w:pPr>
  </w:style>
  <w:style w:type="character" w:styleId="Hyperlink">
    <w:name w:val="Hyperlink"/>
    <w:basedOn w:val="DefaultParagraphFont"/>
    <w:uiPriority w:val="99"/>
    <w:unhideWhenUsed/>
    <w:rsid w:val="003618A7"/>
    <w:rPr>
      <w:color w:val="0000FF" w:themeColor="hyperlink"/>
      <w:u w:val="single"/>
    </w:rPr>
  </w:style>
  <w:style w:type="paragraph" w:styleId="NormalWeb">
    <w:name w:val="Normal (Web)"/>
    <w:basedOn w:val="Normal"/>
    <w:uiPriority w:val="99"/>
    <w:unhideWhenUsed/>
    <w:rsid w:val="0086424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862FBD"/>
    <w:pPr>
      <w:spacing w:after="100"/>
    </w:pPr>
  </w:style>
  <w:style w:type="paragraph" w:styleId="TOC2">
    <w:name w:val="toc 2"/>
    <w:basedOn w:val="Normal"/>
    <w:next w:val="Normal"/>
    <w:autoRedefine/>
    <w:uiPriority w:val="39"/>
    <w:unhideWhenUsed/>
    <w:rsid w:val="00862F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78512">
      <w:bodyDiv w:val="1"/>
      <w:marLeft w:val="0"/>
      <w:marRight w:val="0"/>
      <w:marTop w:val="0"/>
      <w:marBottom w:val="0"/>
      <w:divBdr>
        <w:top w:val="none" w:sz="0" w:space="0" w:color="auto"/>
        <w:left w:val="none" w:sz="0" w:space="0" w:color="auto"/>
        <w:bottom w:val="none" w:sz="0" w:space="0" w:color="auto"/>
        <w:right w:val="none" w:sz="0" w:space="0" w:color="auto"/>
      </w:divBdr>
    </w:div>
    <w:div w:id="732656289">
      <w:bodyDiv w:val="1"/>
      <w:marLeft w:val="0"/>
      <w:marRight w:val="0"/>
      <w:marTop w:val="0"/>
      <w:marBottom w:val="0"/>
      <w:divBdr>
        <w:top w:val="none" w:sz="0" w:space="0" w:color="auto"/>
        <w:left w:val="none" w:sz="0" w:space="0" w:color="auto"/>
        <w:bottom w:val="none" w:sz="0" w:space="0" w:color="auto"/>
        <w:right w:val="none" w:sz="0" w:space="0" w:color="auto"/>
      </w:divBdr>
    </w:div>
    <w:div w:id="1759255769">
      <w:bodyDiv w:val="1"/>
      <w:marLeft w:val="0"/>
      <w:marRight w:val="0"/>
      <w:marTop w:val="0"/>
      <w:marBottom w:val="0"/>
      <w:divBdr>
        <w:top w:val="none" w:sz="0" w:space="0" w:color="auto"/>
        <w:left w:val="none" w:sz="0" w:space="0" w:color="auto"/>
        <w:bottom w:val="none" w:sz="0" w:space="0" w:color="auto"/>
        <w:right w:val="none" w:sz="0" w:space="0" w:color="auto"/>
      </w:divBdr>
      <w:divsChild>
        <w:div w:id="313873770">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oodle2.units.it/pluginfile.php/727297/mod_resource/content/1/How-smart-connected-products-are-transforming-competition.pdf" TargetMode="External"/><Relationship Id="rId4" Type="http://schemas.openxmlformats.org/officeDocument/2006/relationships/settings" Target="settings.xml"/><Relationship Id="rId9" Type="http://schemas.openxmlformats.org/officeDocument/2006/relationships/hyperlink" Target="https://doi.org/10.1016/j.jtrangeo.2003.1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873D10-30FD-48CE-A118-D6866FC84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1733</Words>
  <Characters>9881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Corneliu Bogdan Dan (2310378)</cp:lastModifiedBy>
  <cp:revision>7</cp:revision>
  <dcterms:created xsi:type="dcterms:W3CDTF">2013-12-23T23:15:00Z</dcterms:created>
  <dcterms:modified xsi:type="dcterms:W3CDTF">2025-10-12T12:14:00Z</dcterms:modified>
  <cp:category/>
</cp:coreProperties>
</file>