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DA811E" w14:textId="77777777" w:rsidR="0064385D" w:rsidRPr="0064385D" w:rsidRDefault="0064385D" w:rsidP="0064385D">
      <w:pPr>
        <w:pStyle w:val="NormalWeb"/>
        <w:spacing w:before="0" w:beforeAutospacing="0" w:after="0" w:afterAutospacing="0" w:line="480" w:lineRule="auto"/>
        <w:jc w:val="center"/>
        <w:rPr>
          <w:sz w:val="22"/>
          <w:szCs w:val="22"/>
        </w:rPr>
      </w:pPr>
      <w:bookmarkStart w:id="0" w:name="_Hlk23721154"/>
      <w:bookmarkStart w:id="1" w:name="_Hlk23788265"/>
      <w:r>
        <w:rPr>
          <w:color w:val="1C1E29"/>
        </w:rPr>
        <w:t>Cr</w:t>
      </w:r>
      <w:r w:rsidRPr="0064385D">
        <w:rPr>
          <w:sz w:val="22"/>
          <w:szCs w:val="22"/>
        </w:rPr>
        <w:t>itically evaluate whether the Brexit vote was influenced by intergroup attitudes</w:t>
      </w:r>
    </w:p>
    <w:p w14:paraId="76982E51" w14:textId="306D1BBC" w:rsidR="0064385D" w:rsidRPr="0064385D" w:rsidRDefault="0064385D" w:rsidP="0064385D">
      <w:pPr>
        <w:pStyle w:val="NormalWeb"/>
        <w:spacing w:before="0" w:beforeAutospacing="0" w:after="0" w:afterAutospacing="0" w:line="480" w:lineRule="auto"/>
        <w:ind w:firstLine="720"/>
        <w:rPr>
          <w:sz w:val="22"/>
          <w:szCs w:val="22"/>
        </w:rPr>
      </w:pPr>
      <w:r w:rsidRPr="0064385D">
        <w:rPr>
          <w:sz w:val="22"/>
          <w:szCs w:val="22"/>
        </w:rPr>
        <w:t>In June 2016 a referendum was held in the U.K, at the time, the question was put to the public asking; ‘Should the United Kingdom remain a member of the European Union or leave the European Union?’. The result when counted was said to be unexpected by the majority, yet, majority of voters opted to leave (Crescenzi et al, 2018) Out of the sum of registered voters, 72.2% took to the polls to have their say. The outcome of which was recorded as 48% voting to remain and 52% voting to leave (Alabrese et al., 2019). Many interpreted the outcome with one reason or another, including the roles of socioeconomic status (Sampson, 2017), Relative deprivation theory (RDT; Pettigrew et al, 2008), migrants (Goodwin et al, 2017), egalitarian or authoritarian attitudes and, Intergroup threat theory ( ITT; Stephen &amp; Stephen, 2017), implicit and explicit prejudices (Hutchings &amp; Sullivan, 2019) and personality traits links to political views ( Duckitt et al. 2007.;</w:t>
      </w:r>
      <w:hyperlink r:id="rId6" w:anchor="bb0045" w:tgtFrame="_blank" w:history="1">
        <w:r w:rsidRPr="0064385D">
          <w:rPr>
            <w:rStyle w:val="Hyperlink"/>
            <w:color w:val="auto"/>
            <w:sz w:val="22"/>
            <w:szCs w:val="22"/>
            <w:u w:val="none"/>
          </w:rPr>
          <w:t>Chirumbolo &amp; Leone, 2010</w:t>
        </w:r>
      </w:hyperlink>
      <w:r w:rsidRPr="0064385D">
        <w:rPr>
          <w:sz w:val="22"/>
          <w:szCs w:val="22"/>
        </w:rPr>
        <w:t>.; </w:t>
      </w:r>
      <w:hyperlink r:id="rId7" w:anchor="bb0170" w:tgtFrame="_blank" w:history="1">
        <w:r w:rsidRPr="0064385D">
          <w:rPr>
            <w:rStyle w:val="Hyperlink"/>
            <w:color w:val="auto"/>
            <w:sz w:val="22"/>
            <w:szCs w:val="22"/>
            <w:u w:val="none"/>
          </w:rPr>
          <w:t>Schoen &amp; Schumann, 2007</w:t>
        </w:r>
      </w:hyperlink>
      <w:r w:rsidRPr="0064385D">
        <w:rPr>
          <w:sz w:val="22"/>
          <w:szCs w:val="22"/>
        </w:rPr>
        <w:t xml:space="preserve">.; Aichholzer &amp; Zandonella, 2016). Leaving the floor open as a multi-faced interlinked reservoir of findings, although, the predictability power of these finding is supported empirically. In the wake of the statistical facts of the outcome drawing on theoretically </w:t>
      </w:r>
      <w:r w:rsidR="00A65B0C" w:rsidRPr="0064385D">
        <w:rPr>
          <w:sz w:val="22"/>
          <w:szCs w:val="22"/>
        </w:rPr>
        <w:t>supported</w:t>
      </w:r>
      <w:r w:rsidRPr="0064385D">
        <w:rPr>
          <w:sz w:val="22"/>
          <w:szCs w:val="22"/>
        </w:rPr>
        <w:t xml:space="preserve"> empirical research to </w:t>
      </w:r>
      <w:r w:rsidR="00A65B0C" w:rsidRPr="0064385D">
        <w:rPr>
          <w:sz w:val="22"/>
          <w:szCs w:val="22"/>
        </w:rPr>
        <w:t>identify</w:t>
      </w:r>
      <w:r w:rsidRPr="0064385D">
        <w:rPr>
          <w:sz w:val="22"/>
          <w:szCs w:val="22"/>
        </w:rPr>
        <w:t xml:space="preserve"> evidence </w:t>
      </w:r>
      <w:r w:rsidR="0082557B" w:rsidRPr="0064385D">
        <w:rPr>
          <w:sz w:val="22"/>
          <w:szCs w:val="22"/>
        </w:rPr>
        <w:t>involving</w:t>
      </w:r>
      <w:r w:rsidRPr="0064385D">
        <w:rPr>
          <w:sz w:val="22"/>
          <w:szCs w:val="22"/>
        </w:rPr>
        <w:t xml:space="preserve"> societal attitudes, self and group motivations and goals around the time of the referendum that influenced peoples voting decisions is important. Many studies have argued the psychological and societal factors that influenced the voting outcome. At an individual and global level prejudice and discrimination is suggested to have had an impact throughout the empirical literature with the reasons for voting to leave the E.U suggested to be driven by migration, economics, sovereignty (Alabrese et al., 2019). This essay will critically evaluate some psychological and socially dominant theories of intergroup attitudes and research findings of how they could have been a possible influence when considering the voting outcome.</w:t>
      </w:r>
    </w:p>
    <w:p w14:paraId="4735D223" w14:textId="77777777" w:rsidR="0064385D" w:rsidRPr="0064385D" w:rsidRDefault="0064385D" w:rsidP="0064385D">
      <w:pPr>
        <w:pStyle w:val="NormalWeb"/>
        <w:spacing w:before="0" w:beforeAutospacing="0" w:after="0" w:afterAutospacing="0" w:line="480" w:lineRule="auto"/>
        <w:ind w:firstLine="720"/>
        <w:rPr>
          <w:sz w:val="22"/>
          <w:szCs w:val="22"/>
        </w:rPr>
      </w:pPr>
      <w:r w:rsidRPr="0064385D">
        <w:rPr>
          <w:sz w:val="22"/>
          <w:szCs w:val="22"/>
        </w:rPr>
        <w:t>Evaluations of the statistical demographics of those who held the majority vote was found to be largely made up of individuals coming from low opportunities areas where average incomes were 20,000 pounds or less annually, low levels of education and skill, the elderly and persons categorised as young adults with individuals at the opposite ends voting to remain (Goodwin &amp; Heath, 2016).  </w:t>
      </w:r>
    </w:p>
    <w:p w14:paraId="76CB542A" w14:textId="77777777" w:rsidR="0064385D" w:rsidRPr="0064385D" w:rsidRDefault="0064385D" w:rsidP="0064385D">
      <w:pPr>
        <w:pStyle w:val="NormalWeb"/>
        <w:spacing w:before="0" w:beforeAutospacing="0" w:after="0" w:afterAutospacing="0" w:line="480" w:lineRule="auto"/>
        <w:rPr>
          <w:sz w:val="22"/>
          <w:szCs w:val="22"/>
        </w:rPr>
      </w:pPr>
      <w:r w:rsidRPr="0064385D">
        <w:rPr>
          <w:sz w:val="22"/>
          <w:szCs w:val="22"/>
        </w:rPr>
        <w:lastRenderedPageBreak/>
        <w:t>Between 2011 and 2014 almost one-third of the U. K’s population experienced relative poverty at least once with older individuals, uneducated individuals, women and single-person households most likely to be affected (Goodwin &amp; Heath,2016). Areas of decline, such as Stoke on Trent and Doncaster among others, which were experiencing population decrease, deprivation and poverty are suggested to have influenced the voting outcome (Joseph Rowntree Foundation, 2016). Research examining data at the aggregate level shows areas with characteristics of being worse of then other areas across the U.K were more likely to show support to leave the E.U then areas that were seen as thriving in comparison (Goodwin &amp; Heath, 2016).</w:t>
      </w:r>
    </w:p>
    <w:p w14:paraId="7168CC16" w14:textId="2EE13EA0" w:rsidR="0064385D" w:rsidRPr="0064385D" w:rsidRDefault="0064385D" w:rsidP="0064385D">
      <w:pPr>
        <w:pStyle w:val="NormalWeb"/>
        <w:spacing w:before="0" w:beforeAutospacing="0" w:after="0" w:afterAutospacing="0" w:line="480" w:lineRule="auto"/>
        <w:ind w:firstLine="720"/>
        <w:rPr>
          <w:sz w:val="22"/>
          <w:szCs w:val="22"/>
        </w:rPr>
      </w:pPr>
      <w:r w:rsidRPr="0064385D">
        <w:rPr>
          <w:sz w:val="22"/>
          <w:szCs w:val="22"/>
        </w:rPr>
        <w:t>The role that Relative deprivation (RDT) plays in these areas allows psychologists to measure an objective comparison between the individuals or groups situation compared to wider society. Research investigating relative deprivation allows for a description of individual or group feelings, attitudes and behaviour towards other individuals or groups in wider society (Walker &amp; Smith, 2002). Relative Deprivation Theory (RTD; Pettigrew et al., 2008),</w:t>
      </w:r>
      <w:r w:rsidR="0082557B">
        <w:rPr>
          <w:sz w:val="22"/>
          <w:szCs w:val="22"/>
        </w:rPr>
        <w:t xml:space="preserve"> argues</w:t>
      </w:r>
      <w:r w:rsidRPr="0064385D">
        <w:rPr>
          <w:sz w:val="22"/>
          <w:szCs w:val="22"/>
        </w:rPr>
        <w:t xml:space="preserve"> </w:t>
      </w:r>
      <w:r w:rsidR="0082557B">
        <w:rPr>
          <w:sz w:val="22"/>
          <w:szCs w:val="22"/>
        </w:rPr>
        <w:t xml:space="preserve">that </w:t>
      </w:r>
      <w:r w:rsidRPr="0064385D">
        <w:rPr>
          <w:sz w:val="22"/>
          <w:szCs w:val="22"/>
        </w:rPr>
        <w:t>individuals or groups that see themselves as being deprived of resources or amenities deemed valuable in society or accepted as social norms, that they believe they are entitled to, compared to other relevant members or groups causes discontentment (Runciman, 2018).</w:t>
      </w:r>
    </w:p>
    <w:p w14:paraId="5C6A5982" w14:textId="05E818DF" w:rsidR="0064385D" w:rsidRPr="0064385D" w:rsidRDefault="0064385D" w:rsidP="0064385D">
      <w:pPr>
        <w:pStyle w:val="NormalWeb"/>
        <w:spacing w:before="0" w:beforeAutospacing="0" w:after="0" w:afterAutospacing="0" w:line="480" w:lineRule="auto"/>
        <w:rPr>
          <w:sz w:val="22"/>
          <w:szCs w:val="22"/>
        </w:rPr>
      </w:pPr>
      <w:r w:rsidRPr="0064385D">
        <w:rPr>
          <w:sz w:val="22"/>
          <w:szCs w:val="22"/>
        </w:rPr>
        <w:t> </w:t>
      </w:r>
      <w:r>
        <w:rPr>
          <w:sz w:val="22"/>
          <w:szCs w:val="22"/>
        </w:rPr>
        <w:tab/>
      </w:r>
      <w:r w:rsidRPr="0064385D">
        <w:rPr>
          <w:sz w:val="22"/>
          <w:szCs w:val="22"/>
        </w:rPr>
        <w:t>A recent investigation which was conducted systematically across 20 European countries, analysing the relationship between group relative deprivation and ethnic threat validates a significant link between group relative deprivation (GRD) and an ethic threat both at an individual level and a global level. They offered a multilevel structural equation model with the results suggesting that group relative deprivation was an important factor in arbitrating between social structural positions and perceived threat. They also argue that GRD fully mediates the connection between contextual economic indicators and ethnic threat (See, for example, Meuleman, et al., 2018).  </w:t>
      </w:r>
    </w:p>
    <w:p w14:paraId="76F8B141" w14:textId="167BCF5E" w:rsidR="0064385D" w:rsidRPr="0064385D" w:rsidRDefault="0064385D" w:rsidP="0064385D">
      <w:pPr>
        <w:pStyle w:val="NormalWeb"/>
        <w:spacing w:before="0" w:beforeAutospacing="0" w:after="0" w:afterAutospacing="0" w:line="480" w:lineRule="auto"/>
        <w:rPr>
          <w:sz w:val="22"/>
          <w:szCs w:val="22"/>
        </w:rPr>
      </w:pPr>
      <w:r w:rsidRPr="0064385D">
        <w:rPr>
          <w:sz w:val="22"/>
          <w:szCs w:val="22"/>
        </w:rPr>
        <w:t>Group deprivation theory is also a significant explanation of how social movements come about and has been linked to voting behaviours, especially regarding voting for the Far-right (Urbanska et al, 2018). Furthermore, concerning social structure, support for radical right party governing bodies such as UK-EU Independence Party (UKIP) looks dominant amongst the lower opportunities communities including those discussed above (</w:t>
      </w:r>
      <w:hyperlink r:id="rId8" w:anchor="bb0125" w:tgtFrame="_blank" w:history="1">
        <w:r w:rsidRPr="0064385D">
          <w:rPr>
            <w:rStyle w:val="Hyperlink"/>
            <w:color w:val="auto"/>
            <w:sz w:val="22"/>
            <w:szCs w:val="22"/>
            <w:u w:val="none"/>
          </w:rPr>
          <w:t>Lubbers et al., 2002</w:t>
        </w:r>
      </w:hyperlink>
      <w:r w:rsidRPr="0064385D">
        <w:rPr>
          <w:sz w:val="22"/>
          <w:szCs w:val="22"/>
        </w:rPr>
        <w:t>.; </w:t>
      </w:r>
      <w:hyperlink r:id="rId9" w:anchor="bb0140" w:tgtFrame="_blank" w:history="1">
        <w:r w:rsidRPr="0064385D">
          <w:rPr>
            <w:rStyle w:val="Hyperlink"/>
            <w:color w:val="auto"/>
            <w:sz w:val="22"/>
            <w:szCs w:val="22"/>
            <w:u w:val="none"/>
          </w:rPr>
          <w:t>Oesch, 2008</w:t>
        </w:r>
      </w:hyperlink>
      <w:r w:rsidRPr="0064385D">
        <w:rPr>
          <w:sz w:val="22"/>
          <w:szCs w:val="22"/>
        </w:rPr>
        <w:t>.; </w:t>
      </w:r>
      <w:hyperlink r:id="rId10" w:anchor="bb0165" w:tgtFrame="_blank" w:history="1">
        <w:r w:rsidRPr="0064385D">
          <w:rPr>
            <w:rStyle w:val="Hyperlink"/>
            <w:color w:val="auto"/>
            <w:sz w:val="22"/>
            <w:szCs w:val="22"/>
            <w:u w:val="none"/>
          </w:rPr>
          <w:t>Rydgren, 2007</w:t>
        </w:r>
      </w:hyperlink>
      <w:r w:rsidRPr="0064385D">
        <w:rPr>
          <w:sz w:val="22"/>
          <w:szCs w:val="22"/>
        </w:rPr>
        <w:t xml:space="preserve">). Additionally, </w:t>
      </w:r>
      <w:r w:rsidRPr="0064385D">
        <w:rPr>
          <w:sz w:val="22"/>
          <w:szCs w:val="22"/>
        </w:rPr>
        <w:lastRenderedPageBreak/>
        <w:t xml:space="preserve">policies which favour issues, such as anti-immigration or EU-scepticism, </w:t>
      </w:r>
      <w:r w:rsidR="0082557B">
        <w:rPr>
          <w:sz w:val="22"/>
          <w:szCs w:val="22"/>
        </w:rPr>
        <w:t>show</w:t>
      </w:r>
      <w:r w:rsidRPr="0064385D">
        <w:rPr>
          <w:sz w:val="22"/>
          <w:szCs w:val="22"/>
        </w:rPr>
        <w:t xml:space="preserve"> support from RRP voters (</w:t>
      </w:r>
      <w:hyperlink r:id="rId11" w:anchor="bb0010" w:tgtFrame="_blank" w:history="1">
        <w:r w:rsidRPr="0064385D">
          <w:rPr>
            <w:rStyle w:val="Hyperlink"/>
            <w:color w:val="auto"/>
            <w:sz w:val="22"/>
            <w:szCs w:val="22"/>
            <w:u w:val="none"/>
          </w:rPr>
          <w:t>Aichholzer et al., 2014</w:t>
        </w:r>
      </w:hyperlink>
      <w:r w:rsidRPr="0064385D">
        <w:rPr>
          <w:sz w:val="22"/>
          <w:szCs w:val="22"/>
        </w:rPr>
        <w:t>.; </w:t>
      </w:r>
      <w:hyperlink r:id="rId12" w:anchor="bb0095" w:tgtFrame="_blank" w:history="1">
        <w:r w:rsidRPr="0064385D">
          <w:rPr>
            <w:rStyle w:val="Hyperlink"/>
            <w:color w:val="auto"/>
            <w:sz w:val="22"/>
            <w:szCs w:val="22"/>
            <w:u w:val="none"/>
          </w:rPr>
          <w:t>Ivarsflaten, 2008</w:t>
        </w:r>
      </w:hyperlink>
      <w:r w:rsidRPr="0064385D">
        <w:rPr>
          <w:sz w:val="22"/>
          <w:szCs w:val="22"/>
        </w:rPr>
        <w:t>.; </w:t>
      </w:r>
      <w:hyperlink r:id="rId13" w:anchor="bb0190" w:tgtFrame="_blank" w:history="1">
        <w:r w:rsidRPr="0064385D">
          <w:rPr>
            <w:rStyle w:val="Hyperlink"/>
            <w:color w:val="auto"/>
            <w:sz w:val="22"/>
            <w:szCs w:val="22"/>
            <w:u w:val="none"/>
          </w:rPr>
          <w:t>Van der Brug and Fennema, 2007</w:t>
        </w:r>
      </w:hyperlink>
      <w:r w:rsidRPr="0064385D">
        <w:rPr>
          <w:sz w:val="22"/>
          <w:szCs w:val="22"/>
        </w:rPr>
        <w:t>). However, better-off groups in society where less likely to show support for right-wing parties (Sue et al., 2019). Concisely, a national survey by YouGov found that the spectrum of public support for either right-wing or left-wing politics is poorly understood and that a large amount of the public does not hold a stable left- or right-wing attitude (Sue et al., 2019). Moreover, Deprivation theory neglects to describe why in some cases deprivation fails to cause the rise of a social movement. Critics suggest that deprivation may be a necessary condition for the rise of a social movement but not the only mediating factor and other factors, such as individuals motivations, are overlooked by the research (Sen &amp; Avci, 2016). Finally, attitudes regarded as authoritarian or egalitarian were found to be contradictory when core political aspects were assessed with their correlation to radical right-wing party support (see </w:t>
      </w:r>
      <w:hyperlink r:id="rId14" w:anchor="bb0050" w:tgtFrame="_blank" w:history="1">
        <w:r w:rsidRPr="0064385D">
          <w:rPr>
            <w:rStyle w:val="Hyperlink"/>
            <w:color w:val="auto"/>
            <w:sz w:val="22"/>
            <w:szCs w:val="22"/>
            <w:u w:val="none"/>
          </w:rPr>
          <w:t>Cornelis &amp; Van Hiel, 2015</w:t>
        </w:r>
      </w:hyperlink>
      <w:r w:rsidRPr="0064385D">
        <w:rPr>
          <w:sz w:val="22"/>
          <w:szCs w:val="22"/>
        </w:rPr>
        <w:t>.; </w:t>
      </w:r>
      <w:hyperlink r:id="rId15" w:anchor="bb0070" w:tgtFrame="_blank" w:history="1">
        <w:r w:rsidRPr="0064385D">
          <w:rPr>
            <w:rStyle w:val="Hyperlink"/>
            <w:color w:val="auto"/>
            <w:sz w:val="22"/>
            <w:szCs w:val="22"/>
            <w:u w:val="none"/>
          </w:rPr>
          <w:t>Dunn, 2015</w:t>
        </w:r>
      </w:hyperlink>
      <w:r w:rsidRPr="0064385D">
        <w:rPr>
          <w:sz w:val="22"/>
          <w:szCs w:val="22"/>
        </w:rPr>
        <w:t>.; </w:t>
      </w:r>
      <w:hyperlink r:id="rId16" w:anchor="bb0200" w:tgtFrame="_blank" w:history="1">
        <w:r w:rsidRPr="0064385D">
          <w:rPr>
            <w:rStyle w:val="Hyperlink"/>
            <w:color w:val="auto"/>
            <w:sz w:val="22"/>
            <w:szCs w:val="22"/>
            <w:u w:val="none"/>
          </w:rPr>
          <w:t>Zandonella &amp; Zeglovits, 2</w:t>
        </w:r>
      </w:hyperlink>
      <w:r w:rsidRPr="0064385D">
        <w:rPr>
          <w:sz w:val="22"/>
          <w:szCs w:val="22"/>
        </w:rPr>
        <w:t>013).</w:t>
      </w:r>
    </w:p>
    <w:p w14:paraId="3DB5136F" w14:textId="23EF5A8D" w:rsidR="0064385D" w:rsidRPr="0064385D" w:rsidRDefault="0064385D" w:rsidP="0064385D">
      <w:pPr>
        <w:pStyle w:val="NormalWeb"/>
        <w:spacing w:before="0" w:beforeAutospacing="0" w:after="0" w:afterAutospacing="0" w:line="480" w:lineRule="auto"/>
        <w:rPr>
          <w:sz w:val="22"/>
          <w:szCs w:val="22"/>
        </w:rPr>
      </w:pPr>
      <w:r w:rsidRPr="0064385D">
        <w:rPr>
          <w:sz w:val="22"/>
          <w:szCs w:val="22"/>
        </w:rPr>
        <w:t xml:space="preserve">           Regardless, immigration was perceived to be </w:t>
      </w:r>
      <w:r w:rsidR="0082557B">
        <w:rPr>
          <w:sz w:val="22"/>
          <w:szCs w:val="22"/>
        </w:rPr>
        <w:t>a major</w:t>
      </w:r>
      <w:r w:rsidRPr="0064385D">
        <w:rPr>
          <w:sz w:val="22"/>
          <w:szCs w:val="22"/>
        </w:rPr>
        <w:t xml:space="preserve"> issue in Britain during the year the referendum was held (BES; British Election Study, 2016). According to the British Social Attitudes Survey (2016), British public opinion showed that over half of a representative sample of the British public was in favour of reducing the number of migrants entering the country (Blinder &amp; Allen, 2016.; Blekesaune &amp; Quadagno, 2003.; Reeskens &amp; Van Oorschot, 2017). Consistent research of European amalgamation suggests that, when migrants are perceived as an outgroup and a threat to the ingroups cultural values, the ingroup are more liable to support political parties portraying Euroscepticism (Curtice, 2016; de Vreese &amp; Boomgaarden, 2005; Ford &amp; Goodwin, 2014; Lubbers &amp; Jaspers, 2010). </w:t>
      </w:r>
    </w:p>
    <w:p w14:paraId="66B756DF" w14:textId="77777777" w:rsidR="0064385D" w:rsidRPr="0064385D" w:rsidRDefault="0064385D" w:rsidP="0064385D">
      <w:pPr>
        <w:pStyle w:val="NormalWeb"/>
        <w:spacing w:before="0" w:beforeAutospacing="0" w:after="0" w:afterAutospacing="0" w:line="480" w:lineRule="auto"/>
        <w:ind w:firstLine="720"/>
        <w:rPr>
          <w:sz w:val="22"/>
          <w:szCs w:val="22"/>
        </w:rPr>
      </w:pPr>
      <w:r w:rsidRPr="0064385D">
        <w:rPr>
          <w:sz w:val="22"/>
          <w:szCs w:val="22"/>
        </w:rPr>
        <w:t xml:space="preserve">Tajfel and Turner (1986) suggested that intergroup hostility arises from the benefits, including social support, a sense of belonging, acceptance and a system of roles, norms, values and beliefs to guide behaviour associated with membership and identification with the specific social group. They further argue that individuals aim to gain a positive social identity by comparison between their ingroup and applicable outgroups. If the comparison ends with an evaluation that is negative and perceived as threatening, the individuals will pursue a way to re-generate a positive social identity for their ingroup, likely, trough depreciatory attitudes of the outgroup (Dumont, &amp; Louw, 2009). The </w:t>
      </w:r>
      <w:r w:rsidRPr="0064385D">
        <w:rPr>
          <w:sz w:val="22"/>
          <w:szCs w:val="22"/>
        </w:rPr>
        <w:lastRenderedPageBreak/>
        <w:t>British Social Attitudes Survey (2016) findings suggest that the British public were predominantly apprehensive about threats to ingroup resources caused by immigration, threats to shared customs, culture and traditions of British society (In particular threats posed by Muslims) (McLaren &amp; Johnson, 2007).</w:t>
      </w:r>
    </w:p>
    <w:p w14:paraId="228CA924" w14:textId="3894E797" w:rsidR="0064385D" w:rsidRPr="0064385D" w:rsidRDefault="0064385D" w:rsidP="0064385D">
      <w:pPr>
        <w:pStyle w:val="NormalWeb"/>
        <w:spacing w:before="0" w:beforeAutospacing="0" w:after="0" w:afterAutospacing="0" w:line="480" w:lineRule="auto"/>
        <w:ind w:firstLine="720"/>
        <w:rPr>
          <w:sz w:val="22"/>
          <w:szCs w:val="22"/>
        </w:rPr>
      </w:pPr>
      <w:r w:rsidRPr="0064385D">
        <w:rPr>
          <w:sz w:val="22"/>
          <w:szCs w:val="22"/>
        </w:rPr>
        <w:t xml:space="preserve">Intergroup threat theory (ITT; Stephan &amp; Stephan, 2017) aims to describe the elements of a perceived threat that are potential causes of prejudice between social groups. The theory relates to any social group that feels threatened in some way. This could be a perceived idea that an outgroup is threatening the ingroups </w:t>
      </w:r>
      <w:r w:rsidRPr="0064385D">
        <w:rPr>
          <w:sz w:val="22"/>
          <w:szCs w:val="22"/>
        </w:rPr>
        <w:t>economic</w:t>
      </w:r>
      <w:r w:rsidRPr="0064385D">
        <w:rPr>
          <w:sz w:val="22"/>
          <w:szCs w:val="22"/>
        </w:rPr>
        <w:t xml:space="preserve"> wellbeing by taking up a lot of employment opportunities within the ingroups community leading to the ingroup feeling threatened and believing the out-group is a threat even if in reality this is not the case (Stephen et al., 2013). These threats that are perceived come in two forms, either realistic or symbolic, a realistic threat is suggested to relate to situations such as perceived threats of physical harm caused to the ingroup by the outgroup or individual to individual, and symbolic threat relates to threats which could cause damage to one's identity or the identity of a group. Further research argues the more important the individual's identity resonates within the essence of their ingroup the more likely motivated they are to see differences between their ingroup and the outgroup leading to negative stereotypes being held against the entire outgroup and discriminatory views (Uenal, 2016). Concerningly, research regarding views of Muslims as potential indicators of the voting outcome suggest a distinct aspect of anti-immigrant views in Europe were concerned with the perceived threat posed by Muslims and Islam to Western cultural values ( Azrout, et al, 2013; Schiffer &amp; Wagner, 2011; Strabac &amp; Listhaug, 2008; Swami et al, 2018). </w:t>
      </w:r>
    </w:p>
    <w:p w14:paraId="094194C9" w14:textId="77777777" w:rsidR="0064385D" w:rsidRPr="0064385D" w:rsidRDefault="0064385D" w:rsidP="0064385D">
      <w:pPr>
        <w:pStyle w:val="NormalWeb"/>
        <w:spacing w:before="0" w:beforeAutospacing="0" w:after="0" w:afterAutospacing="0" w:line="480" w:lineRule="auto"/>
        <w:ind w:firstLine="720"/>
        <w:rPr>
          <w:sz w:val="22"/>
          <w:szCs w:val="22"/>
        </w:rPr>
      </w:pPr>
      <w:r w:rsidRPr="0064385D">
        <w:rPr>
          <w:sz w:val="22"/>
          <w:szCs w:val="22"/>
        </w:rPr>
        <w:t xml:space="preserve">However, originally argued by Allport (1954) Intergroup contact hypothesis suggests that under the right conditions positive intergroup contact can reduce the levels of prejudice between ingroups and outgroups. This theory has been empirically supported recently with finding from a meta analyse of over 27 studies suggesting that overall results support Allport’s findings (Paluck et al., 2019). The right conditions are suggested to be that the ingroup member and the outgroup member are on an equal footing and pursuing Superordinate goals which increase intergroup harmony. These are seen to facilitate the reduction of prejudices between the groups (Pettigrew &amp; Tropp, 2006). On the </w:t>
      </w:r>
      <w:r w:rsidRPr="0064385D">
        <w:rPr>
          <w:sz w:val="22"/>
          <w:szCs w:val="22"/>
        </w:rPr>
        <w:lastRenderedPageBreak/>
        <w:t>other hand, intergroup competition for resources was found to cause intergroup conflict (see for example a classical study; </w:t>
      </w:r>
      <w:r w:rsidRPr="0064385D">
        <w:rPr>
          <w:rStyle w:val="Emphasis"/>
          <w:sz w:val="22"/>
          <w:szCs w:val="22"/>
        </w:rPr>
        <w:t>The Cave robbers,</w:t>
      </w:r>
      <w:r w:rsidRPr="0064385D">
        <w:rPr>
          <w:sz w:val="22"/>
          <w:szCs w:val="22"/>
        </w:rPr>
        <w:t> Sherif et al, 1966). </w:t>
      </w:r>
    </w:p>
    <w:p w14:paraId="33F59A2B" w14:textId="77777777" w:rsidR="0064385D" w:rsidRPr="0064385D" w:rsidRDefault="0064385D" w:rsidP="0064385D">
      <w:pPr>
        <w:pStyle w:val="NormalWeb"/>
        <w:spacing w:before="0" w:beforeAutospacing="0" w:after="0" w:afterAutospacing="0" w:line="480" w:lineRule="auto"/>
        <w:ind w:firstLine="720"/>
        <w:rPr>
          <w:sz w:val="22"/>
          <w:szCs w:val="22"/>
        </w:rPr>
      </w:pPr>
      <w:r w:rsidRPr="0064385D">
        <w:rPr>
          <w:sz w:val="22"/>
          <w:szCs w:val="22"/>
        </w:rPr>
        <w:t>This theory has a wide range of applications in the real world such as the workplace and educational environments concerning intergroup harmony and international sporting events, such as football, showing intergroup conflict. Concerning cultural harmony, A national survey using Multiple path analyses held in England evaluated white British majority and ethnic minority respondents from communities of differing levels of diversity found adverse direct impacts of diversity for the majority group. However, results also indicated that diversity was indirectly associated with increased trust through positive contact and lower threat levels (Schmid et al, 2014). These results indicate a real-world application of the positive impact contact with the outgroup can have on the ingroups attitudes towards them in communities where diversity is common. However, if this is the case, the Census of 2011 recorded the U.K to be the most ethnically diverse it had ever been before yet statistically and empirically the evidence suggests prejudice and discrimination between ingroups and outgroups be alive and well (McLaren &amp; Johnson, 2007; Meuleman, et al., 2018). With anti-immigrant and anti-multiculturalist views been largely associated with the voting outcome (Goodwin &amp; Heath, 2016; Hobolt, 2016). Additionally, the conditions set out by ITT are in a sense idealistic and the real world ingroups and outgroups are rarely on an equal footing within a more global societal scenario and this is largely where prejudices are harboured (Paluck et al, 2019).</w:t>
      </w:r>
    </w:p>
    <w:p w14:paraId="70283178" w14:textId="77777777" w:rsidR="0064385D" w:rsidRPr="0064385D" w:rsidRDefault="0064385D" w:rsidP="0064385D">
      <w:pPr>
        <w:pStyle w:val="NormalWeb"/>
        <w:spacing w:before="0" w:beforeAutospacing="0" w:after="0" w:afterAutospacing="0" w:line="480" w:lineRule="auto"/>
        <w:ind w:firstLine="720"/>
        <w:rPr>
          <w:sz w:val="22"/>
          <w:szCs w:val="22"/>
        </w:rPr>
      </w:pPr>
      <w:r w:rsidRPr="0064385D">
        <w:rPr>
          <w:sz w:val="22"/>
          <w:szCs w:val="22"/>
        </w:rPr>
        <w:t>Furthermore, Social dominance theory (SDT; Sidanius et al., 2003) focuses on intergroup relations and specifically how group-based social hierarchies are kept stable and maintained (Sidanius et al., 1996). According to the theory, group-based hierarchies are maintained through three intergroup behaviours, these are, institutional </w:t>
      </w:r>
      <w:hyperlink r:id="rId17" w:tgtFrame="_blank" w:history="1">
        <w:r w:rsidRPr="0064385D">
          <w:rPr>
            <w:rStyle w:val="Hyperlink"/>
            <w:color w:val="auto"/>
            <w:sz w:val="22"/>
            <w:szCs w:val="22"/>
            <w:u w:val="none"/>
          </w:rPr>
          <w:t>discrimination</w:t>
        </w:r>
      </w:hyperlink>
      <w:r w:rsidRPr="0064385D">
        <w:rPr>
          <w:sz w:val="22"/>
          <w:szCs w:val="22"/>
        </w:rPr>
        <w:t xml:space="preserve"> aggregated individual discrimination and behavioural asymmetry. These behaviours are said to be justified morally and intellectually by the groups shared cultural ideologies. These hierarchies are based on age and sex and are culturally defined (which do not necessarily exist in all societies). Arbitrary-set hierarchies can be based on ethnicity, religion and nationality. STD suggests that social pecking orders occur in societies as they are required for survival during the inter-group conflict over resources. By devising a set of beliefs, set out in scale format known as the social dominance orientation, SDT has given researchers a way </w:t>
      </w:r>
      <w:r w:rsidRPr="0064385D">
        <w:rPr>
          <w:sz w:val="22"/>
          <w:szCs w:val="22"/>
        </w:rPr>
        <w:lastRenderedPageBreak/>
        <w:t>of measuring individuals levels of discriminatory tendencies and research findings suggest correlations between the concept and individual personality traits. Duckitt and Sibley (2007) found a link between right-wing authoritarianism and social dominance orientation. Additionally, RWA and SDO were related in quenching epistemic and existential motivations, such as decreasing uncertainty and threat (</w:t>
      </w:r>
      <w:hyperlink r:id="rId18" w:anchor="bb0105" w:tgtFrame="_blank" w:history="1">
        <w:r w:rsidRPr="0064385D">
          <w:rPr>
            <w:rStyle w:val="Hyperlink"/>
            <w:color w:val="auto"/>
            <w:sz w:val="22"/>
            <w:szCs w:val="22"/>
            <w:u w:val="none"/>
          </w:rPr>
          <w:t>Jost et al., 2003</w:t>
        </w:r>
      </w:hyperlink>
      <w:r w:rsidRPr="0064385D">
        <w:rPr>
          <w:sz w:val="22"/>
          <w:szCs w:val="22"/>
        </w:rPr>
        <w:t>). This evidence suggests a link between intergroup treat theory and the latter. Duckitt (2009) proposes a model in which RWA and SDO are created by socialization in childhood, personality, and worldview beliefs.</w:t>
      </w:r>
    </w:p>
    <w:p w14:paraId="50FEBE3B" w14:textId="43856911" w:rsidR="0064385D" w:rsidRPr="0064385D" w:rsidRDefault="0064385D" w:rsidP="0064385D">
      <w:pPr>
        <w:pStyle w:val="NormalWeb"/>
        <w:spacing w:before="0" w:beforeAutospacing="0" w:after="0" w:afterAutospacing="0" w:line="480" w:lineRule="auto"/>
        <w:rPr>
          <w:sz w:val="22"/>
          <w:szCs w:val="22"/>
        </w:rPr>
      </w:pPr>
      <w:r w:rsidRPr="0064385D">
        <w:rPr>
          <w:sz w:val="22"/>
          <w:szCs w:val="22"/>
        </w:rPr>
        <w:t> </w:t>
      </w:r>
      <w:r>
        <w:rPr>
          <w:sz w:val="22"/>
          <w:szCs w:val="22"/>
        </w:rPr>
        <w:tab/>
      </w:r>
      <w:r w:rsidRPr="0064385D">
        <w:rPr>
          <w:sz w:val="22"/>
          <w:szCs w:val="22"/>
        </w:rPr>
        <w:t>It is a generally accepted view that basic cognitive goal-orientated motives are the driving force behind our ideological orientations specifically identifying variances between advocating </w:t>
      </w:r>
      <w:r w:rsidRPr="0064385D">
        <w:rPr>
          <w:rStyle w:val="Emphasis"/>
          <w:sz w:val="22"/>
          <w:szCs w:val="22"/>
        </w:rPr>
        <w:t>vs.</w:t>
      </w:r>
      <w:r w:rsidRPr="0064385D">
        <w:rPr>
          <w:sz w:val="22"/>
          <w:szCs w:val="22"/>
        </w:rPr>
        <w:t> resisting social change and rejecting </w:t>
      </w:r>
      <w:r w:rsidRPr="0064385D">
        <w:rPr>
          <w:rStyle w:val="Emphasis"/>
          <w:sz w:val="22"/>
          <w:szCs w:val="22"/>
        </w:rPr>
        <w:t>vs.</w:t>
      </w:r>
      <w:r w:rsidRPr="0064385D">
        <w:rPr>
          <w:sz w:val="22"/>
          <w:szCs w:val="22"/>
        </w:rPr>
        <w:t> accepting inequality or RWA and SDO, individually ( </w:t>
      </w:r>
      <w:hyperlink r:id="rId19" w:anchor="bb0065" w:tgtFrame="_blank" w:history="1">
        <w:r w:rsidRPr="0064385D">
          <w:rPr>
            <w:rStyle w:val="Hyperlink"/>
            <w:color w:val="auto"/>
            <w:sz w:val="22"/>
            <w:szCs w:val="22"/>
            <w:u w:val="none"/>
          </w:rPr>
          <w:t>Duckitt &amp; Sibley, 2009</w:t>
        </w:r>
      </w:hyperlink>
      <w:r w:rsidRPr="0064385D">
        <w:rPr>
          <w:sz w:val="22"/>
          <w:szCs w:val="22"/>
        </w:rPr>
        <w:t>, </w:t>
      </w:r>
      <w:hyperlink r:id="rId20" w:anchor="bb0100" w:tgtFrame="_blank" w:history="1">
        <w:r w:rsidRPr="0064385D">
          <w:rPr>
            <w:rStyle w:val="Hyperlink"/>
            <w:color w:val="auto"/>
            <w:sz w:val="22"/>
            <w:szCs w:val="22"/>
            <w:u w:val="none"/>
          </w:rPr>
          <w:t>Jost et al., 2009</w:t>
        </w:r>
      </w:hyperlink>
      <w:r w:rsidRPr="0064385D">
        <w:rPr>
          <w:sz w:val="22"/>
          <w:szCs w:val="22"/>
        </w:rPr>
        <w:t>). Research conducted by Hutchings and Sullivan (2019) state that voting behaviour in the referendum may have correlated to prejudice personality styles, nationalism, Islamophobia, and implicit/explicit prejudice. However, the majority of the empirical methods used in the research discussed, rely heavily on surveys and questionnaire which are bias to self-delegation of enhancing one's outlook to another individual (Mc Bride, 2018). Individuals will answer explicitly in a way to make themselves look better on surveys and questionnaires which are investigating some form of socially undesirable outlooks (Nester et al., 2018). However, this allows researchers to study prejudice as an individual attitude, through surveys researchers can take into account prejudice as an individual attitude regardless of it been held by the majority of the group members (Dovidio et al., 2013). </w:t>
      </w:r>
    </w:p>
    <w:p w14:paraId="57D4BE2A" w14:textId="3B65035D" w:rsidR="0064385D" w:rsidRPr="0064385D" w:rsidRDefault="0064385D" w:rsidP="0064385D">
      <w:pPr>
        <w:pStyle w:val="NormalWeb"/>
        <w:spacing w:before="0" w:beforeAutospacing="0" w:after="0" w:afterAutospacing="0" w:line="480" w:lineRule="auto"/>
        <w:ind w:firstLine="720"/>
        <w:rPr>
          <w:sz w:val="22"/>
          <w:szCs w:val="22"/>
        </w:rPr>
      </w:pPr>
      <w:r w:rsidRPr="0064385D">
        <w:rPr>
          <w:sz w:val="22"/>
          <w:szCs w:val="22"/>
        </w:rPr>
        <w:t xml:space="preserve">Further research accepts the concept of individual implicit attitudes, this is the idea that people individually hold prejudiced beliefs that they are unwilling to express explicitly for fear of there been socially undesirable consequences (Sullivan&amp; Hutchings, 2019). Implicit prejudice is measured using the Implicit Association Test </w:t>
      </w:r>
      <w:r w:rsidRPr="0064385D">
        <w:rPr>
          <w:sz w:val="22"/>
          <w:szCs w:val="22"/>
        </w:rPr>
        <w:t>(IAT</w:t>
      </w:r>
      <w:r w:rsidRPr="0064385D">
        <w:rPr>
          <w:sz w:val="22"/>
          <w:szCs w:val="22"/>
        </w:rPr>
        <w:t>; Greenwald et al., 1998; Sullivan and Hutchings, 2019).</w:t>
      </w:r>
    </w:p>
    <w:p w14:paraId="17903E35" w14:textId="701C8983" w:rsidR="0064385D" w:rsidRPr="0064385D" w:rsidRDefault="0064385D" w:rsidP="0064385D">
      <w:pPr>
        <w:pStyle w:val="NormalWeb"/>
        <w:spacing w:before="0" w:beforeAutospacing="0" w:after="0" w:afterAutospacing="0" w:line="480" w:lineRule="auto"/>
        <w:rPr>
          <w:sz w:val="22"/>
          <w:szCs w:val="22"/>
        </w:rPr>
      </w:pPr>
      <w:r w:rsidRPr="0064385D">
        <w:rPr>
          <w:sz w:val="22"/>
          <w:szCs w:val="22"/>
        </w:rPr>
        <w:t> </w:t>
      </w:r>
      <w:r>
        <w:rPr>
          <w:sz w:val="22"/>
          <w:szCs w:val="22"/>
        </w:rPr>
        <w:tab/>
      </w:r>
      <w:r w:rsidRPr="0064385D">
        <w:rPr>
          <w:sz w:val="22"/>
          <w:szCs w:val="22"/>
        </w:rPr>
        <w:t xml:space="preserve">Individuals scoring low on both implicit and explicit measures are classed as truly low prejudice (Son Hing et al., 2008) and egalitarian (Sullivan &amp; Hutchings, 2019). Egalitarian individuals are said to be empathic and show understanding for issues regarding outgroups. Evidence in a recent </w:t>
      </w:r>
      <w:r w:rsidRPr="0064385D">
        <w:rPr>
          <w:sz w:val="22"/>
          <w:szCs w:val="22"/>
        </w:rPr>
        <w:lastRenderedPageBreak/>
        <w:t>study by Sullivan and Hutching show consistency levels of between 23-30% of their representative sample fall into this category (Sullivan and Hutchings, 2018a, 2018b).</w:t>
      </w:r>
    </w:p>
    <w:p w14:paraId="13AF2EC7" w14:textId="11D46CB7" w:rsidR="0064385D" w:rsidRPr="0064385D" w:rsidRDefault="0064385D" w:rsidP="0064385D">
      <w:pPr>
        <w:pStyle w:val="NormalWeb"/>
        <w:spacing w:before="0" w:beforeAutospacing="0" w:after="0" w:afterAutospacing="0" w:line="480" w:lineRule="auto"/>
        <w:rPr>
          <w:sz w:val="22"/>
          <w:szCs w:val="22"/>
        </w:rPr>
      </w:pPr>
      <w:r w:rsidRPr="0064385D">
        <w:rPr>
          <w:sz w:val="22"/>
          <w:szCs w:val="22"/>
        </w:rPr>
        <w:t> </w:t>
      </w:r>
      <w:r>
        <w:rPr>
          <w:sz w:val="22"/>
          <w:szCs w:val="22"/>
        </w:rPr>
        <w:tab/>
      </w:r>
      <w:r w:rsidRPr="0064385D">
        <w:rPr>
          <w:sz w:val="22"/>
          <w:szCs w:val="22"/>
        </w:rPr>
        <w:t>Individuals measuring high on implicit (unconscious) prejudice and low on explicit (conscious) prejudice are categorised as Aversive Racists, this term is used to describe the individuals who do not necessarily consciously believe that they have prejudice tendencies, however, their behaviour can subconsciously portray discriminatory actions (Dovidio and Gaertner, </w:t>
      </w:r>
      <w:hyperlink r:id="rId21" w:anchor="ref-CR12" w:tgtFrame="_blank" w:history="1">
        <w:r w:rsidRPr="0064385D">
          <w:rPr>
            <w:rStyle w:val="Hyperlink"/>
            <w:color w:val="auto"/>
            <w:sz w:val="22"/>
            <w:szCs w:val="22"/>
            <w:u w:val="none"/>
          </w:rPr>
          <w:t>2004</w:t>
        </w:r>
      </w:hyperlink>
      <w:r w:rsidRPr="0064385D">
        <w:rPr>
          <w:sz w:val="22"/>
          <w:szCs w:val="22"/>
        </w:rPr>
        <w:t>). Aversive racists tend to find interaction with outgroups difficult and tend to avoid situations where having to interact is a possibility but will also deny holding a prejudice attitude (see, for example, Kovel, 2007). Findings suggest that between 25-35% of the sample fall into this category.</w:t>
      </w:r>
    </w:p>
    <w:p w14:paraId="42A2529F" w14:textId="77777777" w:rsidR="0064385D" w:rsidRPr="0064385D" w:rsidRDefault="0064385D" w:rsidP="0064385D">
      <w:pPr>
        <w:pStyle w:val="NormalWeb"/>
        <w:spacing w:before="0" w:beforeAutospacing="0" w:after="0" w:afterAutospacing="0" w:line="480" w:lineRule="auto"/>
        <w:ind w:firstLine="720"/>
        <w:rPr>
          <w:sz w:val="22"/>
          <w:szCs w:val="22"/>
        </w:rPr>
      </w:pPr>
      <w:r w:rsidRPr="0064385D">
        <w:rPr>
          <w:sz w:val="22"/>
          <w:szCs w:val="22"/>
        </w:rPr>
        <w:t>Principled Conservatives (PC), are characterized by scoring low on implicit prejudice but high on explicit prejudice PCs are generally considered believers inequality however if the outgroup finds itself unequal regarding opportunities and amenities this is the outgroups own fault. between 20–26% of participants were seen falling into this category (for a detailed explanation see; Sullivan and Hutchings, </w:t>
      </w:r>
      <w:hyperlink r:id="rId22" w:anchor="ref-CR28" w:tgtFrame="_blank" w:history="1">
        <w:r w:rsidRPr="0064385D">
          <w:rPr>
            <w:rStyle w:val="Hyperlink"/>
            <w:color w:val="auto"/>
            <w:sz w:val="22"/>
            <w:szCs w:val="22"/>
            <w:u w:val="none"/>
          </w:rPr>
          <w:t>2018a</w:t>
        </w:r>
      </w:hyperlink>
      <w:r w:rsidRPr="0064385D">
        <w:rPr>
          <w:sz w:val="22"/>
          <w:szCs w:val="22"/>
        </w:rPr>
        <w:t>, </w:t>
      </w:r>
      <w:hyperlink r:id="rId23" w:anchor="ref-CR29" w:tgtFrame="_blank" w:history="1">
        <w:r w:rsidRPr="0064385D">
          <w:rPr>
            <w:rStyle w:val="Hyperlink"/>
            <w:color w:val="auto"/>
            <w:sz w:val="22"/>
            <w:szCs w:val="22"/>
            <w:u w:val="none"/>
          </w:rPr>
          <w:t>2018b</w:t>
        </w:r>
      </w:hyperlink>
      <w:r w:rsidRPr="0064385D">
        <w:rPr>
          <w:sz w:val="22"/>
          <w:szCs w:val="22"/>
        </w:rPr>
        <w:t>).</w:t>
      </w:r>
    </w:p>
    <w:p w14:paraId="68487ECB" w14:textId="21C52D33" w:rsidR="0064385D" w:rsidRPr="0064385D" w:rsidRDefault="0064385D" w:rsidP="0064385D">
      <w:pPr>
        <w:pStyle w:val="NormalWeb"/>
        <w:spacing w:before="0" w:beforeAutospacing="0" w:after="0" w:afterAutospacing="0" w:line="480" w:lineRule="auto"/>
        <w:ind w:firstLine="720"/>
        <w:rPr>
          <w:sz w:val="22"/>
          <w:szCs w:val="22"/>
        </w:rPr>
      </w:pPr>
      <w:r w:rsidRPr="0064385D">
        <w:rPr>
          <w:sz w:val="22"/>
          <w:szCs w:val="22"/>
        </w:rPr>
        <w:t xml:space="preserve">Finally, the individuals </w:t>
      </w:r>
      <w:r w:rsidR="0082557B">
        <w:rPr>
          <w:sz w:val="22"/>
          <w:szCs w:val="22"/>
        </w:rPr>
        <w:t>scoring</w:t>
      </w:r>
      <w:r w:rsidRPr="0064385D">
        <w:rPr>
          <w:sz w:val="22"/>
          <w:szCs w:val="22"/>
        </w:rPr>
        <w:t xml:space="preserve"> high on implicit and explicit prejudice are termed as modern racists. Individuals here report feeling prejudice towards the outgroup subconsciously and consciously 25- 30% of the sample fall into this category. Both egalitarian and aversive racists are believed to be on the left-wing side of the political divide and Principle Conservatives and modern racists are said to be on the right-wing side (Son-Hing et al.,2008). These findings resonate with the results of the referendum vote and the statistical and empirical findings of individuals contradictory attitudes before and after the referendum.  </w:t>
      </w:r>
    </w:p>
    <w:p w14:paraId="40351434" w14:textId="1AE6C948" w:rsidR="0064385D" w:rsidRPr="0064385D" w:rsidRDefault="0064385D" w:rsidP="0064385D">
      <w:pPr>
        <w:pStyle w:val="Heading1"/>
        <w:spacing w:before="0" w:beforeAutospacing="0" w:after="0" w:afterAutospacing="0" w:line="480" w:lineRule="auto"/>
        <w:ind w:firstLine="720"/>
        <w:rPr>
          <w:b w:val="0"/>
          <w:bCs w:val="0"/>
          <w:sz w:val="22"/>
          <w:szCs w:val="22"/>
        </w:rPr>
      </w:pPr>
      <w:r w:rsidRPr="0064385D">
        <w:rPr>
          <w:b w:val="0"/>
          <w:bCs w:val="0"/>
          <w:sz w:val="22"/>
          <w:szCs w:val="22"/>
        </w:rPr>
        <w:t xml:space="preserve">In </w:t>
      </w:r>
      <w:r>
        <w:rPr>
          <w:b w:val="0"/>
          <w:bCs w:val="0"/>
          <w:sz w:val="22"/>
          <w:szCs w:val="22"/>
        </w:rPr>
        <w:t xml:space="preserve">brief </w:t>
      </w:r>
      <w:r w:rsidRPr="0064385D">
        <w:rPr>
          <w:b w:val="0"/>
          <w:bCs w:val="0"/>
          <w:sz w:val="22"/>
          <w:szCs w:val="22"/>
        </w:rPr>
        <w:t>summary, it is argued that GRD fully mediates the connection between contextual economic indicators and ethnic threat (Meuleman, et al., 2018). Concerning social structure, support for radical right party governing bodies such as UK-EU Independence Party (UKIP) was seen to be more dominant amongst the lower opportunities communities (</w:t>
      </w:r>
      <w:hyperlink r:id="rId24" w:anchor="bb0125" w:tgtFrame="_blank" w:history="1">
        <w:r w:rsidRPr="0064385D">
          <w:rPr>
            <w:rStyle w:val="Hyperlink"/>
            <w:b w:val="0"/>
            <w:bCs w:val="0"/>
            <w:color w:val="auto"/>
            <w:sz w:val="22"/>
            <w:szCs w:val="22"/>
            <w:u w:val="none"/>
          </w:rPr>
          <w:t>Lubbers et al., 2002</w:t>
        </w:r>
      </w:hyperlink>
      <w:r w:rsidRPr="0064385D">
        <w:rPr>
          <w:b w:val="0"/>
          <w:bCs w:val="0"/>
          <w:sz w:val="22"/>
          <w:szCs w:val="22"/>
        </w:rPr>
        <w:t>.; </w:t>
      </w:r>
      <w:hyperlink r:id="rId25" w:anchor="bb0140" w:tgtFrame="_blank" w:history="1">
        <w:r w:rsidRPr="0064385D">
          <w:rPr>
            <w:rStyle w:val="Hyperlink"/>
            <w:b w:val="0"/>
            <w:bCs w:val="0"/>
            <w:color w:val="auto"/>
            <w:sz w:val="22"/>
            <w:szCs w:val="22"/>
            <w:u w:val="none"/>
          </w:rPr>
          <w:t>Oesch, 2008</w:t>
        </w:r>
      </w:hyperlink>
      <w:r w:rsidRPr="0064385D">
        <w:rPr>
          <w:b w:val="0"/>
          <w:bCs w:val="0"/>
          <w:sz w:val="22"/>
          <w:szCs w:val="22"/>
        </w:rPr>
        <w:t>.; </w:t>
      </w:r>
      <w:hyperlink r:id="rId26" w:anchor="bb0165" w:tgtFrame="_blank" w:history="1">
        <w:r w:rsidRPr="0064385D">
          <w:rPr>
            <w:rStyle w:val="Hyperlink"/>
            <w:b w:val="0"/>
            <w:bCs w:val="0"/>
            <w:color w:val="auto"/>
            <w:sz w:val="22"/>
            <w:szCs w:val="22"/>
            <w:u w:val="none"/>
          </w:rPr>
          <w:t>Rydgren, 2007</w:t>
        </w:r>
      </w:hyperlink>
      <w:r w:rsidRPr="0064385D">
        <w:rPr>
          <w:b w:val="0"/>
          <w:bCs w:val="0"/>
          <w:sz w:val="22"/>
          <w:szCs w:val="22"/>
        </w:rPr>
        <w:t xml:space="preserve">). However, YouGov found that the spectrum of public support for either right-wing or left-wing politics is poorly understood and that a large amount of the public does not hold a stable left- or right-wing attitude (Sue et al., 2019). Consistent research of European amalgamation </w:t>
      </w:r>
      <w:r w:rsidRPr="0064385D">
        <w:rPr>
          <w:b w:val="0"/>
          <w:bCs w:val="0"/>
          <w:sz w:val="22"/>
          <w:szCs w:val="22"/>
        </w:rPr>
        <w:lastRenderedPageBreak/>
        <w:t xml:space="preserve">suggests that, when migrants are perceived as an outgroup and a threat to the ingroups cultural values, the ingroup are more liable to support political parties portraying Euroscepticism (Curtice, 2016; de Vreese &amp; Boomgaarden, 2005; Ford &amp; Goodwin, 2014; Lubbers &amp; Jaspers, 2010). Empirical methods used in the research discussed, rely heavily on surveys and questionnaires which are bias to self-delegation of enhancing one's outlook to another individual (Mc Bride, 2018). Individuals will answer explicitly in a way to make themselves look better on surveys and questionnaires which are investigating some form of socially undesirable outlooks (Nestor et al., 2018). The empirical evidence suggests that left-wing or right-wing affiliation reflects individual differences and compared to a global outlook including </w:t>
      </w:r>
      <w:r w:rsidRPr="0064385D">
        <w:rPr>
          <w:b w:val="0"/>
          <w:bCs w:val="0"/>
          <w:sz w:val="22"/>
          <w:szCs w:val="22"/>
        </w:rPr>
        <w:t>economic</w:t>
      </w:r>
      <w:r w:rsidRPr="0064385D">
        <w:rPr>
          <w:b w:val="0"/>
          <w:bCs w:val="0"/>
          <w:sz w:val="22"/>
          <w:szCs w:val="22"/>
        </w:rPr>
        <w:t xml:space="preserve"> factors, treats of migrants influence on national culture, statistics of the voting outcome, individual attitudes and more global attitudes are almost contradictory. All of the evidence suggested above plays its part in the explanation of the attitudes held in the nation at the time of the referendum, with prejudice </w:t>
      </w:r>
      <w:r w:rsidR="00B85474">
        <w:rPr>
          <w:b w:val="0"/>
          <w:bCs w:val="0"/>
          <w:sz w:val="22"/>
          <w:szCs w:val="22"/>
        </w:rPr>
        <w:t>attitudes</w:t>
      </w:r>
      <w:r w:rsidRPr="0064385D">
        <w:rPr>
          <w:b w:val="0"/>
          <w:bCs w:val="0"/>
          <w:sz w:val="22"/>
          <w:szCs w:val="22"/>
        </w:rPr>
        <w:t xml:space="preserve"> sowed in throughout and whether that be what makes Britain great or not is yet to be seen. </w:t>
      </w:r>
    </w:p>
    <w:bookmarkEnd w:id="1"/>
    <w:p w14:paraId="5B998ADC" w14:textId="0A704705" w:rsidR="00F339E0" w:rsidRDefault="00F339E0">
      <w:pPr>
        <w:rPr>
          <w:color w:val="FF0000"/>
        </w:rPr>
      </w:pPr>
      <w:r>
        <w:rPr>
          <w:color w:val="FF0000"/>
        </w:rPr>
        <w:br w:type="page"/>
      </w:r>
    </w:p>
    <w:p w14:paraId="10614C02" w14:textId="21A5C383" w:rsidR="00F339E0" w:rsidRPr="00F339E0" w:rsidRDefault="00F339E0" w:rsidP="00F339E0">
      <w:pPr>
        <w:spacing w:line="480" w:lineRule="auto"/>
        <w:ind w:firstLine="720"/>
        <w:jc w:val="center"/>
        <w:rPr>
          <w:i/>
          <w:iCs/>
          <w:sz w:val="24"/>
          <w:szCs w:val="24"/>
        </w:rPr>
      </w:pPr>
      <w:r w:rsidRPr="00F339E0">
        <w:rPr>
          <w:i/>
          <w:iCs/>
          <w:sz w:val="24"/>
          <w:szCs w:val="24"/>
        </w:rPr>
        <w:lastRenderedPageBreak/>
        <w:t>Reference list</w:t>
      </w:r>
    </w:p>
    <w:bookmarkEnd w:id="0"/>
    <w:p w14:paraId="7828598D" w14:textId="77777777" w:rsidR="003B5538" w:rsidRPr="00F339E0" w:rsidRDefault="003B5538" w:rsidP="003B5538">
      <w:pPr>
        <w:spacing w:line="480" w:lineRule="auto"/>
        <w:ind w:left="720" w:hanging="720"/>
        <w:rPr>
          <w:color w:val="FF0000"/>
        </w:rPr>
      </w:pPr>
      <w:r w:rsidRPr="00F55240">
        <w:t>Aichholzer, J., &amp; Zandonella, M. (2016). Psychological bases of support for radical right parties. </w:t>
      </w:r>
      <w:r w:rsidRPr="00F55240">
        <w:rPr>
          <w:i/>
          <w:iCs/>
        </w:rPr>
        <w:t>Personality and Individual Differences</w:t>
      </w:r>
      <w:r w:rsidRPr="00F55240">
        <w:t>, </w:t>
      </w:r>
      <w:r w:rsidRPr="00F55240">
        <w:rPr>
          <w:i/>
          <w:iCs/>
        </w:rPr>
        <w:t>96</w:t>
      </w:r>
      <w:r w:rsidRPr="00F55240">
        <w:t>, 185-190.</w:t>
      </w:r>
      <w:bookmarkStart w:id="2" w:name="_GoBack"/>
      <w:bookmarkEnd w:id="2"/>
    </w:p>
    <w:p w14:paraId="3F0069B0" w14:textId="77777777" w:rsidR="003B5538" w:rsidRDefault="003B5538" w:rsidP="00F339E0">
      <w:pPr>
        <w:spacing w:line="480" w:lineRule="auto"/>
        <w:ind w:left="851" w:hanging="851"/>
      </w:pPr>
      <w:r w:rsidRPr="005D0107">
        <w:t>Aichholzer, J., Kritzinger, S., Wagner, M., &amp; Zeglovits, E. (2014). How has radical right support transformed established political conflicts? The case of Austria. </w:t>
      </w:r>
      <w:r w:rsidRPr="005D0107">
        <w:rPr>
          <w:i/>
          <w:iCs/>
        </w:rPr>
        <w:t>West European Politics</w:t>
      </w:r>
      <w:r w:rsidRPr="005D0107">
        <w:t>, </w:t>
      </w:r>
      <w:r w:rsidRPr="005D0107">
        <w:rPr>
          <w:i/>
          <w:iCs/>
        </w:rPr>
        <w:t>37</w:t>
      </w:r>
      <w:r w:rsidRPr="005D0107">
        <w:t>(1), 113-137.</w:t>
      </w:r>
    </w:p>
    <w:p w14:paraId="0DE35B55" w14:textId="77777777" w:rsidR="003B5538" w:rsidRDefault="003B5538" w:rsidP="00F339E0">
      <w:pPr>
        <w:spacing w:line="480" w:lineRule="auto"/>
        <w:ind w:left="851" w:hanging="851"/>
      </w:pPr>
      <w:r w:rsidRPr="00A61030">
        <w:t>Alabrese, E., Becker, S. O., Fetzer, T., &amp; Novy, D. (2019). Who voted for Brexit? Individual and regional data combined. </w:t>
      </w:r>
      <w:r w:rsidRPr="00A61030">
        <w:rPr>
          <w:i/>
          <w:iCs/>
        </w:rPr>
        <w:t>European Journal of Political Economy</w:t>
      </w:r>
      <w:r w:rsidRPr="00A61030">
        <w:t>, </w:t>
      </w:r>
      <w:r w:rsidRPr="00A61030">
        <w:rPr>
          <w:i/>
          <w:iCs/>
        </w:rPr>
        <w:t>56</w:t>
      </w:r>
      <w:r w:rsidRPr="00A61030">
        <w:t>, 132-150.</w:t>
      </w:r>
    </w:p>
    <w:p w14:paraId="66338FE9" w14:textId="77777777" w:rsidR="003B5538" w:rsidRPr="00F339E0" w:rsidRDefault="003B5538" w:rsidP="00F339E0">
      <w:pPr>
        <w:spacing w:line="480" w:lineRule="auto"/>
        <w:ind w:left="851" w:hanging="851"/>
      </w:pPr>
      <w:r w:rsidRPr="00F339E0">
        <w:t>Allport, G. W. (1954). (1979). The nature of prejudice. Reading, MA: Addison-Wesley.</w:t>
      </w:r>
    </w:p>
    <w:p w14:paraId="6324DB26" w14:textId="77777777" w:rsidR="003B5538" w:rsidRPr="00F339E0" w:rsidRDefault="003B5538" w:rsidP="00F339E0">
      <w:pPr>
        <w:spacing w:line="480" w:lineRule="auto"/>
        <w:ind w:left="851" w:hanging="851"/>
      </w:pPr>
      <w:r w:rsidRPr="00F339E0">
        <w:t>Azrout, R., Van Spanje, J., &amp; De Vreese, C. (2013). A threat called Turkey: Perceived religious threat and support for EU entry of Croatia, Switzerland and Turkey. </w:t>
      </w:r>
      <w:r w:rsidRPr="00F339E0">
        <w:rPr>
          <w:i/>
          <w:iCs/>
        </w:rPr>
        <w:t>Acta Politica</w:t>
      </w:r>
      <w:r w:rsidRPr="00F339E0">
        <w:t>, </w:t>
      </w:r>
      <w:r w:rsidRPr="00F339E0">
        <w:rPr>
          <w:i/>
          <w:iCs/>
        </w:rPr>
        <w:t>48</w:t>
      </w:r>
      <w:r w:rsidRPr="00F339E0">
        <w:t>(1), 2-21.</w:t>
      </w:r>
    </w:p>
    <w:p w14:paraId="17F8242A" w14:textId="77777777" w:rsidR="003B5538" w:rsidRPr="00F339E0" w:rsidRDefault="003B5538" w:rsidP="00F339E0">
      <w:pPr>
        <w:spacing w:line="480" w:lineRule="auto"/>
        <w:ind w:left="851" w:hanging="851"/>
      </w:pPr>
      <w:r w:rsidRPr="00F339E0">
        <w:t>Blekesaune, M., &amp; Quadagno, J. (2003). Public Attitudes toward Welfare State Policies a comparative analysis of 24 nations. </w:t>
      </w:r>
      <w:r w:rsidRPr="00F339E0">
        <w:rPr>
          <w:i/>
          <w:iCs/>
        </w:rPr>
        <w:t>European Sociological Review</w:t>
      </w:r>
      <w:r w:rsidRPr="00F339E0">
        <w:t>, </w:t>
      </w:r>
      <w:r w:rsidRPr="00F339E0">
        <w:rPr>
          <w:i/>
          <w:iCs/>
        </w:rPr>
        <w:t>19</w:t>
      </w:r>
      <w:r w:rsidRPr="00F339E0">
        <w:t>(5), 415-427.</w:t>
      </w:r>
    </w:p>
    <w:p w14:paraId="25900D31" w14:textId="77777777" w:rsidR="003B5538" w:rsidRDefault="003B5538" w:rsidP="00F339E0">
      <w:pPr>
        <w:spacing w:line="480" w:lineRule="auto"/>
        <w:ind w:left="851" w:hanging="851"/>
      </w:pPr>
      <w:r w:rsidRPr="00732C69">
        <w:t>Blinder, S., &amp; Allen, W. (2016). UK public opinion toward immigration: Overall attitudes and level of concern. </w:t>
      </w:r>
      <w:r w:rsidRPr="00732C69">
        <w:rPr>
          <w:i/>
          <w:iCs/>
        </w:rPr>
        <w:t>The Migration Observatory</w:t>
      </w:r>
      <w:r w:rsidRPr="00732C69">
        <w:t>, </w:t>
      </w:r>
      <w:r w:rsidRPr="00732C69">
        <w:rPr>
          <w:i/>
          <w:iCs/>
        </w:rPr>
        <w:t>28</w:t>
      </w:r>
      <w:r w:rsidRPr="00732C69">
        <w:t>.</w:t>
      </w:r>
    </w:p>
    <w:p w14:paraId="2256D18A" w14:textId="77777777" w:rsidR="003B5538" w:rsidRDefault="003B5538" w:rsidP="00F339E0">
      <w:pPr>
        <w:spacing w:line="480" w:lineRule="auto"/>
        <w:ind w:left="851" w:hanging="851"/>
      </w:pPr>
      <w:r w:rsidRPr="00F55240">
        <w:t>Chirumbolo, A., &amp; Leone, L. (2010). Personality and politics: The role of the HEXACO model of personality in predicting ideology and voting. </w:t>
      </w:r>
      <w:r w:rsidRPr="00F55240">
        <w:rPr>
          <w:i/>
          <w:iCs/>
        </w:rPr>
        <w:t>Personality and Individual Differences</w:t>
      </w:r>
      <w:r w:rsidRPr="00F55240">
        <w:t>, </w:t>
      </w:r>
      <w:r w:rsidRPr="00F55240">
        <w:rPr>
          <w:i/>
          <w:iCs/>
        </w:rPr>
        <w:t>49</w:t>
      </w:r>
      <w:r w:rsidRPr="00F55240">
        <w:t>(1), 43-48.</w:t>
      </w:r>
    </w:p>
    <w:p w14:paraId="77B17292" w14:textId="77777777" w:rsidR="003B5538" w:rsidRPr="00F339E0" w:rsidRDefault="003B5538" w:rsidP="00F339E0">
      <w:pPr>
        <w:spacing w:line="480" w:lineRule="auto"/>
        <w:ind w:left="851" w:hanging="851"/>
      </w:pPr>
      <w:r w:rsidRPr="00F339E0">
        <w:t>Christ, O., Schmid, K., Lolliot, S., Swart, H., Stolle, D., Tausch, N., ... &amp; Hewstone, M. (2014). Contextual effect of positive intergroup contact on outgroup prejudice. </w:t>
      </w:r>
      <w:r w:rsidRPr="00F339E0">
        <w:rPr>
          <w:i/>
          <w:iCs/>
        </w:rPr>
        <w:t>Proceedings of the National Academy of Sciences</w:t>
      </w:r>
      <w:r w:rsidRPr="00F339E0">
        <w:t>, </w:t>
      </w:r>
      <w:r w:rsidRPr="00F339E0">
        <w:rPr>
          <w:i/>
          <w:iCs/>
        </w:rPr>
        <w:t>111</w:t>
      </w:r>
      <w:r w:rsidRPr="00F339E0">
        <w:t>(11), 3996-4000.</w:t>
      </w:r>
    </w:p>
    <w:p w14:paraId="6D854A44" w14:textId="77777777" w:rsidR="003B5538" w:rsidRDefault="003B5538" w:rsidP="00F339E0">
      <w:pPr>
        <w:spacing w:line="480" w:lineRule="auto"/>
        <w:ind w:left="851" w:hanging="851"/>
        <w:rPr>
          <w:i/>
          <w:iCs/>
        </w:rPr>
      </w:pPr>
      <w:bookmarkStart w:id="3" w:name="_Hlk23334486"/>
      <w:r w:rsidRPr="00A0223F">
        <w:t>Clarke, S., &amp; Whittaker, M. (2016</w:t>
      </w:r>
      <w:bookmarkEnd w:id="3"/>
      <w:r w:rsidRPr="00A0223F">
        <w:t>). </w:t>
      </w:r>
      <w:r w:rsidRPr="00A0223F">
        <w:rPr>
          <w:i/>
          <w:iCs/>
        </w:rPr>
        <w:t>The importance of place: Explaining the characteristics underpinning the Brexit vote across different parts of the UK</w:t>
      </w:r>
      <w:r w:rsidRPr="00A0223F">
        <w:t>. Resolution Foundation.</w:t>
      </w:r>
    </w:p>
    <w:p w14:paraId="2D7EFD07" w14:textId="77777777" w:rsidR="003B5538" w:rsidRPr="00F339E0" w:rsidRDefault="003B5538" w:rsidP="00F339E0">
      <w:pPr>
        <w:spacing w:line="480" w:lineRule="auto"/>
        <w:ind w:left="851" w:hanging="851"/>
      </w:pPr>
      <w:r w:rsidRPr="00F339E0">
        <w:lastRenderedPageBreak/>
        <w:t>Cornelis, I., &amp; Van Hiel, A. (2015). Extreme‐right voting in Western Europe: the role of social‐cultural and antiegalitarian attitudes. </w:t>
      </w:r>
      <w:r w:rsidRPr="00F339E0">
        <w:rPr>
          <w:i/>
          <w:iCs/>
        </w:rPr>
        <w:t>Political Psychology</w:t>
      </w:r>
      <w:r w:rsidRPr="00F339E0">
        <w:t>, </w:t>
      </w:r>
      <w:r w:rsidRPr="00F339E0">
        <w:rPr>
          <w:i/>
          <w:iCs/>
        </w:rPr>
        <w:t>36</w:t>
      </w:r>
      <w:r w:rsidRPr="00F339E0">
        <w:t>(6), 749-760.</w:t>
      </w:r>
    </w:p>
    <w:p w14:paraId="7BBDC5CA" w14:textId="77777777" w:rsidR="003B5538" w:rsidRDefault="003B5538" w:rsidP="00F339E0">
      <w:pPr>
        <w:spacing w:line="480" w:lineRule="auto"/>
        <w:ind w:left="851" w:hanging="851"/>
      </w:pPr>
      <w:r w:rsidRPr="00327131">
        <w:t>Crescenzi, R., Di Cataldo, M., &amp; Faggian, A. (2018). Internationalized at work and localistic at home: The ‘split ‘Europeanization behind Brexit. </w:t>
      </w:r>
      <w:r w:rsidRPr="00327131">
        <w:rPr>
          <w:i/>
          <w:iCs/>
        </w:rPr>
        <w:t>Papers in Regional Science</w:t>
      </w:r>
      <w:r w:rsidRPr="00327131">
        <w:t>, </w:t>
      </w:r>
      <w:r w:rsidRPr="00327131">
        <w:rPr>
          <w:i/>
          <w:iCs/>
        </w:rPr>
        <w:t>97</w:t>
      </w:r>
      <w:r w:rsidRPr="00327131">
        <w:t>(1), 117-132.</w:t>
      </w:r>
    </w:p>
    <w:p w14:paraId="3A59C4D4" w14:textId="77777777" w:rsidR="003B5538" w:rsidRPr="00F339E0" w:rsidRDefault="003B5538" w:rsidP="00F339E0">
      <w:pPr>
        <w:spacing w:line="480" w:lineRule="auto"/>
        <w:ind w:left="851" w:hanging="851"/>
      </w:pPr>
      <w:r w:rsidRPr="00F339E0">
        <w:t>Curtice, J. (2016). Brexit: Behind the referendum. </w:t>
      </w:r>
      <w:r w:rsidRPr="00F339E0">
        <w:rPr>
          <w:i/>
          <w:iCs/>
        </w:rPr>
        <w:t>Political Insight</w:t>
      </w:r>
      <w:r w:rsidRPr="00F339E0">
        <w:t>, </w:t>
      </w:r>
      <w:r w:rsidRPr="00F339E0">
        <w:rPr>
          <w:i/>
          <w:iCs/>
        </w:rPr>
        <w:t>7</w:t>
      </w:r>
      <w:r w:rsidRPr="00F339E0">
        <w:t>(2), 4-7.</w:t>
      </w:r>
    </w:p>
    <w:p w14:paraId="20E0C8F7" w14:textId="77777777" w:rsidR="003B5538" w:rsidRPr="00A0223F" w:rsidRDefault="003B5538" w:rsidP="00F339E0">
      <w:pPr>
        <w:spacing w:line="480" w:lineRule="auto"/>
        <w:ind w:left="851" w:hanging="851"/>
      </w:pPr>
      <w:r w:rsidRPr="006F08EB">
        <w:t>Davidov, E., Schmidt, P., Billiet, J., &amp; Meuleman, B. (2018). </w:t>
      </w:r>
      <w:r w:rsidRPr="006F08EB">
        <w:rPr>
          <w:i/>
          <w:iCs/>
        </w:rPr>
        <w:t>Cross-cultural analysis: Methods and applications</w:t>
      </w:r>
      <w:r w:rsidRPr="006F08EB">
        <w:t>. Routledge.</w:t>
      </w:r>
    </w:p>
    <w:p w14:paraId="6A8A7E4D" w14:textId="77777777" w:rsidR="003B5538" w:rsidRPr="00F339E0" w:rsidRDefault="003B5538" w:rsidP="00F339E0">
      <w:pPr>
        <w:spacing w:line="480" w:lineRule="auto"/>
        <w:ind w:left="851" w:hanging="851"/>
      </w:pPr>
      <w:r w:rsidRPr="00F339E0">
        <w:t>De Vreese, C. H., &amp; Boomgaarden, H. G. (2005). Projecting EU referendums: Fear of immigration and support for European integration. </w:t>
      </w:r>
      <w:r w:rsidRPr="00F339E0">
        <w:rPr>
          <w:i/>
          <w:iCs/>
        </w:rPr>
        <w:t>European Union Politics</w:t>
      </w:r>
      <w:r w:rsidRPr="00F339E0">
        <w:t>, </w:t>
      </w:r>
      <w:r w:rsidRPr="00F339E0">
        <w:rPr>
          <w:i/>
          <w:iCs/>
        </w:rPr>
        <w:t>6</w:t>
      </w:r>
      <w:r w:rsidRPr="00F339E0">
        <w:t>(1), 59-82.</w:t>
      </w:r>
    </w:p>
    <w:p w14:paraId="5E1C3041" w14:textId="77777777" w:rsidR="003B5538" w:rsidRDefault="003B5538" w:rsidP="00F339E0">
      <w:pPr>
        <w:spacing w:line="480" w:lineRule="auto"/>
        <w:ind w:left="851" w:hanging="851"/>
      </w:pPr>
      <w:r w:rsidRPr="00F55240">
        <w:t>Duckitt, J., &amp; Sibley, C. G. (2007). Right wing authoritarianism, social dominance orientation and the dimensions of generalized prejudice. </w:t>
      </w:r>
      <w:r w:rsidRPr="00F55240">
        <w:rPr>
          <w:i/>
          <w:iCs/>
        </w:rPr>
        <w:t>European Journal of Personality: Published for the European Association of Personality Psychology</w:t>
      </w:r>
      <w:r w:rsidRPr="00F55240">
        <w:t>, </w:t>
      </w:r>
      <w:r w:rsidRPr="00F55240">
        <w:rPr>
          <w:i/>
          <w:iCs/>
        </w:rPr>
        <w:t>21</w:t>
      </w:r>
      <w:r w:rsidRPr="00F55240">
        <w:t>(2), 113-130.</w:t>
      </w:r>
    </w:p>
    <w:p w14:paraId="7A74171C" w14:textId="77777777" w:rsidR="003B5538" w:rsidRDefault="003B5538" w:rsidP="00F339E0">
      <w:pPr>
        <w:spacing w:line="480" w:lineRule="auto"/>
        <w:ind w:left="851" w:hanging="851"/>
        <w:rPr>
          <w:i/>
          <w:iCs/>
        </w:rPr>
      </w:pPr>
      <w:r w:rsidRPr="00030D99">
        <w:t>Dumont, K., &amp; Louw, J. (2009). A citation analysis of Henri Tajfel's work on intergroup relations</w:t>
      </w:r>
      <w:r w:rsidRPr="00030D99">
        <w:rPr>
          <w:i/>
          <w:iCs/>
        </w:rPr>
        <w:t xml:space="preserve">. International Journal of Psychology, 44(1), </w:t>
      </w:r>
      <w:r w:rsidRPr="00030D99">
        <w:t>46-59</w:t>
      </w:r>
      <w:r w:rsidRPr="00030D99">
        <w:rPr>
          <w:i/>
          <w:iCs/>
        </w:rPr>
        <w:t>.</w:t>
      </w:r>
    </w:p>
    <w:p w14:paraId="52A783C8" w14:textId="77777777" w:rsidR="003B5538" w:rsidRPr="00F339E0" w:rsidRDefault="003B5538" w:rsidP="00F339E0">
      <w:pPr>
        <w:spacing w:line="480" w:lineRule="auto"/>
        <w:ind w:left="851" w:hanging="851"/>
      </w:pPr>
      <w:r w:rsidRPr="00F339E0">
        <w:t>Dunn, W. N. (2015). </w:t>
      </w:r>
      <w:r w:rsidRPr="00F339E0">
        <w:rPr>
          <w:i/>
          <w:iCs/>
        </w:rPr>
        <w:t>Public policy analysis</w:t>
      </w:r>
      <w:r w:rsidRPr="00F339E0">
        <w:t>. Routledge.</w:t>
      </w:r>
    </w:p>
    <w:p w14:paraId="7F777E2C" w14:textId="77777777" w:rsidR="003B5538" w:rsidRDefault="003B5538" w:rsidP="003B5538">
      <w:pPr>
        <w:spacing w:line="480" w:lineRule="auto"/>
        <w:ind w:left="851" w:hanging="851"/>
      </w:pPr>
      <w:r w:rsidRPr="00F55240">
        <w:t>Evidence from Germany. </w:t>
      </w:r>
      <w:r w:rsidRPr="00F55240">
        <w:rPr>
          <w:i/>
          <w:iCs/>
        </w:rPr>
        <w:t>Political psychology</w:t>
      </w:r>
      <w:r w:rsidRPr="00F55240">
        <w:t>, </w:t>
      </w:r>
      <w:r w:rsidRPr="00F55240">
        <w:rPr>
          <w:i/>
          <w:iCs/>
        </w:rPr>
        <w:t>28</w:t>
      </w:r>
      <w:r w:rsidRPr="00F55240">
        <w:t>(4), 471-498.</w:t>
      </w:r>
    </w:p>
    <w:p w14:paraId="26305B1E" w14:textId="77777777" w:rsidR="003B5538" w:rsidRPr="00F339E0" w:rsidRDefault="003B5538" w:rsidP="00F339E0">
      <w:pPr>
        <w:spacing w:line="480" w:lineRule="auto"/>
        <w:ind w:left="851" w:hanging="851"/>
      </w:pPr>
      <w:r w:rsidRPr="00F339E0">
        <w:t>Ford, R., &amp; Goodwin, M. (2014). Understanding UKIP: Identity, social change and the left behind. </w:t>
      </w:r>
      <w:r w:rsidRPr="00F339E0">
        <w:rPr>
          <w:i/>
          <w:iCs/>
        </w:rPr>
        <w:t>The Political Quarterly</w:t>
      </w:r>
      <w:r w:rsidRPr="00F339E0">
        <w:t>, </w:t>
      </w:r>
      <w:r w:rsidRPr="00F339E0">
        <w:rPr>
          <w:i/>
          <w:iCs/>
        </w:rPr>
        <w:t>85</w:t>
      </w:r>
      <w:r w:rsidRPr="00F339E0">
        <w:t>(3), 277-284.</w:t>
      </w:r>
    </w:p>
    <w:p w14:paraId="28244E90" w14:textId="77777777" w:rsidR="003B5538" w:rsidRDefault="003B5538" w:rsidP="00F339E0">
      <w:pPr>
        <w:spacing w:line="480" w:lineRule="auto"/>
        <w:ind w:left="851" w:hanging="851"/>
      </w:pPr>
      <w:r w:rsidRPr="002219A5">
        <w:t>Goodwin, M. J., &amp; Heath, O. (2016). The 2016 referendum, Brexit and the left behind: An aggregate‐level analysis of the result. </w:t>
      </w:r>
      <w:r w:rsidRPr="002219A5">
        <w:rPr>
          <w:i/>
          <w:iCs/>
        </w:rPr>
        <w:t>The Political Quarterly</w:t>
      </w:r>
      <w:r w:rsidRPr="002219A5">
        <w:t>, </w:t>
      </w:r>
      <w:r w:rsidRPr="002219A5">
        <w:rPr>
          <w:i/>
          <w:iCs/>
        </w:rPr>
        <w:t>87</w:t>
      </w:r>
      <w:r w:rsidRPr="002219A5">
        <w:t>(3), 323-332.</w:t>
      </w:r>
    </w:p>
    <w:p w14:paraId="13E6BACA" w14:textId="77777777" w:rsidR="003B5538" w:rsidRDefault="003B5538" w:rsidP="00F339E0">
      <w:pPr>
        <w:spacing w:line="480" w:lineRule="auto"/>
        <w:ind w:left="851" w:hanging="851"/>
      </w:pPr>
      <w:r w:rsidRPr="00F55240">
        <w:t>Goodwin, M., &amp; Milazzo, C. (2017). Taking back control? Investigating the role of immigration in the 2016 vote for Brexit. </w:t>
      </w:r>
      <w:r w:rsidRPr="00F55240">
        <w:rPr>
          <w:i/>
          <w:iCs/>
        </w:rPr>
        <w:t>The British Journal of Politics and International Relations</w:t>
      </w:r>
      <w:r w:rsidRPr="00F55240">
        <w:t>, </w:t>
      </w:r>
      <w:r w:rsidRPr="00F55240">
        <w:rPr>
          <w:i/>
          <w:iCs/>
        </w:rPr>
        <w:t>19</w:t>
      </w:r>
      <w:r w:rsidRPr="00F55240">
        <w:t>(3), 450-464.</w:t>
      </w:r>
    </w:p>
    <w:p w14:paraId="15988E02" w14:textId="77777777" w:rsidR="003B5538" w:rsidRPr="00F339E0" w:rsidRDefault="003B5538" w:rsidP="00F339E0">
      <w:pPr>
        <w:spacing w:line="480" w:lineRule="auto"/>
        <w:ind w:left="851" w:hanging="851"/>
      </w:pPr>
      <w:r w:rsidRPr="00F339E0">
        <w:lastRenderedPageBreak/>
        <w:t>Hobolt, S. B. (2016). The Brexit vote: a divided nation, a divided continent. </w:t>
      </w:r>
      <w:r w:rsidRPr="00F339E0">
        <w:rPr>
          <w:i/>
          <w:iCs/>
        </w:rPr>
        <w:t>Journal of European Public Policy</w:t>
      </w:r>
      <w:r w:rsidRPr="00F339E0">
        <w:t>, </w:t>
      </w:r>
      <w:r w:rsidRPr="00F339E0">
        <w:rPr>
          <w:i/>
          <w:iCs/>
        </w:rPr>
        <w:t>23</w:t>
      </w:r>
      <w:r w:rsidRPr="00F339E0">
        <w:t>(9), 1259-1277.</w:t>
      </w:r>
    </w:p>
    <w:p w14:paraId="188CA62A" w14:textId="77777777" w:rsidR="003B5538" w:rsidRPr="00F339E0" w:rsidRDefault="003B5538" w:rsidP="00F339E0">
      <w:pPr>
        <w:spacing w:line="480" w:lineRule="auto"/>
        <w:ind w:left="851" w:hanging="851"/>
      </w:pPr>
      <w:r w:rsidRPr="00F339E0">
        <w:t>Hudson, J., Lunt, N., Hamilton, C., Mackinder, S., Swift, C., &amp; Meers, J. (2016). Nostalgia narratives? Pejorative attitudes to welfare in historical perspective: survey evidence from Beveridge to the British Social Attitudes Survey. </w:t>
      </w:r>
      <w:r w:rsidRPr="00F339E0">
        <w:rPr>
          <w:i/>
          <w:iCs/>
        </w:rPr>
        <w:t>Journal of Poverty and Social Justice</w:t>
      </w:r>
      <w:r w:rsidRPr="00F339E0">
        <w:t>, </w:t>
      </w:r>
      <w:r w:rsidRPr="00F339E0">
        <w:rPr>
          <w:i/>
          <w:iCs/>
        </w:rPr>
        <w:t>24</w:t>
      </w:r>
      <w:r w:rsidRPr="00F339E0">
        <w:t>(3), 227-243.</w:t>
      </w:r>
    </w:p>
    <w:p w14:paraId="66CF5F04" w14:textId="77777777" w:rsidR="003B5538" w:rsidRDefault="003B5538" w:rsidP="003B5538">
      <w:pPr>
        <w:ind w:left="851" w:hanging="851"/>
      </w:pPr>
      <w:r w:rsidRPr="00800AD7">
        <w:t>Hutchings, P. B., &amp; Sullivan, K. E. (2019). Prejudice and the Brexit vote: a tangled web. </w:t>
      </w:r>
      <w:r w:rsidRPr="00800AD7">
        <w:rPr>
          <w:i/>
          <w:iCs/>
        </w:rPr>
        <w:t>Palgrave Communications</w:t>
      </w:r>
      <w:r w:rsidRPr="00800AD7">
        <w:t>, </w:t>
      </w:r>
      <w:r w:rsidRPr="00800AD7">
        <w:rPr>
          <w:i/>
          <w:iCs/>
        </w:rPr>
        <w:t>5</w:t>
      </w:r>
      <w:r w:rsidRPr="00800AD7">
        <w:t>(1), 5.</w:t>
      </w:r>
    </w:p>
    <w:p w14:paraId="3C7CFA6A" w14:textId="77777777" w:rsidR="003B5538" w:rsidRDefault="003B5538" w:rsidP="00F339E0">
      <w:pPr>
        <w:spacing w:line="480" w:lineRule="auto"/>
        <w:ind w:left="851" w:hanging="851"/>
      </w:pPr>
      <w:r w:rsidRPr="0068363C">
        <w:t>Ivarsflaten, E. (2008). What unites right-wing populists in Western Europe? Re-examining grievance mobilization models in seven successful cases. </w:t>
      </w:r>
      <w:r w:rsidRPr="0068363C">
        <w:rPr>
          <w:i/>
          <w:iCs/>
        </w:rPr>
        <w:t>Comparative Political Studies</w:t>
      </w:r>
      <w:r w:rsidRPr="0068363C">
        <w:t>, </w:t>
      </w:r>
      <w:r w:rsidRPr="0068363C">
        <w:rPr>
          <w:i/>
          <w:iCs/>
        </w:rPr>
        <w:t>41</w:t>
      </w:r>
      <w:r w:rsidRPr="0068363C">
        <w:t>(1), 3-23.</w:t>
      </w:r>
    </w:p>
    <w:p w14:paraId="219F85CF" w14:textId="77777777" w:rsidR="003B5538" w:rsidRPr="00F339E0" w:rsidRDefault="003B5538" w:rsidP="00F339E0">
      <w:pPr>
        <w:spacing w:line="480" w:lineRule="auto"/>
        <w:ind w:left="851" w:hanging="851"/>
      </w:pPr>
      <w:r w:rsidRPr="00F339E0">
        <w:t>Jost, J. T., Glaser, J., Kruglanski, A. W., &amp; Sulloway, F. J. (2003). Exceptions that prove the rule--Using a theory of motivated social cognition to account for ideological incongruities and political anomalies: Reply to Greenberg and Jonas (2003).</w:t>
      </w:r>
    </w:p>
    <w:p w14:paraId="7FDD0CBE" w14:textId="77777777" w:rsidR="003B5538" w:rsidRPr="00F339E0" w:rsidRDefault="003B5538" w:rsidP="00F339E0">
      <w:pPr>
        <w:spacing w:line="480" w:lineRule="auto"/>
        <w:ind w:left="851" w:hanging="851"/>
      </w:pPr>
      <w:r w:rsidRPr="00F339E0">
        <w:t>Lubbers, M., &amp; Jaspers, E. (2011). A longitudinal study of euroscepticism in the Netherlands: 2008 versus 1990. </w:t>
      </w:r>
      <w:r w:rsidRPr="00F339E0">
        <w:rPr>
          <w:i/>
          <w:iCs/>
        </w:rPr>
        <w:t>European Union Politics</w:t>
      </w:r>
      <w:r w:rsidRPr="00F339E0">
        <w:t>, </w:t>
      </w:r>
      <w:r w:rsidRPr="00F339E0">
        <w:rPr>
          <w:i/>
          <w:iCs/>
        </w:rPr>
        <w:t>12</w:t>
      </w:r>
      <w:r w:rsidRPr="00F339E0">
        <w:t>(1), 21-40.</w:t>
      </w:r>
    </w:p>
    <w:p w14:paraId="5E3EDE37" w14:textId="77777777" w:rsidR="003B5538" w:rsidRDefault="003B5538" w:rsidP="00F339E0">
      <w:pPr>
        <w:spacing w:line="480" w:lineRule="auto"/>
        <w:ind w:left="851" w:hanging="851"/>
      </w:pPr>
      <w:r w:rsidRPr="006F08EB">
        <w:t>Lubbers, M., Gijsberts, M., &amp; Scheepers, P. (2002). Extreme right‐wing voting in Western Europe. </w:t>
      </w:r>
      <w:r w:rsidRPr="006F08EB">
        <w:rPr>
          <w:i/>
          <w:iCs/>
        </w:rPr>
        <w:t>European Journal of Political Research</w:t>
      </w:r>
      <w:r w:rsidRPr="006F08EB">
        <w:t>, </w:t>
      </w:r>
      <w:r w:rsidRPr="006F08EB">
        <w:rPr>
          <w:i/>
          <w:iCs/>
        </w:rPr>
        <w:t>41</w:t>
      </w:r>
      <w:r w:rsidRPr="006F08EB">
        <w:t>(3), 345-378.</w:t>
      </w:r>
    </w:p>
    <w:p w14:paraId="2CDFD44D" w14:textId="77777777" w:rsidR="003B5538" w:rsidRPr="00F339E0" w:rsidRDefault="003B5538" w:rsidP="00F339E0">
      <w:pPr>
        <w:spacing w:line="480" w:lineRule="auto"/>
        <w:ind w:left="851" w:hanging="851"/>
      </w:pPr>
      <w:r w:rsidRPr="00F339E0">
        <w:t>McAndrew, S. (2016). The EU referendum, religion and identity: Analysing the British election study. </w:t>
      </w:r>
      <w:r w:rsidRPr="00F339E0">
        <w:rPr>
          <w:i/>
          <w:iCs/>
        </w:rPr>
        <w:t>Religion and the public Sphere</w:t>
      </w:r>
      <w:r w:rsidRPr="00F339E0">
        <w:t>.</w:t>
      </w:r>
    </w:p>
    <w:p w14:paraId="21E04C2A" w14:textId="77777777" w:rsidR="003B5538" w:rsidRDefault="003B5538" w:rsidP="003B5538">
      <w:pPr>
        <w:ind w:left="851" w:hanging="851"/>
      </w:pPr>
      <w:r w:rsidRPr="00800AD7">
        <w:t>McBride, J. M., &amp; Drake, R. L. (2018). National survey on anatomical sciences in medical education. </w:t>
      </w:r>
      <w:r w:rsidRPr="00800AD7">
        <w:rPr>
          <w:i/>
          <w:iCs/>
        </w:rPr>
        <w:t>Anatomical sciences education</w:t>
      </w:r>
      <w:r w:rsidRPr="00800AD7">
        <w:t>, </w:t>
      </w:r>
      <w:r w:rsidRPr="00800AD7">
        <w:rPr>
          <w:i/>
          <w:iCs/>
        </w:rPr>
        <w:t>11</w:t>
      </w:r>
      <w:r w:rsidRPr="00800AD7">
        <w:t>(1), 7-14.</w:t>
      </w:r>
    </w:p>
    <w:p w14:paraId="34D6B7F5" w14:textId="77777777" w:rsidR="003B5538" w:rsidRPr="00F339E0" w:rsidRDefault="003B5538" w:rsidP="00631549">
      <w:pPr>
        <w:spacing w:line="480" w:lineRule="auto"/>
        <w:ind w:left="851" w:hanging="851"/>
      </w:pPr>
      <w:bookmarkStart w:id="4" w:name="_Hlk23691008"/>
      <w:r w:rsidRPr="009A1520">
        <w:t xml:space="preserve">McLaren, L., &amp; Johnson, M. (2007). </w:t>
      </w:r>
      <w:bookmarkEnd w:id="4"/>
      <w:r w:rsidRPr="009A1520">
        <w:t>Resources, group conflict and symbols: Explaining anti-immigration hostility in Britain. </w:t>
      </w:r>
      <w:r w:rsidRPr="009A1520">
        <w:rPr>
          <w:i/>
          <w:iCs/>
        </w:rPr>
        <w:t>Political Studies</w:t>
      </w:r>
      <w:r w:rsidRPr="009A1520">
        <w:t>, </w:t>
      </w:r>
      <w:r w:rsidRPr="009A1520">
        <w:rPr>
          <w:i/>
          <w:iCs/>
        </w:rPr>
        <w:t>55</w:t>
      </w:r>
      <w:r w:rsidRPr="009A1520">
        <w:t>(4), 709-732</w:t>
      </w:r>
      <w:r w:rsidRPr="00F339E0">
        <w:t>.</w:t>
      </w:r>
    </w:p>
    <w:p w14:paraId="2C5BFD88" w14:textId="77777777" w:rsidR="003B5538" w:rsidRDefault="003B5538" w:rsidP="00F339E0">
      <w:pPr>
        <w:spacing w:line="480" w:lineRule="auto"/>
        <w:ind w:left="851" w:hanging="851"/>
        <w:rPr>
          <w:i/>
          <w:iCs/>
        </w:rPr>
      </w:pPr>
      <w:r w:rsidRPr="00FF0905">
        <w:t>Meuleman, B., Abts, K., Schmidt, P., Pettigrew, T. F., &amp; Davidov, E. (2018). Economic conditions, group relative deprivation and ethnic threat perceptions: a cross-national perspective. </w:t>
      </w:r>
      <w:r w:rsidRPr="00FF0905">
        <w:rPr>
          <w:i/>
          <w:iCs/>
        </w:rPr>
        <w:t>Journal of Ethnic and Migration Studies</w:t>
      </w:r>
      <w:r w:rsidRPr="00FF0905">
        <w:t>, 1-19.</w:t>
      </w:r>
    </w:p>
    <w:p w14:paraId="601A27D7" w14:textId="77777777" w:rsidR="003B5538" w:rsidRPr="00F339E0" w:rsidRDefault="003B5538" w:rsidP="003B5538">
      <w:pPr>
        <w:ind w:left="851" w:hanging="851"/>
      </w:pPr>
      <w:r w:rsidRPr="00800AD7">
        <w:lastRenderedPageBreak/>
        <w:t>Nestor, P. G., &amp; Schutt, R. K. (2018). </w:t>
      </w:r>
      <w:r w:rsidRPr="00800AD7">
        <w:rPr>
          <w:i/>
          <w:iCs/>
        </w:rPr>
        <w:t>Research methods in psychology: Investigating human behavior</w:t>
      </w:r>
      <w:r w:rsidRPr="00800AD7">
        <w:t>. Sage Publications.</w:t>
      </w:r>
    </w:p>
    <w:p w14:paraId="66775059" w14:textId="77777777" w:rsidR="003B5538" w:rsidRDefault="003B5538" w:rsidP="00F339E0">
      <w:pPr>
        <w:spacing w:line="480" w:lineRule="auto"/>
        <w:ind w:left="851" w:hanging="851"/>
      </w:pPr>
      <w:proofErr w:type="spellStart"/>
      <w:r w:rsidRPr="005D0107">
        <w:t>Oesch</w:t>
      </w:r>
      <w:proofErr w:type="spellEnd"/>
      <w:r w:rsidRPr="005D0107">
        <w:t>, D. (2008). Explaining workers' support for right-wing populist parties in Western Europe: Evidence from Austria, Belgium, France, Norway, and Switzerland. </w:t>
      </w:r>
      <w:r w:rsidRPr="005D0107">
        <w:rPr>
          <w:i/>
          <w:iCs/>
        </w:rPr>
        <w:t>International Political Science Review</w:t>
      </w:r>
      <w:r w:rsidRPr="005D0107">
        <w:t>, </w:t>
      </w:r>
      <w:r w:rsidRPr="005D0107">
        <w:rPr>
          <w:i/>
          <w:iCs/>
        </w:rPr>
        <w:t>29</w:t>
      </w:r>
      <w:r w:rsidRPr="005D0107">
        <w:t>(3), 349-373.</w:t>
      </w:r>
    </w:p>
    <w:p w14:paraId="0A526018" w14:textId="77777777" w:rsidR="003B5538" w:rsidRPr="00F339E0" w:rsidRDefault="003B5538" w:rsidP="00F339E0">
      <w:pPr>
        <w:spacing w:line="480" w:lineRule="auto"/>
        <w:ind w:left="851" w:hanging="851"/>
      </w:pPr>
      <w:proofErr w:type="spellStart"/>
      <w:r w:rsidRPr="00F339E0">
        <w:t>Paluck</w:t>
      </w:r>
      <w:proofErr w:type="spellEnd"/>
      <w:r w:rsidRPr="00F339E0">
        <w:t>, E. L., Green, S. A., &amp; Green, D. P. (2019). The contact hypothesis re-evaluated. </w:t>
      </w:r>
      <w:r w:rsidRPr="00F339E0">
        <w:rPr>
          <w:i/>
          <w:iCs/>
        </w:rPr>
        <w:t>Behavioural Public Policy</w:t>
      </w:r>
      <w:r w:rsidRPr="00F339E0">
        <w:t>, </w:t>
      </w:r>
      <w:r w:rsidRPr="00F339E0">
        <w:rPr>
          <w:i/>
          <w:iCs/>
        </w:rPr>
        <w:t>3</w:t>
      </w:r>
      <w:r w:rsidRPr="00F339E0">
        <w:t>(2), 129-158.</w:t>
      </w:r>
    </w:p>
    <w:p w14:paraId="153D3291" w14:textId="77777777" w:rsidR="003B5538" w:rsidRPr="00F339E0" w:rsidRDefault="003B5538" w:rsidP="00F339E0">
      <w:pPr>
        <w:spacing w:line="480" w:lineRule="auto"/>
        <w:ind w:left="851" w:hanging="851"/>
      </w:pPr>
      <w:r w:rsidRPr="00F339E0">
        <w:t>Pettigrew, T. F., &amp; Tropp, L. R. (2006). A meta-analytic test of intergroup contact theory. </w:t>
      </w:r>
      <w:r w:rsidRPr="00F339E0">
        <w:rPr>
          <w:i/>
          <w:iCs/>
        </w:rPr>
        <w:t>Journal of personality and social psychology</w:t>
      </w:r>
      <w:r w:rsidRPr="00F339E0">
        <w:t>, </w:t>
      </w:r>
      <w:r w:rsidRPr="00F339E0">
        <w:rPr>
          <w:i/>
          <w:iCs/>
        </w:rPr>
        <w:t>90</w:t>
      </w:r>
      <w:r w:rsidRPr="00F339E0">
        <w:t>(5), 751.</w:t>
      </w:r>
    </w:p>
    <w:p w14:paraId="67C9A0D7" w14:textId="77777777" w:rsidR="003B5538" w:rsidRDefault="003B5538" w:rsidP="00F339E0">
      <w:pPr>
        <w:spacing w:line="480" w:lineRule="auto"/>
        <w:ind w:left="851" w:hanging="851"/>
      </w:pPr>
      <w:r w:rsidRPr="00327131">
        <w:t>Pettigrew, T. F., Christ, O., Wagner, U., Meertens, R. W., Van Dick, R., &amp; Zick, A. (2008). Relative deprivation and intergroup prejudice. </w:t>
      </w:r>
      <w:r w:rsidRPr="00327131">
        <w:rPr>
          <w:i/>
          <w:iCs/>
        </w:rPr>
        <w:t>Journal of Social Issues</w:t>
      </w:r>
      <w:r w:rsidRPr="00327131">
        <w:t>, </w:t>
      </w:r>
      <w:r w:rsidRPr="00327131">
        <w:rPr>
          <w:i/>
          <w:iCs/>
        </w:rPr>
        <w:t>64</w:t>
      </w:r>
      <w:r w:rsidRPr="00327131">
        <w:t>(2), 385-401.</w:t>
      </w:r>
    </w:p>
    <w:p w14:paraId="3D2C52D7" w14:textId="77777777" w:rsidR="003B5538" w:rsidRDefault="003B5538" w:rsidP="00F339E0">
      <w:pPr>
        <w:spacing w:line="480" w:lineRule="auto"/>
        <w:ind w:left="851" w:hanging="851"/>
        <w:rPr>
          <w:i/>
          <w:iCs/>
        </w:rPr>
      </w:pPr>
      <w:r w:rsidRPr="002219A5">
        <w:t>Runciman, D. (2018). </w:t>
      </w:r>
      <w:r w:rsidRPr="002219A5">
        <w:rPr>
          <w:i/>
          <w:iCs/>
        </w:rPr>
        <w:t>Political Hypocrisy: The Mask of Power, from Hobbes to Orwell and Beyond, Revised Edition</w:t>
      </w:r>
      <w:r w:rsidRPr="002219A5">
        <w:t>. Princeton University Press.</w:t>
      </w:r>
    </w:p>
    <w:p w14:paraId="6872C9CF" w14:textId="77777777" w:rsidR="003B5538" w:rsidRDefault="003B5538" w:rsidP="00F339E0">
      <w:pPr>
        <w:spacing w:line="480" w:lineRule="auto"/>
        <w:ind w:left="851" w:hanging="851"/>
      </w:pPr>
      <w:proofErr w:type="spellStart"/>
      <w:r w:rsidRPr="005D0107">
        <w:t>Rydgren</w:t>
      </w:r>
      <w:proofErr w:type="spellEnd"/>
      <w:r w:rsidRPr="005D0107">
        <w:t>, J. (2007). The sociology of the radical right. </w:t>
      </w:r>
      <w:r w:rsidRPr="005D0107">
        <w:rPr>
          <w:i/>
          <w:iCs/>
        </w:rPr>
        <w:t>Annu. Rev. Sociol.</w:t>
      </w:r>
      <w:r w:rsidRPr="005D0107">
        <w:t>, </w:t>
      </w:r>
      <w:r w:rsidRPr="005D0107">
        <w:rPr>
          <w:i/>
          <w:iCs/>
        </w:rPr>
        <w:t>33</w:t>
      </w:r>
      <w:r w:rsidRPr="005D0107">
        <w:t>, 241-262.</w:t>
      </w:r>
    </w:p>
    <w:p w14:paraId="16B503E3" w14:textId="77777777" w:rsidR="003B5538" w:rsidRDefault="003B5538" w:rsidP="00F339E0">
      <w:pPr>
        <w:spacing w:line="480" w:lineRule="auto"/>
        <w:ind w:left="851" w:hanging="851"/>
        <w:rPr>
          <w:i/>
          <w:iCs/>
        </w:rPr>
      </w:pPr>
      <w:r w:rsidRPr="00327131">
        <w:t>Sampson, T. (2017). Brexit: the economics of international disintegration. </w:t>
      </w:r>
      <w:r w:rsidRPr="00327131">
        <w:rPr>
          <w:i/>
          <w:iCs/>
        </w:rPr>
        <w:t>Journal of Economic perspectives</w:t>
      </w:r>
      <w:r w:rsidRPr="00327131">
        <w:t>, </w:t>
      </w:r>
      <w:r w:rsidRPr="00327131">
        <w:rPr>
          <w:i/>
          <w:iCs/>
        </w:rPr>
        <w:t>31</w:t>
      </w:r>
      <w:r w:rsidRPr="00327131">
        <w:t>(4), 163-84.</w:t>
      </w:r>
    </w:p>
    <w:p w14:paraId="3962CE58" w14:textId="77777777" w:rsidR="003B5538" w:rsidRPr="00F339E0" w:rsidRDefault="003B5538" w:rsidP="00F339E0">
      <w:pPr>
        <w:spacing w:line="480" w:lineRule="auto"/>
        <w:ind w:left="851" w:hanging="851"/>
      </w:pPr>
      <w:r w:rsidRPr="00F339E0">
        <w:t>Schiffer, S., &amp; Wagner, C. (2011). Anti-Semitism and Islamophobia-new enemies, old patterns. </w:t>
      </w:r>
      <w:r w:rsidRPr="00F339E0">
        <w:rPr>
          <w:i/>
          <w:iCs/>
        </w:rPr>
        <w:t>Race &amp; Class</w:t>
      </w:r>
      <w:r w:rsidRPr="00F339E0">
        <w:t>, </w:t>
      </w:r>
      <w:r w:rsidRPr="00F339E0">
        <w:rPr>
          <w:i/>
          <w:iCs/>
        </w:rPr>
        <w:t>52</w:t>
      </w:r>
      <w:r w:rsidRPr="00F339E0">
        <w:t>(3), 77-84.</w:t>
      </w:r>
    </w:p>
    <w:p w14:paraId="1E92C642" w14:textId="77777777" w:rsidR="003B5538" w:rsidRDefault="003B5538" w:rsidP="00F339E0">
      <w:pPr>
        <w:spacing w:line="480" w:lineRule="auto"/>
        <w:ind w:left="851" w:hanging="851"/>
      </w:pPr>
      <w:bookmarkStart w:id="5" w:name="_Hlk23692294"/>
      <w:r w:rsidRPr="00BB47EE">
        <w:t xml:space="preserve">Schmid, K., Ramiah, A. A., &amp; Hewstone, M. (2014). </w:t>
      </w:r>
      <w:bookmarkEnd w:id="5"/>
      <w:r w:rsidRPr="00BB47EE">
        <w:t>Neighbourhood ethnic diversity and trust: The role of intergroup contact and perceived threat. </w:t>
      </w:r>
      <w:r w:rsidRPr="00BB47EE">
        <w:rPr>
          <w:i/>
          <w:iCs/>
        </w:rPr>
        <w:t>Psychological science</w:t>
      </w:r>
      <w:r w:rsidRPr="00BB47EE">
        <w:t>, </w:t>
      </w:r>
      <w:r w:rsidRPr="00BB47EE">
        <w:rPr>
          <w:i/>
          <w:iCs/>
        </w:rPr>
        <w:t>25</w:t>
      </w:r>
      <w:r w:rsidRPr="00BB47EE">
        <w:t>(3), 665-674.</w:t>
      </w:r>
    </w:p>
    <w:p w14:paraId="7FCCA5F8" w14:textId="77777777" w:rsidR="003B5538" w:rsidRPr="00F339E0" w:rsidRDefault="003B5538" w:rsidP="003B5538">
      <w:pPr>
        <w:spacing w:line="480" w:lineRule="auto"/>
        <w:ind w:left="851" w:hanging="851"/>
      </w:pPr>
      <w:r w:rsidRPr="00F55240">
        <w:t xml:space="preserve">Schoen, H., &amp; Schumann, S. (2007). Personality traits, partisan attitudes, and voting behaviour. </w:t>
      </w:r>
    </w:p>
    <w:p w14:paraId="69080CAF" w14:textId="77777777" w:rsidR="003B5538" w:rsidRDefault="003B5538" w:rsidP="003B5538">
      <w:pPr>
        <w:spacing w:line="480" w:lineRule="auto"/>
        <w:ind w:left="851" w:hanging="851"/>
        <w:rPr>
          <w:i/>
          <w:iCs/>
        </w:rPr>
      </w:pPr>
      <w:bookmarkStart w:id="6" w:name="_Hlk23689627"/>
      <w:r w:rsidRPr="006B01D9">
        <w:t xml:space="preserve">Sen, A., &amp; Avci, Ö. (2016). </w:t>
      </w:r>
      <w:bookmarkEnd w:id="6"/>
      <w:r w:rsidRPr="006B01D9">
        <w:t>Why social movements occur: Theories of social movements. </w:t>
      </w:r>
      <w:r w:rsidRPr="006B01D9">
        <w:rPr>
          <w:i/>
          <w:iCs/>
        </w:rPr>
        <w:t>The Journal of Knowledge Economy &amp; Knowledge Management</w:t>
      </w:r>
      <w:r w:rsidRPr="006B01D9">
        <w:t>, </w:t>
      </w:r>
      <w:r w:rsidRPr="006B01D9">
        <w:rPr>
          <w:i/>
          <w:iCs/>
        </w:rPr>
        <w:t>11</w:t>
      </w:r>
      <w:r w:rsidRPr="006B01D9">
        <w:t>(1), 125-130.</w:t>
      </w:r>
    </w:p>
    <w:p w14:paraId="74DB7D7F" w14:textId="77777777" w:rsidR="003B5538" w:rsidRPr="00F339E0" w:rsidRDefault="003B5538" w:rsidP="003B5538">
      <w:pPr>
        <w:spacing w:line="480" w:lineRule="auto"/>
        <w:ind w:left="851" w:hanging="851"/>
      </w:pPr>
      <w:r w:rsidRPr="00F339E0">
        <w:lastRenderedPageBreak/>
        <w:t>Sherif, M., &amp; Predicament, I. C. (1966). Social psychology of intergroup conflict and cooperation. </w:t>
      </w:r>
      <w:r w:rsidRPr="00F339E0">
        <w:rPr>
          <w:i/>
          <w:iCs/>
        </w:rPr>
        <w:t>Boston: Haughton and Mittlin</w:t>
      </w:r>
      <w:r w:rsidRPr="00F339E0">
        <w:t>.</w:t>
      </w:r>
    </w:p>
    <w:p w14:paraId="236A6EDE" w14:textId="77777777" w:rsidR="003B5538" w:rsidRPr="00F339E0" w:rsidRDefault="003B5538" w:rsidP="003B5538">
      <w:pPr>
        <w:spacing w:line="480" w:lineRule="auto"/>
        <w:ind w:left="851" w:hanging="851"/>
      </w:pPr>
      <w:r w:rsidRPr="00F339E0">
        <w:t>Sidanius, J., &amp; Pratto, F. (2003). Social dominance theory and the dynamics of inequality: A reply to Schmitt, Branscombe, &amp; Kappen and Wilson &amp; Liu. </w:t>
      </w:r>
      <w:r w:rsidRPr="00F339E0">
        <w:rPr>
          <w:i/>
          <w:iCs/>
        </w:rPr>
        <w:t>The British journal of social psychology</w:t>
      </w:r>
      <w:r w:rsidRPr="00F339E0">
        <w:t>, </w:t>
      </w:r>
      <w:r w:rsidRPr="00F339E0">
        <w:rPr>
          <w:i/>
          <w:iCs/>
        </w:rPr>
        <w:t>42</w:t>
      </w:r>
      <w:r w:rsidRPr="00F339E0">
        <w:t>, 207.</w:t>
      </w:r>
    </w:p>
    <w:p w14:paraId="452C0CB2" w14:textId="77777777" w:rsidR="003B5538" w:rsidRPr="00F339E0" w:rsidRDefault="003B5538" w:rsidP="003B5538">
      <w:pPr>
        <w:spacing w:line="480" w:lineRule="auto"/>
        <w:ind w:left="851" w:hanging="851"/>
      </w:pPr>
      <w:r w:rsidRPr="00F339E0">
        <w:t>Sidanius, J., Pratto, F., &amp; Bobo, L. (1996). Racism, conservatism, affirmative action, and intellectual sophistication: A matter of principled conservatism or group dominance? </w:t>
      </w:r>
      <w:r w:rsidRPr="00F339E0">
        <w:rPr>
          <w:i/>
          <w:iCs/>
        </w:rPr>
        <w:t>Journal of personality and social psychology</w:t>
      </w:r>
      <w:r w:rsidRPr="00F339E0">
        <w:t>, </w:t>
      </w:r>
      <w:r w:rsidRPr="00F339E0">
        <w:rPr>
          <w:i/>
          <w:iCs/>
        </w:rPr>
        <w:t>70</w:t>
      </w:r>
      <w:r w:rsidRPr="00F339E0">
        <w:t>(3), 476.</w:t>
      </w:r>
    </w:p>
    <w:p w14:paraId="45EFDE88" w14:textId="77777777" w:rsidR="003B5538" w:rsidRDefault="003B5538" w:rsidP="003B5538">
      <w:pPr>
        <w:spacing w:line="480" w:lineRule="auto"/>
        <w:ind w:left="851" w:hanging="851"/>
        <w:rPr>
          <w:i/>
          <w:iCs/>
        </w:rPr>
      </w:pPr>
      <w:r w:rsidRPr="00F55240">
        <w:t>Stephan, W. G., &amp; Stephan, C. W. (2017). Intergroup threat theory. </w:t>
      </w:r>
      <w:r w:rsidRPr="00F55240">
        <w:rPr>
          <w:i/>
          <w:iCs/>
        </w:rPr>
        <w:t>The International Encyclopaedia of Intercultural Communication</w:t>
      </w:r>
      <w:r w:rsidRPr="00F55240">
        <w:t>, 1-12.</w:t>
      </w:r>
    </w:p>
    <w:p w14:paraId="1E38E764" w14:textId="77777777" w:rsidR="003B5538" w:rsidRPr="00F339E0" w:rsidRDefault="003B5538" w:rsidP="003B5538">
      <w:pPr>
        <w:spacing w:line="480" w:lineRule="auto"/>
        <w:ind w:left="851" w:hanging="851"/>
      </w:pPr>
      <w:r w:rsidRPr="00F339E0">
        <w:t>Stephan, W. S., &amp; Stephan, C. W. (2013). An integrated threat theory of prejudice. In </w:t>
      </w:r>
      <w:r w:rsidRPr="00F339E0">
        <w:rPr>
          <w:i/>
          <w:iCs/>
        </w:rPr>
        <w:t>Reducing prejudice and discrimination</w:t>
      </w:r>
      <w:r w:rsidRPr="00F339E0">
        <w:t> (pp. 33-56). Psychology Press.</w:t>
      </w:r>
    </w:p>
    <w:p w14:paraId="0811B4F5" w14:textId="77777777" w:rsidR="003B5538" w:rsidRPr="00F339E0" w:rsidRDefault="003B5538" w:rsidP="003B5538">
      <w:pPr>
        <w:spacing w:line="480" w:lineRule="auto"/>
        <w:ind w:left="851" w:hanging="851"/>
      </w:pPr>
      <w:r w:rsidRPr="00F339E0">
        <w:t>Strabac, Z., &amp; Listhaug, O. (2008). Anti-Muslim prejudice in Europe: A multilevel analysis of survey data from 30 countries. </w:t>
      </w:r>
      <w:r w:rsidRPr="00F339E0">
        <w:rPr>
          <w:i/>
          <w:iCs/>
        </w:rPr>
        <w:t>Social Science Research</w:t>
      </w:r>
      <w:r w:rsidRPr="00F339E0">
        <w:t>, </w:t>
      </w:r>
      <w:r w:rsidRPr="00F339E0">
        <w:rPr>
          <w:i/>
          <w:iCs/>
        </w:rPr>
        <w:t>37</w:t>
      </w:r>
      <w:r w:rsidRPr="00F339E0">
        <w:t>(1), 268-286.</w:t>
      </w:r>
    </w:p>
    <w:p w14:paraId="2A57D560" w14:textId="77777777" w:rsidR="003B5538" w:rsidRDefault="003B5538" w:rsidP="003B5538">
      <w:pPr>
        <w:spacing w:line="480" w:lineRule="auto"/>
        <w:ind w:left="851" w:hanging="851"/>
        <w:rPr>
          <w:i/>
          <w:iCs/>
        </w:rPr>
      </w:pPr>
      <w:r w:rsidRPr="0068363C">
        <w:t>Sue, D. W., Sue, D., Neville, H. A., &amp; Smith, L. (2019). </w:t>
      </w:r>
      <w:r w:rsidRPr="0068363C">
        <w:rPr>
          <w:i/>
          <w:iCs/>
        </w:rPr>
        <w:t>Counselling the culturally diverse: Theory and practice</w:t>
      </w:r>
      <w:r w:rsidRPr="0068363C">
        <w:t>. John Wiley &amp; Sons.</w:t>
      </w:r>
    </w:p>
    <w:p w14:paraId="06A18A76" w14:textId="77777777" w:rsidR="003B5538" w:rsidRPr="00F339E0" w:rsidRDefault="003B5538" w:rsidP="003B5538">
      <w:pPr>
        <w:spacing w:line="480" w:lineRule="auto"/>
        <w:ind w:left="851" w:hanging="851"/>
      </w:pPr>
      <w:r w:rsidRPr="00F339E0">
        <w:t>Swami, V., Barron, D., Weis, L., &amp; Furnham, A. (2018). To Brexit or not to Brexit: The roles of islamophobia, conspiracist beliefs, and integrated threat in voting intentions for the United Kingdom European Union membership referendum. </w:t>
      </w:r>
      <w:r w:rsidRPr="00F339E0">
        <w:rPr>
          <w:i/>
          <w:iCs/>
        </w:rPr>
        <w:t>British Journal of Psychology</w:t>
      </w:r>
      <w:r w:rsidRPr="00F339E0">
        <w:t>, </w:t>
      </w:r>
      <w:r w:rsidRPr="00F339E0">
        <w:rPr>
          <w:i/>
          <w:iCs/>
        </w:rPr>
        <w:t>109</w:t>
      </w:r>
      <w:r w:rsidRPr="00F339E0">
        <w:t>(1), 156-179.</w:t>
      </w:r>
    </w:p>
    <w:p w14:paraId="7E498863" w14:textId="77777777" w:rsidR="003B5538" w:rsidRPr="00F339E0" w:rsidRDefault="003B5538" w:rsidP="003B5538">
      <w:pPr>
        <w:spacing w:line="480" w:lineRule="auto"/>
        <w:ind w:left="851" w:hanging="851"/>
      </w:pPr>
      <w:r w:rsidRPr="00F339E0">
        <w:t>Turner, J. C., &amp; Tajfel, H. (1986). The social identity theory of intergroup behaviour. </w:t>
      </w:r>
      <w:r w:rsidRPr="00F339E0">
        <w:rPr>
          <w:i/>
          <w:iCs/>
        </w:rPr>
        <w:t>Psychology of intergroup relations</w:t>
      </w:r>
      <w:r w:rsidRPr="00F339E0">
        <w:t>, </w:t>
      </w:r>
      <w:r w:rsidRPr="00F339E0">
        <w:rPr>
          <w:i/>
          <w:iCs/>
        </w:rPr>
        <w:t>5</w:t>
      </w:r>
      <w:r w:rsidRPr="00F339E0">
        <w:t>, 7-24.</w:t>
      </w:r>
    </w:p>
    <w:p w14:paraId="66022EA8" w14:textId="77777777" w:rsidR="003B5538" w:rsidRPr="00F339E0" w:rsidRDefault="003B5538" w:rsidP="003B5538">
      <w:pPr>
        <w:spacing w:line="480" w:lineRule="auto"/>
        <w:ind w:left="851" w:hanging="851"/>
      </w:pPr>
      <w:proofErr w:type="spellStart"/>
      <w:r w:rsidRPr="00F339E0">
        <w:lastRenderedPageBreak/>
        <w:t>Uenal</w:t>
      </w:r>
      <w:proofErr w:type="spellEnd"/>
      <w:r w:rsidRPr="00F339E0">
        <w:t>, F. (2016). Disentangling Islamophobia: The differential effects of symbolic, realistic, and terroristic threat perceptions as mediators between social dominance orientation and Islamophobia.</w:t>
      </w:r>
    </w:p>
    <w:p w14:paraId="7CC4C40F" w14:textId="77777777" w:rsidR="003B5538" w:rsidRDefault="003B5538" w:rsidP="003B5538">
      <w:pPr>
        <w:spacing w:line="480" w:lineRule="auto"/>
        <w:ind w:left="851" w:hanging="851"/>
        <w:rPr>
          <w:i/>
          <w:iCs/>
        </w:rPr>
      </w:pPr>
      <w:proofErr w:type="spellStart"/>
      <w:r w:rsidRPr="006F08EB">
        <w:t>Urbanska</w:t>
      </w:r>
      <w:proofErr w:type="spellEnd"/>
      <w:r w:rsidRPr="006F08EB">
        <w:t>, K., &amp; Guimond, S. (2018). Swaying to the extreme: Group relative deprivation predicts voting for an extreme right party in the French presidential election. </w:t>
      </w:r>
      <w:r w:rsidRPr="006F08EB">
        <w:rPr>
          <w:i/>
          <w:iCs/>
        </w:rPr>
        <w:t>International Review of Social Psychology</w:t>
      </w:r>
      <w:r w:rsidRPr="006F08EB">
        <w:t>, </w:t>
      </w:r>
      <w:r w:rsidRPr="006F08EB">
        <w:rPr>
          <w:i/>
          <w:iCs/>
        </w:rPr>
        <w:t>31</w:t>
      </w:r>
      <w:r w:rsidRPr="006F08EB">
        <w:t>(1).</w:t>
      </w:r>
    </w:p>
    <w:p w14:paraId="23A27C45" w14:textId="77777777" w:rsidR="003B5538" w:rsidRDefault="003B5538" w:rsidP="003B5538">
      <w:pPr>
        <w:spacing w:line="480" w:lineRule="auto"/>
        <w:ind w:left="851" w:hanging="851"/>
        <w:rPr>
          <w:i/>
          <w:iCs/>
        </w:rPr>
      </w:pPr>
      <w:r w:rsidRPr="00F55240">
        <w:t>Van de Vyver, J., Leite, A. C., Abrams, D., &amp; Palmer, S. B. (2018). Brexit or Bremain? A person and social analysis of voting decisions in the EU referendum. </w:t>
      </w:r>
      <w:r w:rsidRPr="00F55240">
        <w:rPr>
          <w:i/>
          <w:iCs/>
        </w:rPr>
        <w:t>Journal of Community &amp; Applied Social Psychology</w:t>
      </w:r>
      <w:r w:rsidRPr="00F55240">
        <w:t>, </w:t>
      </w:r>
      <w:r w:rsidRPr="00F55240">
        <w:rPr>
          <w:i/>
          <w:iCs/>
        </w:rPr>
        <w:t>28</w:t>
      </w:r>
      <w:r w:rsidRPr="00F55240">
        <w:t>(2), 65-79.</w:t>
      </w:r>
    </w:p>
    <w:p w14:paraId="2B86309E" w14:textId="77777777" w:rsidR="003B5538" w:rsidRDefault="003B5538" w:rsidP="003B5538">
      <w:pPr>
        <w:spacing w:line="480" w:lineRule="auto"/>
        <w:ind w:left="851" w:hanging="851"/>
      </w:pPr>
      <w:r w:rsidRPr="0068363C">
        <w:t xml:space="preserve">Van der </w:t>
      </w:r>
      <w:proofErr w:type="spellStart"/>
      <w:r w:rsidRPr="0068363C">
        <w:t>Brug</w:t>
      </w:r>
      <w:proofErr w:type="spellEnd"/>
      <w:r w:rsidRPr="0068363C">
        <w:t>, W., &amp; Fennema, M. (2007). Causes of voting for the radical right. </w:t>
      </w:r>
      <w:r w:rsidRPr="0068363C">
        <w:rPr>
          <w:i/>
          <w:iCs/>
        </w:rPr>
        <w:t>International Journal of Public Opinion Research</w:t>
      </w:r>
      <w:r w:rsidRPr="0068363C">
        <w:t>, </w:t>
      </w:r>
      <w:r w:rsidRPr="0068363C">
        <w:rPr>
          <w:i/>
          <w:iCs/>
        </w:rPr>
        <w:t>19</w:t>
      </w:r>
      <w:r w:rsidRPr="0068363C">
        <w:t>(4), 474-487.</w:t>
      </w:r>
    </w:p>
    <w:p w14:paraId="5603F729" w14:textId="77777777" w:rsidR="003B5538" w:rsidRPr="00F339E0" w:rsidRDefault="003B5538" w:rsidP="003B5538">
      <w:pPr>
        <w:spacing w:line="480" w:lineRule="auto"/>
        <w:ind w:left="851" w:hanging="851"/>
      </w:pPr>
      <w:r w:rsidRPr="00F339E0">
        <w:t>van Oorschot, W., Roosma, F., Meuleman, B., &amp; Reeskens, T. (Eds.). (2017). </w:t>
      </w:r>
      <w:r w:rsidRPr="00F339E0">
        <w:rPr>
          <w:i/>
          <w:iCs/>
        </w:rPr>
        <w:t>The social legitimacy of targeted welfare: Attitudes to welfare deservingness</w:t>
      </w:r>
      <w:r w:rsidRPr="00F339E0">
        <w:t>. Edward Elgar Publishing.</w:t>
      </w:r>
    </w:p>
    <w:p w14:paraId="712DD0F5" w14:textId="77777777" w:rsidR="003B5538" w:rsidRDefault="003B5538" w:rsidP="003B5538">
      <w:pPr>
        <w:spacing w:line="480" w:lineRule="auto"/>
        <w:ind w:left="851" w:hanging="851"/>
      </w:pPr>
      <w:bookmarkStart w:id="7" w:name="_Hlk23690793"/>
      <w:r w:rsidRPr="00DF7307">
        <w:t xml:space="preserve">Walker, I., &amp; Pettigrew, T. F. (1984). </w:t>
      </w:r>
      <w:bookmarkEnd w:id="7"/>
      <w:r w:rsidRPr="00DF7307">
        <w:t>Relative deprivation theory: An overview and conceptual critique. </w:t>
      </w:r>
      <w:r w:rsidRPr="00DF7307">
        <w:rPr>
          <w:i/>
          <w:iCs/>
        </w:rPr>
        <w:t>British Journal of Social Psychology</w:t>
      </w:r>
      <w:r w:rsidRPr="00DF7307">
        <w:t>, </w:t>
      </w:r>
      <w:r w:rsidRPr="00DF7307">
        <w:rPr>
          <w:i/>
          <w:iCs/>
        </w:rPr>
        <w:t>23</w:t>
      </w:r>
      <w:r w:rsidRPr="00DF7307">
        <w:t>(4), 301-310.</w:t>
      </w:r>
    </w:p>
    <w:p w14:paraId="05B64AE2" w14:textId="77777777" w:rsidR="003B5538" w:rsidRDefault="003B5538" w:rsidP="003B5538">
      <w:pPr>
        <w:spacing w:line="480" w:lineRule="auto"/>
        <w:ind w:left="851" w:hanging="851"/>
        <w:rPr>
          <w:i/>
          <w:iCs/>
        </w:rPr>
      </w:pPr>
      <w:r w:rsidRPr="002219A5">
        <w:t>Walker, I., &amp; Smith, H. J. (Eds.). (2002). </w:t>
      </w:r>
      <w:r w:rsidRPr="002219A5">
        <w:rPr>
          <w:i/>
          <w:iCs/>
        </w:rPr>
        <w:t>Relative deprivation: Specification, development, and integration</w:t>
      </w:r>
      <w:r w:rsidRPr="002219A5">
        <w:t>. Cambridge University Press.</w:t>
      </w:r>
    </w:p>
    <w:p w14:paraId="3D636797" w14:textId="77777777" w:rsidR="003B5538" w:rsidRDefault="003B5538" w:rsidP="003B5538">
      <w:pPr>
        <w:spacing w:line="480" w:lineRule="auto"/>
        <w:ind w:left="851" w:hanging="851"/>
      </w:pPr>
      <w:r w:rsidRPr="002219A5">
        <w:t>Wallace, A. (2016). Homeowners and Poverty: A literature Review for Joseph Rowntree Foundation.</w:t>
      </w:r>
    </w:p>
    <w:p w14:paraId="2989DB22" w14:textId="77777777" w:rsidR="003B5538" w:rsidRPr="00F339E0" w:rsidRDefault="003B5538" w:rsidP="003B5538">
      <w:pPr>
        <w:spacing w:line="480" w:lineRule="auto"/>
        <w:ind w:left="851" w:hanging="851"/>
      </w:pPr>
      <w:r w:rsidRPr="00F339E0">
        <w:t>Zeglovits, E., &amp; Zandonella, M. (2013). Political interest of adolescents before and after lowering the voting age: the case of Austria. </w:t>
      </w:r>
      <w:r w:rsidRPr="00F339E0">
        <w:rPr>
          <w:i/>
          <w:iCs/>
        </w:rPr>
        <w:t>Journal of Youth Studies</w:t>
      </w:r>
      <w:r w:rsidRPr="00F339E0">
        <w:t>, </w:t>
      </w:r>
      <w:r w:rsidRPr="00F339E0">
        <w:rPr>
          <w:i/>
          <w:iCs/>
        </w:rPr>
        <w:t>16</w:t>
      </w:r>
      <w:r w:rsidRPr="00F339E0">
        <w:t>(8), 1084-1104.</w:t>
      </w:r>
    </w:p>
    <w:p w14:paraId="5DB4C552" w14:textId="77777777" w:rsidR="003B5538" w:rsidRPr="00F339E0" w:rsidRDefault="003B5538">
      <w:pPr>
        <w:ind w:left="851" w:hanging="851"/>
      </w:pPr>
    </w:p>
    <w:sectPr w:rsidR="003B5538" w:rsidRPr="00F339E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6462C1" w14:textId="77777777" w:rsidR="00EA53A1" w:rsidRDefault="00EA53A1" w:rsidP="005D0107">
      <w:pPr>
        <w:spacing w:after="0" w:line="240" w:lineRule="auto"/>
      </w:pPr>
      <w:r>
        <w:separator/>
      </w:r>
    </w:p>
  </w:endnote>
  <w:endnote w:type="continuationSeparator" w:id="0">
    <w:p w14:paraId="3D178D34" w14:textId="77777777" w:rsidR="00EA53A1" w:rsidRDefault="00EA53A1" w:rsidP="005D01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D51258" w14:textId="77777777" w:rsidR="00EA53A1" w:rsidRDefault="00EA53A1" w:rsidP="005D0107">
      <w:pPr>
        <w:spacing w:after="0" w:line="240" w:lineRule="auto"/>
      </w:pPr>
      <w:r>
        <w:separator/>
      </w:r>
    </w:p>
  </w:footnote>
  <w:footnote w:type="continuationSeparator" w:id="0">
    <w:p w14:paraId="538F74C3" w14:textId="77777777" w:rsidR="00EA53A1" w:rsidRDefault="00EA53A1" w:rsidP="005D010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FE7"/>
    <w:rsid w:val="00025963"/>
    <w:rsid w:val="00030D99"/>
    <w:rsid w:val="000977F3"/>
    <w:rsid w:val="000D20B5"/>
    <w:rsid w:val="00101CE4"/>
    <w:rsid w:val="001050A6"/>
    <w:rsid w:val="00142FE7"/>
    <w:rsid w:val="0014311E"/>
    <w:rsid w:val="00170126"/>
    <w:rsid w:val="001B6317"/>
    <w:rsid w:val="001D22C8"/>
    <w:rsid w:val="001D5972"/>
    <w:rsid w:val="001F750F"/>
    <w:rsid w:val="002219A5"/>
    <w:rsid w:val="00244382"/>
    <w:rsid w:val="002700F4"/>
    <w:rsid w:val="002B53DA"/>
    <w:rsid w:val="002C2F22"/>
    <w:rsid w:val="00320AC9"/>
    <w:rsid w:val="00321221"/>
    <w:rsid w:val="00327131"/>
    <w:rsid w:val="00334459"/>
    <w:rsid w:val="00384A1B"/>
    <w:rsid w:val="003B5538"/>
    <w:rsid w:val="003D5EEA"/>
    <w:rsid w:val="00421954"/>
    <w:rsid w:val="00425E88"/>
    <w:rsid w:val="00427120"/>
    <w:rsid w:val="00450084"/>
    <w:rsid w:val="00455B92"/>
    <w:rsid w:val="00460813"/>
    <w:rsid w:val="0046440B"/>
    <w:rsid w:val="004876D5"/>
    <w:rsid w:val="00494812"/>
    <w:rsid w:val="004A2EE8"/>
    <w:rsid w:val="004C1FB2"/>
    <w:rsid w:val="0050333B"/>
    <w:rsid w:val="00522841"/>
    <w:rsid w:val="0052698E"/>
    <w:rsid w:val="00570BFF"/>
    <w:rsid w:val="00586733"/>
    <w:rsid w:val="005D0107"/>
    <w:rsid w:val="005D29F6"/>
    <w:rsid w:val="005D7BA0"/>
    <w:rsid w:val="005E290A"/>
    <w:rsid w:val="005E2D44"/>
    <w:rsid w:val="00626AAC"/>
    <w:rsid w:val="00631549"/>
    <w:rsid w:val="0064385D"/>
    <w:rsid w:val="0065407E"/>
    <w:rsid w:val="00661AD3"/>
    <w:rsid w:val="0068363C"/>
    <w:rsid w:val="006B01D9"/>
    <w:rsid w:val="006B1A3A"/>
    <w:rsid w:val="006D0055"/>
    <w:rsid w:val="006D0ECF"/>
    <w:rsid w:val="006F08EB"/>
    <w:rsid w:val="00732C69"/>
    <w:rsid w:val="007418FE"/>
    <w:rsid w:val="00795F50"/>
    <w:rsid w:val="007B03C9"/>
    <w:rsid w:val="007C30C4"/>
    <w:rsid w:val="00800AD7"/>
    <w:rsid w:val="008109DB"/>
    <w:rsid w:val="0082557B"/>
    <w:rsid w:val="00833CF7"/>
    <w:rsid w:val="00863B5A"/>
    <w:rsid w:val="0087316D"/>
    <w:rsid w:val="0087383F"/>
    <w:rsid w:val="00881FF6"/>
    <w:rsid w:val="008D34E9"/>
    <w:rsid w:val="008E287B"/>
    <w:rsid w:val="008E2F77"/>
    <w:rsid w:val="008F7321"/>
    <w:rsid w:val="00941FE5"/>
    <w:rsid w:val="00992EAD"/>
    <w:rsid w:val="009A1520"/>
    <w:rsid w:val="009D391A"/>
    <w:rsid w:val="009F5C08"/>
    <w:rsid w:val="00A0223F"/>
    <w:rsid w:val="00A14E69"/>
    <w:rsid w:val="00A27E81"/>
    <w:rsid w:val="00A32A9C"/>
    <w:rsid w:val="00A61030"/>
    <w:rsid w:val="00A65B0C"/>
    <w:rsid w:val="00A6774F"/>
    <w:rsid w:val="00A724EE"/>
    <w:rsid w:val="00A905A8"/>
    <w:rsid w:val="00A926BA"/>
    <w:rsid w:val="00A92D48"/>
    <w:rsid w:val="00AA6608"/>
    <w:rsid w:val="00AA6ECD"/>
    <w:rsid w:val="00B03FB9"/>
    <w:rsid w:val="00B37869"/>
    <w:rsid w:val="00B43B4E"/>
    <w:rsid w:val="00B85474"/>
    <w:rsid w:val="00BB0021"/>
    <w:rsid w:val="00BB47EE"/>
    <w:rsid w:val="00BC6003"/>
    <w:rsid w:val="00BD676E"/>
    <w:rsid w:val="00C44013"/>
    <w:rsid w:val="00C50CFF"/>
    <w:rsid w:val="00C62E0D"/>
    <w:rsid w:val="00C81BE0"/>
    <w:rsid w:val="00C86823"/>
    <w:rsid w:val="00CE33FC"/>
    <w:rsid w:val="00D030DC"/>
    <w:rsid w:val="00D43BFC"/>
    <w:rsid w:val="00D467E1"/>
    <w:rsid w:val="00D653B1"/>
    <w:rsid w:val="00D9474C"/>
    <w:rsid w:val="00DA26E1"/>
    <w:rsid w:val="00DA6551"/>
    <w:rsid w:val="00DC2420"/>
    <w:rsid w:val="00DF4B50"/>
    <w:rsid w:val="00DF7307"/>
    <w:rsid w:val="00E061D1"/>
    <w:rsid w:val="00E21A66"/>
    <w:rsid w:val="00E5646A"/>
    <w:rsid w:val="00E75573"/>
    <w:rsid w:val="00EA53A1"/>
    <w:rsid w:val="00EC47A6"/>
    <w:rsid w:val="00ED2B27"/>
    <w:rsid w:val="00ED64D8"/>
    <w:rsid w:val="00EE16EF"/>
    <w:rsid w:val="00EF0A29"/>
    <w:rsid w:val="00EF6817"/>
    <w:rsid w:val="00F339E0"/>
    <w:rsid w:val="00F36FF9"/>
    <w:rsid w:val="00F55240"/>
    <w:rsid w:val="00F62F61"/>
    <w:rsid w:val="00F67BE2"/>
    <w:rsid w:val="00FA35D3"/>
    <w:rsid w:val="00FB61D8"/>
    <w:rsid w:val="00FB6351"/>
    <w:rsid w:val="00FB7E6C"/>
    <w:rsid w:val="00FD69BA"/>
    <w:rsid w:val="00FE3ACA"/>
    <w:rsid w:val="00FF0905"/>
    <w:rsid w:val="00FF2D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FAB40"/>
  <w15:chartTrackingRefBased/>
  <w15:docId w15:val="{AE8969A6-7623-4DDF-9A45-8511858CF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4385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A35D3"/>
    <w:rPr>
      <w:color w:val="0563C1" w:themeColor="hyperlink"/>
      <w:u w:val="single"/>
    </w:rPr>
  </w:style>
  <w:style w:type="character" w:styleId="UnresolvedMention">
    <w:name w:val="Unresolved Mention"/>
    <w:basedOn w:val="DefaultParagraphFont"/>
    <w:uiPriority w:val="99"/>
    <w:semiHidden/>
    <w:unhideWhenUsed/>
    <w:rsid w:val="00FA35D3"/>
    <w:rPr>
      <w:color w:val="605E5C"/>
      <w:shd w:val="clear" w:color="auto" w:fill="E1DFDD"/>
    </w:rPr>
  </w:style>
  <w:style w:type="character" w:styleId="Emphasis">
    <w:name w:val="Emphasis"/>
    <w:basedOn w:val="DefaultParagraphFont"/>
    <w:uiPriority w:val="20"/>
    <w:qFormat/>
    <w:rsid w:val="00170126"/>
    <w:rPr>
      <w:i/>
      <w:iCs/>
    </w:rPr>
  </w:style>
  <w:style w:type="paragraph" w:styleId="NormalWeb">
    <w:name w:val="Normal (Web)"/>
    <w:basedOn w:val="Normal"/>
    <w:uiPriority w:val="99"/>
    <w:semiHidden/>
    <w:unhideWhenUsed/>
    <w:rsid w:val="001050A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D01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0107"/>
  </w:style>
  <w:style w:type="paragraph" w:styleId="Footer">
    <w:name w:val="footer"/>
    <w:basedOn w:val="Normal"/>
    <w:link w:val="FooterChar"/>
    <w:uiPriority w:val="99"/>
    <w:unhideWhenUsed/>
    <w:rsid w:val="005D01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0107"/>
  </w:style>
  <w:style w:type="character" w:customStyle="1" w:styleId="Heading1Char">
    <w:name w:val="Heading 1 Char"/>
    <w:basedOn w:val="DefaultParagraphFont"/>
    <w:link w:val="Heading1"/>
    <w:uiPriority w:val="9"/>
    <w:rsid w:val="0064385D"/>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841401">
      <w:bodyDiv w:val="1"/>
      <w:marLeft w:val="0"/>
      <w:marRight w:val="0"/>
      <w:marTop w:val="0"/>
      <w:marBottom w:val="0"/>
      <w:divBdr>
        <w:top w:val="none" w:sz="0" w:space="0" w:color="auto"/>
        <w:left w:val="none" w:sz="0" w:space="0" w:color="auto"/>
        <w:bottom w:val="none" w:sz="0" w:space="0" w:color="auto"/>
        <w:right w:val="none" w:sz="0" w:space="0" w:color="auto"/>
      </w:divBdr>
    </w:div>
    <w:div w:id="424303461">
      <w:bodyDiv w:val="1"/>
      <w:marLeft w:val="0"/>
      <w:marRight w:val="0"/>
      <w:marTop w:val="0"/>
      <w:marBottom w:val="0"/>
      <w:divBdr>
        <w:top w:val="none" w:sz="0" w:space="0" w:color="auto"/>
        <w:left w:val="none" w:sz="0" w:space="0" w:color="auto"/>
        <w:bottom w:val="none" w:sz="0" w:space="0" w:color="auto"/>
        <w:right w:val="none" w:sz="0" w:space="0" w:color="auto"/>
      </w:divBdr>
    </w:div>
    <w:div w:id="1081026094">
      <w:bodyDiv w:val="1"/>
      <w:marLeft w:val="0"/>
      <w:marRight w:val="0"/>
      <w:marTop w:val="0"/>
      <w:marBottom w:val="0"/>
      <w:divBdr>
        <w:top w:val="none" w:sz="0" w:space="0" w:color="auto"/>
        <w:left w:val="none" w:sz="0" w:space="0" w:color="auto"/>
        <w:bottom w:val="none" w:sz="0" w:space="0" w:color="auto"/>
        <w:right w:val="none" w:sz="0" w:space="0" w:color="auto"/>
      </w:divBdr>
    </w:div>
    <w:div w:id="1890991988">
      <w:bodyDiv w:val="1"/>
      <w:marLeft w:val="0"/>
      <w:marRight w:val="0"/>
      <w:marTop w:val="0"/>
      <w:marBottom w:val="0"/>
      <w:divBdr>
        <w:top w:val="none" w:sz="0" w:space="0" w:color="auto"/>
        <w:left w:val="none" w:sz="0" w:space="0" w:color="auto"/>
        <w:bottom w:val="none" w:sz="0" w:space="0" w:color="auto"/>
        <w:right w:val="none" w:sz="0" w:space="0" w:color="auto"/>
      </w:divBdr>
    </w:div>
    <w:div w:id="2005089162">
      <w:bodyDiv w:val="1"/>
      <w:marLeft w:val="0"/>
      <w:marRight w:val="0"/>
      <w:marTop w:val="0"/>
      <w:marBottom w:val="0"/>
      <w:divBdr>
        <w:top w:val="none" w:sz="0" w:space="0" w:color="auto"/>
        <w:left w:val="none" w:sz="0" w:space="0" w:color="auto"/>
        <w:bottom w:val="none" w:sz="0" w:space="0" w:color="auto"/>
        <w:right w:val="none" w:sz="0" w:space="0" w:color="auto"/>
      </w:divBdr>
    </w:div>
    <w:div w:id="2031032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0191886916301283?via%3Dihub" TargetMode="External"/><Relationship Id="rId13" Type="http://schemas.openxmlformats.org/officeDocument/2006/relationships/hyperlink" Target="https://www.sciencedirect.com/science/article/pii/S0191886916301283?via%3Dihub" TargetMode="External"/><Relationship Id="rId18" Type="http://schemas.openxmlformats.org/officeDocument/2006/relationships/hyperlink" Target="https://www.sciencedirect.com/science/article/pii/S0191886916301283" TargetMode="External"/><Relationship Id="rId26" Type="http://schemas.openxmlformats.org/officeDocument/2006/relationships/hyperlink" Target="https://www.sciencedirect.com/science/article/pii/S0191886916301283?via%3Dihub" TargetMode="External"/><Relationship Id="rId3" Type="http://schemas.openxmlformats.org/officeDocument/2006/relationships/webSettings" Target="webSettings.xml"/><Relationship Id="rId21" Type="http://schemas.openxmlformats.org/officeDocument/2006/relationships/hyperlink" Target="https://www.nature.com/articles/s41599-018-0214-5" TargetMode="External"/><Relationship Id="rId7" Type="http://schemas.openxmlformats.org/officeDocument/2006/relationships/hyperlink" Target="https://www.sciencedirect.com/science/article/pii/S0191886916301283?via%3Dihub" TargetMode="External"/><Relationship Id="rId12" Type="http://schemas.openxmlformats.org/officeDocument/2006/relationships/hyperlink" Target="https://www.sciencedirect.com/science/article/pii/S0191886916301283?via%3Dihub" TargetMode="External"/><Relationship Id="rId17" Type="http://schemas.openxmlformats.org/officeDocument/2006/relationships/hyperlink" Target="https://en.wikipedia.org/wiki/Discrimination" TargetMode="External"/><Relationship Id="rId25" Type="http://schemas.openxmlformats.org/officeDocument/2006/relationships/hyperlink" Target="https://www.sciencedirect.com/science/article/pii/S0191886916301283?via%3Dihub" TargetMode="External"/><Relationship Id="rId2" Type="http://schemas.openxmlformats.org/officeDocument/2006/relationships/settings" Target="settings.xml"/><Relationship Id="rId16" Type="http://schemas.openxmlformats.org/officeDocument/2006/relationships/hyperlink" Target="https://www.sciencedirect.com/science/article/pii/S0191886916301283?via%3Dihub" TargetMode="External"/><Relationship Id="rId20" Type="http://schemas.openxmlformats.org/officeDocument/2006/relationships/hyperlink" Target="https://www.sciencedirect.com/science/article/pii/S0191886916301283" TargetMode="External"/><Relationship Id="rId1" Type="http://schemas.openxmlformats.org/officeDocument/2006/relationships/styles" Target="styles.xml"/><Relationship Id="rId6" Type="http://schemas.openxmlformats.org/officeDocument/2006/relationships/hyperlink" Target="https://www.sciencedirect.com/science/article/pii/S0191886916301283?via%3Dihub" TargetMode="External"/><Relationship Id="rId11" Type="http://schemas.openxmlformats.org/officeDocument/2006/relationships/hyperlink" Target="https://www.sciencedirect.com/science/article/pii/S0191886916301283?via%3Dihub" TargetMode="External"/><Relationship Id="rId24" Type="http://schemas.openxmlformats.org/officeDocument/2006/relationships/hyperlink" Target="https://www.sciencedirect.com/science/article/pii/S0191886916301283?via%3Dihub" TargetMode="External"/><Relationship Id="rId5" Type="http://schemas.openxmlformats.org/officeDocument/2006/relationships/endnotes" Target="endnotes.xml"/><Relationship Id="rId15" Type="http://schemas.openxmlformats.org/officeDocument/2006/relationships/hyperlink" Target="https://www.sciencedirect.com/science/article/pii/S0191886916301283?via%3Dihub" TargetMode="External"/><Relationship Id="rId23" Type="http://schemas.openxmlformats.org/officeDocument/2006/relationships/hyperlink" Target="https://www.nature.com/articles/s41599-018-0214-5" TargetMode="External"/><Relationship Id="rId28" Type="http://schemas.openxmlformats.org/officeDocument/2006/relationships/theme" Target="theme/theme1.xml"/><Relationship Id="rId10" Type="http://schemas.openxmlformats.org/officeDocument/2006/relationships/hyperlink" Target="https://www.sciencedirect.com/science/article/pii/S0191886916301283?via%3Dihub" TargetMode="External"/><Relationship Id="rId19" Type="http://schemas.openxmlformats.org/officeDocument/2006/relationships/hyperlink" Target="https://www.sciencedirect.com/science/article/pii/S0191886916301283" TargetMode="External"/><Relationship Id="rId4" Type="http://schemas.openxmlformats.org/officeDocument/2006/relationships/footnotes" Target="footnotes.xml"/><Relationship Id="rId9" Type="http://schemas.openxmlformats.org/officeDocument/2006/relationships/hyperlink" Target="https://www.sciencedirect.com/science/article/pii/S0191886916301283?via%3Dihub" TargetMode="External"/><Relationship Id="rId14" Type="http://schemas.openxmlformats.org/officeDocument/2006/relationships/hyperlink" Target="https://www.sciencedirect.com/science/article/pii/S0191886916301283?via%3Dihub" TargetMode="External"/><Relationship Id="rId22" Type="http://schemas.openxmlformats.org/officeDocument/2006/relationships/hyperlink" Target="https://www.nature.com/articles/s41599-018-0214-5"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6897</TotalTime>
  <Pages>14</Pages>
  <Words>4793</Words>
  <Characters>27322</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Loftus (1707419)</dc:creator>
  <cp:keywords/>
  <dc:description/>
  <cp:lastModifiedBy>Stacey Loftus (1707419)</cp:lastModifiedBy>
  <cp:revision>16</cp:revision>
  <dcterms:created xsi:type="dcterms:W3CDTF">2019-10-29T15:01:00Z</dcterms:created>
  <dcterms:modified xsi:type="dcterms:W3CDTF">2019-11-04T19:34:00Z</dcterms:modified>
</cp:coreProperties>
</file>