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02181BF" w14:textId="5038BC4D" w:rsidR="00DE7050" w:rsidRPr="00E56A72" w:rsidRDefault="00956738" w:rsidP="00C67454">
      <w:pPr>
        <w:pStyle w:val="NoSpacing"/>
        <w:jc w:val="center"/>
        <w:rPr>
          <w:sz w:val="36"/>
          <w:szCs w:val="36"/>
        </w:rPr>
      </w:pPr>
      <w:r w:rsidRPr="00E56A72">
        <w:rPr>
          <w:sz w:val="36"/>
          <w:szCs w:val="36"/>
        </w:rPr>
        <w:t xml:space="preserve">University of </w:t>
      </w:r>
      <w:r w:rsidR="00C67454" w:rsidRPr="00E56A72">
        <w:rPr>
          <w:sz w:val="36"/>
          <w:szCs w:val="36"/>
        </w:rPr>
        <w:t>W</w:t>
      </w:r>
      <w:r w:rsidRPr="00E56A72">
        <w:rPr>
          <w:sz w:val="36"/>
          <w:szCs w:val="36"/>
        </w:rPr>
        <w:t>ales Trinity S</w:t>
      </w:r>
      <w:r w:rsidR="00C67454" w:rsidRPr="00E56A72">
        <w:rPr>
          <w:sz w:val="36"/>
          <w:szCs w:val="36"/>
        </w:rPr>
        <w:t>aint David</w:t>
      </w:r>
    </w:p>
    <w:p w14:paraId="28D04B58" w14:textId="77777777" w:rsidR="001E0E89" w:rsidRDefault="001E0E89" w:rsidP="00C67454">
      <w:pPr>
        <w:pStyle w:val="NoSpacing"/>
        <w:jc w:val="center"/>
      </w:pPr>
    </w:p>
    <w:p w14:paraId="36540DF2" w14:textId="16CA33D9" w:rsidR="00DE7050" w:rsidRPr="00E56A72" w:rsidRDefault="003C0A6E" w:rsidP="00E56A72">
      <w:pPr>
        <w:jc w:val="center"/>
        <w:rPr>
          <w:sz w:val="28"/>
          <w:szCs w:val="28"/>
        </w:rPr>
      </w:pPr>
      <w:r w:rsidRPr="00301299">
        <w:rPr>
          <w:sz w:val="28"/>
          <w:szCs w:val="28"/>
        </w:rPr>
        <w:t>Wales Institute of Science and Art</w:t>
      </w:r>
    </w:p>
    <w:p w14:paraId="4750EF16" w14:textId="77777777" w:rsidR="001E0E89" w:rsidRDefault="001E0E89" w:rsidP="00B40468">
      <w:pPr>
        <w:rPr>
          <w:b/>
          <w:bCs/>
        </w:rPr>
      </w:pPr>
    </w:p>
    <w:p w14:paraId="05A900A4" w14:textId="014F2C96" w:rsidR="001E0E89" w:rsidRDefault="00CA2F5D" w:rsidP="0020284E">
      <w:pPr>
        <w:jc w:val="center"/>
        <w:rPr>
          <w:b/>
          <w:bCs/>
        </w:rPr>
      </w:pPr>
      <w:r>
        <w:rPr>
          <w:noProof/>
        </w:rPr>
        <w:drawing>
          <wp:inline distT="0" distB="0" distL="0" distR="0" wp14:anchorId="3B2EAD41" wp14:editId="08B95F5F">
            <wp:extent cx="4511040" cy="2251522"/>
            <wp:effectExtent l="0" t="0" r="3810" b="0"/>
            <wp:docPr id="1" name="Picture 1" descr="Industry Support Officer - High Value Engineering (12 month FTC) at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dustry Support Officer - High Value Engineering (12 month FTC) at  University of Wales, Trinity Saint Davi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524827" cy="2258403"/>
                    </a:xfrm>
                    <a:prstGeom prst="rect">
                      <a:avLst/>
                    </a:prstGeom>
                    <a:noFill/>
                    <a:ln>
                      <a:noFill/>
                    </a:ln>
                  </pic:spPr>
                </pic:pic>
              </a:graphicData>
            </a:graphic>
          </wp:inline>
        </w:drawing>
      </w:r>
    </w:p>
    <w:p w14:paraId="150477EE" w14:textId="77777777" w:rsidR="0020284E" w:rsidRPr="00D3284C" w:rsidRDefault="0020284E" w:rsidP="0020284E">
      <w:pPr>
        <w:jc w:val="center"/>
        <w:rPr>
          <w:sz w:val="36"/>
          <w:szCs w:val="36"/>
        </w:rPr>
      </w:pPr>
      <w:r w:rsidRPr="00D3284C">
        <w:rPr>
          <w:sz w:val="36"/>
          <w:szCs w:val="36"/>
        </w:rPr>
        <w:t>Development of a Risk-Based, Safe and Cost-Optimised Decommissioning Strategy for Legacy Waste Oil Storage Tanks at Tata Steel Port Talbot</w:t>
      </w:r>
    </w:p>
    <w:p w14:paraId="35D4E145" w14:textId="77777777" w:rsidR="001E0E89" w:rsidRDefault="001E0E89" w:rsidP="00B40468">
      <w:pPr>
        <w:rPr>
          <w:b/>
          <w:bCs/>
        </w:rPr>
      </w:pPr>
    </w:p>
    <w:p w14:paraId="68C23565" w14:textId="77777777" w:rsidR="001E0E89" w:rsidRDefault="001E0E89" w:rsidP="00B40468">
      <w:pPr>
        <w:rPr>
          <w:b/>
          <w:bCs/>
        </w:rPr>
      </w:pPr>
    </w:p>
    <w:p w14:paraId="374062D5" w14:textId="376B35A0" w:rsidR="00333697" w:rsidRDefault="0020284E" w:rsidP="005F5EFD">
      <w:pPr>
        <w:jc w:val="center"/>
        <w:rPr>
          <w:sz w:val="36"/>
          <w:szCs w:val="36"/>
        </w:rPr>
      </w:pPr>
      <w:r>
        <w:rPr>
          <w:sz w:val="36"/>
          <w:szCs w:val="36"/>
        </w:rPr>
        <w:t>Independent Project</w:t>
      </w:r>
    </w:p>
    <w:p w14:paraId="61D92B40" w14:textId="6E5B14F8" w:rsidR="005F5EFD" w:rsidRDefault="00F36926" w:rsidP="005F5EFD">
      <w:pPr>
        <w:jc w:val="center"/>
        <w:rPr>
          <w:sz w:val="36"/>
          <w:szCs w:val="36"/>
        </w:rPr>
      </w:pPr>
      <w:r>
        <w:rPr>
          <w:sz w:val="36"/>
          <w:szCs w:val="36"/>
        </w:rPr>
        <w:t>ACMA</w:t>
      </w:r>
      <w:r w:rsidR="001C35A0">
        <w:rPr>
          <w:sz w:val="36"/>
          <w:szCs w:val="36"/>
        </w:rPr>
        <w:t>6012</w:t>
      </w:r>
    </w:p>
    <w:p w14:paraId="1DDFB0C0" w14:textId="77777777" w:rsidR="00062033" w:rsidRDefault="00062033" w:rsidP="005F5EFD">
      <w:pPr>
        <w:jc w:val="center"/>
        <w:rPr>
          <w:sz w:val="36"/>
          <w:szCs w:val="36"/>
        </w:rPr>
      </w:pPr>
    </w:p>
    <w:p w14:paraId="3B540D90" w14:textId="77777777" w:rsidR="00764D37" w:rsidRPr="00301299" w:rsidRDefault="00764D37" w:rsidP="005F5EFD">
      <w:pPr>
        <w:jc w:val="center"/>
        <w:rPr>
          <w:sz w:val="36"/>
          <w:szCs w:val="36"/>
        </w:rPr>
      </w:pPr>
    </w:p>
    <w:p w14:paraId="2D768C57" w14:textId="77777777" w:rsidR="00DE7050" w:rsidRDefault="00DE7050" w:rsidP="00637BE7">
      <w:pPr>
        <w:jc w:val="center"/>
        <w:rPr>
          <w:b/>
          <w:bCs/>
        </w:rPr>
      </w:pPr>
    </w:p>
    <w:p w14:paraId="75261B6A" w14:textId="77777777" w:rsidR="00DE7050" w:rsidRDefault="00DE7050" w:rsidP="00637BE7">
      <w:pPr>
        <w:jc w:val="center"/>
        <w:rPr>
          <w:b/>
          <w:bCs/>
        </w:rPr>
      </w:pPr>
    </w:p>
    <w:p w14:paraId="6DE73736" w14:textId="77777777" w:rsidR="00DE7050" w:rsidRDefault="00DE7050" w:rsidP="00B40468">
      <w:pPr>
        <w:rPr>
          <w:b/>
          <w:bCs/>
        </w:rPr>
      </w:pPr>
    </w:p>
    <w:p w14:paraId="6D24AA01" w14:textId="77777777" w:rsidR="00E56A72" w:rsidRDefault="00E56A72" w:rsidP="00B40468">
      <w:pPr>
        <w:rPr>
          <w:b/>
          <w:bCs/>
        </w:rPr>
      </w:pPr>
    </w:p>
    <w:p w14:paraId="77AB8487" w14:textId="77777777" w:rsidR="00E56A72" w:rsidRDefault="00E56A72" w:rsidP="00B40468">
      <w:pPr>
        <w:rPr>
          <w:b/>
          <w:bCs/>
        </w:rPr>
      </w:pPr>
    </w:p>
    <w:p w14:paraId="73508DC2" w14:textId="3B760B3C" w:rsidR="00EF4FFE" w:rsidRPr="00C232EF" w:rsidRDefault="0085068F" w:rsidP="00EF4FFE">
      <w:pPr>
        <w:jc w:val="center"/>
        <w:rPr>
          <w:sz w:val="40"/>
          <w:szCs w:val="40"/>
        </w:rPr>
      </w:pPr>
      <w:r w:rsidRPr="00C232EF">
        <w:rPr>
          <w:sz w:val="32"/>
          <w:szCs w:val="32"/>
        </w:rPr>
        <w:t>Trystan Herdman</w:t>
      </w:r>
    </w:p>
    <w:p w14:paraId="745B3054" w14:textId="1698C41D" w:rsidR="00EF4FFE" w:rsidRPr="00C232EF" w:rsidRDefault="00C232EF" w:rsidP="00EF4FFE">
      <w:pPr>
        <w:jc w:val="center"/>
      </w:pPr>
      <w:r w:rsidRPr="00C232EF">
        <w:rPr>
          <w:sz w:val="24"/>
          <w:szCs w:val="24"/>
        </w:rPr>
        <w:t>2219054</w:t>
      </w:r>
    </w:p>
    <w:p w14:paraId="6959F33C" w14:textId="627B2648" w:rsidR="00EF4FFE" w:rsidRDefault="008B15CC" w:rsidP="00EF4FFE">
      <w:pPr>
        <w:jc w:val="center"/>
        <w:sectPr w:rsidR="00EF4FFE" w:rsidSect="00EF4FFE">
          <w:headerReference w:type="default" r:id="rId9"/>
          <w:footerReference w:type="default" r:id="rId10"/>
          <w:pgSz w:w="11906" w:h="16838"/>
          <w:pgMar w:top="1440" w:right="1440" w:bottom="1440" w:left="1440" w:header="708" w:footer="708" w:gutter="0"/>
          <w:cols w:space="708"/>
          <w:titlePg/>
          <w:docGrid w:linePitch="360"/>
        </w:sectPr>
      </w:pPr>
      <w:r>
        <w:t>01/0</w:t>
      </w:r>
      <w:r w:rsidR="007610F5">
        <w:t>6</w:t>
      </w:r>
      <w:r w:rsidR="00C232EF">
        <w:t>/202</w:t>
      </w:r>
      <w:r w:rsidR="007610F5">
        <w:t>5</w:t>
      </w:r>
    </w:p>
    <w:p w14:paraId="2A23AA1A" w14:textId="77777777" w:rsidR="00DE7050" w:rsidRDefault="00DE7050" w:rsidP="00B40468">
      <w:pPr>
        <w:rPr>
          <w:b/>
          <w:bCs/>
        </w:rPr>
      </w:pPr>
    </w:p>
    <w:p w14:paraId="2B51D2FB" w14:textId="77777777" w:rsidR="00DE7050" w:rsidRDefault="00DE7050" w:rsidP="00B40468">
      <w:pPr>
        <w:rPr>
          <w:b/>
          <w:bCs/>
        </w:rPr>
      </w:pPr>
    </w:p>
    <w:sdt>
      <w:sdtPr>
        <w:rPr>
          <w:rFonts w:eastAsiaTheme="minorHAnsi" w:cstheme="minorBidi"/>
          <w:sz w:val="22"/>
          <w:szCs w:val="22"/>
        </w:rPr>
        <w:id w:val="-927812485"/>
        <w:docPartObj>
          <w:docPartGallery w:val="Table of Contents"/>
          <w:docPartUnique/>
        </w:docPartObj>
      </w:sdtPr>
      <w:sdtEndPr>
        <w:rPr>
          <w:b/>
          <w:bCs/>
          <w:noProof/>
        </w:rPr>
      </w:sdtEndPr>
      <w:sdtContent>
        <w:p w14:paraId="1663D922" w14:textId="4540DC8B" w:rsidR="00DA06DD" w:rsidRDefault="00DA06DD">
          <w:pPr>
            <w:pStyle w:val="TOCHeading"/>
          </w:pPr>
          <w:r>
            <w:t>Contents</w:t>
          </w:r>
        </w:p>
        <w:p w14:paraId="74C8206F" w14:textId="21BCA7C2" w:rsidR="00257F34" w:rsidRDefault="00DA06DD">
          <w:pPr>
            <w:pStyle w:val="TOC1"/>
            <w:tabs>
              <w:tab w:val="right" w:leader="dot" w:pos="9016"/>
            </w:tabs>
            <w:rPr>
              <w:rFonts w:asciiTheme="minorHAnsi" w:eastAsiaTheme="minorEastAsia" w:hAnsiTheme="minorHAnsi"/>
              <w:noProof/>
              <w:kern w:val="2"/>
              <w:sz w:val="24"/>
              <w:szCs w:val="24"/>
              <w:lang w:eastAsia="en-GB"/>
              <w14:ligatures w14:val="standardContextual"/>
            </w:rPr>
          </w:pPr>
          <w:r>
            <w:fldChar w:fldCharType="begin"/>
          </w:r>
          <w:r>
            <w:instrText xml:space="preserve"> TOC \o "1-3" \h \z \u </w:instrText>
          </w:r>
          <w:r>
            <w:fldChar w:fldCharType="separate"/>
          </w:r>
          <w:hyperlink w:anchor="_Toc231152012" w:history="1">
            <w:r w:rsidR="00257F34" w:rsidRPr="001D421B">
              <w:rPr>
                <w:rStyle w:val="Hyperlink"/>
                <w:b/>
                <w:bCs/>
                <w:noProof/>
              </w:rPr>
              <w:t>Abstract</w:t>
            </w:r>
            <w:r w:rsidR="00257F34">
              <w:rPr>
                <w:noProof/>
                <w:webHidden/>
              </w:rPr>
              <w:tab/>
            </w:r>
            <w:r w:rsidR="00257F34">
              <w:rPr>
                <w:noProof/>
                <w:webHidden/>
              </w:rPr>
              <w:fldChar w:fldCharType="begin"/>
            </w:r>
            <w:r w:rsidR="00257F34">
              <w:rPr>
                <w:noProof/>
                <w:webHidden/>
              </w:rPr>
              <w:instrText xml:space="preserve"> PAGEREF _Toc231152012 \h </w:instrText>
            </w:r>
            <w:r w:rsidR="00257F34">
              <w:rPr>
                <w:noProof/>
                <w:webHidden/>
              </w:rPr>
            </w:r>
            <w:r w:rsidR="00257F34">
              <w:rPr>
                <w:noProof/>
                <w:webHidden/>
              </w:rPr>
              <w:fldChar w:fldCharType="separate"/>
            </w:r>
            <w:r w:rsidR="00257F34">
              <w:rPr>
                <w:noProof/>
                <w:webHidden/>
              </w:rPr>
              <w:t>5</w:t>
            </w:r>
            <w:r w:rsidR="00257F34">
              <w:rPr>
                <w:noProof/>
                <w:webHidden/>
              </w:rPr>
              <w:fldChar w:fldCharType="end"/>
            </w:r>
          </w:hyperlink>
        </w:p>
        <w:p w14:paraId="3C9128C0" w14:textId="0F1957DC" w:rsidR="00257F34" w:rsidRDefault="00257F34">
          <w:pPr>
            <w:pStyle w:val="TOC1"/>
            <w:tabs>
              <w:tab w:val="right" w:leader="dot" w:pos="9016"/>
            </w:tabs>
            <w:rPr>
              <w:rFonts w:asciiTheme="minorHAnsi" w:eastAsiaTheme="minorEastAsia" w:hAnsiTheme="minorHAnsi"/>
              <w:noProof/>
              <w:kern w:val="2"/>
              <w:sz w:val="24"/>
              <w:szCs w:val="24"/>
              <w:lang w:eastAsia="en-GB"/>
              <w14:ligatures w14:val="standardContextual"/>
            </w:rPr>
          </w:pPr>
          <w:hyperlink w:anchor="_Toc231152013" w:history="1">
            <w:r w:rsidRPr="001D421B">
              <w:rPr>
                <w:rStyle w:val="Hyperlink"/>
                <w:b/>
                <w:bCs/>
                <w:noProof/>
              </w:rPr>
              <w:t>1. Introduction</w:t>
            </w:r>
            <w:r>
              <w:rPr>
                <w:noProof/>
                <w:webHidden/>
              </w:rPr>
              <w:tab/>
            </w:r>
            <w:r>
              <w:rPr>
                <w:noProof/>
                <w:webHidden/>
              </w:rPr>
              <w:fldChar w:fldCharType="begin"/>
            </w:r>
            <w:r>
              <w:rPr>
                <w:noProof/>
                <w:webHidden/>
              </w:rPr>
              <w:instrText xml:space="preserve"> PAGEREF _Toc231152013 \h </w:instrText>
            </w:r>
            <w:r>
              <w:rPr>
                <w:noProof/>
                <w:webHidden/>
              </w:rPr>
            </w:r>
            <w:r>
              <w:rPr>
                <w:noProof/>
                <w:webHidden/>
              </w:rPr>
              <w:fldChar w:fldCharType="separate"/>
            </w:r>
            <w:r>
              <w:rPr>
                <w:noProof/>
                <w:webHidden/>
              </w:rPr>
              <w:t>6</w:t>
            </w:r>
            <w:r>
              <w:rPr>
                <w:noProof/>
                <w:webHidden/>
              </w:rPr>
              <w:fldChar w:fldCharType="end"/>
            </w:r>
          </w:hyperlink>
        </w:p>
        <w:p w14:paraId="27D53348" w14:textId="3DB3AC04" w:rsidR="00257F34" w:rsidRDefault="00257F34">
          <w:pPr>
            <w:pStyle w:val="TOC1"/>
            <w:tabs>
              <w:tab w:val="right" w:leader="dot" w:pos="9016"/>
            </w:tabs>
            <w:rPr>
              <w:rFonts w:asciiTheme="minorHAnsi" w:eastAsiaTheme="minorEastAsia" w:hAnsiTheme="minorHAnsi"/>
              <w:noProof/>
              <w:kern w:val="2"/>
              <w:sz w:val="24"/>
              <w:szCs w:val="24"/>
              <w:lang w:eastAsia="en-GB"/>
              <w14:ligatures w14:val="standardContextual"/>
            </w:rPr>
          </w:pPr>
          <w:hyperlink w:anchor="_Toc231152014" w:history="1">
            <w:r w:rsidRPr="001D421B">
              <w:rPr>
                <w:rStyle w:val="Hyperlink"/>
                <w:b/>
                <w:bCs/>
                <w:noProof/>
              </w:rPr>
              <w:t>2. Industrial Context</w:t>
            </w:r>
            <w:r>
              <w:rPr>
                <w:noProof/>
                <w:webHidden/>
              </w:rPr>
              <w:tab/>
            </w:r>
            <w:r>
              <w:rPr>
                <w:noProof/>
                <w:webHidden/>
              </w:rPr>
              <w:fldChar w:fldCharType="begin"/>
            </w:r>
            <w:r>
              <w:rPr>
                <w:noProof/>
                <w:webHidden/>
              </w:rPr>
              <w:instrText xml:space="preserve"> PAGEREF _Toc231152014 \h </w:instrText>
            </w:r>
            <w:r>
              <w:rPr>
                <w:noProof/>
                <w:webHidden/>
              </w:rPr>
            </w:r>
            <w:r>
              <w:rPr>
                <w:noProof/>
                <w:webHidden/>
              </w:rPr>
              <w:fldChar w:fldCharType="separate"/>
            </w:r>
            <w:r>
              <w:rPr>
                <w:noProof/>
                <w:webHidden/>
              </w:rPr>
              <w:t>6</w:t>
            </w:r>
            <w:r>
              <w:rPr>
                <w:noProof/>
                <w:webHidden/>
              </w:rPr>
              <w:fldChar w:fldCharType="end"/>
            </w:r>
          </w:hyperlink>
        </w:p>
        <w:p w14:paraId="391D095A" w14:textId="5AE9D89B" w:rsidR="00257F34" w:rsidRDefault="00257F34">
          <w:pPr>
            <w:pStyle w:val="TOC1"/>
            <w:tabs>
              <w:tab w:val="right" w:leader="dot" w:pos="9016"/>
            </w:tabs>
            <w:rPr>
              <w:rFonts w:asciiTheme="minorHAnsi" w:eastAsiaTheme="minorEastAsia" w:hAnsiTheme="minorHAnsi"/>
              <w:noProof/>
              <w:kern w:val="2"/>
              <w:sz w:val="24"/>
              <w:szCs w:val="24"/>
              <w:lang w:eastAsia="en-GB"/>
              <w14:ligatures w14:val="standardContextual"/>
            </w:rPr>
          </w:pPr>
          <w:hyperlink w:anchor="_Toc231152015" w:history="1">
            <w:r w:rsidRPr="001D421B">
              <w:rPr>
                <w:rStyle w:val="Hyperlink"/>
                <w:b/>
                <w:bCs/>
                <w:noProof/>
              </w:rPr>
              <w:t>3. Literature Review</w:t>
            </w:r>
            <w:r>
              <w:rPr>
                <w:noProof/>
                <w:webHidden/>
              </w:rPr>
              <w:tab/>
            </w:r>
            <w:r>
              <w:rPr>
                <w:noProof/>
                <w:webHidden/>
              </w:rPr>
              <w:fldChar w:fldCharType="begin"/>
            </w:r>
            <w:r>
              <w:rPr>
                <w:noProof/>
                <w:webHidden/>
              </w:rPr>
              <w:instrText xml:space="preserve"> PAGEREF _Toc231152015 \h </w:instrText>
            </w:r>
            <w:r>
              <w:rPr>
                <w:noProof/>
                <w:webHidden/>
              </w:rPr>
            </w:r>
            <w:r>
              <w:rPr>
                <w:noProof/>
                <w:webHidden/>
              </w:rPr>
              <w:fldChar w:fldCharType="separate"/>
            </w:r>
            <w:r>
              <w:rPr>
                <w:noProof/>
                <w:webHidden/>
              </w:rPr>
              <w:t>7</w:t>
            </w:r>
            <w:r>
              <w:rPr>
                <w:noProof/>
                <w:webHidden/>
              </w:rPr>
              <w:fldChar w:fldCharType="end"/>
            </w:r>
          </w:hyperlink>
        </w:p>
        <w:p w14:paraId="29FCA461" w14:textId="01AE0EAB" w:rsidR="00257F34" w:rsidRDefault="00257F34">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231152016" w:history="1">
            <w:r w:rsidRPr="001D421B">
              <w:rPr>
                <w:rStyle w:val="Hyperlink"/>
                <w:b/>
                <w:bCs/>
                <w:noProof/>
              </w:rPr>
              <w:t>3.1 Tank Decommissioning Strategies</w:t>
            </w:r>
            <w:r>
              <w:rPr>
                <w:noProof/>
                <w:webHidden/>
              </w:rPr>
              <w:tab/>
            </w:r>
            <w:r>
              <w:rPr>
                <w:noProof/>
                <w:webHidden/>
              </w:rPr>
              <w:fldChar w:fldCharType="begin"/>
            </w:r>
            <w:r>
              <w:rPr>
                <w:noProof/>
                <w:webHidden/>
              </w:rPr>
              <w:instrText xml:space="preserve"> PAGEREF _Toc231152016 \h </w:instrText>
            </w:r>
            <w:r>
              <w:rPr>
                <w:noProof/>
                <w:webHidden/>
              </w:rPr>
            </w:r>
            <w:r>
              <w:rPr>
                <w:noProof/>
                <w:webHidden/>
              </w:rPr>
              <w:fldChar w:fldCharType="separate"/>
            </w:r>
            <w:r>
              <w:rPr>
                <w:noProof/>
                <w:webHidden/>
              </w:rPr>
              <w:t>8</w:t>
            </w:r>
            <w:r>
              <w:rPr>
                <w:noProof/>
                <w:webHidden/>
              </w:rPr>
              <w:fldChar w:fldCharType="end"/>
            </w:r>
          </w:hyperlink>
        </w:p>
        <w:p w14:paraId="5C3AD92E" w14:textId="6C8362B4" w:rsidR="00257F34" w:rsidRDefault="00257F34">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231152017" w:history="1">
            <w:r w:rsidRPr="001D421B">
              <w:rPr>
                <w:rStyle w:val="Hyperlink"/>
                <w:b/>
                <w:bCs/>
                <w:noProof/>
              </w:rPr>
              <w:t>3.2 Hazardous Waste Management</w:t>
            </w:r>
            <w:r>
              <w:rPr>
                <w:noProof/>
                <w:webHidden/>
              </w:rPr>
              <w:tab/>
            </w:r>
            <w:r>
              <w:rPr>
                <w:noProof/>
                <w:webHidden/>
              </w:rPr>
              <w:fldChar w:fldCharType="begin"/>
            </w:r>
            <w:r>
              <w:rPr>
                <w:noProof/>
                <w:webHidden/>
              </w:rPr>
              <w:instrText xml:space="preserve"> PAGEREF _Toc231152017 \h </w:instrText>
            </w:r>
            <w:r>
              <w:rPr>
                <w:noProof/>
                <w:webHidden/>
              </w:rPr>
            </w:r>
            <w:r>
              <w:rPr>
                <w:noProof/>
                <w:webHidden/>
              </w:rPr>
              <w:fldChar w:fldCharType="separate"/>
            </w:r>
            <w:r>
              <w:rPr>
                <w:noProof/>
                <w:webHidden/>
              </w:rPr>
              <w:t>8</w:t>
            </w:r>
            <w:r>
              <w:rPr>
                <w:noProof/>
                <w:webHidden/>
              </w:rPr>
              <w:fldChar w:fldCharType="end"/>
            </w:r>
          </w:hyperlink>
        </w:p>
        <w:p w14:paraId="58AA9F8A" w14:textId="34190E52" w:rsidR="00257F34" w:rsidRDefault="00257F34">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231152018" w:history="1">
            <w:r w:rsidRPr="001D421B">
              <w:rPr>
                <w:rStyle w:val="Hyperlink"/>
                <w:b/>
                <w:bCs/>
                <w:noProof/>
              </w:rPr>
              <w:t>3.3 Safety and Risk Control</w:t>
            </w:r>
            <w:r>
              <w:rPr>
                <w:noProof/>
                <w:webHidden/>
              </w:rPr>
              <w:tab/>
            </w:r>
            <w:r>
              <w:rPr>
                <w:noProof/>
                <w:webHidden/>
              </w:rPr>
              <w:fldChar w:fldCharType="begin"/>
            </w:r>
            <w:r>
              <w:rPr>
                <w:noProof/>
                <w:webHidden/>
              </w:rPr>
              <w:instrText xml:space="preserve"> PAGEREF _Toc231152018 \h </w:instrText>
            </w:r>
            <w:r>
              <w:rPr>
                <w:noProof/>
                <w:webHidden/>
              </w:rPr>
            </w:r>
            <w:r>
              <w:rPr>
                <w:noProof/>
                <w:webHidden/>
              </w:rPr>
              <w:fldChar w:fldCharType="separate"/>
            </w:r>
            <w:r>
              <w:rPr>
                <w:noProof/>
                <w:webHidden/>
              </w:rPr>
              <w:t>9</w:t>
            </w:r>
            <w:r>
              <w:rPr>
                <w:noProof/>
                <w:webHidden/>
              </w:rPr>
              <w:fldChar w:fldCharType="end"/>
            </w:r>
          </w:hyperlink>
        </w:p>
        <w:p w14:paraId="24B74534" w14:textId="04E864C8" w:rsidR="00257F34" w:rsidRDefault="00257F34">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231152019" w:history="1">
            <w:r w:rsidRPr="001D421B">
              <w:rPr>
                <w:rStyle w:val="Hyperlink"/>
                <w:b/>
                <w:bCs/>
                <w:noProof/>
              </w:rPr>
              <w:t>3.4 Environmental Protection and Bund Design</w:t>
            </w:r>
            <w:r>
              <w:rPr>
                <w:noProof/>
                <w:webHidden/>
              </w:rPr>
              <w:tab/>
            </w:r>
            <w:r>
              <w:rPr>
                <w:noProof/>
                <w:webHidden/>
              </w:rPr>
              <w:fldChar w:fldCharType="begin"/>
            </w:r>
            <w:r>
              <w:rPr>
                <w:noProof/>
                <w:webHidden/>
              </w:rPr>
              <w:instrText xml:space="preserve"> PAGEREF _Toc231152019 \h </w:instrText>
            </w:r>
            <w:r>
              <w:rPr>
                <w:noProof/>
                <w:webHidden/>
              </w:rPr>
            </w:r>
            <w:r>
              <w:rPr>
                <w:noProof/>
                <w:webHidden/>
              </w:rPr>
              <w:fldChar w:fldCharType="separate"/>
            </w:r>
            <w:r>
              <w:rPr>
                <w:noProof/>
                <w:webHidden/>
              </w:rPr>
              <w:t>10</w:t>
            </w:r>
            <w:r>
              <w:rPr>
                <w:noProof/>
                <w:webHidden/>
              </w:rPr>
              <w:fldChar w:fldCharType="end"/>
            </w:r>
          </w:hyperlink>
        </w:p>
        <w:p w14:paraId="25E6AE17" w14:textId="5506654F" w:rsidR="00257F34" w:rsidRDefault="00257F34">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231152020" w:history="1">
            <w:r w:rsidRPr="001D421B">
              <w:rPr>
                <w:rStyle w:val="Hyperlink"/>
                <w:b/>
                <w:bCs/>
                <w:noProof/>
              </w:rPr>
              <w:t>3.5 Project Management and Risk-Based Decision Making</w:t>
            </w:r>
            <w:r>
              <w:rPr>
                <w:noProof/>
                <w:webHidden/>
              </w:rPr>
              <w:tab/>
            </w:r>
            <w:r>
              <w:rPr>
                <w:noProof/>
                <w:webHidden/>
              </w:rPr>
              <w:fldChar w:fldCharType="begin"/>
            </w:r>
            <w:r>
              <w:rPr>
                <w:noProof/>
                <w:webHidden/>
              </w:rPr>
              <w:instrText xml:space="preserve"> PAGEREF _Toc231152020 \h </w:instrText>
            </w:r>
            <w:r>
              <w:rPr>
                <w:noProof/>
                <w:webHidden/>
              </w:rPr>
            </w:r>
            <w:r>
              <w:rPr>
                <w:noProof/>
                <w:webHidden/>
              </w:rPr>
              <w:fldChar w:fldCharType="separate"/>
            </w:r>
            <w:r>
              <w:rPr>
                <w:noProof/>
                <w:webHidden/>
              </w:rPr>
              <w:t>10</w:t>
            </w:r>
            <w:r>
              <w:rPr>
                <w:noProof/>
                <w:webHidden/>
              </w:rPr>
              <w:fldChar w:fldCharType="end"/>
            </w:r>
          </w:hyperlink>
        </w:p>
        <w:p w14:paraId="1DB165CD" w14:textId="7692B17A" w:rsidR="00257F34" w:rsidRDefault="00257F34">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231152021" w:history="1">
            <w:r w:rsidRPr="001D421B">
              <w:rPr>
                <w:rStyle w:val="Hyperlink"/>
                <w:b/>
                <w:bCs/>
                <w:noProof/>
              </w:rPr>
              <w:t>3.6 Summary of Literature Findings</w:t>
            </w:r>
            <w:r>
              <w:rPr>
                <w:noProof/>
                <w:webHidden/>
              </w:rPr>
              <w:tab/>
            </w:r>
            <w:r>
              <w:rPr>
                <w:noProof/>
                <w:webHidden/>
              </w:rPr>
              <w:fldChar w:fldCharType="begin"/>
            </w:r>
            <w:r>
              <w:rPr>
                <w:noProof/>
                <w:webHidden/>
              </w:rPr>
              <w:instrText xml:space="preserve"> PAGEREF _Toc231152021 \h </w:instrText>
            </w:r>
            <w:r>
              <w:rPr>
                <w:noProof/>
                <w:webHidden/>
              </w:rPr>
            </w:r>
            <w:r>
              <w:rPr>
                <w:noProof/>
                <w:webHidden/>
              </w:rPr>
              <w:fldChar w:fldCharType="separate"/>
            </w:r>
            <w:r>
              <w:rPr>
                <w:noProof/>
                <w:webHidden/>
              </w:rPr>
              <w:t>11</w:t>
            </w:r>
            <w:r>
              <w:rPr>
                <w:noProof/>
                <w:webHidden/>
              </w:rPr>
              <w:fldChar w:fldCharType="end"/>
            </w:r>
          </w:hyperlink>
        </w:p>
        <w:p w14:paraId="399B1ADA" w14:textId="0F0DC72C" w:rsidR="00257F34" w:rsidRDefault="00257F34">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231152022" w:history="1">
            <w:r w:rsidRPr="001D421B">
              <w:rPr>
                <w:rStyle w:val="Hyperlink"/>
                <w:b/>
                <w:bCs/>
                <w:noProof/>
              </w:rPr>
              <w:t>4. Methodology</w:t>
            </w:r>
            <w:r>
              <w:rPr>
                <w:noProof/>
                <w:webHidden/>
              </w:rPr>
              <w:tab/>
            </w:r>
            <w:r>
              <w:rPr>
                <w:noProof/>
                <w:webHidden/>
              </w:rPr>
              <w:fldChar w:fldCharType="begin"/>
            </w:r>
            <w:r>
              <w:rPr>
                <w:noProof/>
                <w:webHidden/>
              </w:rPr>
              <w:instrText xml:space="preserve"> PAGEREF _Toc231152022 \h </w:instrText>
            </w:r>
            <w:r>
              <w:rPr>
                <w:noProof/>
                <w:webHidden/>
              </w:rPr>
            </w:r>
            <w:r>
              <w:rPr>
                <w:noProof/>
                <w:webHidden/>
              </w:rPr>
              <w:fldChar w:fldCharType="separate"/>
            </w:r>
            <w:r>
              <w:rPr>
                <w:noProof/>
                <w:webHidden/>
              </w:rPr>
              <w:t>11</w:t>
            </w:r>
            <w:r>
              <w:rPr>
                <w:noProof/>
                <w:webHidden/>
              </w:rPr>
              <w:fldChar w:fldCharType="end"/>
            </w:r>
          </w:hyperlink>
        </w:p>
        <w:p w14:paraId="0E61EB93" w14:textId="44BFC162" w:rsidR="00257F34" w:rsidRDefault="00257F34">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231152023" w:history="1">
            <w:r w:rsidRPr="001D421B">
              <w:rPr>
                <w:rStyle w:val="Hyperlink"/>
                <w:b/>
                <w:bCs/>
                <w:noProof/>
              </w:rPr>
              <w:t>4.1 Research Approach</w:t>
            </w:r>
            <w:r>
              <w:rPr>
                <w:noProof/>
                <w:webHidden/>
              </w:rPr>
              <w:tab/>
            </w:r>
            <w:r>
              <w:rPr>
                <w:noProof/>
                <w:webHidden/>
              </w:rPr>
              <w:fldChar w:fldCharType="begin"/>
            </w:r>
            <w:r>
              <w:rPr>
                <w:noProof/>
                <w:webHidden/>
              </w:rPr>
              <w:instrText xml:space="preserve"> PAGEREF _Toc231152023 \h </w:instrText>
            </w:r>
            <w:r>
              <w:rPr>
                <w:noProof/>
                <w:webHidden/>
              </w:rPr>
            </w:r>
            <w:r>
              <w:rPr>
                <w:noProof/>
                <w:webHidden/>
              </w:rPr>
              <w:fldChar w:fldCharType="separate"/>
            </w:r>
            <w:r>
              <w:rPr>
                <w:noProof/>
                <w:webHidden/>
              </w:rPr>
              <w:t>11</w:t>
            </w:r>
            <w:r>
              <w:rPr>
                <w:noProof/>
                <w:webHidden/>
              </w:rPr>
              <w:fldChar w:fldCharType="end"/>
            </w:r>
          </w:hyperlink>
        </w:p>
        <w:p w14:paraId="5D9719BA" w14:textId="17857772" w:rsidR="00257F34" w:rsidRDefault="00257F34">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231152024" w:history="1">
            <w:r w:rsidRPr="001D421B">
              <w:rPr>
                <w:rStyle w:val="Hyperlink"/>
                <w:b/>
                <w:bCs/>
                <w:noProof/>
              </w:rPr>
              <w:t>4.2 Data Sources and Information Collection</w:t>
            </w:r>
            <w:r>
              <w:rPr>
                <w:noProof/>
                <w:webHidden/>
              </w:rPr>
              <w:tab/>
            </w:r>
            <w:r>
              <w:rPr>
                <w:noProof/>
                <w:webHidden/>
              </w:rPr>
              <w:fldChar w:fldCharType="begin"/>
            </w:r>
            <w:r>
              <w:rPr>
                <w:noProof/>
                <w:webHidden/>
              </w:rPr>
              <w:instrText xml:space="preserve"> PAGEREF _Toc231152024 \h </w:instrText>
            </w:r>
            <w:r>
              <w:rPr>
                <w:noProof/>
                <w:webHidden/>
              </w:rPr>
            </w:r>
            <w:r>
              <w:rPr>
                <w:noProof/>
                <w:webHidden/>
              </w:rPr>
              <w:fldChar w:fldCharType="separate"/>
            </w:r>
            <w:r>
              <w:rPr>
                <w:noProof/>
                <w:webHidden/>
              </w:rPr>
              <w:t>12</w:t>
            </w:r>
            <w:r>
              <w:rPr>
                <w:noProof/>
                <w:webHidden/>
              </w:rPr>
              <w:fldChar w:fldCharType="end"/>
            </w:r>
          </w:hyperlink>
        </w:p>
        <w:p w14:paraId="08C2DEAC" w14:textId="2E16284E" w:rsidR="00257F34" w:rsidRDefault="00257F34">
          <w:pPr>
            <w:pStyle w:val="TOC3"/>
            <w:tabs>
              <w:tab w:val="right" w:leader="dot" w:pos="9016"/>
            </w:tabs>
            <w:rPr>
              <w:rFonts w:asciiTheme="minorHAnsi" w:eastAsiaTheme="minorEastAsia" w:hAnsiTheme="minorHAnsi"/>
              <w:noProof/>
              <w:kern w:val="2"/>
              <w:sz w:val="24"/>
              <w:szCs w:val="24"/>
              <w:lang w:eastAsia="en-GB"/>
              <w14:ligatures w14:val="standardContextual"/>
            </w:rPr>
          </w:pPr>
          <w:hyperlink w:anchor="_Toc231152025" w:history="1">
            <w:r w:rsidRPr="001D421B">
              <w:rPr>
                <w:rStyle w:val="Hyperlink"/>
                <w:b/>
                <w:bCs/>
                <w:noProof/>
              </w:rPr>
              <w:t>4.2.1 Structural Inspection Reports</w:t>
            </w:r>
            <w:r>
              <w:rPr>
                <w:noProof/>
                <w:webHidden/>
              </w:rPr>
              <w:tab/>
            </w:r>
            <w:r>
              <w:rPr>
                <w:noProof/>
                <w:webHidden/>
              </w:rPr>
              <w:fldChar w:fldCharType="begin"/>
            </w:r>
            <w:r>
              <w:rPr>
                <w:noProof/>
                <w:webHidden/>
              </w:rPr>
              <w:instrText xml:space="preserve"> PAGEREF _Toc231152025 \h </w:instrText>
            </w:r>
            <w:r>
              <w:rPr>
                <w:noProof/>
                <w:webHidden/>
              </w:rPr>
            </w:r>
            <w:r>
              <w:rPr>
                <w:noProof/>
                <w:webHidden/>
              </w:rPr>
              <w:fldChar w:fldCharType="separate"/>
            </w:r>
            <w:r>
              <w:rPr>
                <w:noProof/>
                <w:webHidden/>
              </w:rPr>
              <w:t>12</w:t>
            </w:r>
            <w:r>
              <w:rPr>
                <w:noProof/>
                <w:webHidden/>
              </w:rPr>
              <w:fldChar w:fldCharType="end"/>
            </w:r>
          </w:hyperlink>
        </w:p>
        <w:p w14:paraId="36E527C1" w14:textId="7B0812C6" w:rsidR="00257F34" w:rsidRDefault="00257F34">
          <w:pPr>
            <w:pStyle w:val="TOC3"/>
            <w:tabs>
              <w:tab w:val="right" w:leader="dot" w:pos="9016"/>
            </w:tabs>
            <w:rPr>
              <w:rFonts w:asciiTheme="minorHAnsi" w:eastAsiaTheme="minorEastAsia" w:hAnsiTheme="minorHAnsi"/>
              <w:noProof/>
              <w:kern w:val="2"/>
              <w:sz w:val="24"/>
              <w:szCs w:val="24"/>
              <w:lang w:eastAsia="en-GB"/>
              <w14:ligatures w14:val="standardContextual"/>
            </w:rPr>
          </w:pPr>
          <w:hyperlink w:anchor="_Toc231152026" w:history="1">
            <w:r w:rsidRPr="001D421B">
              <w:rPr>
                <w:rStyle w:val="Hyperlink"/>
                <w:b/>
                <w:bCs/>
                <w:noProof/>
              </w:rPr>
              <w:t>4.2.2 Contractor Proposals</w:t>
            </w:r>
            <w:r>
              <w:rPr>
                <w:noProof/>
                <w:webHidden/>
              </w:rPr>
              <w:tab/>
            </w:r>
            <w:r>
              <w:rPr>
                <w:noProof/>
                <w:webHidden/>
              </w:rPr>
              <w:fldChar w:fldCharType="begin"/>
            </w:r>
            <w:r>
              <w:rPr>
                <w:noProof/>
                <w:webHidden/>
              </w:rPr>
              <w:instrText xml:space="preserve"> PAGEREF _Toc231152026 \h </w:instrText>
            </w:r>
            <w:r>
              <w:rPr>
                <w:noProof/>
                <w:webHidden/>
              </w:rPr>
            </w:r>
            <w:r>
              <w:rPr>
                <w:noProof/>
                <w:webHidden/>
              </w:rPr>
              <w:fldChar w:fldCharType="separate"/>
            </w:r>
            <w:r>
              <w:rPr>
                <w:noProof/>
                <w:webHidden/>
              </w:rPr>
              <w:t>12</w:t>
            </w:r>
            <w:r>
              <w:rPr>
                <w:noProof/>
                <w:webHidden/>
              </w:rPr>
              <w:fldChar w:fldCharType="end"/>
            </w:r>
          </w:hyperlink>
        </w:p>
        <w:p w14:paraId="1032E498" w14:textId="4B9249E9" w:rsidR="00257F34" w:rsidRDefault="00257F34">
          <w:pPr>
            <w:pStyle w:val="TOC3"/>
            <w:tabs>
              <w:tab w:val="right" w:leader="dot" w:pos="9016"/>
            </w:tabs>
            <w:rPr>
              <w:rFonts w:asciiTheme="minorHAnsi" w:eastAsiaTheme="minorEastAsia" w:hAnsiTheme="minorHAnsi"/>
              <w:noProof/>
              <w:kern w:val="2"/>
              <w:sz w:val="24"/>
              <w:szCs w:val="24"/>
              <w:lang w:eastAsia="en-GB"/>
              <w14:ligatures w14:val="standardContextual"/>
            </w:rPr>
          </w:pPr>
          <w:hyperlink w:anchor="_Toc231152027" w:history="1">
            <w:r w:rsidRPr="001D421B">
              <w:rPr>
                <w:rStyle w:val="Hyperlink"/>
                <w:b/>
                <w:bCs/>
                <w:noProof/>
              </w:rPr>
              <w:t>4.2.3 Operational and Historical Data</w:t>
            </w:r>
            <w:r>
              <w:rPr>
                <w:noProof/>
                <w:webHidden/>
              </w:rPr>
              <w:tab/>
            </w:r>
            <w:r>
              <w:rPr>
                <w:noProof/>
                <w:webHidden/>
              </w:rPr>
              <w:fldChar w:fldCharType="begin"/>
            </w:r>
            <w:r>
              <w:rPr>
                <w:noProof/>
                <w:webHidden/>
              </w:rPr>
              <w:instrText xml:space="preserve"> PAGEREF _Toc231152027 \h </w:instrText>
            </w:r>
            <w:r>
              <w:rPr>
                <w:noProof/>
                <w:webHidden/>
              </w:rPr>
            </w:r>
            <w:r>
              <w:rPr>
                <w:noProof/>
                <w:webHidden/>
              </w:rPr>
              <w:fldChar w:fldCharType="separate"/>
            </w:r>
            <w:r>
              <w:rPr>
                <w:noProof/>
                <w:webHidden/>
              </w:rPr>
              <w:t>12</w:t>
            </w:r>
            <w:r>
              <w:rPr>
                <w:noProof/>
                <w:webHidden/>
              </w:rPr>
              <w:fldChar w:fldCharType="end"/>
            </w:r>
          </w:hyperlink>
        </w:p>
        <w:p w14:paraId="0B7847A8" w14:textId="5D74C12F" w:rsidR="00257F34" w:rsidRDefault="00257F34">
          <w:pPr>
            <w:pStyle w:val="TOC3"/>
            <w:tabs>
              <w:tab w:val="right" w:leader="dot" w:pos="9016"/>
            </w:tabs>
            <w:rPr>
              <w:rFonts w:asciiTheme="minorHAnsi" w:eastAsiaTheme="minorEastAsia" w:hAnsiTheme="minorHAnsi"/>
              <w:noProof/>
              <w:kern w:val="2"/>
              <w:sz w:val="24"/>
              <w:szCs w:val="24"/>
              <w:lang w:eastAsia="en-GB"/>
              <w14:ligatures w14:val="standardContextual"/>
            </w:rPr>
          </w:pPr>
          <w:hyperlink w:anchor="_Toc231152028" w:history="1">
            <w:r w:rsidRPr="001D421B">
              <w:rPr>
                <w:rStyle w:val="Hyperlink"/>
                <w:b/>
                <w:bCs/>
                <w:noProof/>
              </w:rPr>
              <w:t>4.2.4 Regulatory and Industry Guidance</w:t>
            </w:r>
            <w:r>
              <w:rPr>
                <w:noProof/>
                <w:webHidden/>
              </w:rPr>
              <w:tab/>
            </w:r>
            <w:r>
              <w:rPr>
                <w:noProof/>
                <w:webHidden/>
              </w:rPr>
              <w:fldChar w:fldCharType="begin"/>
            </w:r>
            <w:r>
              <w:rPr>
                <w:noProof/>
                <w:webHidden/>
              </w:rPr>
              <w:instrText xml:space="preserve"> PAGEREF _Toc231152028 \h </w:instrText>
            </w:r>
            <w:r>
              <w:rPr>
                <w:noProof/>
                <w:webHidden/>
              </w:rPr>
            </w:r>
            <w:r>
              <w:rPr>
                <w:noProof/>
                <w:webHidden/>
              </w:rPr>
              <w:fldChar w:fldCharType="separate"/>
            </w:r>
            <w:r>
              <w:rPr>
                <w:noProof/>
                <w:webHidden/>
              </w:rPr>
              <w:t>12</w:t>
            </w:r>
            <w:r>
              <w:rPr>
                <w:noProof/>
                <w:webHidden/>
              </w:rPr>
              <w:fldChar w:fldCharType="end"/>
            </w:r>
          </w:hyperlink>
        </w:p>
        <w:p w14:paraId="2061A07F" w14:textId="7C21895C" w:rsidR="00257F34" w:rsidRDefault="00257F34">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231152029" w:history="1">
            <w:r w:rsidRPr="001D421B">
              <w:rPr>
                <w:rStyle w:val="Hyperlink"/>
                <w:b/>
                <w:bCs/>
                <w:noProof/>
              </w:rPr>
              <w:t>4.3 Evaluation Criteria</w:t>
            </w:r>
            <w:r>
              <w:rPr>
                <w:noProof/>
                <w:webHidden/>
              </w:rPr>
              <w:tab/>
            </w:r>
            <w:r>
              <w:rPr>
                <w:noProof/>
                <w:webHidden/>
              </w:rPr>
              <w:fldChar w:fldCharType="begin"/>
            </w:r>
            <w:r>
              <w:rPr>
                <w:noProof/>
                <w:webHidden/>
              </w:rPr>
              <w:instrText xml:space="preserve"> PAGEREF _Toc231152029 \h </w:instrText>
            </w:r>
            <w:r>
              <w:rPr>
                <w:noProof/>
                <w:webHidden/>
              </w:rPr>
            </w:r>
            <w:r>
              <w:rPr>
                <w:noProof/>
                <w:webHidden/>
              </w:rPr>
              <w:fldChar w:fldCharType="separate"/>
            </w:r>
            <w:r>
              <w:rPr>
                <w:noProof/>
                <w:webHidden/>
              </w:rPr>
              <w:t>13</w:t>
            </w:r>
            <w:r>
              <w:rPr>
                <w:noProof/>
                <w:webHidden/>
              </w:rPr>
              <w:fldChar w:fldCharType="end"/>
            </w:r>
          </w:hyperlink>
        </w:p>
        <w:p w14:paraId="5C56DEE8" w14:textId="5C71AA68" w:rsidR="00257F34" w:rsidRDefault="00257F34">
          <w:pPr>
            <w:pStyle w:val="TOC3"/>
            <w:tabs>
              <w:tab w:val="right" w:leader="dot" w:pos="9016"/>
            </w:tabs>
            <w:rPr>
              <w:rFonts w:asciiTheme="minorHAnsi" w:eastAsiaTheme="minorEastAsia" w:hAnsiTheme="minorHAnsi"/>
              <w:noProof/>
              <w:kern w:val="2"/>
              <w:sz w:val="24"/>
              <w:szCs w:val="24"/>
              <w:lang w:eastAsia="en-GB"/>
              <w14:ligatures w14:val="standardContextual"/>
            </w:rPr>
          </w:pPr>
          <w:hyperlink w:anchor="_Toc231152030" w:history="1">
            <w:r w:rsidRPr="001D421B">
              <w:rPr>
                <w:rStyle w:val="Hyperlink"/>
                <w:b/>
                <w:bCs/>
                <w:noProof/>
              </w:rPr>
              <w:t>4.3.1 Safety</w:t>
            </w:r>
            <w:r>
              <w:rPr>
                <w:noProof/>
                <w:webHidden/>
              </w:rPr>
              <w:tab/>
            </w:r>
            <w:r>
              <w:rPr>
                <w:noProof/>
                <w:webHidden/>
              </w:rPr>
              <w:fldChar w:fldCharType="begin"/>
            </w:r>
            <w:r>
              <w:rPr>
                <w:noProof/>
                <w:webHidden/>
              </w:rPr>
              <w:instrText xml:space="preserve"> PAGEREF _Toc231152030 \h </w:instrText>
            </w:r>
            <w:r>
              <w:rPr>
                <w:noProof/>
                <w:webHidden/>
              </w:rPr>
            </w:r>
            <w:r>
              <w:rPr>
                <w:noProof/>
                <w:webHidden/>
              </w:rPr>
              <w:fldChar w:fldCharType="separate"/>
            </w:r>
            <w:r>
              <w:rPr>
                <w:noProof/>
                <w:webHidden/>
              </w:rPr>
              <w:t>13</w:t>
            </w:r>
            <w:r>
              <w:rPr>
                <w:noProof/>
                <w:webHidden/>
              </w:rPr>
              <w:fldChar w:fldCharType="end"/>
            </w:r>
          </w:hyperlink>
        </w:p>
        <w:p w14:paraId="0BB26205" w14:textId="0431C13D" w:rsidR="00257F34" w:rsidRDefault="00257F34">
          <w:pPr>
            <w:pStyle w:val="TOC3"/>
            <w:tabs>
              <w:tab w:val="right" w:leader="dot" w:pos="9016"/>
            </w:tabs>
            <w:rPr>
              <w:rFonts w:asciiTheme="minorHAnsi" w:eastAsiaTheme="minorEastAsia" w:hAnsiTheme="minorHAnsi"/>
              <w:noProof/>
              <w:kern w:val="2"/>
              <w:sz w:val="24"/>
              <w:szCs w:val="24"/>
              <w:lang w:eastAsia="en-GB"/>
              <w14:ligatures w14:val="standardContextual"/>
            </w:rPr>
          </w:pPr>
          <w:hyperlink w:anchor="_Toc231152031" w:history="1">
            <w:r w:rsidRPr="001D421B">
              <w:rPr>
                <w:rStyle w:val="Hyperlink"/>
                <w:b/>
                <w:bCs/>
                <w:noProof/>
              </w:rPr>
              <w:t>4.3.2 Environmental Impact</w:t>
            </w:r>
            <w:r>
              <w:rPr>
                <w:noProof/>
                <w:webHidden/>
              </w:rPr>
              <w:tab/>
            </w:r>
            <w:r>
              <w:rPr>
                <w:noProof/>
                <w:webHidden/>
              </w:rPr>
              <w:fldChar w:fldCharType="begin"/>
            </w:r>
            <w:r>
              <w:rPr>
                <w:noProof/>
                <w:webHidden/>
              </w:rPr>
              <w:instrText xml:space="preserve"> PAGEREF _Toc231152031 \h </w:instrText>
            </w:r>
            <w:r>
              <w:rPr>
                <w:noProof/>
                <w:webHidden/>
              </w:rPr>
            </w:r>
            <w:r>
              <w:rPr>
                <w:noProof/>
                <w:webHidden/>
              </w:rPr>
              <w:fldChar w:fldCharType="separate"/>
            </w:r>
            <w:r>
              <w:rPr>
                <w:noProof/>
                <w:webHidden/>
              </w:rPr>
              <w:t>13</w:t>
            </w:r>
            <w:r>
              <w:rPr>
                <w:noProof/>
                <w:webHidden/>
              </w:rPr>
              <w:fldChar w:fldCharType="end"/>
            </w:r>
          </w:hyperlink>
        </w:p>
        <w:p w14:paraId="55671755" w14:textId="33D416AD" w:rsidR="00257F34" w:rsidRDefault="00257F34">
          <w:pPr>
            <w:pStyle w:val="TOC3"/>
            <w:tabs>
              <w:tab w:val="right" w:leader="dot" w:pos="9016"/>
            </w:tabs>
            <w:rPr>
              <w:rFonts w:asciiTheme="minorHAnsi" w:eastAsiaTheme="minorEastAsia" w:hAnsiTheme="minorHAnsi"/>
              <w:noProof/>
              <w:kern w:val="2"/>
              <w:sz w:val="24"/>
              <w:szCs w:val="24"/>
              <w:lang w:eastAsia="en-GB"/>
              <w14:ligatures w14:val="standardContextual"/>
            </w:rPr>
          </w:pPr>
          <w:hyperlink w:anchor="_Toc231152032" w:history="1">
            <w:r w:rsidRPr="001D421B">
              <w:rPr>
                <w:rStyle w:val="Hyperlink"/>
                <w:b/>
                <w:bCs/>
                <w:noProof/>
              </w:rPr>
              <w:t>4.3.3 Cost</w:t>
            </w:r>
            <w:r>
              <w:rPr>
                <w:noProof/>
                <w:webHidden/>
              </w:rPr>
              <w:tab/>
            </w:r>
            <w:r>
              <w:rPr>
                <w:noProof/>
                <w:webHidden/>
              </w:rPr>
              <w:fldChar w:fldCharType="begin"/>
            </w:r>
            <w:r>
              <w:rPr>
                <w:noProof/>
                <w:webHidden/>
              </w:rPr>
              <w:instrText xml:space="preserve"> PAGEREF _Toc231152032 \h </w:instrText>
            </w:r>
            <w:r>
              <w:rPr>
                <w:noProof/>
                <w:webHidden/>
              </w:rPr>
            </w:r>
            <w:r>
              <w:rPr>
                <w:noProof/>
                <w:webHidden/>
              </w:rPr>
              <w:fldChar w:fldCharType="separate"/>
            </w:r>
            <w:r>
              <w:rPr>
                <w:noProof/>
                <w:webHidden/>
              </w:rPr>
              <w:t>13</w:t>
            </w:r>
            <w:r>
              <w:rPr>
                <w:noProof/>
                <w:webHidden/>
              </w:rPr>
              <w:fldChar w:fldCharType="end"/>
            </w:r>
          </w:hyperlink>
        </w:p>
        <w:p w14:paraId="6EF6F696" w14:textId="66146BC2" w:rsidR="00257F34" w:rsidRDefault="00257F34">
          <w:pPr>
            <w:pStyle w:val="TOC3"/>
            <w:tabs>
              <w:tab w:val="right" w:leader="dot" w:pos="9016"/>
            </w:tabs>
            <w:rPr>
              <w:rFonts w:asciiTheme="minorHAnsi" w:eastAsiaTheme="minorEastAsia" w:hAnsiTheme="minorHAnsi"/>
              <w:noProof/>
              <w:kern w:val="2"/>
              <w:sz w:val="24"/>
              <w:szCs w:val="24"/>
              <w:lang w:eastAsia="en-GB"/>
              <w14:ligatures w14:val="standardContextual"/>
            </w:rPr>
          </w:pPr>
          <w:hyperlink w:anchor="_Toc231152033" w:history="1">
            <w:r w:rsidRPr="001D421B">
              <w:rPr>
                <w:rStyle w:val="Hyperlink"/>
                <w:b/>
                <w:bCs/>
                <w:noProof/>
              </w:rPr>
              <w:t>4.3.4 Programme Duration</w:t>
            </w:r>
            <w:r>
              <w:rPr>
                <w:noProof/>
                <w:webHidden/>
              </w:rPr>
              <w:tab/>
            </w:r>
            <w:r>
              <w:rPr>
                <w:noProof/>
                <w:webHidden/>
              </w:rPr>
              <w:fldChar w:fldCharType="begin"/>
            </w:r>
            <w:r>
              <w:rPr>
                <w:noProof/>
                <w:webHidden/>
              </w:rPr>
              <w:instrText xml:space="preserve"> PAGEREF _Toc231152033 \h </w:instrText>
            </w:r>
            <w:r>
              <w:rPr>
                <w:noProof/>
                <w:webHidden/>
              </w:rPr>
            </w:r>
            <w:r>
              <w:rPr>
                <w:noProof/>
                <w:webHidden/>
              </w:rPr>
              <w:fldChar w:fldCharType="separate"/>
            </w:r>
            <w:r>
              <w:rPr>
                <w:noProof/>
                <w:webHidden/>
              </w:rPr>
              <w:t>13</w:t>
            </w:r>
            <w:r>
              <w:rPr>
                <w:noProof/>
                <w:webHidden/>
              </w:rPr>
              <w:fldChar w:fldCharType="end"/>
            </w:r>
          </w:hyperlink>
        </w:p>
        <w:p w14:paraId="135EC91D" w14:textId="44482739" w:rsidR="00257F34" w:rsidRDefault="00257F34">
          <w:pPr>
            <w:pStyle w:val="TOC3"/>
            <w:tabs>
              <w:tab w:val="right" w:leader="dot" w:pos="9016"/>
            </w:tabs>
            <w:rPr>
              <w:rFonts w:asciiTheme="minorHAnsi" w:eastAsiaTheme="minorEastAsia" w:hAnsiTheme="minorHAnsi"/>
              <w:noProof/>
              <w:kern w:val="2"/>
              <w:sz w:val="24"/>
              <w:szCs w:val="24"/>
              <w:lang w:eastAsia="en-GB"/>
              <w14:ligatures w14:val="standardContextual"/>
            </w:rPr>
          </w:pPr>
          <w:hyperlink w:anchor="_Toc231152034" w:history="1">
            <w:r w:rsidRPr="001D421B">
              <w:rPr>
                <w:rStyle w:val="Hyperlink"/>
                <w:b/>
                <w:bCs/>
                <w:noProof/>
              </w:rPr>
              <w:t>4.3.5 Feasibility and Flexibility</w:t>
            </w:r>
            <w:r>
              <w:rPr>
                <w:noProof/>
                <w:webHidden/>
              </w:rPr>
              <w:tab/>
            </w:r>
            <w:r>
              <w:rPr>
                <w:noProof/>
                <w:webHidden/>
              </w:rPr>
              <w:fldChar w:fldCharType="begin"/>
            </w:r>
            <w:r>
              <w:rPr>
                <w:noProof/>
                <w:webHidden/>
              </w:rPr>
              <w:instrText xml:space="preserve"> PAGEREF _Toc231152034 \h </w:instrText>
            </w:r>
            <w:r>
              <w:rPr>
                <w:noProof/>
                <w:webHidden/>
              </w:rPr>
            </w:r>
            <w:r>
              <w:rPr>
                <w:noProof/>
                <w:webHidden/>
              </w:rPr>
              <w:fldChar w:fldCharType="separate"/>
            </w:r>
            <w:r>
              <w:rPr>
                <w:noProof/>
                <w:webHidden/>
              </w:rPr>
              <w:t>14</w:t>
            </w:r>
            <w:r>
              <w:rPr>
                <w:noProof/>
                <w:webHidden/>
              </w:rPr>
              <w:fldChar w:fldCharType="end"/>
            </w:r>
          </w:hyperlink>
        </w:p>
        <w:p w14:paraId="36561150" w14:textId="178A328B" w:rsidR="00257F34" w:rsidRDefault="00257F34">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231152035" w:history="1">
            <w:r w:rsidRPr="001D421B">
              <w:rPr>
                <w:rStyle w:val="Hyperlink"/>
                <w:b/>
                <w:bCs/>
                <w:noProof/>
              </w:rPr>
              <w:t>4.4 Comparative Analysis Method</w:t>
            </w:r>
            <w:r>
              <w:rPr>
                <w:noProof/>
                <w:webHidden/>
              </w:rPr>
              <w:tab/>
            </w:r>
            <w:r>
              <w:rPr>
                <w:noProof/>
                <w:webHidden/>
              </w:rPr>
              <w:fldChar w:fldCharType="begin"/>
            </w:r>
            <w:r>
              <w:rPr>
                <w:noProof/>
                <w:webHidden/>
              </w:rPr>
              <w:instrText xml:space="preserve"> PAGEREF _Toc231152035 \h </w:instrText>
            </w:r>
            <w:r>
              <w:rPr>
                <w:noProof/>
                <w:webHidden/>
              </w:rPr>
            </w:r>
            <w:r>
              <w:rPr>
                <w:noProof/>
                <w:webHidden/>
              </w:rPr>
              <w:fldChar w:fldCharType="separate"/>
            </w:r>
            <w:r>
              <w:rPr>
                <w:noProof/>
                <w:webHidden/>
              </w:rPr>
              <w:t>14</w:t>
            </w:r>
            <w:r>
              <w:rPr>
                <w:noProof/>
                <w:webHidden/>
              </w:rPr>
              <w:fldChar w:fldCharType="end"/>
            </w:r>
          </w:hyperlink>
        </w:p>
        <w:p w14:paraId="1EE2F13F" w14:textId="45505B87" w:rsidR="00257F34" w:rsidRDefault="00257F34">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231152036" w:history="1">
            <w:r w:rsidRPr="001D421B">
              <w:rPr>
                <w:rStyle w:val="Hyperlink"/>
                <w:b/>
                <w:bCs/>
                <w:noProof/>
              </w:rPr>
              <w:t>4.5 Risk-Based Decision Framework</w:t>
            </w:r>
            <w:r>
              <w:rPr>
                <w:noProof/>
                <w:webHidden/>
              </w:rPr>
              <w:tab/>
            </w:r>
            <w:r>
              <w:rPr>
                <w:noProof/>
                <w:webHidden/>
              </w:rPr>
              <w:fldChar w:fldCharType="begin"/>
            </w:r>
            <w:r>
              <w:rPr>
                <w:noProof/>
                <w:webHidden/>
              </w:rPr>
              <w:instrText xml:space="preserve"> PAGEREF _Toc231152036 \h </w:instrText>
            </w:r>
            <w:r>
              <w:rPr>
                <w:noProof/>
                <w:webHidden/>
              </w:rPr>
            </w:r>
            <w:r>
              <w:rPr>
                <w:noProof/>
                <w:webHidden/>
              </w:rPr>
              <w:fldChar w:fldCharType="separate"/>
            </w:r>
            <w:r>
              <w:rPr>
                <w:noProof/>
                <w:webHidden/>
              </w:rPr>
              <w:t>14</w:t>
            </w:r>
            <w:r>
              <w:rPr>
                <w:noProof/>
                <w:webHidden/>
              </w:rPr>
              <w:fldChar w:fldCharType="end"/>
            </w:r>
          </w:hyperlink>
        </w:p>
        <w:p w14:paraId="034DC6CC" w14:textId="042C3E5F" w:rsidR="00257F34" w:rsidRDefault="00257F34">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231152037" w:history="1">
            <w:r w:rsidRPr="001D421B">
              <w:rPr>
                <w:rStyle w:val="Hyperlink"/>
                <w:b/>
                <w:bCs/>
                <w:noProof/>
              </w:rPr>
              <w:t>4.6 Limitations of the Methodology</w:t>
            </w:r>
            <w:r>
              <w:rPr>
                <w:noProof/>
                <w:webHidden/>
              </w:rPr>
              <w:tab/>
            </w:r>
            <w:r>
              <w:rPr>
                <w:noProof/>
                <w:webHidden/>
              </w:rPr>
              <w:fldChar w:fldCharType="begin"/>
            </w:r>
            <w:r>
              <w:rPr>
                <w:noProof/>
                <w:webHidden/>
              </w:rPr>
              <w:instrText xml:space="preserve"> PAGEREF _Toc231152037 \h </w:instrText>
            </w:r>
            <w:r>
              <w:rPr>
                <w:noProof/>
                <w:webHidden/>
              </w:rPr>
            </w:r>
            <w:r>
              <w:rPr>
                <w:noProof/>
                <w:webHidden/>
              </w:rPr>
              <w:fldChar w:fldCharType="separate"/>
            </w:r>
            <w:r>
              <w:rPr>
                <w:noProof/>
                <w:webHidden/>
              </w:rPr>
              <w:t>14</w:t>
            </w:r>
            <w:r>
              <w:rPr>
                <w:noProof/>
                <w:webHidden/>
              </w:rPr>
              <w:fldChar w:fldCharType="end"/>
            </w:r>
          </w:hyperlink>
        </w:p>
        <w:p w14:paraId="59D02978" w14:textId="2600DC32" w:rsidR="00257F34" w:rsidRDefault="00257F34">
          <w:pPr>
            <w:pStyle w:val="TOC3"/>
            <w:tabs>
              <w:tab w:val="right" w:leader="dot" w:pos="9016"/>
            </w:tabs>
            <w:rPr>
              <w:rFonts w:asciiTheme="minorHAnsi" w:eastAsiaTheme="minorEastAsia" w:hAnsiTheme="minorHAnsi"/>
              <w:noProof/>
              <w:kern w:val="2"/>
              <w:sz w:val="24"/>
              <w:szCs w:val="24"/>
              <w:lang w:eastAsia="en-GB"/>
              <w14:ligatures w14:val="standardContextual"/>
            </w:rPr>
          </w:pPr>
          <w:hyperlink w:anchor="_Toc231152038" w:history="1">
            <w:r w:rsidRPr="001D421B">
              <w:rPr>
                <w:rStyle w:val="Hyperlink"/>
                <w:b/>
                <w:bCs/>
                <w:noProof/>
              </w:rPr>
              <w:t>4.6.1 Uncertainty in Sludge Characteristics</w:t>
            </w:r>
            <w:r>
              <w:rPr>
                <w:noProof/>
                <w:webHidden/>
              </w:rPr>
              <w:tab/>
            </w:r>
            <w:r>
              <w:rPr>
                <w:noProof/>
                <w:webHidden/>
              </w:rPr>
              <w:fldChar w:fldCharType="begin"/>
            </w:r>
            <w:r>
              <w:rPr>
                <w:noProof/>
                <w:webHidden/>
              </w:rPr>
              <w:instrText xml:space="preserve"> PAGEREF _Toc231152038 \h </w:instrText>
            </w:r>
            <w:r>
              <w:rPr>
                <w:noProof/>
                <w:webHidden/>
              </w:rPr>
            </w:r>
            <w:r>
              <w:rPr>
                <w:noProof/>
                <w:webHidden/>
              </w:rPr>
              <w:fldChar w:fldCharType="separate"/>
            </w:r>
            <w:r>
              <w:rPr>
                <w:noProof/>
                <w:webHidden/>
              </w:rPr>
              <w:t>15</w:t>
            </w:r>
            <w:r>
              <w:rPr>
                <w:noProof/>
                <w:webHidden/>
              </w:rPr>
              <w:fldChar w:fldCharType="end"/>
            </w:r>
          </w:hyperlink>
        </w:p>
        <w:p w14:paraId="21D3C4A1" w14:textId="11AE2227" w:rsidR="00257F34" w:rsidRDefault="00257F34">
          <w:pPr>
            <w:pStyle w:val="TOC3"/>
            <w:tabs>
              <w:tab w:val="right" w:leader="dot" w:pos="9016"/>
            </w:tabs>
            <w:rPr>
              <w:rFonts w:asciiTheme="minorHAnsi" w:eastAsiaTheme="minorEastAsia" w:hAnsiTheme="minorHAnsi"/>
              <w:noProof/>
              <w:kern w:val="2"/>
              <w:sz w:val="24"/>
              <w:szCs w:val="24"/>
              <w:lang w:eastAsia="en-GB"/>
              <w14:ligatures w14:val="standardContextual"/>
            </w:rPr>
          </w:pPr>
          <w:hyperlink w:anchor="_Toc231152039" w:history="1">
            <w:r w:rsidRPr="001D421B">
              <w:rPr>
                <w:rStyle w:val="Hyperlink"/>
                <w:b/>
                <w:bCs/>
                <w:noProof/>
              </w:rPr>
              <w:t>4.6.2 Variability in Contractor Proposals</w:t>
            </w:r>
            <w:r>
              <w:rPr>
                <w:noProof/>
                <w:webHidden/>
              </w:rPr>
              <w:tab/>
            </w:r>
            <w:r>
              <w:rPr>
                <w:noProof/>
                <w:webHidden/>
              </w:rPr>
              <w:fldChar w:fldCharType="begin"/>
            </w:r>
            <w:r>
              <w:rPr>
                <w:noProof/>
                <w:webHidden/>
              </w:rPr>
              <w:instrText xml:space="preserve"> PAGEREF _Toc231152039 \h </w:instrText>
            </w:r>
            <w:r>
              <w:rPr>
                <w:noProof/>
                <w:webHidden/>
              </w:rPr>
            </w:r>
            <w:r>
              <w:rPr>
                <w:noProof/>
                <w:webHidden/>
              </w:rPr>
              <w:fldChar w:fldCharType="separate"/>
            </w:r>
            <w:r>
              <w:rPr>
                <w:noProof/>
                <w:webHidden/>
              </w:rPr>
              <w:t>15</w:t>
            </w:r>
            <w:r>
              <w:rPr>
                <w:noProof/>
                <w:webHidden/>
              </w:rPr>
              <w:fldChar w:fldCharType="end"/>
            </w:r>
          </w:hyperlink>
        </w:p>
        <w:p w14:paraId="542B0B69" w14:textId="0264C4F3" w:rsidR="00257F34" w:rsidRDefault="00257F34">
          <w:pPr>
            <w:pStyle w:val="TOC3"/>
            <w:tabs>
              <w:tab w:val="right" w:leader="dot" w:pos="9016"/>
            </w:tabs>
            <w:rPr>
              <w:rFonts w:asciiTheme="minorHAnsi" w:eastAsiaTheme="minorEastAsia" w:hAnsiTheme="minorHAnsi"/>
              <w:noProof/>
              <w:kern w:val="2"/>
              <w:sz w:val="24"/>
              <w:szCs w:val="24"/>
              <w:lang w:eastAsia="en-GB"/>
              <w14:ligatures w14:val="standardContextual"/>
            </w:rPr>
          </w:pPr>
          <w:hyperlink w:anchor="_Toc231152040" w:history="1">
            <w:r w:rsidRPr="001D421B">
              <w:rPr>
                <w:rStyle w:val="Hyperlink"/>
                <w:b/>
                <w:bCs/>
                <w:noProof/>
              </w:rPr>
              <w:t>4.6.3 Limited Quantitative Data</w:t>
            </w:r>
            <w:r>
              <w:rPr>
                <w:noProof/>
                <w:webHidden/>
              </w:rPr>
              <w:tab/>
            </w:r>
            <w:r>
              <w:rPr>
                <w:noProof/>
                <w:webHidden/>
              </w:rPr>
              <w:fldChar w:fldCharType="begin"/>
            </w:r>
            <w:r>
              <w:rPr>
                <w:noProof/>
                <w:webHidden/>
              </w:rPr>
              <w:instrText xml:space="preserve"> PAGEREF _Toc231152040 \h </w:instrText>
            </w:r>
            <w:r>
              <w:rPr>
                <w:noProof/>
                <w:webHidden/>
              </w:rPr>
            </w:r>
            <w:r>
              <w:rPr>
                <w:noProof/>
                <w:webHidden/>
              </w:rPr>
              <w:fldChar w:fldCharType="separate"/>
            </w:r>
            <w:r>
              <w:rPr>
                <w:noProof/>
                <w:webHidden/>
              </w:rPr>
              <w:t>15</w:t>
            </w:r>
            <w:r>
              <w:rPr>
                <w:noProof/>
                <w:webHidden/>
              </w:rPr>
              <w:fldChar w:fldCharType="end"/>
            </w:r>
          </w:hyperlink>
        </w:p>
        <w:p w14:paraId="12619A75" w14:textId="4A06F4EE" w:rsidR="00257F34" w:rsidRDefault="00257F34">
          <w:pPr>
            <w:pStyle w:val="TOC3"/>
            <w:tabs>
              <w:tab w:val="right" w:leader="dot" w:pos="9016"/>
            </w:tabs>
            <w:rPr>
              <w:rFonts w:asciiTheme="minorHAnsi" w:eastAsiaTheme="minorEastAsia" w:hAnsiTheme="minorHAnsi"/>
              <w:noProof/>
              <w:kern w:val="2"/>
              <w:sz w:val="24"/>
              <w:szCs w:val="24"/>
              <w:lang w:eastAsia="en-GB"/>
              <w14:ligatures w14:val="standardContextual"/>
            </w:rPr>
          </w:pPr>
          <w:hyperlink w:anchor="_Toc231152041" w:history="1">
            <w:r w:rsidRPr="001D421B">
              <w:rPr>
                <w:rStyle w:val="Hyperlink"/>
                <w:b/>
                <w:bCs/>
                <w:noProof/>
              </w:rPr>
              <w:t>4.6.4 Site-Specific Constraints</w:t>
            </w:r>
            <w:r>
              <w:rPr>
                <w:noProof/>
                <w:webHidden/>
              </w:rPr>
              <w:tab/>
            </w:r>
            <w:r>
              <w:rPr>
                <w:noProof/>
                <w:webHidden/>
              </w:rPr>
              <w:fldChar w:fldCharType="begin"/>
            </w:r>
            <w:r>
              <w:rPr>
                <w:noProof/>
                <w:webHidden/>
              </w:rPr>
              <w:instrText xml:space="preserve"> PAGEREF _Toc231152041 \h </w:instrText>
            </w:r>
            <w:r>
              <w:rPr>
                <w:noProof/>
                <w:webHidden/>
              </w:rPr>
            </w:r>
            <w:r>
              <w:rPr>
                <w:noProof/>
                <w:webHidden/>
              </w:rPr>
              <w:fldChar w:fldCharType="separate"/>
            </w:r>
            <w:r>
              <w:rPr>
                <w:noProof/>
                <w:webHidden/>
              </w:rPr>
              <w:t>15</w:t>
            </w:r>
            <w:r>
              <w:rPr>
                <w:noProof/>
                <w:webHidden/>
              </w:rPr>
              <w:fldChar w:fldCharType="end"/>
            </w:r>
          </w:hyperlink>
        </w:p>
        <w:p w14:paraId="456F2FC7" w14:textId="7F6806EE" w:rsidR="00257F34" w:rsidRDefault="00257F34">
          <w:pPr>
            <w:pStyle w:val="TOC1"/>
            <w:tabs>
              <w:tab w:val="right" w:leader="dot" w:pos="9016"/>
            </w:tabs>
            <w:rPr>
              <w:rFonts w:asciiTheme="minorHAnsi" w:eastAsiaTheme="minorEastAsia" w:hAnsiTheme="minorHAnsi"/>
              <w:noProof/>
              <w:kern w:val="2"/>
              <w:sz w:val="24"/>
              <w:szCs w:val="24"/>
              <w:lang w:eastAsia="en-GB"/>
              <w14:ligatures w14:val="standardContextual"/>
            </w:rPr>
          </w:pPr>
          <w:hyperlink w:anchor="_Toc231152042" w:history="1">
            <w:r w:rsidRPr="001D421B">
              <w:rPr>
                <w:rStyle w:val="Hyperlink"/>
                <w:b/>
                <w:bCs/>
                <w:noProof/>
              </w:rPr>
              <w:t>4.7 Summary</w:t>
            </w:r>
            <w:r>
              <w:rPr>
                <w:noProof/>
                <w:webHidden/>
              </w:rPr>
              <w:tab/>
            </w:r>
            <w:r>
              <w:rPr>
                <w:noProof/>
                <w:webHidden/>
              </w:rPr>
              <w:fldChar w:fldCharType="begin"/>
            </w:r>
            <w:r>
              <w:rPr>
                <w:noProof/>
                <w:webHidden/>
              </w:rPr>
              <w:instrText xml:space="preserve"> PAGEREF _Toc231152042 \h </w:instrText>
            </w:r>
            <w:r>
              <w:rPr>
                <w:noProof/>
                <w:webHidden/>
              </w:rPr>
            </w:r>
            <w:r>
              <w:rPr>
                <w:noProof/>
                <w:webHidden/>
              </w:rPr>
              <w:fldChar w:fldCharType="separate"/>
            </w:r>
            <w:r>
              <w:rPr>
                <w:noProof/>
                <w:webHidden/>
              </w:rPr>
              <w:t>15</w:t>
            </w:r>
            <w:r>
              <w:rPr>
                <w:noProof/>
                <w:webHidden/>
              </w:rPr>
              <w:fldChar w:fldCharType="end"/>
            </w:r>
          </w:hyperlink>
        </w:p>
        <w:p w14:paraId="5588C4C0" w14:textId="04F9BA32" w:rsidR="00257F34" w:rsidRDefault="00257F34">
          <w:pPr>
            <w:pStyle w:val="TOC1"/>
            <w:tabs>
              <w:tab w:val="right" w:leader="dot" w:pos="9016"/>
            </w:tabs>
            <w:rPr>
              <w:rFonts w:asciiTheme="minorHAnsi" w:eastAsiaTheme="minorEastAsia" w:hAnsiTheme="minorHAnsi"/>
              <w:noProof/>
              <w:kern w:val="2"/>
              <w:sz w:val="24"/>
              <w:szCs w:val="24"/>
              <w:lang w:eastAsia="en-GB"/>
              <w14:ligatures w14:val="standardContextual"/>
            </w:rPr>
          </w:pPr>
          <w:hyperlink w:anchor="_Toc231152043" w:history="1">
            <w:r w:rsidRPr="001D421B">
              <w:rPr>
                <w:rStyle w:val="Hyperlink"/>
                <w:b/>
                <w:bCs/>
                <w:noProof/>
              </w:rPr>
              <w:t>5. Current State Analysis</w:t>
            </w:r>
            <w:r>
              <w:rPr>
                <w:noProof/>
                <w:webHidden/>
              </w:rPr>
              <w:tab/>
            </w:r>
            <w:r>
              <w:rPr>
                <w:noProof/>
                <w:webHidden/>
              </w:rPr>
              <w:fldChar w:fldCharType="begin"/>
            </w:r>
            <w:r>
              <w:rPr>
                <w:noProof/>
                <w:webHidden/>
              </w:rPr>
              <w:instrText xml:space="preserve"> PAGEREF _Toc231152043 \h </w:instrText>
            </w:r>
            <w:r>
              <w:rPr>
                <w:noProof/>
                <w:webHidden/>
              </w:rPr>
            </w:r>
            <w:r>
              <w:rPr>
                <w:noProof/>
                <w:webHidden/>
              </w:rPr>
              <w:fldChar w:fldCharType="separate"/>
            </w:r>
            <w:r>
              <w:rPr>
                <w:noProof/>
                <w:webHidden/>
              </w:rPr>
              <w:t>15</w:t>
            </w:r>
            <w:r>
              <w:rPr>
                <w:noProof/>
                <w:webHidden/>
              </w:rPr>
              <w:fldChar w:fldCharType="end"/>
            </w:r>
          </w:hyperlink>
        </w:p>
        <w:p w14:paraId="7AF0E352" w14:textId="7FA73F68" w:rsidR="00257F34" w:rsidRDefault="00257F34">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231152044" w:history="1">
            <w:r w:rsidRPr="001D421B">
              <w:rPr>
                <w:rStyle w:val="Hyperlink"/>
                <w:b/>
                <w:bCs/>
                <w:noProof/>
              </w:rPr>
              <w:t>5.1 Structural Integrity</w:t>
            </w:r>
            <w:r>
              <w:rPr>
                <w:noProof/>
                <w:webHidden/>
              </w:rPr>
              <w:tab/>
            </w:r>
            <w:r>
              <w:rPr>
                <w:noProof/>
                <w:webHidden/>
              </w:rPr>
              <w:fldChar w:fldCharType="begin"/>
            </w:r>
            <w:r>
              <w:rPr>
                <w:noProof/>
                <w:webHidden/>
              </w:rPr>
              <w:instrText xml:space="preserve"> PAGEREF _Toc231152044 \h </w:instrText>
            </w:r>
            <w:r>
              <w:rPr>
                <w:noProof/>
                <w:webHidden/>
              </w:rPr>
            </w:r>
            <w:r>
              <w:rPr>
                <w:noProof/>
                <w:webHidden/>
              </w:rPr>
              <w:fldChar w:fldCharType="separate"/>
            </w:r>
            <w:r>
              <w:rPr>
                <w:noProof/>
                <w:webHidden/>
              </w:rPr>
              <w:t>15</w:t>
            </w:r>
            <w:r>
              <w:rPr>
                <w:noProof/>
                <w:webHidden/>
              </w:rPr>
              <w:fldChar w:fldCharType="end"/>
            </w:r>
          </w:hyperlink>
        </w:p>
        <w:p w14:paraId="064DBE5F" w14:textId="67B9EAF7" w:rsidR="00257F34" w:rsidRDefault="00257F34">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231152045" w:history="1">
            <w:r w:rsidRPr="001D421B">
              <w:rPr>
                <w:rStyle w:val="Hyperlink"/>
                <w:b/>
                <w:bCs/>
                <w:noProof/>
              </w:rPr>
              <w:t>5.2 Environmental Risk</w:t>
            </w:r>
            <w:r>
              <w:rPr>
                <w:noProof/>
                <w:webHidden/>
              </w:rPr>
              <w:tab/>
            </w:r>
            <w:r>
              <w:rPr>
                <w:noProof/>
                <w:webHidden/>
              </w:rPr>
              <w:fldChar w:fldCharType="begin"/>
            </w:r>
            <w:r>
              <w:rPr>
                <w:noProof/>
                <w:webHidden/>
              </w:rPr>
              <w:instrText xml:space="preserve"> PAGEREF _Toc231152045 \h </w:instrText>
            </w:r>
            <w:r>
              <w:rPr>
                <w:noProof/>
                <w:webHidden/>
              </w:rPr>
            </w:r>
            <w:r>
              <w:rPr>
                <w:noProof/>
                <w:webHidden/>
              </w:rPr>
              <w:fldChar w:fldCharType="separate"/>
            </w:r>
            <w:r>
              <w:rPr>
                <w:noProof/>
                <w:webHidden/>
              </w:rPr>
              <w:t>16</w:t>
            </w:r>
            <w:r>
              <w:rPr>
                <w:noProof/>
                <w:webHidden/>
              </w:rPr>
              <w:fldChar w:fldCharType="end"/>
            </w:r>
          </w:hyperlink>
        </w:p>
        <w:p w14:paraId="6F8D0678" w14:textId="2D248610" w:rsidR="00257F34" w:rsidRDefault="00257F34">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231152046" w:history="1">
            <w:r w:rsidRPr="001D421B">
              <w:rPr>
                <w:rStyle w:val="Hyperlink"/>
                <w:b/>
                <w:bCs/>
                <w:noProof/>
              </w:rPr>
              <w:t>5.3 Operational and Safety Risk</w:t>
            </w:r>
            <w:r>
              <w:rPr>
                <w:noProof/>
                <w:webHidden/>
              </w:rPr>
              <w:tab/>
            </w:r>
            <w:r>
              <w:rPr>
                <w:noProof/>
                <w:webHidden/>
              </w:rPr>
              <w:fldChar w:fldCharType="begin"/>
            </w:r>
            <w:r>
              <w:rPr>
                <w:noProof/>
                <w:webHidden/>
              </w:rPr>
              <w:instrText xml:space="preserve"> PAGEREF _Toc231152046 \h </w:instrText>
            </w:r>
            <w:r>
              <w:rPr>
                <w:noProof/>
                <w:webHidden/>
              </w:rPr>
            </w:r>
            <w:r>
              <w:rPr>
                <w:noProof/>
                <w:webHidden/>
              </w:rPr>
              <w:fldChar w:fldCharType="separate"/>
            </w:r>
            <w:r>
              <w:rPr>
                <w:noProof/>
                <w:webHidden/>
              </w:rPr>
              <w:t>16</w:t>
            </w:r>
            <w:r>
              <w:rPr>
                <w:noProof/>
                <w:webHidden/>
              </w:rPr>
              <w:fldChar w:fldCharType="end"/>
            </w:r>
          </w:hyperlink>
        </w:p>
        <w:p w14:paraId="103E2022" w14:textId="159691FD" w:rsidR="00257F34" w:rsidRDefault="00257F34">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231152047" w:history="1">
            <w:r w:rsidRPr="001D421B">
              <w:rPr>
                <w:rStyle w:val="Hyperlink"/>
                <w:b/>
                <w:bCs/>
                <w:noProof/>
              </w:rPr>
              <w:t>5.4 Interdependency of Risks</w:t>
            </w:r>
            <w:r>
              <w:rPr>
                <w:noProof/>
                <w:webHidden/>
              </w:rPr>
              <w:tab/>
            </w:r>
            <w:r>
              <w:rPr>
                <w:noProof/>
                <w:webHidden/>
              </w:rPr>
              <w:fldChar w:fldCharType="begin"/>
            </w:r>
            <w:r>
              <w:rPr>
                <w:noProof/>
                <w:webHidden/>
              </w:rPr>
              <w:instrText xml:space="preserve"> PAGEREF _Toc231152047 \h </w:instrText>
            </w:r>
            <w:r>
              <w:rPr>
                <w:noProof/>
                <w:webHidden/>
              </w:rPr>
            </w:r>
            <w:r>
              <w:rPr>
                <w:noProof/>
                <w:webHidden/>
              </w:rPr>
              <w:fldChar w:fldCharType="separate"/>
            </w:r>
            <w:r>
              <w:rPr>
                <w:noProof/>
                <w:webHidden/>
              </w:rPr>
              <w:t>17</w:t>
            </w:r>
            <w:r>
              <w:rPr>
                <w:noProof/>
                <w:webHidden/>
              </w:rPr>
              <w:fldChar w:fldCharType="end"/>
            </w:r>
          </w:hyperlink>
        </w:p>
        <w:p w14:paraId="3A63799D" w14:textId="4E19A6B8" w:rsidR="00257F34" w:rsidRDefault="00257F34">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231152048" w:history="1">
            <w:r w:rsidRPr="001D421B">
              <w:rPr>
                <w:rStyle w:val="Hyperlink"/>
                <w:b/>
                <w:bCs/>
                <w:noProof/>
              </w:rPr>
              <w:t>5.5 Summary</w:t>
            </w:r>
            <w:r>
              <w:rPr>
                <w:noProof/>
                <w:webHidden/>
              </w:rPr>
              <w:tab/>
            </w:r>
            <w:r>
              <w:rPr>
                <w:noProof/>
                <w:webHidden/>
              </w:rPr>
              <w:fldChar w:fldCharType="begin"/>
            </w:r>
            <w:r>
              <w:rPr>
                <w:noProof/>
                <w:webHidden/>
              </w:rPr>
              <w:instrText xml:space="preserve"> PAGEREF _Toc231152048 \h </w:instrText>
            </w:r>
            <w:r>
              <w:rPr>
                <w:noProof/>
                <w:webHidden/>
              </w:rPr>
            </w:r>
            <w:r>
              <w:rPr>
                <w:noProof/>
                <w:webHidden/>
              </w:rPr>
              <w:fldChar w:fldCharType="separate"/>
            </w:r>
            <w:r>
              <w:rPr>
                <w:noProof/>
                <w:webHidden/>
              </w:rPr>
              <w:t>17</w:t>
            </w:r>
            <w:r>
              <w:rPr>
                <w:noProof/>
                <w:webHidden/>
              </w:rPr>
              <w:fldChar w:fldCharType="end"/>
            </w:r>
          </w:hyperlink>
        </w:p>
        <w:p w14:paraId="153D5DE5" w14:textId="14789E49" w:rsidR="00257F34" w:rsidRDefault="00257F34">
          <w:pPr>
            <w:pStyle w:val="TOC1"/>
            <w:tabs>
              <w:tab w:val="right" w:leader="dot" w:pos="9016"/>
            </w:tabs>
            <w:rPr>
              <w:rFonts w:asciiTheme="minorHAnsi" w:eastAsiaTheme="minorEastAsia" w:hAnsiTheme="minorHAnsi"/>
              <w:noProof/>
              <w:kern w:val="2"/>
              <w:sz w:val="24"/>
              <w:szCs w:val="24"/>
              <w:lang w:eastAsia="en-GB"/>
              <w14:ligatures w14:val="standardContextual"/>
            </w:rPr>
          </w:pPr>
          <w:hyperlink w:anchor="_Toc231152049" w:history="1">
            <w:r w:rsidRPr="001D421B">
              <w:rPr>
                <w:rStyle w:val="Hyperlink"/>
                <w:b/>
                <w:bCs/>
                <w:noProof/>
              </w:rPr>
              <w:t>6. Contractor Proposal Analysis</w:t>
            </w:r>
            <w:r>
              <w:rPr>
                <w:noProof/>
                <w:webHidden/>
              </w:rPr>
              <w:tab/>
            </w:r>
            <w:r>
              <w:rPr>
                <w:noProof/>
                <w:webHidden/>
              </w:rPr>
              <w:fldChar w:fldCharType="begin"/>
            </w:r>
            <w:r>
              <w:rPr>
                <w:noProof/>
                <w:webHidden/>
              </w:rPr>
              <w:instrText xml:space="preserve"> PAGEREF _Toc231152049 \h </w:instrText>
            </w:r>
            <w:r>
              <w:rPr>
                <w:noProof/>
                <w:webHidden/>
              </w:rPr>
            </w:r>
            <w:r>
              <w:rPr>
                <w:noProof/>
                <w:webHidden/>
              </w:rPr>
              <w:fldChar w:fldCharType="separate"/>
            </w:r>
            <w:r>
              <w:rPr>
                <w:noProof/>
                <w:webHidden/>
              </w:rPr>
              <w:t>18</w:t>
            </w:r>
            <w:r>
              <w:rPr>
                <w:noProof/>
                <w:webHidden/>
              </w:rPr>
              <w:fldChar w:fldCharType="end"/>
            </w:r>
          </w:hyperlink>
        </w:p>
        <w:p w14:paraId="6E47D635" w14:textId="75751765" w:rsidR="00257F34" w:rsidRDefault="00257F34">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231152050" w:history="1">
            <w:r w:rsidRPr="001D421B">
              <w:rPr>
                <w:rStyle w:val="Hyperlink"/>
                <w:b/>
                <w:bCs/>
                <w:noProof/>
              </w:rPr>
              <w:t>6.1 Introduction</w:t>
            </w:r>
            <w:r>
              <w:rPr>
                <w:noProof/>
                <w:webHidden/>
              </w:rPr>
              <w:tab/>
            </w:r>
            <w:r>
              <w:rPr>
                <w:noProof/>
                <w:webHidden/>
              </w:rPr>
              <w:fldChar w:fldCharType="begin"/>
            </w:r>
            <w:r>
              <w:rPr>
                <w:noProof/>
                <w:webHidden/>
              </w:rPr>
              <w:instrText xml:space="preserve"> PAGEREF _Toc231152050 \h </w:instrText>
            </w:r>
            <w:r>
              <w:rPr>
                <w:noProof/>
                <w:webHidden/>
              </w:rPr>
            </w:r>
            <w:r>
              <w:rPr>
                <w:noProof/>
                <w:webHidden/>
              </w:rPr>
              <w:fldChar w:fldCharType="separate"/>
            </w:r>
            <w:r>
              <w:rPr>
                <w:noProof/>
                <w:webHidden/>
              </w:rPr>
              <w:t>18</w:t>
            </w:r>
            <w:r>
              <w:rPr>
                <w:noProof/>
                <w:webHidden/>
              </w:rPr>
              <w:fldChar w:fldCharType="end"/>
            </w:r>
          </w:hyperlink>
        </w:p>
        <w:p w14:paraId="54F19C0D" w14:textId="71BA35D6" w:rsidR="00257F34" w:rsidRDefault="00257F34">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231152051" w:history="1">
            <w:r w:rsidRPr="001D421B">
              <w:rPr>
                <w:rStyle w:val="Hyperlink"/>
                <w:b/>
                <w:bCs/>
                <w:noProof/>
              </w:rPr>
              <w:t>6.2 Method 1: Mechanical Removal and Drying</w:t>
            </w:r>
            <w:r>
              <w:rPr>
                <w:noProof/>
                <w:webHidden/>
              </w:rPr>
              <w:tab/>
            </w:r>
            <w:r>
              <w:rPr>
                <w:noProof/>
                <w:webHidden/>
              </w:rPr>
              <w:fldChar w:fldCharType="begin"/>
            </w:r>
            <w:r>
              <w:rPr>
                <w:noProof/>
                <w:webHidden/>
              </w:rPr>
              <w:instrText xml:space="preserve"> PAGEREF _Toc231152051 \h </w:instrText>
            </w:r>
            <w:r>
              <w:rPr>
                <w:noProof/>
                <w:webHidden/>
              </w:rPr>
            </w:r>
            <w:r>
              <w:rPr>
                <w:noProof/>
                <w:webHidden/>
              </w:rPr>
              <w:fldChar w:fldCharType="separate"/>
            </w:r>
            <w:r>
              <w:rPr>
                <w:noProof/>
                <w:webHidden/>
              </w:rPr>
              <w:t>18</w:t>
            </w:r>
            <w:r>
              <w:rPr>
                <w:noProof/>
                <w:webHidden/>
              </w:rPr>
              <w:fldChar w:fldCharType="end"/>
            </w:r>
          </w:hyperlink>
        </w:p>
        <w:p w14:paraId="53FC6EAC" w14:textId="7A45816A" w:rsidR="00257F34" w:rsidRDefault="00257F34">
          <w:pPr>
            <w:pStyle w:val="TOC3"/>
            <w:tabs>
              <w:tab w:val="right" w:leader="dot" w:pos="9016"/>
            </w:tabs>
            <w:rPr>
              <w:rFonts w:asciiTheme="minorHAnsi" w:eastAsiaTheme="minorEastAsia" w:hAnsiTheme="minorHAnsi"/>
              <w:noProof/>
              <w:kern w:val="2"/>
              <w:sz w:val="24"/>
              <w:szCs w:val="24"/>
              <w:lang w:eastAsia="en-GB"/>
              <w14:ligatures w14:val="standardContextual"/>
            </w:rPr>
          </w:pPr>
          <w:hyperlink w:anchor="_Toc231152052" w:history="1">
            <w:r w:rsidRPr="001D421B">
              <w:rPr>
                <w:rStyle w:val="Hyperlink"/>
                <w:b/>
                <w:bCs/>
                <w:noProof/>
              </w:rPr>
              <w:t>6.2.1 Overview</w:t>
            </w:r>
            <w:r>
              <w:rPr>
                <w:noProof/>
                <w:webHidden/>
              </w:rPr>
              <w:tab/>
            </w:r>
            <w:r>
              <w:rPr>
                <w:noProof/>
                <w:webHidden/>
              </w:rPr>
              <w:fldChar w:fldCharType="begin"/>
            </w:r>
            <w:r>
              <w:rPr>
                <w:noProof/>
                <w:webHidden/>
              </w:rPr>
              <w:instrText xml:space="preserve"> PAGEREF _Toc231152052 \h </w:instrText>
            </w:r>
            <w:r>
              <w:rPr>
                <w:noProof/>
                <w:webHidden/>
              </w:rPr>
            </w:r>
            <w:r>
              <w:rPr>
                <w:noProof/>
                <w:webHidden/>
              </w:rPr>
              <w:fldChar w:fldCharType="separate"/>
            </w:r>
            <w:r>
              <w:rPr>
                <w:noProof/>
                <w:webHidden/>
              </w:rPr>
              <w:t>18</w:t>
            </w:r>
            <w:r>
              <w:rPr>
                <w:noProof/>
                <w:webHidden/>
              </w:rPr>
              <w:fldChar w:fldCharType="end"/>
            </w:r>
          </w:hyperlink>
        </w:p>
        <w:p w14:paraId="162E8F0F" w14:textId="4C8EAB9F" w:rsidR="00257F34" w:rsidRDefault="00257F34">
          <w:pPr>
            <w:pStyle w:val="TOC3"/>
            <w:tabs>
              <w:tab w:val="right" w:leader="dot" w:pos="9016"/>
            </w:tabs>
            <w:rPr>
              <w:rFonts w:asciiTheme="minorHAnsi" w:eastAsiaTheme="minorEastAsia" w:hAnsiTheme="minorHAnsi"/>
              <w:noProof/>
              <w:kern w:val="2"/>
              <w:sz w:val="24"/>
              <w:szCs w:val="24"/>
              <w:lang w:eastAsia="en-GB"/>
              <w14:ligatures w14:val="standardContextual"/>
            </w:rPr>
          </w:pPr>
          <w:hyperlink w:anchor="_Toc231152053" w:history="1">
            <w:r w:rsidRPr="001D421B">
              <w:rPr>
                <w:rStyle w:val="Hyperlink"/>
                <w:b/>
                <w:bCs/>
                <w:noProof/>
              </w:rPr>
              <w:t>6.2.2 Advantages</w:t>
            </w:r>
            <w:r>
              <w:rPr>
                <w:noProof/>
                <w:webHidden/>
              </w:rPr>
              <w:tab/>
            </w:r>
            <w:r>
              <w:rPr>
                <w:noProof/>
                <w:webHidden/>
              </w:rPr>
              <w:fldChar w:fldCharType="begin"/>
            </w:r>
            <w:r>
              <w:rPr>
                <w:noProof/>
                <w:webHidden/>
              </w:rPr>
              <w:instrText xml:space="preserve"> PAGEREF _Toc231152053 \h </w:instrText>
            </w:r>
            <w:r>
              <w:rPr>
                <w:noProof/>
                <w:webHidden/>
              </w:rPr>
            </w:r>
            <w:r>
              <w:rPr>
                <w:noProof/>
                <w:webHidden/>
              </w:rPr>
              <w:fldChar w:fldCharType="separate"/>
            </w:r>
            <w:r>
              <w:rPr>
                <w:noProof/>
                <w:webHidden/>
              </w:rPr>
              <w:t>18</w:t>
            </w:r>
            <w:r>
              <w:rPr>
                <w:noProof/>
                <w:webHidden/>
              </w:rPr>
              <w:fldChar w:fldCharType="end"/>
            </w:r>
          </w:hyperlink>
        </w:p>
        <w:p w14:paraId="1332EC5F" w14:textId="6F9B93C7" w:rsidR="00257F34" w:rsidRDefault="00257F34">
          <w:pPr>
            <w:pStyle w:val="TOC3"/>
            <w:tabs>
              <w:tab w:val="right" w:leader="dot" w:pos="9016"/>
            </w:tabs>
            <w:rPr>
              <w:rFonts w:asciiTheme="minorHAnsi" w:eastAsiaTheme="minorEastAsia" w:hAnsiTheme="minorHAnsi"/>
              <w:noProof/>
              <w:kern w:val="2"/>
              <w:sz w:val="24"/>
              <w:szCs w:val="24"/>
              <w:lang w:eastAsia="en-GB"/>
              <w14:ligatures w14:val="standardContextual"/>
            </w:rPr>
          </w:pPr>
          <w:hyperlink w:anchor="_Toc231152054" w:history="1">
            <w:r w:rsidRPr="001D421B">
              <w:rPr>
                <w:rStyle w:val="Hyperlink"/>
                <w:b/>
                <w:bCs/>
                <w:noProof/>
              </w:rPr>
              <w:t>6.2.3 Limitations</w:t>
            </w:r>
            <w:r>
              <w:rPr>
                <w:noProof/>
                <w:webHidden/>
              </w:rPr>
              <w:tab/>
            </w:r>
            <w:r>
              <w:rPr>
                <w:noProof/>
                <w:webHidden/>
              </w:rPr>
              <w:fldChar w:fldCharType="begin"/>
            </w:r>
            <w:r>
              <w:rPr>
                <w:noProof/>
                <w:webHidden/>
              </w:rPr>
              <w:instrText xml:space="preserve"> PAGEREF _Toc231152054 \h </w:instrText>
            </w:r>
            <w:r>
              <w:rPr>
                <w:noProof/>
                <w:webHidden/>
              </w:rPr>
            </w:r>
            <w:r>
              <w:rPr>
                <w:noProof/>
                <w:webHidden/>
              </w:rPr>
              <w:fldChar w:fldCharType="separate"/>
            </w:r>
            <w:r>
              <w:rPr>
                <w:noProof/>
                <w:webHidden/>
              </w:rPr>
              <w:t>18</w:t>
            </w:r>
            <w:r>
              <w:rPr>
                <w:noProof/>
                <w:webHidden/>
              </w:rPr>
              <w:fldChar w:fldCharType="end"/>
            </w:r>
          </w:hyperlink>
        </w:p>
        <w:p w14:paraId="23A2BBA6" w14:textId="7B9F104D" w:rsidR="00257F34" w:rsidRDefault="00257F34">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231152055" w:history="1">
            <w:r w:rsidRPr="001D421B">
              <w:rPr>
                <w:rStyle w:val="Hyperlink"/>
                <w:b/>
                <w:bCs/>
                <w:noProof/>
              </w:rPr>
              <w:t>6.3 Method 2: Direct Pumping to Tankers</w:t>
            </w:r>
            <w:r>
              <w:rPr>
                <w:noProof/>
                <w:webHidden/>
              </w:rPr>
              <w:tab/>
            </w:r>
            <w:r>
              <w:rPr>
                <w:noProof/>
                <w:webHidden/>
              </w:rPr>
              <w:fldChar w:fldCharType="begin"/>
            </w:r>
            <w:r>
              <w:rPr>
                <w:noProof/>
                <w:webHidden/>
              </w:rPr>
              <w:instrText xml:space="preserve"> PAGEREF _Toc231152055 \h </w:instrText>
            </w:r>
            <w:r>
              <w:rPr>
                <w:noProof/>
                <w:webHidden/>
              </w:rPr>
            </w:r>
            <w:r>
              <w:rPr>
                <w:noProof/>
                <w:webHidden/>
              </w:rPr>
              <w:fldChar w:fldCharType="separate"/>
            </w:r>
            <w:r>
              <w:rPr>
                <w:noProof/>
                <w:webHidden/>
              </w:rPr>
              <w:t>19</w:t>
            </w:r>
            <w:r>
              <w:rPr>
                <w:noProof/>
                <w:webHidden/>
              </w:rPr>
              <w:fldChar w:fldCharType="end"/>
            </w:r>
          </w:hyperlink>
        </w:p>
        <w:p w14:paraId="35059F8E" w14:textId="05166EB8" w:rsidR="00257F34" w:rsidRDefault="00257F34">
          <w:pPr>
            <w:pStyle w:val="TOC3"/>
            <w:tabs>
              <w:tab w:val="right" w:leader="dot" w:pos="9016"/>
            </w:tabs>
            <w:rPr>
              <w:rFonts w:asciiTheme="minorHAnsi" w:eastAsiaTheme="minorEastAsia" w:hAnsiTheme="minorHAnsi"/>
              <w:noProof/>
              <w:kern w:val="2"/>
              <w:sz w:val="24"/>
              <w:szCs w:val="24"/>
              <w:lang w:eastAsia="en-GB"/>
              <w14:ligatures w14:val="standardContextual"/>
            </w:rPr>
          </w:pPr>
          <w:hyperlink w:anchor="_Toc231152056" w:history="1">
            <w:r w:rsidRPr="001D421B">
              <w:rPr>
                <w:rStyle w:val="Hyperlink"/>
                <w:b/>
                <w:bCs/>
                <w:noProof/>
              </w:rPr>
              <w:t>6.3.4 Critical Evaluation</w:t>
            </w:r>
            <w:r>
              <w:rPr>
                <w:noProof/>
                <w:webHidden/>
              </w:rPr>
              <w:tab/>
            </w:r>
            <w:r>
              <w:rPr>
                <w:noProof/>
                <w:webHidden/>
              </w:rPr>
              <w:fldChar w:fldCharType="begin"/>
            </w:r>
            <w:r>
              <w:rPr>
                <w:noProof/>
                <w:webHidden/>
              </w:rPr>
              <w:instrText xml:space="preserve"> PAGEREF _Toc231152056 \h </w:instrText>
            </w:r>
            <w:r>
              <w:rPr>
                <w:noProof/>
                <w:webHidden/>
              </w:rPr>
            </w:r>
            <w:r>
              <w:rPr>
                <w:noProof/>
                <w:webHidden/>
              </w:rPr>
              <w:fldChar w:fldCharType="separate"/>
            </w:r>
            <w:r>
              <w:rPr>
                <w:noProof/>
                <w:webHidden/>
              </w:rPr>
              <w:t>20</w:t>
            </w:r>
            <w:r>
              <w:rPr>
                <w:noProof/>
                <w:webHidden/>
              </w:rPr>
              <w:fldChar w:fldCharType="end"/>
            </w:r>
          </w:hyperlink>
        </w:p>
        <w:p w14:paraId="33C6D2AB" w14:textId="11A09698" w:rsidR="00257F34" w:rsidRDefault="00257F34">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231152057" w:history="1">
            <w:r w:rsidRPr="001D421B">
              <w:rPr>
                <w:rStyle w:val="Hyperlink"/>
                <w:b/>
                <w:bCs/>
                <w:noProof/>
              </w:rPr>
              <w:t>6.4 Method 3: Integrated Phased Removal and Demolition</w:t>
            </w:r>
            <w:r>
              <w:rPr>
                <w:noProof/>
                <w:webHidden/>
              </w:rPr>
              <w:tab/>
            </w:r>
            <w:r>
              <w:rPr>
                <w:noProof/>
                <w:webHidden/>
              </w:rPr>
              <w:fldChar w:fldCharType="begin"/>
            </w:r>
            <w:r>
              <w:rPr>
                <w:noProof/>
                <w:webHidden/>
              </w:rPr>
              <w:instrText xml:space="preserve"> PAGEREF _Toc231152057 \h </w:instrText>
            </w:r>
            <w:r>
              <w:rPr>
                <w:noProof/>
                <w:webHidden/>
              </w:rPr>
            </w:r>
            <w:r>
              <w:rPr>
                <w:noProof/>
                <w:webHidden/>
              </w:rPr>
              <w:fldChar w:fldCharType="separate"/>
            </w:r>
            <w:r>
              <w:rPr>
                <w:noProof/>
                <w:webHidden/>
              </w:rPr>
              <w:t>20</w:t>
            </w:r>
            <w:r>
              <w:rPr>
                <w:noProof/>
                <w:webHidden/>
              </w:rPr>
              <w:fldChar w:fldCharType="end"/>
            </w:r>
          </w:hyperlink>
        </w:p>
        <w:p w14:paraId="6D8CB9EB" w14:textId="0E2DD17B" w:rsidR="00257F34" w:rsidRDefault="00257F34">
          <w:pPr>
            <w:pStyle w:val="TOC3"/>
            <w:tabs>
              <w:tab w:val="right" w:leader="dot" w:pos="9016"/>
            </w:tabs>
            <w:rPr>
              <w:rFonts w:asciiTheme="minorHAnsi" w:eastAsiaTheme="minorEastAsia" w:hAnsiTheme="minorHAnsi"/>
              <w:noProof/>
              <w:kern w:val="2"/>
              <w:sz w:val="24"/>
              <w:szCs w:val="24"/>
              <w:lang w:eastAsia="en-GB"/>
              <w14:ligatures w14:val="standardContextual"/>
            </w:rPr>
          </w:pPr>
          <w:hyperlink w:anchor="_Toc231152058" w:history="1">
            <w:r w:rsidRPr="001D421B">
              <w:rPr>
                <w:rStyle w:val="Hyperlink"/>
                <w:b/>
                <w:bCs/>
                <w:noProof/>
              </w:rPr>
              <w:t>6.4.1 Overview</w:t>
            </w:r>
            <w:r>
              <w:rPr>
                <w:noProof/>
                <w:webHidden/>
              </w:rPr>
              <w:tab/>
            </w:r>
            <w:r>
              <w:rPr>
                <w:noProof/>
                <w:webHidden/>
              </w:rPr>
              <w:fldChar w:fldCharType="begin"/>
            </w:r>
            <w:r>
              <w:rPr>
                <w:noProof/>
                <w:webHidden/>
              </w:rPr>
              <w:instrText xml:space="preserve"> PAGEREF _Toc231152058 \h </w:instrText>
            </w:r>
            <w:r>
              <w:rPr>
                <w:noProof/>
                <w:webHidden/>
              </w:rPr>
            </w:r>
            <w:r>
              <w:rPr>
                <w:noProof/>
                <w:webHidden/>
              </w:rPr>
              <w:fldChar w:fldCharType="separate"/>
            </w:r>
            <w:r>
              <w:rPr>
                <w:noProof/>
                <w:webHidden/>
              </w:rPr>
              <w:t>20</w:t>
            </w:r>
            <w:r>
              <w:rPr>
                <w:noProof/>
                <w:webHidden/>
              </w:rPr>
              <w:fldChar w:fldCharType="end"/>
            </w:r>
          </w:hyperlink>
        </w:p>
        <w:p w14:paraId="4AC5575E" w14:textId="7AD970DD" w:rsidR="00257F34" w:rsidRDefault="00257F34">
          <w:pPr>
            <w:pStyle w:val="TOC3"/>
            <w:tabs>
              <w:tab w:val="right" w:leader="dot" w:pos="9016"/>
            </w:tabs>
            <w:rPr>
              <w:rFonts w:asciiTheme="minorHAnsi" w:eastAsiaTheme="minorEastAsia" w:hAnsiTheme="minorHAnsi"/>
              <w:noProof/>
              <w:kern w:val="2"/>
              <w:sz w:val="24"/>
              <w:szCs w:val="24"/>
              <w:lang w:eastAsia="en-GB"/>
              <w14:ligatures w14:val="standardContextual"/>
            </w:rPr>
          </w:pPr>
          <w:hyperlink w:anchor="_Toc231152059" w:history="1">
            <w:r w:rsidRPr="001D421B">
              <w:rPr>
                <w:rStyle w:val="Hyperlink"/>
                <w:b/>
                <w:bCs/>
                <w:noProof/>
              </w:rPr>
              <w:t>6.4.2 Advantages</w:t>
            </w:r>
            <w:r>
              <w:rPr>
                <w:noProof/>
                <w:webHidden/>
              </w:rPr>
              <w:tab/>
            </w:r>
            <w:r>
              <w:rPr>
                <w:noProof/>
                <w:webHidden/>
              </w:rPr>
              <w:fldChar w:fldCharType="begin"/>
            </w:r>
            <w:r>
              <w:rPr>
                <w:noProof/>
                <w:webHidden/>
              </w:rPr>
              <w:instrText xml:space="preserve"> PAGEREF _Toc231152059 \h </w:instrText>
            </w:r>
            <w:r>
              <w:rPr>
                <w:noProof/>
                <w:webHidden/>
              </w:rPr>
            </w:r>
            <w:r>
              <w:rPr>
                <w:noProof/>
                <w:webHidden/>
              </w:rPr>
              <w:fldChar w:fldCharType="separate"/>
            </w:r>
            <w:r>
              <w:rPr>
                <w:noProof/>
                <w:webHidden/>
              </w:rPr>
              <w:t>20</w:t>
            </w:r>
            <w:r>
              <w:rPr>
                <w:noProof/>
                <w:webHidden/>
              </w:rPr>
              <w:fldChar w:fldCharType="end"/>
            </w:r>
          </w:hyperlink>
        </w:p>
        <w:p w14:paraId="0FB599AD" w14:textId="5CB26621" w:rsidR="00257F34" w:rsidRDefault="00257F34">
          <w:pPr>
            <w:pStyle w:val="TOC3"/>
            <w:tabs>
              <w:tab w:val="right" w:leader="dot" w:pos="9016"/>
            </w:tabs>
            <w:rPr>
              <w:rFonts w:asciiTheme="minorHAnsi" w:eastAsiaTheme="minorEastAsia" w:hAnsiTheme="minorHAnsi"/>
              <w:noProof/>
              <w:kern w:val="2"/>
              <w:sz w:val="24"/>
              <w:szCs w:val="24"/>
              <w:lang w:eastAsia="en-GB"/>
              <w14:ligatures w14:val="standardContextual"/>
            </w:rPr>
          </w:pPr>
          <w:hyperlink w:anchor="_Toc231152060" w:history="1">
            <w:r w:rsidRPr="001D421B">
              <w:rPr>
                <w:rStyle w:val="Hyperlink"/>
                <w:b/>
                <w:bCs/>
                <w:noProof/>
              </w:rPr>
              <w:t>6.4.3 Limitations</w:t>
            </w:r>
            <w:r>
              <w:rPr>
                <w:noProof/>
                <w:webHidden/>
              </w:rPr>
              <w:tab/>
            </w:r>
            <w:r>
              <w:rPr>
                <w:noProof/>
                <w:webHidden/>
              </w:rPr>
              <w:fldChar w:fldCharType="begin"/>
            </w:r>
            <w:r>
              <w:rPr>
                <w:noProof/>
                <w:webHidden/>
              </w:rPr>
              <w:instrText xml:space="preserve"> PAGEREF _Toc231152060 \h </w:instrText>
            </w:r>
            <w:r>
              <w:rPr>
                <w:noProof/>
                <w:webHidden/>
              </w:rPr>
            </w:r>
            <w:r>
              <w:rPr>
                <w:noProof/>
                <w:webHidden/>
              </w:rPr>
              <w:fldChar w:fldCharType="separate"/>
            </w:r>
            <w:r>
              <w:rPr>
                <w:noProof/>
                <w:webHidden/>
              </w:rPr>
              <w:t>20</w:t>
            </w:r>
            <w:r>
              <w:rPr>
                <w:noProof/>
                <w:webHidden/>
              </w:rPr>
              <w:fldChar w:fldCharType="end"/>
            </w:r>
          </w:hyperlink>
        </w:p>
        <w:p w14:paraId="44D5443C" w14:textId="2CB81C19" w:rsidR="00257F34" w:rsidRDefault="00257F34">
          <w:pPr>
            <w:pStyle w:val="TOC3"/>
            <w:tabs>
              <w:tab w:val="right" w:leader="dot" w:pos="9016"/>
            </w:tabs>
            <w:rPr>
              <w:rFonts w:asciiTheme="minorHAnsi" w:eastAsiaTheme="minorEastAsia" w:hAnsiTheme="minorHAnsi"/>
              <w:noProof/>
              <w:kern w:val="2"/>
              <w:sz w:val="24"/>
              <w:szCs w:val="24"/>
              <w:lang w:eastAsia="en-GB"/>
              <w14:ligatures w14:val="standardContextual"/>
            </w:rPr>
          </w:pPr>
          <w:hyperlink w:anchor="_Toc231152061" w:history="1">
            <w:r w:rsidRPr="001D421B">
              <w:rPr>
                <w:rStyle w:val="Hyperlink"/>
                <w:b/>
                <w:bCs/>
                <w:noProof/>
              </w:rPr>
              <w:t>6.4.4 Critical Evaluation</w:t>
            </w:r>
            <w:r>
              <w:rPr>
                <w:noProof/>
                <w:webHidden/>
              </w:rPr>
              <w:tab/>
            </w:r>
            <w:r>
              <w:rPr>
                <w:noProof/>
                <w:webHidden/>
              </w:rPr>
              <w:fldChar w:fldCharType="begin"/>
            </w:r>
            <w:r>
              <w:rPr>
                <w:noProof/>
                <w:webHidden/>
              </w:rPr>
              <w:instrText xml:space="preserve"> PAGEREF _Toc231152061 \h </w:instrText>
            </w:r>
            <w:r>
              <w:rPr>
                <w:noProof/>
                <w:webHidden/>
              </w:rPr>
            </w:r>
            <w:r>
              <w:rPr>
                <w:noProof/>
                <w:webHidden/>
              </w:rPr>
              <w:fldChar w:fldCharType="separate"/>
            </w:r>
            <w:r>
              <w:rPr>
                <w:noProof/>
                <w:webHidden/>
              </w:rPr>
              <w:t>21</w:t>
            </w:r>
            <w:r>
              <w:rPr>
                <w:noProof/>
                <w:webHidden/>
              </w:rPr>
              <w:fldChar w:fldCharType="end"/>
            </w:r>
          </w:hyperlink>
        </w:p>
        <w:p w14:paraId="44A78917" w14:textId="4FD41384" w:rsidR="00257F34" w:rsidRDefault="00257F34">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231152062" w:history="1">
            <w:r w:rsidRPr="001D421B">
              <w:rPr>
                <w:rStyle w:val="Hyperlink"/>
                <w:b/>
                <w:bCs/>
                <w:noProof/>
              </w:rPr>
              <w:t>6.5 Comparative Analysis</w:t>
            </w:r>
            <w:r>
              <w:rPr>
                <w:noProof/>
                <w:webHidden/>
              </w:rPr>
              <w:tab/>
            </w:r>
            <w:r>
              <w:rPr>
                <w:noProof/>
                <w:webHidden/>
              </w:rPr>
              <w:fldChar w:fldCharType="begin"/>
            </w:r>
            <w:r>
              <w:rPr>
                <w:noProof/>
                <w:webHidden/>
              </w:rPr>
              <w:instrText xml:space="preserve"> PAGEREF _Toc231152062 \h </w:instrText>
            </w:r>
            <w:r>
              <w:rPr>
                <w:noProof/>
                <w:webHidden/>
              </w:rPr>
            </w:r>
            <w:r>
              <w:rPr>
                <w:noProof/>
                <w:webHidden/>
              </w:rPr>
              <w:fldChar w:fldCharType="separate"/>
            </w:r>
            <w:r>
              <w:rPr>
                <w:noProof/>
                <w:webHidden/>
              </w:rPr>
              <w:t>21</w:t>
            </w:r>
            <w:r>
              <w:rPr>
                <w:noProof/>
                <w:webHidden/>
              </w:rPr>
              <w:fldChar w:fldCharType="end"/>
            </w:r>
          </w:hyperlink>
        </w:p>
        <w:p w14:paraId="6A430248" w14:textId="3A2AE8C8" w:rsidR="00257F34" w:rsidRDefault="00257F34">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231152063" w:history="1">
            <w:r w:rsidRPr="001D421B">
              <w:rPr>
                <w:rStyle w:val="Hyperlink"/>
                <w:b/>
                <w:bCs/>
                <w:noProof/>
              </w:rPr>
              <w:t>6.6 Selection of Preferred Approach</w:t>
            </w:r>
            <w:r>
              <w:rPr>
                <w:noProof/>
                <w:webHidden/>
              </w:rPr>
              <w:tab/>
            </w:r>
            <w:r>
              <w:rPr>
                <w:noProof/>
                <w:webHidden/>
              </w:rPr>
              <w:fldChar w:fldCharType="begin"/>
            </w:r>
            <w:r>
              <w:rPr>
                <w:noProof/>
                <w:webHidden/>
              </w:rPr>
              <w:instrText xml:space="preserve"> PAGEREF _Toc231152063 \h </w:instrText>
            </w:r>
            <w:r>
              <w:rPr>
                <w:noProof/>
                <w:webHidden/>
              </w:rPr>
            </w:r>
            <w:r>
              <w:rPr>
                <w:noProof/>
                <w:webHidden/>
              </w:rPr>
              <w:fldChar w:fldCharType="separate"/>
            </w:r>
            <w:r>
              <w:rPr>
                <w:noProof/>
                <w:webHidden/>
              </w:rPr>
              <w:t>21</w:t>
            </w:r>
            <w:r>
              <w:rPr>
                <w:noProof/>
                <w:webHidden/>
              </w:rPr>
              <w:fldChar w:fldCharType="end"/>
            </w:r>
          </w:hyperlink>
        </w:p>
        <w:p w14:paraId="27BB7693" w14:textId="44905A4B" w:rsidR="00257F34" w:rsidRDefault="00257F34">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231152064" w:history="1">
            <w:r w:rsidRPr="001D421B">
              <w:rPr>
                <w:rStyle w:val="Hyperlink"/>
                <w:b/>
                <w:bCs/>
                <w:noProof/>
              </w:rPr>
              <w:t>6.7 Summary</w:t>
            </w:r>
            <w:r>
              <w:rPr>
                <w:noProof/>
                <w:webHidden/>
              </w:rPr>
              <w:tab/>
            </w:r>
            <w:r>
              <w:rPr>
                <w:noProof/>
                <w:webHidden/>
              </w:rPr>
              <w:fldChar w:fldCharType="begin"/>
            </w:r>
            <w:r>
              <w:rPr>
                <w:noProof/>
                <w:webHidden/>
              </w:rPr>
              <w:instrText xml:space="preserve"> PAGEREF _Toc231152064 \h </w:instrText>
            </w:r>
            <w:r>
              <w:rPr>
                <w:noProof/>
                <w:webHidden/>
              </w:rPr>
            </w:r>
            <w:r>
              <w:rPr>
                <w:noProof/>
                <w:webHidden/>
              </w:rPr>
              <w:fldChar w:fldCharType="separate"/>
            </w:r>
            <w:r>
              <w:rPr>
                <w:noProof/>
                <w:webHidden/>
              </w:rPr>
              <w:t>21</w:t>
            </w:r>
            <w:r>
              <w:rPr>
                <w:noProof/>
                <w:webHidden/>
              </w:rPr>
              <w:fldChar w:fldCharType="end"/>
            </w:r>
          </w:hyperlink>
        </w:p>
        <w:p w14:paraId="5DC0A6E3" w14:textId="141FE160" w:rsidR="00257F34" w:rsidRDefault="00257F34">
          <w:pPr>
            <w:pStyle w:val="TOC1"/>
            <w:tabs>
              <w:tab w:val="right" w:leader="dot" w:pos="9016"/>
            </w:tabs>
            <w:rPr>
              <w:rFonts w:asciiTheme="minorHAnsi" w:eastAsiaTheme="minorEastAsia" w:hAnsiTheme="minorHAnsi"/>
              <w:noProof/>
              <w:kern w:val="2"/>
              <w:sz w:val="24"/>
              <w:szCs w:val="24"/>
              <w:lang w:eastAsia="en-GB"/>
              <w14:ligatures w14:val="standardContextual"/>
            </w:rPr>
          </w:pPr>
          <w:hyperlink w:anchor="_Toc231152065" w:history="1">
            <w:r w:rsidRPr="001D421B">
              <w:rPr>
                <w:rStyle w:val="Hyperlink"/>
                <w:b/>
                <w:bCs/>
                <w:noProof/>
              </w:rPr>
              <w:t>7. Risk Assessment (Advanced Analysis)</w:t>
            </w:r>
            <w:r>
              <w:rPr>
                <w:noProof/>
                <w:webHidden/>
              </w:rPr>
              <w:tab/>
            </w:r>
            <w:r>
              <w:rPr>
                <w:noProof/>
                <w:webHidden/>
              </w:rPr>
              <w:fldChar w:fldCharType="begin"/>
            </w:r>
            <w:r>
              <w:rPr>
                <w:noProof/>
                <w:webHidden/>
              </w:rPr>
              <w:instrText xml:space="preserve"> PAGEREF _Toc231152065 \h </w:instrText>
            </w:r>
            <w:r>
              <w:rPr>
                <w:noProof/>
                <w:webHidden/>
              </w:rPr>
            </w:r>
            <w:r>
              <w:rPr>
                <w:noProof/>
                <w:webHidden/>
              </w:rPr>
              <w:fldChar w:fldCharType="separate"/>
            </w:r>
            <w:r>
              <w:rPr>
                <w:noProof/>
                <w:webHidden/>
              </w:rPr>
              <w:t>22</w:t>
            </w:r>
            <w:r>
              <w:rPr>
                <w:noProof/>
                <w:webHidden/>
              </w:rPr>
              <w:fldChar w:fldCharType="end"/>
            </w:r>
          </w:hyperlink>
        </w:p>
        <w:p w14:paraId="42CF493A" w14:textId="2DDB7B0F" w:rsidR="00257F34" w:rsidRDefault="00257F34">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231152066" w:history="1">
            <w:r w:rsidRPr="001D421B">
              <w:rPr>
                <w:rStyle w:val="Hyperlink"/>
                <w:b/>
                <w:bCs/>
                <w:noProof/>
              </w:rPr>
              <w:t>7.1 Safety Risks</w:t>
            </w:r>
            <w:r>
              <w:rPr>
                <w:noProof/>
                <w:webHidden/>
              </w:rPr>
              <w:tab/>
            </w:r>
            <w:r>
              <w:rPr>
                <w:noProof/>
                <w:webHidden/>
              </w:rPr>
              <w:fldChar w:fldCharType="begin"/>
            </w:r>
            <w:r>
              <w:rPr>
                <w:noProof/>
                <w:webHidden/>
              </w:rPr>
              <w:instrText xml:space="preserve"> PAGEREF _Toc231152066 \h </w:instrText>
            </w:r>
            <w:r>
              <w:rPr>
                <w:noProof/>
                <w:webHidden/>
              </w:rPr>
            </w:r>
            <w:r>
              <w:rPr>
                <w:noProof/>
                <w:webHidden/>
              </w:rPr>
              <w:fldChar w:fldCharType="separate"/>
            </w:r>
            <w:r>
              <w:rPr>
                <w:noProof/>
                <w:webHidden/>
              </w:rPr>
              <w:t>22</w:t>
            </w:r>
            <w:r>
              <w:rPr>
                <w:noProof/>
                <w:webHidden/>
              </w:rPr>
              <w:fldChar w:fldCharType="end"/>
            </w:r>
          </w:hyperlink>
        </w:p>
        <w:p w14:paraId="25390C17" w14:textId="7BC8E36F" w:rsidR="00257F34" w:rsidRDefault="00257F34">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231152067" w:history="1">
            <w:r w:rsidRPr="001D421B">
              <w:rPr>
                <w:rStyle w:val="Hyperlink"/>
                <w:b/>
                <w:bCs/>
                <w:noProof/>
              </w:rPr>
              <w:t>7.2 Environmental Risks</w:t>
            </w:r>
            <w:r>
              <w:rPr>
                <w:noProof/>
                <w:webHidden/>
              </w:rPr>
              <w:tab/>
            </w:r>
            <w:r>
              <w:rPr>
                <w:noProof/>
                <w:webHidden/>
              </w:rPr>
              <w:fldChar w:fldCharType="begin"/>
            </w:r>
            <w:r>
              <w:rPr>
                <w:noProof/>
                <w:webHidden/>
              </w:rPr>
              <w:instrText xml:space="preserve"> PAGEREF _Toc231152067 \h </w:instrText>
            </w:r>
            <w:r>
              <w:rPr>
                <w:noProof/>
                <w:webHidden/>
              </w:rPr>
            </w:r>
            <w:r>
              <w:rPr>
                <w:noProof/>
                <w:webHidden/>
              </w:rPr>
              <w:fldChar w:fldCharType="separate"/>
            </w:r>
            <w:r>
              <w:rPr>
                <w:noProof/>
                <w:webHidden/>
              </w:rPr>
              <w:t>22</w:t>
            </w:r>
            <w:r>
              <w:rPr>
                <w:noProof/>
                <w:webHidden/>
              </w:rPr>
              <w:fldChar w:fldCharType="end"/>
            </w:r>
          </w:hyperlink>
        </w:p>
        <w:p w14:paraId="189195EA" w14:textId="365F3784" w:rsidR="00257F34" w:rsidRDefault="00257F34">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231152068" w:history="1">
            <w:r w:rsidRPr="001D421B">
              <w:rPr>
                <w:rStyle w:val="Hyperlink"/>
                <w:b/>
                <w:bCs/>
                <w:noProof/>
              </w:rPr>
              <w:t>7.3 Commercial Risks</w:t>
            </w:r>
            <w:r>
              <w:rPr>
                <w:noProof/>
                <w:webHidden/>
              </w:rPr>
              <w:tab/>
            </w:r>
            <w:r>
              <w:rPr>
                <w:noProof/>
                <w:webHidden/>
              </w:rPr>
              <w:fldChar w:fldCharType="begin"/>
            </w:r>
            <w:r>
              <w:rPr>
                <w:noProof/>
                <w:webHidden/>
              </w:rPr>
              <w:instrText xml:space="preserve"> PAGEREF _Toc231152068 \h </w:instrText>
            </w:r>
            <w:r>
              <w:rPr>
                <w:noProof/>
                <w:webHidden/>
              </w:rPr>
            </w:r>
            <w:r>
              <w:rPr>
                <w:noProof/>
                <w:webHidden/>
              </w:rPr>
              <w:fldChar w:fldCharType="separate"/>
            </w:r>
            <w:r>
              <w:rPr>
                <w:noProof/>
                <w:webHidden/>
              </w:rPr>
              <w:t>23</w:t>
            </w:r>
            <w:r>
              <w:rPr>
                <w:noProof/>
                <w:webHidden/>
              </w:rPr>
              <w:fldChar w:fldCharType="end"/>
            </w:r>
          </w:hyperlink>
        </w:p>
        <w:p w14:paraId="2430F765" w14:textId="5487FB10" w:rsidR="00257F34" w:rsidRDefault="00257F34">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231152069" w:history="1">
            <w:r w:rsidRPr="001D421B">
              <w:rPr>
                <w:rStyle w:val="Hyperlink"/>
                <w:b/>
                <w:bCs/>
                <w:noProof/>
              </w:rPr>
              <w:t>7.4 Interdependency of Risks</w:t>
            </w:r>
            <w:r>
              <w:rPr>
                <w:noProof/>
                <w:webHidden/>
              </w:rPr>
              <w:tab/>
            </w:r>
            <w:r>
              <w:rPr>
                <w:noProof/>
                <w:webHidden/>
              </w:rPr>
              <w:fldChar w:fldCharType="begin"/>
            </w:r>
            <w:r>
              <w:rPr>
                <w:noProof/>
                <w:webHidden/>
              </w:rPr>
              <w:instrText xml:space="preserve"> PAGEREF _Toc231152069 \h </w:instrText>
            </w:r>
            <w:r>
              <w:rPr>
                <w:noProof/>
                <w:webHidden/>
              </w:rPr>
            </w:r>
            <w:r>
              <w:rPr>
                <w:noProof/>
                <w:webHidden/>
              </w:rPr>
              <w:fldChar w:fldCharType="separate"/>
            </w:r>
            <w:r>
              <w:rPr>
                <w:noProof/>
                <w:webHidden/>
              </w:rPr>
              <w:t>23</w:t>
            </w:r>
            <w:r>
              <w:rPr>
                <w:noProof/>
                <w:webHidden/>
              </w:rPr>
              <w:fldChar w:fldCharType="end"/>
            </w:r>
          </w:hyperlink>
        </w:p>
        <w:p w14:paraId="058F98D0" w14:textId="3B7E89F1" w:rsidR="00257F34" w:rsidRDefault="00257F34">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231152070" w:history="1">
            <w:r w:rsidRPr="001D421B">
              <w:rPr>
                <w:rStyle w:val="Hyperlink"/>
                <w:b/>
                <w:bCs/>
                <w:noProof/>
              </w:rPr>
              <w:t>7.5 Key Insight: Sludge Uncertainty as the Dominant Risk Driver</w:t>
            </w:r>
            <w:r>
              <w:rPr>
                <w:noProof/>
                <w:webHidden/>
              </w:rPr>
              <w:tab/>
            </w:r>
            <w:r>
              <w:rPr>
                <w:noProof/>
                <w:webHidden/>
              </w:rPr>
              <w:fldChar w:fldCharType="begin"/>
            </w:r>
            <w:r>
              <w:rPr>
                <w:noProof/>
                <w:webHidden/>
              </w:rPr>
              <w:instrText xml:space="preserve"> PAGEREF _Toc231152070 \h </w:instrText>
            </w:r>
            <w:r>
              <w:rPr>
                <w:noProof/>
                <w:webHidden/>
              </w:rPr>
            </w:r>
            <w:r>
              <w:rPr>
                <w:noProof/>
                <w:webHidden/>
              </w:rPr>
              <w:fldChar w:fldCharType="separate"/>
            </w:r>
            <w:r>
              <w:rPr>
                <w:noProof/>
                <w:webHidden/>
              </w:rPr>
              <w:t>24</w:t>
            </w:r>
            <w:r>
              <w:rPr>
                <w:noProof/>
                <w:webHidden/>
              </w:rPr>
              <w:fldChar w:fldCharType="end"/>
            </w:r>
          </w:hyperlink>
        </w:p>
        <w:p w14:paraId="70E62319" w14:textId="1AFC83C2" w:rsidR="00257F34" w:rsidRDefault="00257F34">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231152071" w:history="1">
            <w:r w:rsidRPr="001D421B">
              <w:rPr>
                <w:rStyle w:val="Hyperlink"/>
                <w:b/>
                <w:bCs/>
                <w:noProof/>
              </w:rPr>
              <w:t>7.6 Summary</w:t>
            </w:r>
            <w:r>
              <w:rPr>
                <w:noProof/>
                <w:webHidden/>
              </w:rPr>
              <w:tab/>
            </w:r>
            <w:r>
              <w:rPr>
                <w:noProof/>
                <w:webHidden/>
              </w:rPr>
              <w:fldChar w:fldCharType="begin"/>
            </w:r>
            <w:r>
              <w:rPr>
                <w:noProof/>
                <w:webHidden/>
              </w:rPr>
              <w:instrText xml:space="preserve"> PAGEREF _Toc231152071 \h </w:instrText>
            </w:r>
            <w:r>
              <w:rPr>
                <w:noProof/>
                <w:webHidden/>
              </w:rPr>
            </w:r>
            <w:r>
              <w:rPr>
                <w:noProof/>
                <w:webHidden/>
              </w:rPr>
              <w:fldChar w:fldCharType="separate"/>
            </w:r>
            <w:r>
              <w:rPr>
                <w:noProof/>
                <w:webHidden/>
              </w:rPr>
              <w:t>24</w:t>
            </w:r>
            <w:r>
              <w:rPr>
                <w:noProof/>
                <w:webHidden/>
              </w:rPr>
              <w:fldChar w:fldCharType="end"/>
            </w:r>
          </w:hyperlink>
        </w:p>
        <w:p w14:paraId="47DD777C" w14:textId="0986F7EF" w:rsidR="00257F34" w:rsidRDefault="00257F34">
          <w:pPr>
            <w:pStyle w:val="TOC1"/>
            <w:tabs>
              <w:tab w:val="right" w:leader="dot" w:pos="9016"/>
            </w:tabs>
            <w:rPr>
              <w:rFonts w:asciiTheme="minorHAnsi" w:eastAsiaTheme="minorEastAsia" w:hAnsiTheme="minorHAnsi"/>
              <w:noProof/>
              <w:kern w:val="2"/>
              <w:sz w:val="24"/>
              <w:szCs w:val="24"/>
              <w:lang w:eastAsia="en-GB"/>
              <w14:ligatures w14:val="standardContextual"/>
            </w:rPr>
          </w:pPr>
          <w:hyperlink w:anchor="_Toc231152072" w:history="1">
            <w:r w:rsidRPr="001D421B">
              <w:rPr>
                <w:rStyle w:val="Hyperlink"/>
                <w:b/>
                <w:bCs/>
                <w:noProof/>
              </w:rPr>
              <w:t>8. Proposed Decommissioning Strategy</w:t>
            </w:r>
            <w:r>
              <w:rPr>
                <w:noProof/>
                <w:webHidden/>
              </w:rPr>
              <w:tab/>
            </w:r>
            <w:r>
              <w:rPr>
                <w:noProof/>
                <w:webHidden/>
              </w:rPr>
              <w:fldChar w:fldCharType="begin"/>
            </w:r>
            <w:r>
              <w:rPr>
                <w:noProof/>
                <w:webHidden/>
              </w:rPr>
              <w:instrText xml:space="preserve"> PAGEREF _Toc231152072 \h </w:instrText>
            </w:r>
            <w:r>
              <w:rPr>
                <w:noProof/>
                <w:webHidden/>
              </w:rPr>
            </w:r>
            <w:r>
              <w:rPr>
                <w:noProof/>
                <w:webHidden/>
              </w:rPr>
              <w:fldChar w:fldCharType="separate"/>
            </w:r>
            <w:r>
              <w:rPr>
                <w:noProof/>
                <w:webHidden/>
              </w:rPr>
              <w:t>24</w:t>
            </w:r>
            <w:r>
              <w:rPr>
                <w:noProof/>
                <w:webHidden/>
              </w:rPr>
              <w:fldChar w:fldCharType="end"/>
            </w:r>
          </w:hyperlink>
        </w:p>
        <w:p w14:paraId="163D9E33" w14:textId="18EDCFC6" w:rsidR="00257F34" w:rsidRDefault="00257F34">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231152073" w:history="1">
            <w:r w:rsidRPr="001D421B">
              <w:rPr>
                <w:rStyle w:val="Hyperlink"/>
                <w:b/>
                <w:bCs/>
                <w:noProof/>
              </w:rPr>
              <w:t>8.1 Introduction</w:t>
            </w:r>
            <w:r>
              <w:rPr>
                <w:noProof/>
                <w:webHidden/>
              </w:rPr>
              <w:tab/>
            </w:r>
            <w:r>
              <w:rPr>
                <w:noProof/>
                <w:webHidden/>
              </w:rPr>
              <w:fldChar w:fldCharType="begin"/>
            </w:r>
            <w:r>
              <w:rPr>
                <w:noProof/>
                <w:webHidden/>
              </w:rPr>
              <w:instrText xml:space="preserve"> PAGEREF _Toc231152073 \h </w:instrText>
            </w:r>
            <w:r>
              <w:rPr>
                <w:noProof/>
                <w:webHidden/>
              </w:rPr>
            </w:r>
            <w:r>
              <w:rPr>
                <w:noProof/>
                <w:webHidden/>
              </w:rPr>
              <w:fldChar w:fldCharType="separate"/>
            </w:r>
            <w:r>
              <w:rPr>
                <w:noProof/>
                <w:webHidden/>
              </w:rPr>
              <w:t>24</w:t>
            </w:r>
            <w:r>
              <w:rPr>
                <w:noProof/>
                <w:webHidden/>
              </w:rPr>
              <w:fldChar w:fldCharType="end"/>
            </w:r>
          </w:hyperlink>
        </w:p>
        <w:p w14:paraId="54EACF50" w14:textId="5CCBA76C" w:rsidR="00257F34" w:rsidRDefault="00257F34">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231152074" w:history="1">
            <w:r w:rsidRPr="001D421B">
              <w:rPr>
                <w:rStyle w:val="Hyperlink"/>
                <w:b/>
                <w:bCs/>
                <w:noProof/>
              </w:rPr>
              <w:t>8.2 Strategic Principles</w:t>
            </w:r>
            <w:r>
              <w:rPr>
                <w:noProof/>
                <w:webHidden/>
              </w:rPr>
              <w:tab/>
            </w:r>
            <w:r>
              <w:rPr>
                <w:noProof/>
                <w:webHidden/>
              </w:rPr>
              <w:fldChar w:fldCharType="begin"/>
            </w:r>
            <w:r>
              <w:rPr>
                <w:noProof/>
                <w:webHidden/>
              </w:rPr>
              <w:instrText xml:space="preserve"> PAGEREF _Toc231152074 \h </w:instrText>
            </w:r>
            <w:r>
              <w:rPr>
                <w:noProof/>
                <w:webHidden/>
              </w:rPr>
            </w:r>
            <w:r>
              <w:rPr>
                <w:noProof/>
                <w:webHidden/>
              </w:rPr>
              <w:fldChar w:fldCharType="separate"/>
            </w:r>
            <w:r>
              <w:rPr>
                <w:noProof/>
                <w:webHidden/>
              </w:rPr>
              <w:t>25</w:t>
            </w:r>
            <w:r>
              <w:rPr>
                <w:noProof/>
                <w:webHidden/>
              </w:rPr>
              <w:fldChar w:fldCharType="end"/>
            </w:r>
          </w:hyperlink>
        </w:p>
        <w:p w14:paraId="4F200029" w14:textId="13960967" w:rsidR="00257F34" w:rsidRDefault="00257F34">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231152075" w:history="1">
            <w:r w:rsidRPr="001D421B">
              <w:rPr>
                <w:rStyle w:val="Hyperlink"/>
                <w:b/>
                <w:bCs/>
                <w:noProof/>
              </w:rPr>
              <w:t>8.3 Phase 1: Site Preparation and Enabling Works</w:t>
            </w:r>
            <w:r>
              <w:rPr>
                <w:noProof/>
                <w:webHidden/>
              </w:rPr>
              <w:tab/>
            </w:r>
            <w:r>
              <w:rPr>
                <w:noProof/>
                <w:webHidden/>
              </w:rPr>
              <w:fldChar w:fldCharType="begin"/>
            </w:r>
            <w:r>
              <w:rPr>
                <w:noProof/>
                <w:webHidden/>
              </w:rPr>
              <w:instrText xml:space="preserve"> PAGEREF _Toc231152075 \h </w:instrText>
            </w:r>
            <w:r>
              <w:rPr>
                <w:noProof/>
                <w:webHidden/>
              </w:rPr>
            </w:r>
            <w:r>
              <w:rPr>
                <w:noProof/>
                <w:webHidden/>
              </w:rPr>
              <w:fldChar w:fldCharType="separate"/>
            </w:r>
            <w:r>
              <w:rPr>
                <w:noProof/>
                <w:webHidden/>
              </w:rPr>
              <w:t>25</w:t>
            </w:r>
            <w:r>
              <w:rPr>
                <w:noProof/>
                <w:webHidden/>
              </w:rPr>
              <w:fldChar w:fldCharType="end"/>
            </w:r>
          </w:hyperlink>
        </w:p>
        <w:p w14:paraId="19B30568" w14:textId="01DF2016" w:rsidR="00257F34" w:rsidRDefault="00257F34">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231152076" w:history="1">
            <w:r w:rsidRPr="001D421B">
              <w:rPr>
                <w:rStyle w:val="Hyperlink"/>
                <w:b/>
                <w:bCs/>
                <w:noProof/>
              </w:rPr>
              <w:t>8.4 Phase 2: Bulk Liquid Removal</w:t>
            </w:r>
            <w:r>
              <w:rPr>
                <w:noProof/>
                <w:webHidden/>
              </w:rPr>
              <w:tab/>
            </w:r>
            <w:r>
              <w:rPr>
                <w:noProof/>
                <w:webHidden/>
              </w:rPr>
              <w:fldChar w:fldCharType="begin"/>
            </w:r>
            <w:r>
              <w:rPr>
                <w:noProof/>
                <w:webHidden/>
              </w:rPr>
              <w:instrText xml:space="preserve"> PAGEREF _Toc231152076 \h </w:instrText>
            </w:r>
            <w:r>
              <w:rPr>
                <w:noProof/>
                <w:webHidden/>
              </w:rPr>
            </w:r>
            <w:r>
              <w:rPr>
                <w:noProof/>
                <w:webHidden/>
              </w:rPr>
              <w:fldChar w:fldCharType="separate"/>
            </w:r>
            <w:r>
              <w:rPr>
                <w:noProof/>
                <w:webHidden/>
              </w:rPr>
              <w:t>26</w:t>
            </w:r>
            <w:r>
              <w:rPr>
                <w:noProof/>
                <w:webHidden/>
              </w:rPr>
              <w:fldChar w:fldCharType="end"/>
            </w:r>
          </w:hyperlink>
        </w:p>
        <w:p w14:paraId="03E31876" w14:textId="625F12DA" w:rsidR="00257F34" w:rsidRDefault="00257F34">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231152077" w:history="1">
            <w:r w:rsidRPr="001D421B">
              <w:rPr>
                <w:rStyle w:val="Hyperlink"/>
                <w:b/>
                <w:bCs/>
                <w:noProof/>
              </w:rPr>
              <w:t>8.5 Phase 3: Sludge and Solid Removal</w:t>
            </w:r>
            <w:r>
              <w:rPr>
                <w:noProof/>
                <w:webHidden/>
              </w:rPr>
              <w:tab/>
            </w:r>
            <w:r>
              <w:rPr>
                <w:noProof/>
                <w:webHidden/>
              </w:rPr>
              <w:fldChar w:fldCharType="begin"/>
            </w:r>
            <w:r>
              <w:rPr>
                <w:noProof/>
                <w:webHidden/>
              </w:rPr>
              <w:instrText xml:space="preserve"> PAGEREF _Toc231152077 \h </w:instrText>
            </w:r>
            <w:r>
              <w:rPr>
                <w:noProof/>
                <w:webHidden/>
              </w:rPr>
            </w:r>
            <w:r>
              <w:rPr>
                <w:noProof/>
                <w:webHidden/>
              </w:rPr>
              <w:fldChar w:fldCharType="separate"/>
            </w:r>
            <w:r>
              <w:rPr>
                <w:noProof/>
                <w:webHidden/>
              </w:rPr>
              <w:t>26</w:t>
            </w:r>
            <w:r>
              <w:rPr>
                <w:noProof/>
                <w:webHidden/>
              </w:rPr>
              <w:fldChar w:fldCharType="end"/>
            </w:r>
          </w:hyperlink>
        </w:p>
        <w:p w14:paraId="3A2E2AC1" w14:textId="1B804D30" w:rsidR="00257F34" w:rsidRDefault="00257F34">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231152078" w:history="1">
            <w:r w:rsidRPr="001D421B">
              <w:rPr>
                <w:rStyle w:val="Hyperlink"/>
                <w:b/>
                <w:bCs/>
                <w:noProof/>
              </w:rPr>
              <w:t>8.6 Phase 4: Structural Demolition</w:t>
            </w:r>
            <w:r>
              <w:rPr>
                <w:noProof/>
                <w:webHidden/>
              </w:rPr>
              <w:tab/>
            </w:r>
            <w:r>
              <w:rPr>
                <w:noProof/>
                <w:webHidden/>
              </w:rPr>
              <w:fldChar w:fldCharType="begin"/>
            </w:r>
            <w:r>
              <w:rPr>
                <w:noProof/>
                <w:webHidden/>
              </w:rPr>
              <w:instrText xml:space="preserve"> PAGEREF _Toc231152078 \h </w:instrText>
            </w:r>
            <w:r>
              <w:rPr>
                <w:noProof/>
                <w:webHidden/>
              </w:rPr>
            </w:r>
            <w:r>
              <w:rPr>
                <w:noProof/>
                <w:webHidden/>
              </w:rPr>
              <w:fldChar w:fldCharType="separate"/>
            </w:r>
            <w:r>
              <w:rPr>
                <w:noProof/>
                <w:webHidden/>
              </w:rPr>
              <w:t>26</w:t>
            </w:r>
            <w:r>
              <w:rPr>
                <w:noProof/>
                <w:webHidden/>
              </w:rPr>
              <w:fldChar w:fldCharType="end"/>
            </w:r>
          </w:hyperlink>
        </w:p>
        <w:p w14:paraId="182AF752" w14:textId="2BAB8B17" w:rsidR="00257F34" w:rsidRDefault="00257F34">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231152079" w:history="1">
            <w:r w:rsidRPr="001D421B">
              <w:rPr>
                <w:rStyle w:val="Hyperlink"/>
                <w:b/>
                <w:bCs/>
                <w:noProof/>
              </w:rPr>
              <w:t>8.7 Phase 5: Environmental Remediation and Site Restoration</w:t>
            </w:r>
            <w:r>
              <w:rPr>
                <w:noProof/>
                <w:webHidden/>
              </w:rPr>
              <w:tab/>
            </w:r>
            <w:r>
              <w:rPr>
                <w:noProof/>
                <w:webHidden/>
              </w:rPr>
              <w:fldChar w:fldCharType="begin"/>
            </w:r>
            <w:r>
              <w:rPr>
                <w:noProof/>
                <w:webHidden/>
              </w:rPr>
              <w:instrText xml:space="preserve"> PAGEREF _Toc231152079 \h </w:instrText>
            </w:r>
            <w:r>
              <w:rPr>
                <w:noProof/>
                <w:webHidden/>
              </w:rPr>
            </w:r>
            <w:r>
              <w:rPr>
                <w:noProof/>
                <w:webHidden/>
              </w:rPr>
              <w:fldChar w:fldCharType="separate"/>
            </w:r>
            <w:r>
              <w:rPr>
                <w:noProof/>
                <w:webHidden/>
              </w:rPr>
              <w:t>27</w:t>
            </w:r>
            <w:r>
              <w:rPr>
                <w:noProof/>
                <w:webHidden/>
              </w:rPr>
              <w:fldChar w:fldCharType="end"/>
            </w:r>
          </w:hyperlink>
        </w:p>
        <w:p w14:paraId="435ECA06" w14:textId="7F1E5444" w:rsidR="00257F34" w:rsidRDefault="00257F34">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231152080" w:history="1">
            <w:r w:rsidRPr="001D421B">
              <w:rPr>
                <w:rStyle w:val="Hyperlink"/>
                <w:b/>
                <w:bCs/>
                <w:noProof/>
              </w:rPr>
              <w:t>8.8 Integration of Risk-Based Approach</w:t>
            </w:r>
            <w:r>
              <w:rPr>
                <w:noProof/>
                <w:webHidden/>
              </w:rPr>
              <w:tab/>
            </w:r>
            <w:r>
              <w:rPr>
                <w:noProof/>
                <w:webHidden/>
              </w:rPr>
              <w:fldChar w:fldCharType="begin"/>
            </w:r>
            <w:r>
              <w:rPr>
                <w:noProof/>
                <w:webHidden/>
              </w:rPr>
              <w:instrText xml:space="preserve"> PAGEREF _Toc231152080 \h </w:instrText>
            </w:r>
            <w:r>
              <w:rPr>
                <w:noProof/>
                <w:webHidden/>
              </w:rPr>
            </w:r>
            <w:r>
              <w:rPr>
                <w:noProof/>
                <w:webHidden/>
              </w:rPr>
              <w:fldChar w:fldCharType="separate"/>
            </w:r>
            <w:r>
              <w:rPr>
                <w:noProof/>
                <w:webHidden/>
              </w:rPr>
              <w:t>27</w:t>
            </w:r>
            <w:r>
              <w:rPr>
                <w:noProof/>
                <w:webHidden/>
              </w:rPr>
              <w:fldChar w:fldCharType="end"/>
            </w:r>
          </w:hyperlink>
        </w:p>
        <w:p w14:paraId="26791BBA" w14:textId="3FB01B23" w:rsidR="00257F34" w:rsidRDefault="00257F34">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231152081" w:history="1">
            <w:r w:rsidRPr="001D421B">
              <w:rPr>
                <w:rStyle w:val="Hyperlink"/>
                <w:b/>
                <w:bCs/>
                <w:noProof/>
              </w:rPr>
              <w:t>8.9 Justification of Strategy</w:t>
            </w:r>
            <w:r>
              <w:rPr>
                <w:noProof/>
                <w:webHidden/>
              </w:rPr>
              <w:tab/>
            </w:r>
            <w:r>
              <w:rPr>
                <w:noProof/>
                <w:webHidden/>
              </w:rPr>
              <w:fldChar w:fldCharType="begin"/>
            </w:r>
            <w:r>
              <w:rPr>
                <w:noProof/>
                <w:webHidden/>
              </w:rPr>
              <w:instrText xml:space="preserve"> PAGEREF _Toc231152081 \h </w:instrText>
            </w:r>
            <w:r>
              <w:rPr>
                <w:noProof/>
                <w:webHidden/>
              </w:rPr>
            </w:r>
            <w:r>
              <w:rPr>
                <w:noProof/>
                <w:webHidden/>
              </w:rPr>
              <w:fldChar w:fldCharType="separate"/>
            </w:r>
            <w:r>
              <w:rPr>
                <w:noProof/>
                <w:webHidden/>
              </w:rPr>
              <w:t>27</w:t>
            </w:r>
            <w:r>
              <w:rPr>
                <w:noProof/>
                <w:webHidden/>
              </w:rPr>
              <w:fldChar w:fldCharType="end"/>
            </w:r>
          </w:hyperlink>
        </w:p>
        <w:p w14:paraId="0F29765B" w14:textId="48933A1D" w:rsidR="00257F34" w:rsidRDefault="00257F34">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231152082" w:history="1">
            <w:r w:rsidRPr="001D421B">
              <w:rPr>
                <w:rStyle w:val="Hyperlink"/>
                <w:b/>
                <w:bCs/>
                <w:noProof/>
              </w:rPr>
              <w:t>8.10 Summary</w:t>
            </w:r>
            <w:r>
              <w:rPr>
                <w:noProof/>
                <w:webHidden/>
              </w:rPr>
              <w:tab/>
            </w:r>
            <w:r>
              <w:rPr>
                <w:noProof/>
                <w:webHidden/>
              </w:rPr>
              <w:fldChar w:fldCharType="begin"/>
            </w:r>
            <w:r>
              <w:rPr>
                <w:noProof/>
                <w:webHidden/>
              </w:rPr>
              <w:instrText xml:space="preserve"> PAGEREF _Toc231152082 \h </w:instrText>
            </w:r>
            <w:r>
              <w:rPr>
                <w:noProof/>
                <w:webHidden/>
              </w:rPr>
            </w:r>
            <w:r>
              <w:rPr>
                <w:noProof/>
                <w:webHidden/>
              </w:rPr>
              <w:fldChar w:fldCharType="separate"/>
            </w:r>
            <w:r>
              <w:rPr>
                <w:noProof/>
                <w:webHidden/>
              </w:rPr>
              <w:t>28</w:t>
            </w:r>
            <w:r>
              <w:rPr>
                <w:noProof/>
                <w:webHidden/>
              </w:rPr>
              <w:fldChar w:fldCharType="end"/>
            </w:r>
          </w:hyperlink>
        </w:p>
        <w:p w14:paraId="44AE34FC" w14:textId="7202BF1A" w:rsidR="00257F34" w:rsidRDefault="00257F34">
          <w:pPr>
            <w:pStyle w:val="TOC1"/>
            <w:tabs>
              <w:tab w:val="right" w:leader="dot" w:pos="9016"/>
            </w:tabs>
            <w:rPr>
              <w:rFonts w:asciiTheme="minorHAnsi" w:eastAsiaTheme="minorEastAsia" w:hAnsiTheme="minorHAnsi"/>
              <w:noProof/>
              <w:kern w:val="2"/>
              <w:sz w:val="24"/>
              <w:szCs w:val="24"/>
              <w:lang w:eastAsia="en-GB"/>
              <w14:ligatures w14:val="standardContextual"/>
            </w:rPr>
          </w:pPr>
          <w:hyperlink w:anchor="_Toc231152083" w:history="1">
            <w:r w:rsidRPr="001D421B">
              <w:rPr>
                <w:rStyle w:val="Hyperlink"/>
                <w:b/>
                <w:bCs/>
                <w:noProof/>
              </w:rPr>
              <w:t>9. Discussion</w:t>
            </w:r>
            <w:r>
              <w:rPr>
                <w:noProof/>
                <w:webHidden/>
              </w:rPr>
              <w:tab/>
            </w:r>
            <w:r>
              <w:rPr>
                <w:noProof/>
                <w:webHidden/>
              </w:rPr>
              <w:fldChar w:fldCharType="begin"/>
            </w:r>
            <w:r>
              <w:rPr>
                <w:noProof/>
                <w:webHidden/>
              </w:rPr>
              <w:instrText xml:space="preserve"> PAGEREF _Toc231152083 \h </w:instrText>
            </w:r>
            <w:r>
              <w:rPr>
                <w:noProof/>
                <w:webHidden/>
              </w:rPr>
            </w:r>
            <w:r>
              <w:rPr>
                <w:noProof/>
                <w:webHidden/>
              </w:rPr>
              <w:fldChar w:fldCharType="separate"/>
            </w:r>
            <w:r>
              <w:rPr>
                <w:noProof/>
                <w:webHidden/>
              </w:rPr>
              <w:t>28</w:t>
            </w:r>
            <w:r>
              <w:rPr>
                <w:noProof/>
                <w:webHidden/>
              </w:rPr>
              <w:fldChar w:fldCharType="end"/>
            </w:r>
          </w:hyperlink>
        </w:p>
        <w:p w14:paraId="6A337CAA" w14:textId="7F49706C" w:rsidR="00257F34" w:rsidRDefault="00257F34">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231152084" w:history="1">
            <w:r w:rsidRPr="001D421B">
              <w:rPr>
                <w:rStyle w:val="Hyperlink"/>
                <w:b/>
                <w:bCs/>
                <w:noProof/>
              </w:rPr>
              <w:t>9.1 Introduction</w:t>
            </w:r>
            <w:r>
              <w:rPr>
                <w:noProof/>
                <w:webHidden/>
              </w:rPr>
              <w:tab/>
            </w:r>
            <w:r>
              <w:rPr>
                <w:noProof/>
                <w:webHidden/>
              </w:rPr>
              <w:fldChar w:fldCharType="begin"/>
            </w:r>
            <w:r>
              <w:rPr>
                <w:noProof/>
                <w:webHidden/>
              </w:rPr>
              <w:instrText xml:space="preserve"> PAGEREF _Toc231152084 \h </w:instrText>
            </w:r>
            <w:r>
              <w:rPr>
                <w:noProof/>
                <w:webHidden/>
              </w:rPr>
            </w:r>
            <w:r>
              <w:rPr>
                <w:noProof/>
                <w:webHidden/>
              </w:rPr>
              <w:fldChar w:fldCharType="separate"/>
            </w:r>
            <w:r>
              <w:rPr>
                <w:noProof/>
                <w:webHidden/>
              </w:rPr>
              <w:t>28</w:t>
            </w:r>
            <w:r>
              <w:rPr>
                <w:noProof/>
                <w:webHidden/>
              </w:rPr>
              <w:fldChar w:fldCharType="end"/>
            </w:r>
          </w:hyperlink>
        </w:p>
        <w:p w14:paraId="54426CC9" w14:textId="03BF89C8" w:rsidR="00257F34" w:rsidRDefault="00257F34">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231152085" w:history="1">
            <w:r w:rsidRPr="001D421B">
              <w:rPr>
                <w:rStyle w:val="Hyperlink"/>
                <w:b/>
                <w:bCs/>
                <w:noProof/>
              </w:rPr>
              <w:t>9.2 Evaluation of Key Findings</w:t>
            </w:r>
            <w:r>
              <w:rPr>
                <w:noProof/>
                <w:webHidden/>
              </w:rPr>
              <w:tab/>
            </w:r>
            <w:r>
              <w:rPr>
                <w:noProof/>
                <w:webHidden/>
              </w:rPr>
              <w:fldChar w:fldCharType="begin"/>
            </w:r>
            <w:r>
              <w:rPr>
                <w:noProof/>
                <w:webHidden/>
              </w:rPr>
              <w:instrText xml:space="preserve"> PAGEREF _Toc231152085 \h </w:instrText>
            </w:r>
            <w:r>
              <w:rPr>
                <w:noProof/>
                <w:webHidden/>
              </w:rPr>
            </w:r>
            <w:r>
              <w:rPr>
                <w:noProof/>
                <w:webHidden/>
              </w:rPr>
              <w:fldChar w:fldCharType="separate"/>
            </w:r>
            <w:r>
              <w:rPr>
                <w:noProof/>
                <w:webHidden/>
              </w:rPr>
              <w:t>28</w:t>
            </w:r>
            <w:r>
              <w:rPr>
                <w:noProof/>
                <w:webHidden/>
              </w:rPr>
              <w:fldChar w:fldCharType="end"/>
            </w:r>
          </w:hyperlink>
        </w:p>
        <w:p w14:paraId="13542B7F" w14:textId="5EB9217F" w:rsidR="00257F34" w:rsidRDefault="00257F34">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231152086" w:history="1">
            <w:r w:rsidRPr="001D421B">
              <w:rPr>
                <w:rStyle w:val="Hyperlink"/>
                <w:b/>
                <w:bCs/>
                <w:noProof/>
              </w:rPr>
              <w:t>9.3 Trade-Off Analysis</w:t>
            </w:r>
            <w:r>
              <w:rPr>
                <w:noProof/>
                <w:webHidden/>
              </w:rPr>
              <w:tab/>
            </w:r>
            <w:r>
              <w:rPr>
                <w:noProof/>
                <w:webHidden/>
              </w:rPr>
              <w:fldChar w:fldCharType="begin"/>
            </w:r>
            <w:r>
              <w:rPr>
                <w:noProof/>
                <w:webHidden/>
              </w:rPr>
              <w:instrText xml:space="preserve"> PAGEREF _Toc231152086 \h </w:instrText>
            </w:r>
            <w:r>
              <w:rPr>
                <w:noProof/>
                <w:webHidden/>
              </w:rPr>
            </w:r>
            <w:r>
              <w:rPr>
                <w:noProof/>
                <w:webHidden/>
              </w:rPr>
              <w:fldChar w:fldCharType="separate"/>
            </w:r>
            <w:r>
              <w:rPr>
                <w:noProof/>
                <w:webHidden/>
              </w:rPr>
              <w:t>28</w:t>
            </w:r>
            <w:r>
              <w:rPr>
                <w:noProof/>
                <w:webHidden/>
              </w:rPr>
              <w:fldChar w:fldCharType="end"/>
            </w:r>
          </w:hyperlink>
        </w:p>
        <w:p w14:paraId="1F155DC3" w14:textId="60DBA0D7" w:rsidR="00257F34" w:rsidRDefault="00257F34">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231152087" w:history="1">
            <w:r w:rsidRPr="001D421B">
              <w:rPr>
                <w:rStyle w:val="Hyperlink"/>
                <w:b/>
                <w:bCs/>
                <w:noProof/>
              </w:rPr>
              <w:t>9.4 Role of Uncertainty in Decision-Making</w:t>
            </w:r>
            <w:r>
              <w:rPr>
                <w:noProof/>
                <w:webHidden/>
              </w:rPr>
              <w:tab/>
            </w:r>
            <w:r>
              <w:rPr>
                <w:noProof/>
                <w:webHidden/>
              </w:rPr>
              <w:fldChar w:fldCharType="begin"/>
            </w:r>
            <w:r>
              <w:rPr>
                <w:noProof/>
                <w:webHidden/>
              </w:rPr>
              <w:instrText xml:space="preserve"> PAGEREF _Toc231152087 \h </w:instrText>
            </w:r>
            <w:r>
              <w:rPr>
                <w:noProof/>
                <w:webHidden/>
              </w:rPr>
            </w:r>
            <w:r>
              <w:rPr>
                <w:noProof/>
                <w:webHidden/>
              </w:rPr>
              <w:fldChar w:fldCharType="separate"/>
            </w:r>
            <w:r>
              <w:rPr>
                <w:noProof/>
                <w:webHidden/>
              </w:rPr>
              <w:t>29</w:t>
            </w:r>
            <w:r>
              <w:rPr>
                <w:noProof/>
                <w:webHidden/>
              </w:rPr>
              <w:fldChar w:fldCharType="end"/>
            </w:r>
          </w:hyperlink>
        </w:p>
        <w:p w14:paraId="11BAC547" w14:textId="3D0E5DEE" w:rsidR="00257F34" w:rsidRDefault="00257F34">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231152088" w:history="1">
            <w:r w:rsidRPr="001D421B">
              <w:rPr>
                <w:rStyle w:val="Hyperlink"/>
                <w:b/>
                <w:bCs/>
                <w:noProof/>
              </w:rPr>
              <w:t>9.5 Alignment with Industry Best Practice</w:t>
            </w:r>
            <w:r>
              <w:rPr>
                <w:noProof/>
                <w:webHidden/>
              </w:rPr>
              <w:tab/>
            </w:r>
            <w:r>
              <w:rPr>
                <w:noProof/>
                <w:webHidden/>
              </w:rPr>
              <w:fldChar w:fldCharType="begin"/>
            </w:r>
            <w:r>
              <w:rPr>
                <w:noProof/>
                <w:webHidden/>
              </w:rPr>
              <w:instrText xml:space="preserve"> PAGEREF _Toc231152088 \h </w:instrText>
            </w:r>
            <w:r>
              <w:rPr>
                <w:noProof/>
                <w:webHidden/>
              </w:rPr>
            </w:r>
            <w:r>
              <w:rPr>
                <w:noProof/>
                <w:webHidden/>
              </w:rPr>
              <w:fldChar w:fldCharType="separate"/>
            </w:r>
            <w:r>
              <w:rPr>
                <w:noProof/>
                <w:webHidden/>
              </w:rPr>
              <w:t>29</w:t>
            </w:r>
            <w:r>
              <w:rPr>
                <w:noProof/>
                <w:webHidden/>
              </w:rPr>
              <w:fldChar w:fldCharType="end"/>
            </w:r>
          </w:hyperlink>
        </w:p>
        <w:p w14:paraId="452EFA8D" w14:textId="1DF28CA1" w:rsidR="00257F34" w:rsidRDefault="00257F34">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231152089" w:history="1">
            <w:r w:rsidRPr="001D421B">
              <w:rPr>
                <w:rStyle w:val="Hyperlink"/>
                <w:b/>
                <w:bCs/>
                <w:noProof/>
              </w:rPr>
              <w:t>9.6 Limitations of the Study</w:t>
            </w:r>
            <w:r>
              <w:rPr>
                <w:noProof/>
                <w:webHidden/>
              </w:rPr>
              <w:tab/>
            </w:r>
            <w:r>
              <w:rPr>
                <w:noProof/>
                <w:webHidden/>
              </w:rPr>
              <w:fldChar w:fldCharType="begin"/>
            </w:r>
            <w:r>
              <w:rPr>
                <w:noProof/>
                <w:webHidden/>
              </w:rPr>
              <w:instrText xml:space="preserve"> PAGEREF _Toc231152089 \h </w:instrText>
            </w:r>
            <w:r>
              <w:rPr>
                <w:noProof/>
                <w:webHidden/>
              </w:rPr>
            </w:r>
            <w:r>
              <w:rPr>
                <w:noProof/>
                <w:webHidden/>
              </w:rPr>
              <w:fldChar w:fldCharType="separate"/>
            </w:r>
            <w:r>
              <w:rPr>
                <w:noProof/>
                <w:webHidden/>
              </w:rPr>
              <w:t>30</w:t>
            </w:r>
            <w:r>
              <w:rPr>
                <w:noProof/>
                <w:webHidden/>
              </w:rPr>
              <w:fldChar w:fldCharType="end"/>
            </w:r>
          </w:hyperlink>
        </w:p>
        <w:p w14:paraId="364ED12F" w14:textId="799352AC" w:rsidR="00257F34" w:rsidRDefault="00257F34">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231152090" w:history="1">
            <w:r w:rsidRPr="001D421B">
              <w:rPr>
                <w:rStyle w:val="Hyperlink"/>
                <w:b/>
                <w:bCs/>
                <w:noProof/>
              </w:rPr>
              <w:t>9.7 Summary</w:t>
            </w:r>
            <w:r>
              <w:rPr>
                <w:noProof/>
                <w:webHidden/>
              </w:rPr>
              <w:tab/>
            </w:r>
            <w:r>
              <w:rPr>
                <w:noProof/>
                <w:webHidden/>
              </w:rPr>
              <w:fldChar w:fldCharType="begin"/>
            </w:r>
            <w:r>
              <w:rPr>
                <w:noProof/>
                <w:webHidden/>
              </w:rPr>
              <w:instrText xml:space="preserve"> PAGEREF _Toc231152090 \h </w:instrText>
            </w:r>
            <w:r>
              <w:rPr>
                <w:noProof/>
                <w:webHidden/>
              </w:rPr>
            </w:r>
            <w:r>
              <w:rPr>
                <w:noProof/>
                <w:webHidden/>
              </w:rPr>
              <w:fldChar w:fldCharType="separate"/>
            </w:r>
            <w:r>
              <w:rPr>
                <w:noProof/>
                <w:webHidden/>
              </w:rPr>
              <w:t>30</w:t>
            </w:r>
            <w:r>
              <w:rPr>
                <w:noProof/>
                <w:webHidden/>
              </w:rPr>
              <w:fldChar w:fldCharType="end"/>
            </w:r>
          </w:hyperlink>
        </w:p>
        <w:p w14:paraId="08BBC960" w14:textId="1F86054F" w:rsidR="00257F34" w:rsidRDefault="00257F34">
          <w:pPr>
            <w:pStyle w:val="TOC1"/>
            <w:tabs>
              <w:tab w:val="right" w:leader="dot" w:pos="9016"/>
            </w:tabs>
            <w:rPr>
              <w:rFonts w:asciiTheme="minorHAnsi" w:eastAsiaTheme="minorEastAsia" w:hAnsiTheme="minorHAnsi"/>
              <w:noProof/>
              <w:kern w:val="2"/>
              <w:sz w:val="24"/>
              <w:szCs w:val="24"/>
              <w:lang w:eastAsia="en-GB"/>
              <w14:ligatures w14:val="standardContextual"/>
            </w:rPr>
          </w:pPr>
          <w:hyperlink w:anchor="_Toc231152091" w:history="1">
            <w:r w:rsidRPr="001D421B">
              <w:rPr>
                <w:rStyle w:val="Hyperlink"/>
                <w:b/>
                <w:bCs/>
                <w:noProof/>
              </w:rPr>
              <w:t>10. Conclusion</w:t>
            </w:r>
            <w:r>
              <w:rPr>
                <w:noProof/>
                <w:webHidden/>
              </w:rPr>
              <w:tab/>
            </w:r>
            <w:r>
              <w:rPr>
                <w:noProof/>
                <w:webHidden/>
              </w:rPr>
              <w:fldChar w:fldCharType="begin"/>
            </w:r>
            <w:r>
              <w:rPr>
                <w:noProof/>
                <w:webHidden/>
              </w:rPr>
              <w:instrText xml:space="preserve"> PAGEREF _Toc231152091 \h </w:instrText>
            </w:r>
            <w:r>
              <w:rPr>
                <w:noProof/>
                <w:webHidden/>
              </w:rPr>
            </w:r>
            <w:r>
              <w:rPr>
                <w:noProof/>
                <w:webHidden/>
              </w:rPr>
              <w:fldChar w:fldCharType="separate"/>
            </w:r>
            <w:r>
              <w:rPr>
                <w:noProof/>
                <w:webHidden/>
              </w:rPr>
              <w:t>30</w:t>
            </w:r>
            <w:r>
              <w:rPr>
                <w:noProof/>
                <w:webHidden/>
              </w:rPr>
              <w:fldChar w:fldCharType="end"/>
            </w:r>
          </w:hyperlink>
        </w:p>
        <w:p w14:paraId="27291E6D" w14:textId="056A3341" w:rsidR="00257F34" w:rsidRDefault="00257F34">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231152092" w:history="1">
            <w:r w:rsidRPr="001D421B">
              <w:rPr>
                <w:rStyle w:val="Hyperlink"/>
                <w:b/>
                <w:bCs/>
                <w:noProof/>
              </w:rPr>
              <w:t>10.1 Overview</w:t>
            </w:r>
            <w:r>
              <w:rPr>
                <w:noProof/>
                <w:webHidden/>
              </w:rPr>
              <w:tab/>
            </w:r>
            <w:r>
              <w:rPr>
                <w:noProof/>
                <w:webHidden/>
              </w:rPr>
              <w:fldChar w:fldCharType="begin"/>
            </w:r>
            <w:r>
              <w:rPr>
                <w:noProof/>
                <w:webHidden/>
              </w:rPr>
              <w:instrText xml:space="preserve"> PAGEREF _Toc231152092 \h </w:instrText>
            </w:r>
            <w:r>
              <w:rPr>
                <w:noProof/>
                <w:webHidden/>
              </w:rPr>
            </w:r>
            <w:r>
              <w:rPr>
                <w:noProof/>
                <w:webHidden/>
              </w:rPr>
              <w:fldChar w:fldCharType="separate"/>
            </w:r>
            <w:r>
              <w:rPr>
                <w:noProof/>
                <w:webHidden/>
              </w:rPr>
              <w:t>30</w:t>
            </w:r>
            <w:r>
              <w:rPr>
                <w:noProof/>
                <w:webHidden/>
              </w:rPr>
              <w:fldChar w:fldCharType="end"/>
            </w:r>
          </w:hyperlink>
        </w:p>
        <w:p w14:paraId="6F80F810" w14:textId="7D428DCC" w:rsidR="00257F34" w:rsidRDefault="00257F34">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231152093" w:history="1">
            <w:r w:rsidRPr="001D421B">
              <w:rPr>
                <w:rStyle w:val="Hyperlink"/>
                <w:b/>
                <w:bCs/>
                <w:noProof/>
              </w:rPr>
              <w:t>10.2 Key Findings</w:t>
            </w:r>
            <w:r>
              <w:rPr>
                <w:noProof/>
                <w:webHidden/>
              </w:rPr>
              <w:tab/>
            </w:r>
            <w:r>
              <w:rPr>
                <w:noProof/>
                <w:webHidden/>
              </w:rPr>
              <w:fldChar w:fldCharType="begin"/>
            </w:r>
            <w:r>
              <w:rPr>
                <w:noProof/>
                <w:webHidden/>
              </w:rPr>
              <w:instrText xml:space="preserve"> PAGEREF _Toc231152093 \h </w:instrText>
            </w:r>
            <w:r>
              <w:rPr>
                <w:noProof/>
                <w:webHidden/>
              </w:rPr>
            </w:r>
            <w:r>
              <w:rPr>
                <w:noProof/>
                <w:webHidden/>
              </w:rPr>
              <w:fldChar w:fldCharType="separate"/>
            </w:r>
            <w:r>
              <w:rPr>
                <w:noProof/>
                <w:webHidden/>
              </w:rPr>
              <w:t>30</w:t>
            </w:r>
            <w:r>
              <w:rPr>
                <w:noProof/>
                <w:webHidden/>
              </w:rPr>
              <w:fldChar w:fldCharType="end"/>
            </w:r>
          </w:hyperlink>
        </w:p>
        <w:p w14:paraId="41B96E0E" w14:textId="20EF826E" w:rsidR="00257F34" w:rsidRDefault="00257F34">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231152094" w:history="1">
            <w:r w:rsidRPr="001D421B">
              <w:rPr>
                <w:rStyle w:val="Hyperlink"/>
                <w:b/>
                <w:bCs/>
                <w:noProof/>
              </w:rPr>
              <w:t>10.3 Achievement of Aim and Objectives</w:t>
            </w:r>
            <w:r>
              <w:rPr>
                <w:noProof/>
                <w:webHidden/>
              </w:rPr>
              <w:tab/>
            </w:r>
            <w:r>
              <w:rPr>
                <w:noProof/>
                <w:webHidden/>
              </w:rPr>
              <w:fldChar w:fldCharType="begin"/>
            </w:r>
            <w:r>
              <w:rPr>
                <w:noProof/>
                <w:webHidden/>
              </w:rPr>
              <w:instrText xml:space="preserve"> PAGEREF _Toc231152094 \h </w:instrText>
            </w:r>
            <w:r>
              <w:rPr>
                <w:noProof/>
                <w:webHidden/>
              </w:rPr>
            </w:r>
            <w:r>
              <w:rPr>
                <w:noProof/>
                <w:webHidden/>
              </w:rPr>
              <w:fldChar w:fldCharType="separate"/>
            </w:r>
            <w:r>
              <w:rPr>
                <w:noProof/>
                <w:webHidden/>
              </w:rPr>
              <w:t>30</w:t>
            </w:r>
            <w:r>
              <w:rPr>
                <w:noProof/>
                <w:webHidden/>
              </w:rPr>
              <w:fldChar w:fldCharType="end"/>
            </w:r>
          </w:hyperlink>
        </w:p>
        <w:p w14:paraId="01BFECD3" w14:textId="7ADA8FC4" w:rsidR="00257F34" w:rsidRDefault="00257F34">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231152095" w:history="1">
            <w:r w:rsidRPr="001D421B">
              <w:rPr>
                <w:rStyle w:val="Hyperlink"/>
                <w:b/>
                <w:bCs/>
                <w:noProof/>
              </w:rPr>
              <w:t>10.4 Final Recommendation</w:t>
            </w:r>
            <w:r>
              <w:rPr>
                <w:noProof/>
                <w:webHidden/>
              </w:rPr>
              <w:tab/>
            </w:r>
            <w:r>
              <w:rPr>
                <w:noProof/>
                <w:webHidden/>
              </w:rPr>
              <w:fldChar w:fldCharType="begin"/>
            </w:r>
            <w:r>
              <w:rPr>
                <w:noProof/>
                <w:webHidden/>
              </w:rPr>
              <w:instrText xml:space="preserve"> PAGEREF _Toc231152095 \h </w:instrText>
            </w:r>
            <w:r>
              <w:rPr>
                <w:noProof/>
                <w:webHidden/>
              </w:rPr>
            </w:r>
            <w:r>
              <w:rPr>
                <w:noProof/>
                <w:webHidden/>
              </w:rPr>
              <w:fldChar w:fldCharType="separate"/>
            </w:r>
            <w:r>
              <w:rPr>
                <w:noProof/>
                <w:webHidden/>
              </w:rPr>
              <w:t>31</w:t>
            </w:r>
            <w:r>
              <w:rPr>
                <w:noProof/>
                <w:webHidden/>
              </w:rPr>
              <w:fldChar w:fldCharType="end"/>
            </w:r>
          </w:hyperlink>
        </w:p>
        <w:p w14:paraId="3AED170C" w14:textId="42A9157B" w:rsidR="00257F34" w:rsidRDefault="00257F34">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231152096" w:history="1">
            <w:r w:rsidRPr="001D421B">
              <w:rPr>
                <w:rStyle w:val="Hyperlink"/>
                <w:b/>
                <w:bCs/>
                <w:noProof/>
              </w:rPr>
              <w:t>10.5 Future Considerations</w:t>
            </w:r>
            <w:r>
              <w:rPr>
                <w:noProof/>
                <w:webHidden/>
              </w:rPr>
              <w:tab/>
            </w:r>
            <w:r>
              <w:rPr>
                <w:noProof/>
                <w:webHidden/>
              </w:rPr>
              <w:fldChar w:fldCharType="begin"/>
            </w:r>
            <w:r>
              <w:rPr>
                <w:noProof/>
                <w:webHidden/>
              </w:rPr>
              <w:instrText xml:space="preserve"> PAGEREF _Toc231152096 \h </w:instrText>
            </w:r>
            <w:r>
              <w:rPr>
                <w:noProof/>
                <w:webHidden/>
              </w:rPr>
            </w:r>
            <w:r>
              <w:rPr>
                <w:noProof/>
                <w:webHidden/>
              </w:rPr>
              <w:fldChar w:fldCharType="separate"/>
            </w:r>
            <w:r>
              <w:rPr>
                <w:noProof/>
                <w:webHidden/>
              </w:rPr>
              <w:t>31</w:t>
            </w:r>
            <w:r>
              <w:rPr>
                <w:noProof/>
                <w:webHidden/>
              </w:rPr>
              <w:fldChar w:fldCharType="end"/>
            </w:r>
          </w:hyperlink>
        </w:p>
        <w:p w14:paraId="3499EA46" w14:textId="70A16926" w:rsidR="00257F34" w:rsidRDefault="00257F34">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231152097" w:history="1">
            <w:r w:rsidRPr="001D421B">
              <w:rPr>
                <w:rStyle w:val="Hyperlink"/>
                <w:b/>
                <w:bCs/>
                <w:noProof/>
              </w:rPr>
              <w:t>10.6 Closing Statement</w:t>
            </w:r>
            <w:r>
              <w:rPr>
                <w:noProof/>
                <w:webHidden/>
              </w:rPr>
              <w:tab/>
            </w:r>
            <w:r>
              <w:rPr>
                <w:noProof/>
                <w:webHidden/>
              </w:rPr>
              <w:fldChar w:fldCharType="begin"/>
            </w:r>
            <w:r>
              <w:rPr>
                <w:noProof/>
                <w:webHidden/>
              </w:rPr>
              <w:instrText xml:space="preserve"> PAGEREF _Toc231152097 \h </w:instrText>
            </w:r>
            <w:r>
              <w:rPr>
                <w:noProof/>
                <w:webHidden/>
              </w:rPr>
            </w:r>
            <w:r>
              <w:rPr>
                <w:noProof/>
                <w:webHidden/>
              </w:rPr>
              <w:fldChar w:fldCharType="separate"/>
            </w:r>
            <w:r>
              <w:rPr>
                <w:noProof/>
                <w:webHidden/>
              </w:rPr>
              <w:t>31</w:t>
            </w:r>
            <w:r>
              <w:rPr>
                <w:noProof/>
                <w:webHidden/>
              </w:rPr>
              <w:fldChar w:fldCharType="end"/>
            </w:r>
          </w:hyperlink>
        </w:p>
        <w:p w14:paraId="0FBD51C7" w14:textId="2875AE9D" w:rsidR="00257F34" w:rsidRDefault="00257F34">
          <w:pPr>
            <w:pStyle w:val="TOC1"/>
            <w:tabs>
              <w:tab w:val="right" w:leader="dot" w:pos="9016"/>
            </w:tabs>
            <w:rPr>
              <w:rFonts w:asciiTheme="minorHAnsi" w:eastAsiaTheme="minorEastAsia" w:hAnsiTheme="minorHAnsi"/>
              <w:noProof/>
              <w:kern w:val="2"/>
              <w:sz w:val="24"/>
              <w:szCs w:val="24"/>
              <w:lang w:eastAsia="en-GB"/>
              <w14:ligatures w14:val="standardContextual"/>
            </w:rPr>
          </w:pPr>
          <w:hyperlink w:anchor="_Toc231152098" w:history="1">
            <w:r w:rsidRPr="001D421B">
              <w:rPr>
                <w:rStyle w:val="Hyperlink"/>
                <w:b/>
                <w:bCs/>
                <w:noProof/>
              </w:rPr>
              <w:t>11. References</w:t>
            </w:r>
            <w:r>
              <w:rPr>
                <w:noProof/>
                <w:webHidden/>
              </w:rPr>
              <w:tab/>
            </w:r>
            <w:r>
              <w:rPr>
                <w:noProof/>
                <w:webHidden/>
              </w:rPr>
              <w:fldChar w:fldCharType="begin"/>
            </w:r>
            <w:r>
              <w:rPr>
                <w:noProof/>
                <w:webHidden/>
              </w:rPr>
              <w:instrText xml:space="preserve"> PAGEREF _Toc231152098 \h </w:instrText>
            </w:r>
            <w:r>
              <w:rPr>
                <w:noProof/>
                <w:webHidden/>
              </w:rPr>
            </w:r>
            <w:r>
              <w:rPr>
                <w:noProof/>
                <w:webHidden/>
              </w:rPr>
              <w:fldChar w:fldCharType="separate"/>
            </w:r>
            <w:r>
              <w:rPr>
                <w:noProof/>
                <w:webHidden/>
              </w:rPr>
              <w:t>31</w:t>
            </w:r>
            <w:r>
              <w:rPr>
                <w:noProof/>
                <w:webHidden/>
              </w:rPr>
              <w:fldChar w:fldCharType="end"/>
            </w:r>
          </w:hyperlink>
        </w:p>
        <w:p w14:paraId="6CF70AAB" w14:textId="509B996F" w:rsidR="00257F34" w:rsidRDefault="00257F34">
          <w:pPr>
            <w:pStyle w:val="TOC1"/>
            <w:tabs>
              <w:tab w:val="right" w:leader="dot" w:pos="9016"/>
            </w:tabs>
            <w:rPr>
              <w:rFonts w:asciiTheme="minorHAnsi" w:eastAsiaTheme="minorEastAsia" w:hAnsiTheme="minorHAnsi"/>
              <w:noProof/>
              <w:kern w:val="2"/>
              <w:sz w:val="24"/>
              <w:szCs w:val="24"/>
              <w:lang w:eastAsia="en-GB"/>
              <w14:ligatures w14:val="standardContextual"/>
            </w:rPr>
          </w:pPr>
          <w:hyperlink w:anchor="_Toc231152099" w:history="1">
            <w:r w:rsidRPr="001D421B">
              <w:rPr>
                <w:rStyle w:val="Hyperlink"/>
                <w:b/>
                <w:bCs/>
                <w:noProof/>
              </w:rPr>
              <w:t>12.Appendices</w:t>
            </w:r>
            <w:r>
              <w:rPr>
                <w:noProof/>
                <w:webHidden/>
              </w:rPr>
              <w:tab/>
            </w:r>
            <w:r>
              <w:rPr>
                <w:noProof/>
                <w:webHidden/>
              </w:rPr>
              <w:fldChar w:fldCharType="begin"/>
            </w:r>
            <w:r>
              <w:rPr>
                <w:noProof/>
                <w:webHidden/>
              </w:rPr>
              <w:instrText xml:space="preserve"> PAGEREF _Toc231152099 \h </w:instrText>
            </w:r>
            <w:r>
              <w:rPr>
                <w:noProof/>
                <w:webHidden/>
              </w:rPr>
            </w:r>
            <w:r>
              <w:rPr>
                <w:noProof/>
                <w:webHidden/>
              </w:rPr>
              <w:fldChar w:fldCharType="separate"/>
            </w:r>
            <w:r>
              <w:rPr>
                <w:noProof/>
                <w:webHidden/>
              </w:rPr>
              <w:t>34</w:t>
            </w:r>
            <w:r>
              <w:rPr>
                <w:noProof/>
                <w:webHidden/>
              </w:rPr>
              <w:fldChar w:fldCharType="end"/>
            </w:r>
          </w:hyperlink>
        </w:p>
        <w:p w14:paraId="0F8DAA46" w14:textId="5C6137FB" w:rsidR="00DA06DD" w:rsidRDefault="00DA06DD">
          <w:r>
            <w:rPr>
              <w:b/>
              <w:bCs/>
              <w:noProof/>
            </w:rPr>
            <w:fldChar w:fldCharType="end"/>
          </w:r>
        </w:p>
      </w:sdtContent>
    </w:sdt>
    <w:p w14:paraId="1004DB02" w14:textId="77777777" w:rsidR="00DE7050" w:rsidRDefault="00DE7050" w:rsidP="00B40468">
      <w:pPr>
        <w:rPr>
          <w:b/>
          <w:bCs/>
        </w:rPr>
      </w:pPr>
    </w:p>
    <w:p w14:paraId="697524C5" w14:textId="77777777" w:rsidR="00DE7050" w:rsidRDefault="00DE7050" w:rsidP="00B40468">
      <w:pPr>
        <w:rPr>
          <w:b/>
          <w:bCs/>
        </w:rPr>
      </w:pPr>
    </w:p>
    <w:p w14:paraId="6BA3465C" w14:textId="77777777" w:rsidR="00DE7050" w:rsidRDefault="00DE7050" w:rsidP="00B40468">
      <w:pPr>
        <w:rPr>
          <w:b/>
          <w:bCs/>
        </w:rPr>
      </w:pPr>
    </w:p>
    <w:p w14:paraId="33C9DB91" w14:textId="77777777" w:rsidR="00DE7050" w:rsidRDefault="00DE7050" w:rsidP="00B40468">
      <w:pPr>
        <w:rPr>
          <w:b/>
          <w:bCs/>
        </w:rPr>
      </w:pPr>
    </w:p>
    <w:p w14:paraId="2A257B0C" w14:textId="77777777" w:rsidR="00DE7050" w:rsidRDefault="00DE7050" w:rsidP="00B40468">
      <w:pPr>
        <w:rPr>
          <w:b/>
          <w:bCs/>
        </w:rPr>
      </w:pPr>
    </w:p>
    <w:p w14:paraId="1FCF4AAC" w14:textId="77777777" w:rsidR="00DE7050" w:rsidRDefault="00DE7050" w:rsidP="00B40468">
      <w:pPr>
        <w:rPr>
          <w:b/>
          <w:bCs/>
        </w:rPr>
      </w:pPr>
    </w:p>
    <w:p w14:paraId="6BC90CE5" w14:textId="77777777" w:rsidR="00DE7050" w:rsidRDefault="00DE7050" w:rsidP="00B40468">
      <w:pPr>
        <w:rPr>
          <w:b/>
          <w:bCs/>
        </w:rPr>
      </w:pPr>
    </w:p>
    <w:p w14:paraId="7F460445" w14:textId="77777777" w:rsidR="00DE7050" w:rsidRDefault="00DE7050" w:rsidP="00B40468">
      <w:pPr>
        <w:rPr>
          <w:b/>
          <w:bCs/>
        </w:rPr>
      </w:pPr>
    </w:p>
    <w:p w14:paraId="55C78254" w14:textId="77777777" w:rsidR="00DE7050" w:rsidRDefault="00DE7050" w:rsidP="00B40468">
      <w:pPr>
        <w:rPr>
          <w:b/>
          <w:bCs/>
        </w:rPr>
      </w:pPr>
    </w:p>
    <w:p w14:paraId="5FD3117C" w14:textId="77777777" w:rsidR="00DE7050" w:rsidRDefault="00DE7050" w:rsidP="00B40468">
      <w:pPr>
        <w:rPr>
          <w:b/>
          <w:bCs/>
        </w:rPr>
      </w:pPr>
    </w:p>
    <w:p w14:paraId="5F7DE1C6" w14:textId="77777777" w:rsidR="00DE7050" w:rsidRDefault="00DE7050" w:rsidP="00B40468">
      <w:pPr>
        <w:rPr>
          <w:b/>
          <w:bCs/>
        </w:rPr>
      </w:pPr>
    </w:p>
    <w:p w14:paraId="126CC44F" w14:textId="77777777" w:rsidR="00DE7050" w:rsidRDefault="00DE7050" w:rsidP="00B40468">
      <w:pPr>
        <w:rPr>
          <w:b/>
          <w:bCs/>
        </w:rPr>
      </w:pPr>
    </w:p>
    <w:p w14:paraId="19038578" w14:textId="77777777" w:rsidR="00DE7050" w:rsidRDefault="00DE7050" w:rsidP="00B40468">
      <w:pPr>
        <w:rPr>
          <w:b/>
          <w:bCs/>
        </w:rPr>
      </w:pPr>
    </w:p>
    <w:p w14:paraId="7C87F42C" w14:textId="77777777" w:rsidR="00DE7050" w:rsidRDefault="00DE7050" w:rsidP="00B40468">
      <w:pPr>
        <w:rPr>
          <w:b/>
          <w:bCs/>
        </w:rPr>
      </w:pPr>
    </w:p>
    <w:p w14:paraId="09BC252C" w14:textId="77777777" w:rsidR="00DE7050" w:rsidRDefault="00DE7050" w:rsidP="00B40468">
      <w:pPr>
        <w:rPr>
          <w:b/>
          <w:bCs/>
        </w:rPr>
      </w:pPr>
    </w:p>
    <w:p w14:paraId="77C80FF4" w14:textId="77777777" w:rsidR="00DE7050" w:rsidRDefault="00DE7050" w:rsidP="00B40468">
      <w:pPr>
        <w:rPr>
          <w:b/>
          <w:bCs/>
        </w:rPr>
      </w:pPr>
    </w:p>
    <w:p w14:paraId="58A92572" w14:textId="77777777" w:rsidR="00B435E3" w:rsidRDefault="00B435E3" w:rsidP="00B40468">
      <w:pPr>
        <w:rPr>
          <w:b/>
          <w:bCs/>
        </w:rPr>
      </w:pPr>
    </w:p>
    <w:p w14:paraId="0ED900B5" w14:textId="2C848B29" w:rsidR="00711D54" w:rsidRPr="00A914A6" w:rsidRDefault="00711D54" w:rsidP="00711D54">
      <w:pPr>
        <w:pStyle w:val="Heading1"/>
        <w:rPr>
          <w:b/>
          <w:bCs/>
        </w:rPr>
      </w:pPr>
      <w:bookmarkStart w:id="0" w:name="_Toc231152012"/>
      <w:r w:rsidRPr="00A914A6">
        <w:rPr>
          <w:b/>
          <w:bCs/>
        </w:rPr>
        <w:lastRenderedPageBreak/>
        <w:t>Abstract</w:t>
      </w:r>
      <w:bookmarkEnd w:id="0"/>
    </w:p>
    <w:p w14:paraId="35FCE79C" w14:textId="77777777" w:rsidR="00711D54" w:rsidRPr="00711D54" w:rsidRDefault="00711D54" w:rsidP="00711D54">
      <w:r w:rsidRPr="00711D54">
        <w:t>The Million Gallon Tanks (MGTs) at Tata Steel Port Talbot represent a legacy waste oil storage system that has become redundant following changes in operational practices and waste management processes. Prolonged disuse and ageing infrastructure have resulted in significant structural deterioration, hazardous waste accumulation, and increased environmental risk. The decommissioning of these assets therefore presents a complex engineering challenge requiring the balance of safety, environmental compliance, technical feasibility, and commercial considerations.</w:t>
      </w:r>
    </w:p>
    <w:p w14:paraId="424E2CEE" w14:textId="77777777" w:rsidR="00711D54" w:rsidRPr="00711D54" w:rsidRDefault="00711D54" w:rsidP="00711D54">
      <w:r w:rsidRPr="00711D54">
        <w:t>This dissertation develops a risk-based decommissioning strategy for the MGTs through the evaluation of site conditions, contractor proposals, regulatory requirements, and relevant industry literature. A qualitative case study methodology was adopted, incorporating structural inspection reports, operational data, contractor submissions, and industry guidance to assess alternative decommissioning approaches. Contractor methodologies were evaluated against key criteria including safety, environmental impact, cost, programme duration, and flexibility under uncertain conditions.</w:t>
      </w:r>
    </w:p>
    <w:p w14:paraId="4C1E7775" w14:textId="77777777" w:rsidR="00711D54" w:rsidRPr="00711D54" w:rsidRDefault="00711D54" w:rsidP="00711D54">
      <w:r w:rsidRPr="00711D54">
        <w:t>The analysis identified significant risks associated with structural degradation, confined space working, hazardous waste management, and environmental contamination. A key finding was that uncertainty surrounding sludge composition and physical characteristics represented the dominant project risk, directly influencing method selection, disposal requirements, programme duration, and overall project cost. Comparative assessment of contractor proposals demonstrated that integrated phased methodologies offered superior performance when compared with single-method approaches focused solely on pumping or sludge drying.</w:t>
      </w:r>
    </w:p>
    <w:p w14:paraId="47D9AAE8" w14:textId="77777777" w:rsidR="00711D54" w:rsidRDefault="00711D54" w:rsidP="00711D54">
      <w:r w:rsidRPr="00711D54">
        <w:t>Based on the findings, a phased decommissioning strategy is proposed incorporating site preparation, bulk liquid removal, sludge and solid removal, structural demolition, and environmental remediation. The strategy prioritises risk reduction, minimisation of confined space entry, environmental protection, and adaptability to changing site conditions. It is concluded that an integrated, risk-based approach provides the most effective solution for managing uncertainty and delivering a safe, compliant, and cost-optimised decommissioning project. The findings may also be applicable to similar industrial decommissioning projects involving ageing infrastructure and hazardous materials.</w:t>
      </w:r>
    </w:p>
    <w:p w14:paraId="79D700B3" w14:textId="77777777" w:rsidR="00517A94" w:rsidRDefault="00517A94" w:rsidP="00711D54"/>
    <w:p w14:paraId="4785E68E" w14:textId="77777777" w:rsidR="00517A94" w:rsidRDefault="00517A94" w:rsidP="00711D54"/>
    <w:p w14:paraId="260AC6BE" w14:textId="77777777" w:rsidR="00517A94" w:rsidRDefault="00517A94" w:rsidP="00711D54"/>
    <w:p w14:paraId="26ACFF38" w14:textId="77777777" w:rsidR="00517A94" w:rsidRDefault="00517A94" w:rsidP="00711D54"/>
    <w:p w14:paraId="6E282FFD" w14:textId="77777777" w:rsidR="00517A94" w:rsidRDefault="00517A94" w:rsidP="00711D54"/>
    <w:p w14:paraId="417876B8" w14:textId="77777777" w:rsidR="00517A94" w:rsidRPr="00711D54" w:rsidRDefault="00517A94" w:rsidP="00711D54"/>
    <w:p w14:paraId="348FFAD8" w14:textId="77777777" w:rsidR="002335BD" w:rsidRPr="002335BD" w:rsidRDefault="002335BD" w:rsidP="002335BD">
      <w:r w:rsidRPr="002335BD">
        <w:t>‘This thesis is the result of the author’s original research. It has been composed by the author and has not been previously submitted for examination which has led to the award of a degree.’</w:t>
      </w:r>
    </w:p>
    <w:p w14:paraId="129707FD" w14:textId="77777777" w:rsidR="002335BD" w:rsidRPr="002335BD" w:rsidRDefault="002335BD" w:rsidP="002335BD"/>
    <w:p w14:paraId="471A2E61" w14:textId="77777777" w:rsidR="002335BD" w:rsidRPr="002335BD" w:rsidRDefault="002335BD" w:rsidP="002335BD"/>
    <w:p w14:paraId="5272254A" w14:textId="06C71FA1" w:rsidR="002335BD" w:rsidRPr="002335BD" w:rsidRDefault="002335BD" w:rsidP="002335BD">
      <w:r w:rsidRPr="002335BD">
        <w:t xml:space="preserve">Signed: </w:t>
      </w:r>
      <w:proofErr w:type="spellStart"/>
      <w:r w:rsidR="00517A94">
        <w:t>T.J.Herdman</w:t>
      </w:r>
      <w:proofErr w:type="spellEnd"/>
      <w:r w:rsidRPr="002335BD">
        <w:tab/>
      </w:r>
      <w:r w:rsidRPr="002335BD">
        <w:tab/>
      </w:r>
      <w:r w:rsidRPr="002335BD">
        <w:tab/>
      </w:r>
      <w:r w:rsidRPr="002335BD">
        <w:tab/>
      </w:r>
      <w:r w:rsidRPr="002335BD">
        <w:tab/>
        <w:t>Date:</w:t>
      </w:r>
      <w:r w:rsidR="007610F5">
        <w:t>01</w:t>
      </w:r>
      <w:r w:rsidR="009D5E84">
        <w:t>/0</w:t>
      </w:r>
      <w:r w:rsidR="007610F5">
        <w:t>6</w:t>
      </w:r>
      <w:r w:rsidR="009D5E84">
        <w:t>/2026</w:t>
      </w:r>
    </w:p>
    <w:p w14:paraId="196F0C33" w14:textId="77777777" w:rsidR="00711D54" w:rsidRDefault="00711D54" w:rsidP="00B40468">
      <w:pPr>
        <w:rPr>
          <w:b/>
          <w:bCs/>
        </w:rPr>
      </w:pPr>
    </w:p>
    <w:p w14:paraId="6A0496F9" w14:textId="77777777" w:rsidR="00711D54" w:rsidRDefault="00711D54" w:rsidP="00B40468">
      <w:pPr>
        <w:rPr>
          <w:b/>
          <w:bCs/>
        </w:rPr>
      </w:pPr>
    </w:p>
    <w:p w14:paraId="71281676" w14:textId="77777777" w:rsidR="00711D54" w:rsidRDefault="00711D54" w:rsidP="00B40468">
      <w:pPr>
        <w:rPr>
          <w:b/>
          <w:bCs/>
        </w:rPr>
      </w:pPr>
    </w:p>
    <w:p w14:paraId="5DF342C6" w14:textId="77777777" w:rsidR="00711D54" w:rsidRDefault="00711D54" w:rsidP="00B40468">
      <w:pPr>
        <w:rPr>
          <w:b/>
          <w:bCs/>
        </w:rPr>
      </w:pPr>
    </w:p>
    <w:p w14:paraId="34CB89D6" w14:textId="77777777" w:rsidR="00711D54" w:rsidRDefault="00711D54" w:rsidP="00B40468">
      <w:pPr>
        <w:rPr>
          <w:b/>
          <w:bCs/>
        </w:rPr>
      </w:pPr>
    </w:p>
    <w:p w14:paraId="5B02B481" w14:textId="77777777" w:rsidR="00711D54" w:rsidRDefault="00711D54" w:rsidP="00B40468">
      <w:pPr>
        <w:rPr>
          <w:b/>
          <w:bCs/>
        </w:rPr>
      </w:pPr>
    </w:p>
    <w:p w14:paraId="27C825E2" w14:textId="77777777" w:rsidR="00711D54" w:rsidRDefault="00711D54" w:rsidP="00B40468">
      <w:pPr>
        <w:rPr>
          <w:b/>
          <w:bCs/>
        </w:rPr>
      </w:pPr>
    </w:p>
    <w:p w14:paraId="079F6D08" w14:textId="77777777" w:rsidR="00711D54" w:rsidRDefault="00711D54" w:rsidP="00B40468">
      <w:pPr>
        <w:rPr>
          <w:b/>
          <w:bCs/>
        </w:rPr>
      </w:pPr>
    </w:p>
    <w:p w14:paraId="18606AA7" w14:textId="77777777" w:rsidR="00711D54" w:rsidRDefault="00711D54" w:rsidP="00B40468">
      <w:pPr>
        <w:rPr>
          <w:b/>
          <w:bCs/>
        </w:rPr>
      </w:pPr>
    </w:p>
    <w:p w14:paraId="342FD5F7" w14:textId="77777777" w:rsidR="00711D54" w:rsidRDefault="00711D54" w:rsidP="00B40468">
      <w:pPr>
        <w:rPr>
          <w:b/>
          <w:bCs/>
        </w:rPr>
      </w:pPr>
    </w:p>
    <w:p w14:paraId="454040AC" w14:textId="77777777" w:rsidR="00711D54" w:rsidRDefault="00711D54" w:rsidP="00B40468">
      <w:pPr>
        <w:rPr>
          <w:b/>
          <w:bCs/>
        </w:rPr>
      </w:pPr>
    </w:p>
    <w:p w14:paraId="20167D9D" w14:textId="1A228B68" w:rsidR="00B40468" w:rsidRPr="00DD3935" w:rsidRDefault="00B40468" w:rsidP="0006460B">
      <w:pPr>
        <w:pStyle w:val="Heading1"/>
        <w:rPr>
          <w:b/>
          <w:bCs/>
        </w:rPr>
      </w:pPr>
      <w:bookmarkStart w:id="1" w:name="_Toc231152013"/>
      <w:r w:rsidRPr="00DD3935">
        <w:rPr>
          <w:b/>
          <w:bCs/>
        </w:rPr>
        <w:t>1. Introduction</w:t>
      </w:r>
      <w:bookmarkEnd w:id="1"/>
    </w:p>
    <w:p w14:paraId="59ED276E" w14:textId="77777777" w:rsidR="004615D2" w:rsidRPr="004615D2" w:rsidRDefault="004615D2" w:rsidP="00117742">
      <w:r w:rsidRPr="004615D2">
        <w:t>Heavy industrial facilities often retain legacy assets that continue to present safety, environmental, and financial risks long after their operational purpose has ended. The Million Gallon Tanks (MGTs) at Tata Steel Port Talbot are an example of such infrastructure. Originally used to store waste oils generated from steelmaking processes, the tanks have deteriorated due to ageing, prolonged disuse, and limited maintenance intervention.</w:t>
      </w:r>
    </w:p>
    <w:p w14:paraId="7A0E94CD" w14:textId="74AE9CD0" w:rsidR="004615D2" w:rsidRPr="004615D2" w:rsidRDefault="004615D2" w:rsidP="00117742">
      <w:r w:rsidRPr="004615D2">
        <w:t>Inspection reports have identified extensive corrosion, degraded access structures, and concerns regarding the integrity of the surrounding bund system (Tata Steel). In addition, the tanks contain significant quantities of oil, water, sludge, and solid contaminants, creating ongoing environmental and safety liabilities. The presence of hazardous materials, combined with uncertainty surrounding sludge composition and volume, complicates the selection of an appropriate decommissioning methodology.</w:t>
      </w:r>
    </w:p>
    <w:p w14:paraId="1C6F879E" w14:textId="77777777" w:rsidR="004615D2" w:rsidRPr="004615D2" w:rsidRDefault="004615D2" w:rsidP="00117742">
      <w:r w:rsidRPr="004615D2">
        <w:t>The decommissioning of the MGTs presents a complex engineering challenge requiring the balance of safety, environmental compliance, operational feasibility, and cost. Contractor proposals vary significantly in methodology, risk profile, programme duration, and commercial cost, making direct comparison difficult. Furthermore, strict regulatory requirements relating to hazardous waste management, environmental protection, and confined space working place additional constraints on project execution.</w:t>
      </w:r>
    </w:p>
    <w:p w14:paraId="7DB277B6" w14:textId="77777777" w:rsidR="004615D2" w:rsidRPr="004615D2" w:rsidRDefault="004615D2" w:rsidP="00117742">
      <w:r w:rsidRPr="004615D2">
        <w:t>Given these challenges, a structured risk-based approach is required. Rather than focusing solely on cost or programme duration, decision-making must prioritise the reduction of risk to as low as reasonably practicable (ALARP) while ensuring compliance with relevant legislation and industry best practice. This dissertation therefore develops and justifies a risk-based decommissioning strategy using structural inspection data, contractor proposals, operational records, and regulatory guidance.</w:t>
      </w:r>
    </w:p>
    <w:p w14:paraId="42A76D9D" w14:textId="77777777" w:rsidR="004615D2" w:rsidRPr="004615D2" w:rsidRDefault="004615D2" w:rsidP="00117742">
      <w:r w:rsidRPr="004615D2">
        <w:t>The findings have relevance beyond the immediate case study, as many industrial sites face similar challenges associated with ageing infrastructure, hazardous materials, and end-of-life asset management.</w:t>
      </w:r>
    </w:p>
    <w:p w14:paraId="2C24FA7A" w14:textId="77777777" w:rsidR="004615D2" w:rsidRPr="004615D2" w:rsidRDefault="004615D2" w:rsidP="00117742">
      <w:pPr>
        <w:rPr>
          <w:b/>
          <w:bCs/>
        </w:rPr>
      </w:pPr>
      <w:r w:rsidRPr="004615D2">
        <w:rPr>
          <w:b/>
          <w:bCs/>
        </w:rPr>
        <w:t>Aim</w:t>
      </w:r>
    </w:p>
    <w:p w14:paraId="21A9D704" w14:textId="77777777" w:rsidR="004615D2" w:rsidRPr="004615D2" w:rsidRDefault="004615D2" w:rsidP="00117742">
      <w:r w:rsidRPr="004615D2">
        <w:lastRenderedPageBreak/>
        <w:t>To develop a risk-based, safe, compliant, and cost-optimised strategy for the decommissioning of legacy waste oil storage tanks at Tata Steel Port Talbot.</w:t>
      </w:r>
    </w:p>
    <w:p w14:paraId="0BAA6CE1" w14:textId="77777777" w:rsidR="004615D2" w:rsidRPr="00F211C9" w:rsidRDefault="004615D2" w:rsidP="00117742">
      <w:pPr>
        <w:rPr>
          <w:b/>
          <w:bCs/>
        </w:rPr>
      </w:pPr>
      <w:r w:rsidRPr="00F211C9">
        <w:rPr>
          <w:b/>
          <w:bCs/>
        </w:rPr>
        <w:t>Objectives</w:t>
      </w:r>
    </w:p>
    <w:p w14:paraId="241F9E99" w14:textId="77777777" w:rsidR="004615D2" w:rsidRPr="004615D2" w:rsidRDefault="004615D2" w:rsidP="00117742">
      <w:r w:rsidRPr="004615D2">
        <w:t>To critically assess the current condition and associated risks of the Million Gallon Tanks.</w:t>
      </w:r>
    </w:p>
    <w:p w14:paraId="6C142986" w14:textId="77777777" w:rsidR="004615D2" w:rsidRPr="004615D2" w:rsidRDefault="004615D2" w:rsidP="00117742">
      <w:r w:rsidRPr="004615D2">
        <w:t>To evaluate relevant industry best practice and regulatory requirements.</w:t>
      </w:r>
    </w:p>
    <w:p w14:paraId="5C89E0A1" w14:textId="77777777" w:rsidR="004615D2" w:rsidRPr="004615D2" w:rsidRDefault="004615D2" w:rsidP="00117742">
      <w:r w:rsidRPr="004615D2">
        <w:t>To compare contractor methodologies using a structured framework.</w:t>
      </w:r>
    </w:p>
    <w:p w14:paraId="307B7082" w14:textId="77777777" w:rsidR="004615D2" w:rsidRPr="004615D2" w:rsidRDefault="004615D2" w:rsidP="00117742">
      <w:r w:rsidRPr="004615D2">
        <w:t>To analyse safety, environmental, and commercial risks.</w:t>
      </w:r>
    </w:p>
    <w:p w14:paraId="0A97F3E9" w14:textId="77777777" w:rsidR="004615D2" w:rsidRPr="004615D2" w:rsidRDefault="004615D2" w:rsidP="00117742">
      <w:r w:rsidRPr="004615D2">
        <w:t>To develop and justify a phased decommissioning strategy.</w:t>
      </w:r>
    </w:p>
    <w:p w14:paraId="4727E6C2" w14:textId="790C9F16" w:rsidR="00B40468" w:rsidRPr="00DD3935" w:rsidRDefault="00B40468" w:rsidP="00117742">
      <w:pPr>
        <w:pStyle w:val="Heading1"/>
        <w:rPr>
          <w:b/>
          <w:bCs/>
        </w:rPr>
      </w:pPr>
      <w:bookmarkStart w:id="2" w:name="_Toc231152014"/>
      <w:r w:rsidRPr="00DD3935">
        <w:rPr>
          <w:b/>
          <w:bCs/>
        </w:rPr>
        <w:t xml:space="preserve">2. </w:t>
      </w:r>
      <w:r w:rsidR="0006460B" w:rsidRPr="00DD3935">
        <w:rPr>
          <w:b/>
          <w:bCs/>
        </w:rPr>
        <w:t>Industrial</w:t>
      </w:r>
      <w:r w:rsidR="008B37CC" w:rsidRPr="00DD3935">
        <w:rPr>
          <w:b/>
          <w:bCs/>
        </w:rPr>
        <w:t xml:space="preserve"> Context</w:t>
      </w:r>
      <w:bookmarkEnd w:id="2"/>
    </w:p>
    <w:p w14:paraId="0EECB717" w14:textId="27C50F86" w:rsidR="00EE2A1B" w:rsidRPr="00EE2A1B" w:rsidRDefault="00EE2A1B" w:rsidP="00117742">
      <w:pPr>
        <w:rPr>
          <w:lang w:eastAsia="en-GB"/>
        </w:rPr>
      </w:pPr>
      <w:r w:rsidRPr="00EE2A1B">
        <w:rPr>
          <w:lang w:eastAsia="en-GB"/>
        </w:rPr>
        <w:t>The Million Gallon Tanks (MGTs) form part of a historic waste oil storage system located within the Tata Steel Port Talbot steelworks. The tanks were originally used to store waste oils, emulsions, and contaminated water generated by steelmaking operations. While these assets once provided an important operational function, improvements in waste management practices, increased environmental regulation, and changes to production processes have rendered the tanks largely redundant (Environment Agency, 20</w:t>
      </w:r>
      <w:r w:rsidR="00710C24">
        <w:rPr>
          <w:lang w:eastAsia="en-GB"/>
        </w:rPr>
        <w:t>2</w:t>
      </w:r>
      <w:r w:rsidRPr="00EE2A1B">
        <w:rPr>
          <w:lang w:eastAsia="en-GB"/>
        </w:rPr>
        <w:t>3).</w:t>
      </w:r>
    </w:p>
    <w:p w14:paraId="2A389871" w14:textId="77777777" w:rsidR="00EE2A1B" w:rsidRPr="00EE2A1B" w:rsidRDefault="00EE2A1B" w:rsidP="00117742">
      <w:pPr>
        <w:rPr>
          <w:lang w:eastAsia="en-GB"/>
        </w:rPr>
      </w:pPr>
      <w:r w:rsidRPr="00EE2A1B">
        <w:rPr>
          <w:lang w:eastAsia="en-GB"/>
        </w:rPr>
        <w:t>The tanks currently contain a mixture of oil, water, sludge, and solid contaminants. The composition and physical properties of these materials remain uncertain, creating challenges in selecting suitable removal and treatment methods. Sludge viscosity, contamination levels, and waste classification requirements all have the potential to influence project cost, duration, and technical feasibility.</w:t>
      </w:r>
    </w:p>
    <w:p w14:paraId="583CEB89" w14:textId="5DF9D91F" w:rsidR="00EE2A1B" w:rsidRPr="00EE2A1B" w:rsidRDefault="00EE2A1B" w:rsidP="00117742">
      <w:pPr>
        <w:rPr>
          <w:lang w:eastAsia="en-GB"/>
        </w:rPr>
      </w:pPr>
      <w:r w:rsidRPr="00EE2A1B">
        <w:rPr>
          <w:lang w:eastAsia="en-GB"/>
        </w:rPr>
        <w:t>Inspection reports have identified significant deterioration of the tanks and associated infrastructure, including corrosion of tank shells, access platforms, stairways, and handrails (Tata Steel). Such degradation is typical of ageing steel structures exposed to industrial environments and increases the risk of structural failure if left unmanaged (Lees, 2012).</w:t>
      </w:r>
    </w:p>
    <w:p w14:paraId="3424C15C" w14:textId="77777777" w:rsidR="00EE2A1B" w:rsidRPr="00EE2A1B" w:rsidRDefault="00EE2A1B" w:rsidP="00117742">
      <w:pPr>
        <w:rPr>
          <w:lang w:eastAsia="en-GB"/>
        </w:rPr>
      </w:pPr>
      <w:r w:rsidRPr="00EE2A1B">
        <w:rPr>
          <w:lang w:eastAsia="en-GB"/>
        </w:rPr>
        <w:t>The condition of the bunded containment system presents an additional concern. Bunds are intended to provide secondary containment and should be capable of holding at least 110% of the capacity of the largest tank (CIRIA, 2014). Inspection findings indicate that standing liquids and contamination within the bund reduce its effective containment capacity, increasing the potential consequences of any loss of containment event.</w:t>
      </w:r>
    </w:p>
    <w:p w14:paraId="011AB10E" w14:textId="77777777" w:rsidR="00EE2A1B" w:rsidRPr="00EE2A1B" w:rsidRDefault="00EE2A1B" w:rsidP="00117742">
      <w:pPr>
        <w:rPr>
          <w:lang w:eastAsia="en-GB"/>
        </w:rPr>
      </w:pPr>
      <w:r w:rsidRPr="00EE2A1B">
        <w:rPr>
          <w:lang w:eastAsia="en-GB"/>
        </w:rPr>
        <w:t>These conditions create interconnected safety, environmental, and commercial risks. Structural deterioration increases the likelihood of failure, while the presence of hazardous materials raises concerns regarding environmental contamination and regulatory compliance. At the same time, continued management of the tanks represents an ongoing financial liability through maintenance, monitoring, and future remediation requirements.</w:t>
      </w:r>
    </w:p>
    <w:p w14:paraId="78071643" w14:textId="77777777" w:rsidR="00EE2A1B" w:rsidRPr="00EE2A1B" w:rsidRDefault="00EE2A1B" w:rsidP="00117742">
      <w:pPr>
        <w:rPr>
          <w:lang w:eastAsia="en-GB"/>
        </w:rPr>
      </w:pPr>
      <w:r w:rsidRPr="00EE2A1B">
        <w:rPr>
          <w:lang w:eastAsia="en-GB"/>
        </w:rPr>
        <w:t>Despite these challenges, opportunities exist to recover value through the recycling of ferrous materials and the beneficial reuse of waste oils where suitable treatment routes are available. Effective decommissioning therefore has the potential not only to reduce risk but also to improve environmental and economic performance.</w:t>
      </w:r>
    </w:p>
    <w:p w14:paraId="42EE00AD" w14:textId="77777777" w:rsidR="00EE2A1B" w:rsidRPr="00EE2A1B" w:rsidRDefault="00EE2A1B" w:rsidP="00117742">
      <w:pPr>
        <w:rPr>
          <w:lang w:eastAsia="en-GB"/>
        </w:rPr>
      </w:pPr>
      <w:r w:rsidRPr="00EE2A1B">
        <w:rPr>
          <w:lang w:eastAsia="en-GB"/>
        </w:rPr>
        <w:t xml:space="preserve">A key observation from the industrial context is that the challenges associated with the MGTs are highly interdependent. Structural condition, waste characteristics, environmental protection, regulatory compliance, and project cost all influence one another. Consequently, a holistic and risk-based approach is required to ensure that decommissioning activities </w:t>
      </w:r>
      <w:r w:rsidRPr="00EE2A1B">
        <w:rPr>
          <w:lang w:eastAsia="en-GB"/>
        </w:rPr>
        <w:lastRenderedPageBreak/>
        <w:t>address the full range of project risks while maintaining safety, compliance, and operational feasibility.</w:t>
      </w:r>
    </w:p>
    <w:p w14:paraId="676D9DBD" w14:textId="77777777" w:rsidR="0047510C" w:rsidRPr="0047510C" w:rsidRDefault="0047510C" w:rsidP="00117742">
      <w:pPr>
        <w:pStyle w:val="Heading1"/>
        <w:rPr>
          <w:b/>
          <w:bCs/>
        </w:rPr>
      </w:pPr>
      <w:bookmarkStart w:id="3" w:name="_Toc231152015"/>
      <w:r w:rsidRPr="0047510C">
        <w:rPr>
          <w:b/>
          <w:bCs/>
        </w:rPr>
        <w:t>3. Literature Review</w:t>
      </w:r>
      <w:bookmarkEnd w:id="3"/>
    </w:p>
    <w:p w14:paraId="73494502" w14:textId="77777777" w:rsidR="0047510C" w:rsidRPr="0047510C" w:rsidRDefault="0047510C" w:rsidP="00117742">
      <w:r w:rsidRPr="0047510C">
        <w:t>The decommissioning of ageing industrial infrastructure presents significant engineering, environmental, safety, and commercial challenges. Storage tanks that have reached the end of their operational life frequently contain hazardous residues, deteriorated structural components, and legacy contamination that complicate removal activities. Consequently, modern decommissioning projects require an integrated approach that balances technical feasibility, regulatory compliance, environmental protection, and cost control. This literature review examines the key themes relevant to the Million Gallon Tank (MGT) project, including tank decommissioning strategies, hazardous waste management, safety and risk control, environmental protection and containment systems, and risk-based project management. The review critically evaluates current knowledge and identifies principles that inform the development of an effective decommissioning strategy.</w:t>
      </w:r>
    </w:p>
    <w:p w14:paraId="5CE94666" w14:textId="77777777" w:rsidR="0047510C" w:rsidRPr="00C803D5" w:rsidRDefault="0047510C" w:rsidP="00C803D5">
      <w:pPr>
        <w:pStyle w:val="Heading2"/>
        <w:rPr>
          <w:b/>
          <w:bCs/>
        </w:rPr>
      </w:pPr>
      <w:bookmarkStart w:id="4" w:name="_Toc231152016"/>
      <w:r w:rsidRPr="00C803D5">
        <w:rPr>
          <w:b/>
          <w:bCs/>
        </w:rPr>
        <w:t>3.1 Tank Decommissioning Strategies</w:t>
      </w:r>
      <w:bookmarkEnd w:id="4"/>
    </w:p>
    <w:p w14:paraId="7C3EADD0" w14:textId="1194910F" w:rsidR="0047510C" w:rsidRPr="0047510C" w:rsidRDefault="0047510C" w:rsidP="00117742">
      <w:r w:rsidRPr="0047510C">
        <w:t>The decommissioning of industrial storage tanks is widely recognised as a complex engineering activity requiring systematic planning and execution. According to the American Petroleum Institute (API, 201</w:t>
      </w:r>
      <w:r w:rsidR="00DD5A38">
        <w:t>4</w:t>
      </w:r>
      <w:r w:rsidRPr="0047510C">
        <w:t>), decommissioning should prioritise hazard elimination, removal of hazardous materials, reduction of personnel exposure, and protection of the surrounding environment. Similar principles are promoted by EEMUA (2014), which recommends a risk-based approach that considers the structural condition of the tank, the characteristics of stored materials, and the potential consequences of failure.</w:t>
      </w:r>
    </w:p>
    <w:p w14:paraId="0B9F00F2" w14:textId="77777777" w:rsidR="0047510C" w:rsidRPr="0047510C" w:rsidRDefault="0047510C" w:rsidP="00117742">
      <w:r w:rsidRPr="0047510C">
        <w:t>Tank decommissioning generally follows a phased process comprising isolation, cleaning, liquid removal, sludge extraction, structural dismantling, and site remediation (API, 2020). Whilst this sequence appears relatively straightforward, practical implementation is often complicated by uncertainty regarding waste composition and asset condition. Older industrial facilities frequently lack complete historical records, resulting in significant variability between anticipated and actual site conditions.</w:t>
      </w:r>
    </w:p>
    <w:p w14:paraId="1E6D6A6A" w14:textId="77777777" w:rsidR="00955085" w:rsidRDefault="00955085" w:rsidP="00117742">
      <w:r w:rsidRPr="00955085">
        <w:t>One of the most frequently reported difficulties during tank decommissioning is the removal of sludge. Whilst pumping systems can be highly effective for liquids, their performance reduces considerably when materials become thicker or contain large amounts of sediment (API, 2014). In older tanks, sludge can contain corrosion products, scale and other debris that make removal more difficult, often requiring mechanical excavation or partial dismantling of the structure to gain access.</w:t>
      </w:r>
    </w:p>
    <w:p w14:paraId="4668E657" w14:textId="2BC8E9EC" w:rsidR="0047510C" w:rsidRPr="0047510C" w:rsidRDefault="0047510C" w:rsidP="00117742">
      <w:r w:rsidRPr="0047510C">
        <w:t>The United States Environmental Protection Agency (</w:t>
      </w:r>
      <w:r w:rsidR="00134C40">
        <w:t xml:space="preserve">Environment </w:t>
      </w:r>
      <w:r w:rsidR="005A3138">
        <w:t>A</w:t>
      </w:r>
      <w:r w:rsidR="00134C40">
        <w:t>gency</w:t>
      </w:r>
      <w:r w:rsidRPr="0047510C">
        <w:t>, 20</w:t>
      </w:r>
      <w:r w:rsidR="006C07E4">
        <w:t>2</w:t>
      </w:r>
      <w:r w:rsidRPr="0047510C">
        <w:t>3) highlights that storage tanks frequently contain heterogeneous waste streams consisting of hydrocarbons, water, sediments, metallic residues, and other contaminants. Such variability introduces substantial uncertainty into project planning because removal methods, disposal routes, and associated costs may change once work begins. Consequently, adaptive project strategies that incorporate contingency planning and ongoing reassessment are increasingly recommended within the literature (Hopkin, 2023).</w:t>
      </w:r>
    </w:p>
    <w:p w14:paraId="2A3089B3" w14:textId="77777777" w:rsidR="00CA6FFA" w:rsidRDefault="00320DBB" w:rsidP="00117742">
      <w:r w:rsidRPr="00320DBB">
        <w:t xml:space="preserve">In recent years there has been a noticeable shift towards the use of mechanical and remotely operated cleaning systems. Historically, many tank cleaning activities required personnel to enter confined spaces, creating significant safety concerns. Advances in technology now allow much of this work to be completed using vacuum systems, remote equipment and robotic tools, reducing direct exposure to hazardous environments (API, </w:t>
      </w:r>
      <w:r w:rsidRPr="00320DBB">
        <w:lastRenderedPageBreak/>
        <w:t>2014). This approach is consistent with process safety principles that favour engineering controls over reliance on procedures or PPE alone (Lees, 2012).</w:t>
      </w:r>
    </w:p>
    <w:p w14:paraId="208CE6A3" w14:textId="1E407761" w:rsidR="0047510C" w:rsidRPr="0047510C" w:rsidRDefault="0047510C" w:rsidP="00117742">
      <w:r w:rsidRPr="0047510C">
        <w:t>Overall, the literature demonstrates that effective tank decommissioning requires a flexible and phased approach capable of responding to uncertainty whilst maintaining safety and environmental performance. These findings are particularly relevant to the MGT project, where uncertainty surrounding sludge composition and structural degradation significantly influences strategy selection.</w:t>
      </w:r>
    </w:p>
    <w:p w14:paraId="5878CE02" w14:textId="77777777" w:rsidR="0047510C" w:rsidRPr="00C803D5" w:rsidRDefault="0047510C" w:rsidP="00C803D5">
      <w:pPr>
        <w:pStyle w:val="Heading2"/>
        <w:rPr>
          <w:b/>
          <w:bCs/>
        </w:rPr>
      </w:pPr>
      <w:bookmarkStart w:id="5" w:name="_Toc231152017"/>
      <w:r w:rsidRPr="00C803D5">
        <w:rPr>
          <w:b/>
          <w:bCs/>
        </w:rPr>
        <w:t>3.2 Hazardous Waste Management</w:t>
      </w:r>
      <w:bookmarkEnd w:id="5"/>
    </w:p>
    <w:p w14:paraId="2D8417EA" w14:textId="36F2E5ED" w:rsidR="0047510C" w:rsidRPr="0047510C" w:rsidRDefault="0047510C" w:rsidP="00117742">
      <w:r w:rsidRPr="0047510C">
        <w:t>Hazardous waste management represents one of the most critical aspects of industrial decommissioning projects. Waste oils, sludge deposits, contaminated water, and associated residues often contain hydrocarbons, heavy metals, and other substances capable of causing significant environmental harm if not managed appropriately (Environment Agency, 20</w:t>
      </w:r>
      <w:r w:rsidR="00710C24">
        <w:t>23</w:t>
      </w:r>
      <w:r w:rsidRPr="0047510C">
        <w:t>).</w:t>
      </w:r>
    </w:p>
    <w:p w14:paraId="3F964925" w14:textId="16C3C7F9" w:rsidR="0047510C" w:rsidRPr="0047510C" w:rsidRDefault="0047510C" w:rsidP="00117742">
      <w:r w:rsidRPr="0047510C">
        <w:t>The European Waste Framework Directive (2008/98/EC) establishes the waste hierarchy as the fundamental framework for waste management decision-making. The hierarchy prioritises prevention, reuse, recycling, recovery, and disposal, with disposal considered the least desirable option. DEFRA (2011) argues that application of the hierarchy can deliver both environmental and economic benefits through the recovery of valuable materials and reduction of landfill dependency.</w:t>
      </w:r>
    </w:p>
    <w:p w14:paraId="0380E1D1" w14:textId="57B1B6A9" w:rsidR="0047510C" w:rsidRPr="0047510C" w:rsidRDefault="0047510C" w:rsidP="00117742">
      <w:r w:rsidRPr="0047510C">
        <w:t xml:space="preserve">Within industrial decommissioning projects, waste oil recovery is frequently viewed as a sustainable alternative to disposal. </w:t>
      </w:r>
      <w:r w:rsidR="00000961" w:rsidRPr="00000961">
        <w:t>DEFRA (2011)</w:t>
      </w:r>
      <w:r w:rsidR="00BE78C8">
        <w:t xml:space="preserve"> </w:t>
      </w:r>
      <w:r w:rsidRPr="0047510C">
        <w:t>notes that waste oils can often be processed into secondary fuels or re-refined products, thereby reducing demand for virgin resources. Circular economy principles further support this approach by promoting resource recovery and minimising waste generation (</w:t>
      </w:r>
      <w:proofErr w:type="spellStart"/>
      <w:r w:rsidRPr="0047510C">
        <w:t>Geissdoerfer</w:t>
      </w:r>
      <w:proofErr w:type="spellEnd"/>
      <w:r w:rsidRPr="0047510C">
        <w:t xml:space="preserve"> et al., 2017).</w:t>
      </w:r>
    </w:p>
    <w:p w14:paraId="0263CC72" w14:textId="77777777" w:rsidR="0047510C" w:rsidRPr="0047510C" w:rsidRDefault="0047510C" w:rsidP="00117742">
      <w:r w:rsidRPr="0047510C">
        <w:t>However, implementation of the waste hierarchy is often constrained by waste composition. Highly contaminated sludge containing elevated concentrations of heavy metals, chlorinated compounds, or mixed waste streams may be unsuitable for recovery processes and instead require treatment through hazardous waste incineration (Environment Agency, 2023). Such treatment routes can represent a substantial proportion of total project costs.</w:t>
      </w:r>
    </w:p>
    <w:p w14:paraId="49A6E9C3" w14:textId="77777777" w:rsidR="0047510C" w:rsidRPr="0047510C" w:rsidRDefault="0047510C" w:rsidP="00117742">
      <w:r w:rsidRPr="0047510C">
        <w:t>The literature also emphasises the importance of accurate waste characterisation. WM3 guidance produced by the Environment Agency (2023) requires waste producers to determine the hazardous properties of waste prior to transportation and disposal. Incorrect classification may result in inappropriate treatment, regulatory breaches, and environmental impacts. Consequently, comprehensive sampling and analysis are regarded as essential components of project planning.</w:t>
      </w:r>
    </w:p>
    <w:p w14:paraId="76C11AF6" w14:textId="77777777" w:rsidR="00CA6FFA" w:rsidRDefault="00CA6FFA" w:rsidP="00CA6FFA">
      <w:r w:rsidRPr="00CA6FFA">
        <w:t>Although waste recovery is generally considered the preferred option, it is not always the most practical solution. Factors such as transport costs, treatment requirements and the value of recovered materials can all affect whether recovery is commercially viable. As a result, project teams often need to balance environmental benefits against operational and financial considerations.</w:t>
      </w:r>
    </w:p>
    <w:p w14:paraId="1AD791CA" w14:textId="5F345C2D" w:rsidR="0047510C" w:rsidRPr="00C803D5" w:rsidRDefault="0047510C" w:rsidP="00C803D5">
      <w:pPr>
        <w:pStyle w:val="Heading2"/>
        <w:rPr>
          <w:b/>
          <w:bCs/>
        </w:rPr>
      </w:pPr>
      <w:bookmarkStart w:id="6" w:name="_Toc231152018"/>
      <w:r w:rsidRPr="00C803D5">
        <w:rPr>
          <w:b/>
          <w:bCs/>
        </w:rPr>
        <w:t>3.3 Safety and Risk Control</w:t>
      </w:r>
      <w:bookmarkEnd w:id="6"/>
    </w:p>
    <w:p w14:paraId="5B00A987" w14:textId="77777777" w:rsidR="0047510C" w:rsidRPr="0047510C" w:rsidRDefault="0047510C" w:rsidP="00117742">
      <w:r w:rsidRPr="0047510C">
        <w:t>Safety management is fundamental to all decommissioning activities. Storage tank decommissioning presents numerous hazards, including confined spaces, hazardous substances, work at height, structural instability, and heavy plant operations. Effective risk management is therefore essential to protect workers and maintain compliance with legal requirements.</w:t>
      </w:r>
    </w:p>
    <w:p w14:paraId="43749442" w14:textId="77777777" w:rsidR="0047510C" w:rsidRPr="0047510C" w:rsidRDefault="0047510C" w:rsidP="00117742">
      <w:r w:rsidRPr="0047510C">
        <w:lastRenderedPageBreak/>
        <w:t>The Confined Spaces Regulations (1997) identify confined spaces as environments where serious injury can occur from hazardous substances or dangerous conditions. Tanks containing residual oil, sludge, and vapours present particular risks due to the potential presence of toxic atmospheres, flammable gases, and oxygen deficiency. Khan and Abbasi (1999) found that confined space incidents continue to account for a disproportionate number of industrial fatalities, often due to failures in hazard recognition and emergency preparedness.</w:t>
      </w:r>
    </w:p>
    <w:p w14:paraId="6A687740" w14:textId="77777777" w:rsidR="0047510C" w:rsidRPr="0047510C" w:rsidRDefault="0047510C" w:rsidP="00117742">
      <w:r w:rsidRPr="0047510C">
        <w:t>The Health and Safety Executive (2023) emphasises that confined space entry should be avoided wherever reasonably practicable. Where entry cannot be eliminated, suitable controls must be implemented, including atmospheric monitoring, ventilation systems, rescue arrangements, permit-to-work systems, and competent supervision.</w:t>
      </w:r>
    </w:p>
    <w:p w14:paraId="44B3B2D5" w14:textId="77777777" w:rsidR="0047510C" w:rsidRPr="0047510C" w:rsidRDefault="0047510C" w:rsidP="00117742">
      <w:r w:rsidRPr="0047510C">
        <w:t>Working at height represents an additional hazard commonly associated with storage tank operations. Inspection, sampling, maintenance, and demolition activities frequently require access to elevated structures. The Work at Height Regulations (2005) require employers to avoid work at height where possible and to implement collective protective measures before relying on personal protective equipment.</w:t>
      </w:r>
    </w:p>
    <w:p w14:paraId="3CE07463" w14:textId="77777777" w:rsidR="0047510C" w:rsidRPr="0047510C" w:rsidRDefault="0047510C" w:rsidP="00117742">
      <w:r w:rsidRPr="0047510C">
        <w:t>Exposure to hazardous substances is controlled through the COSHH Regulations (2002), which require employers to assess risks and implement appropriate control measures. The literature consistently demonstrates that reliance on PPE alone is inadequate because it does not eliminate hazards at source (Crawley and Tyler, 2015). Instead, engineering controls such as enclosed systems, remote handling equipment, and mechanical extraction methods are generally considered more effective.</w:t>
      </w:r>
    </w:p>
    <w:p w14:paraId="54D27840" w14:textId="77777777" w:rsidR="00A45078" w:rsidRPr="00A45078" w:rsidRDefault="00A45078" w:rsidP="00A45078">
      <w:r w:rsidRPr="00A45078">
        <w:t>The hierarchy of control continues to play an important role in industrial risk management. CCPS (2019) notes that the most effective controls are those that remove hazards entirely or reduce exposure through engineering solutions. This is one of the reasons why modern decommissioning projects increasingly favour remote and mechanised techniques instead of relying heavily on administrative controls or PPE.</w:t>
      </w:r>
    </w:p>
    <w:p w14:paraId="1FEAC24D" w14:textId="77777777" w:rsidR="0047510C" w:rsidRPr="00C803D5" w:rsidRDefault="0047510C" w:rsidP="00C803D5">
      <w:pPr>
        <w:pStyle w:val="Heading2"/>
        <w:rPr>
          <w:b/>
          <w:bCs/>
        </w:rPr>
      </w:pPr>
      <w:bookmarkStart w:id="7" w:name="_Toc231152019"/>
      <w:r w:rsidRPr="00C803D5">
        <w:rPr>
          <w:b/>
          <w:bCs/>
        </w:rPr>
        <w:t>3.4 Environmental Protection and Bund Design</w:t>
      </w:r>
      <w:bookmarkEnd w:id="7"/>
    </w:p>
    <w:p w14:paraId="0C2CC5B0" w14:textId="77777777" w:rsidR="0047510C" w:rsidRPr="0047510C" w:rsidRDefault="0047510C" w:rsidP="00117742">
      <w:r w:rsidRPr="0047510C">
        <w:t>Environmental protection is a key consideration throughout the lifecycle of hazardous storage facilities. Secondary containment systems, commonly referred to as bunds, are designed to prevent accidental releases of hazardous materials from reaching the surrounding environment.</w:t>
      </w:r>
    </w:p>
    <w:p w14:paraId="2CA8AFE1" w14:textId="77777777" w:rsidR="0047510C" w:rsidRPr="0047510C" w:rsidRDefault="0047510C" w:rsidP="00117742">
      <w:r w:rsidRPr="0047510C">
        <w:t>CIRIA (2014) states that bunds should be capable of containing at least 110% of the volume of the largest tank and should be constructed using impermeable materials to prevent leakage. Similar requirements are reflected within Environment Agency pollution prevention guidance and COMAH containment principles.</w:t>
      </w:r>
    </w:p>
    <w:p w14:paraId="5E701464" w14:textId="77777777" w:rsidR="0047510C" w:rsidRPr="0047510C" w:rsidRDefault="0047510C" w:rsidP="00117742">
      <w:r w:rsidRPr="0047510C">
        <w:t>Research suggests that containment system failures are frequently linked to inadequate inspection and maintenance rather than original design deficiencies (CIRIA, 2014). Common issues include standing liquids, cracking, erosion, vegetation growth, and deterioration of protective coatings. These defects can reduce containment capacity and compromise environmental protection.</w:t>
      </w:r>
    </w:p>
    <w:p w14:paraId="0CCB2F60" w14:textId="77777777" w:rsidR="0047510C" w:rsidRPr="0047510C" w:rsidRDefault="0047510C" w:rsidP="00117742">
      <w:r w:rsidRPr="0047510C">
        <w:t>Ageing infrastructure presents additional challenges. According to EEMUA (2014), corrosion and long-term exposure to aggressive environments can significantly reduce the integrity of containment systems. Where contamination is already present within a bunded area, there may be evidence of historical leakage or ineffective housekeeping practices.</w:t>
      </w:r>
    </w:p>
    <w:p w14:paraId="69E530B1" w14:textId="77777777" w:rsidR="0047510C" w:rsidRPr="0047510C" w:rsidRDefault="0047510C" w:rsidP="00117742">
      <w:r w:rsidRPr="0047510C">
        <w:lastRenderedPageBreak/>
        <w:t>The literature emphasises that environmental protection measures should not be viewed as standalone requirements but should instead be integrated into broader asset management and decommissioning strategies. Effective containment systems reduce the likelihood of pollution incidents, minimise remediation costs, and support regulatory compliance.</w:t>
      </w:r>
    </w:p>
    <w:p w14:paraId="1889E6B2" w14:textId="77777777" w:rsidR="0047510C" w:rsidRPr="00C803D5" w:rsidRDefault="0047510C" w:rsidP="00C803D5">
      <w:pPr>
        <w:pStyle w:val="Heading2"/>
        <w:rPr>
          <w:b/>
          <w:bCs/>
        </w:rPr>
      </w:pPr>
      <w:bookmarkStart w:id="8" w:name="_Toc231152020"/>
      <w:r w:rsidRPr="00C803D5">
        <w:rPr>
          <w:b/>
          <w:bCs/>
        </w:rPr>
        <w:t>3.5 Project Management and Risk-Based Decision Making</w:t>
      </w:r>
      <w:bookmarkEnd w:id="8"/>
    </w:p>
    <w:p w14:paraId="7D63FFD2" w14:textId="77777777" w:rsidR="0047510C" w:rsidRPr="0047510C" w:rsidRDefault="0047510C" w:rsidP="00117742">
      <w:r w:rsidRPr="0047510C">
        <w:t>The decommissioning of large industrial assets involves multiple stakeholders, technical uncertainties, regulatory requirements, and competing commercial objectives. Consequently, effective project management is essential for successful project delivery.</w:t>
      </w:r>
    </w:p>
    <w:p w14:paraId="005A0E3C" w14:textId="77777777" w:rsidR="0047510C" w:rsidRPr="0047510C" w:rsidRDefault="0047510C" w:rsidP="00117742">
      <w:r w:rsidRPr="0047510C">
        <w:t>The Project Management Institute (PMI, 2021) identifies risk management as a core project management discipline. Risk-based approaches recognise that uncertainty cannot be eliminated entirely and instead focus on identifying, evaluating, and controlling risks throughout the project lifecycle.</w:t>
      </w:r>
    </w:p>
    <w:p w14:paraId="19E0B97D" w14:textId="77777777" w:rsidR="0047510C" w:rsidRPr="0047510C" w:rsidRDefault="0047510C" w:rsidP="00117742">
      <w:r w:rsidRPr="0047510C">
        <w:t>ISO 31000 (2018) defines risk management as a coordinated set of activities designed to direct and control an organisation with regard to uncertainty. The framework promotes systematic identification, assessment, treatment, and monitoring of risks. Within industrial decommissioning projects, this approach is particularly valuable because uncertainty surrounding asset condition and waste composition can significantly influence programme duration, cost, and safety performance.</w:t>
      </w:r>
    </w:p>
    <w:p w14:paraId="5D38B1E6" w14:textId="77777777" w:rsidR="0047510C" w:rsidRPr="0047510C" w:rsidRDefault="0047510C" w:rsidP="00117742">
      <w:r w:rsidRPr="0047510C">
        <w:t>Hopkin (2023) argues that effective risk management requires flexibility and continual reassessment rather than reliance on static plans. This perspective aligns closely with decommissioning projects where information becomes progressively available as work proceeds. Consequently, adaptive planning strategies are often more effective than rigid project schedules.</w:t>
      </w:r>
    </w:p>
    <w:p w14:paraId="14A390AF" w14:textId="77777777" w:rsidR="00AA6D9B" w:rsidRDefault="00562754" w:rsidP="00117742">
      <w:r w:rsidRPr="00562754">
        <w:t>Kerzner (2022) highlights the difficulty of balancing competing project priorities. In practice, improvements in one area can sometimes create challenges elsewhere. For example, reducing programme duration may increase operational risk, while selecting the safest option may result in higher costs. Effective decision-making therefore requires consideration of how technical, safety, environmental and commercial factors influence one another.</w:t>
      </w:r>
    </w:p>
    <w:p w14:paraId="1D3F59E2" w14:textId="216757E4" w:rsidR="0047510C" w:rsidRPr="0047510C" w:rsidRDefault="0047510C" w:rsidP="00117742">
      <w:r w:rsidRPr="0047510C">
        <w:t>The literature demonstrates that risk-based project management provides a valuable framework for managing uncertainty and supporting informed decision-making. These principles are directly applicable to the MGT project, where uncertainty surrounding sludge composition, disposal requirements, and structural condition represents a significant risk driver.</w:t>
      </w:r>
    </w:p>
    <w:p w14:paraId="066E2D67" w14:textId="77777777" w:rsidR="005E4297" w:rsidRDefault="0047510C" w:rsidP="005E4297">
      <w:pPr>
        <w:pStyle w:val="Heading2"/>
        <w:rPr>
          <w:b/>
          <w:bCs/>
        </w:rPr>
      </w:pPr>
      <w:bookmarkStart w:id="9" w:name="_Toc231152021"/>
      <w:r w:rsidRPr="00C803D5">
        <w:rPr>
          <w:b/>
          <w:bCs/>
        </w:rPr>
        <w:t>3.6 Summary of Literature Findings</w:t>
      </w:r>
      <w:bookmarkEnd w:id="9"/>
    </w:p>
    <w:p w14:paraId="0A518F04" w14:textId="77777777" w:rsidR="00A43AE2" w:rsidRDefault="00A43AE2" w:rsidP="00A43AE2">
      <w:r w:rsidRPr="00A43AE2">
        <w:t>Several common themes emerge from the literature. Successful tank decommissioning projects typically adopt a phased approach, place a strong emphasis on safety and environmental protection, and remain flexible enough to respond to changing site conditions. The importance of waste management, containment integrity, minimising confined space entry and effective risk management is repeatedly highlighted throughout the published guidance. These themes form the basis of the analysis and recommendations presented in the following chapters.</w:t>
      </w:r>
    </w:p>
    <w:p w14:paraId="26333CBC" w14:textId="26DD13E9" w:rsidR="00B6395D" w:rsidRPr="00B6395D" w:rsidRDefault="00B6395D" w:rsidP="005E4297">
      <w:pPr>
        <w:pStyle w:val="Heading2"/>
        <w:rPr>
          <w:b/>
          <w:bCs/>
        </w:rPr>
      </w:pPr>
      <w:bookmarkStart w:id="10" w:name="_Toc231152022"/>
      <w:r w:rsidRPr="00B6395D">
        <w:rPr>
          <w:b/>
          <w:bCs/>
        </w:rPr>
        <w:t>4. Methodology</w:t>
      </w:r>
      <w:bookmarkEnd w:id="10"/>
    </w:p>
    <w:p w14:paraId="16ADBC69" w14:textId="77777777" w:rsidR="00B6395D" w:rsidRPr="00C803D5" w:rsidRDefault="00B6395D" w:rsidP="00C803D5">
      <w:pPr>
        <w:pStyle w:val="Heading2"/>
        <w:rPr>
          <w:b/>
          <w:bCs/>
        </w:rPr>
      </w:pPr>
      <w:bookmarkStart w:id="11" w:name="_Toc231152023"/>
      <w:r w:rsidRPr="00C803D5">
        <w:rPr>
          <w:b/>
          <w:bCs/>
        </w:rPr>
        <w:t>4.1 Research Approach</w:t>
      </w:r>
      <w:bookmarkEnd w:id="11"/>
    </w:p>
    <w:p w14:paraId="2221BFE5" w14:textId="77777777" w:rsidR="00B6395D" w:rsidRPr="00B6395D" w:rsidRDefault="00B6395D" w:rsidP="00117742">
      <w:r w:rsidRPr="00B6395D">
        <w:t xml:space="preserve">This study adopts a qualitative engineering case study approach to develop a decommissioning strategy for the Million Gallon Tanks (MGTs) located at Tata Steel Port </w:t>
      </w:r>
      <w:r w:rsidRPr="00B6395D">
        <w:lastRenderedPageBreak/>
        <w:t>Talbot. A case study methodology is considered appropriate because the project examines a contemporary engineering problem within its real-world context, where multiple technical, environmental, safety, and commercial factors interact simultaneously (Yin, 2018). Unlike experimental research, which seeks to isolate variables under controlled conditions, case study research enables detailed investigation of complex industrial situations where variables cannot easily be separated.</w:t>
      </w:r>
    </w:p>
    <w:p w14:paraId="03CB6D11" w14:textId="77777777" w:rsidR="00B6395D" w:rsidRPr="00B6395D" w:rsidRDefault="00B6395D" w:rsidP="00117742">
      <w:r w:rsidRPr="00B6395D">
        <w:t>The research is primarily qualitative in nature because the objective is not to generate predictive mathematical models but to evaluate alternative decommissioning strategies and support decision-making under uncertainty. Although quantitative information such as contractor costs, programme durations, and waste volumes are considered, the study relies predominantly on engineering judgement, risk evaluation, and comparative analysis of available options. Creswell and Creswell (2018) argue that qualitative approaches are particularly valuable when investigating complex decision-making processes and understanding how different factors influence outcomes.</w:t>
      </w:r>
    </w:p>
    <w:p w14:paraId="2E23D37C" w14:textId="77777777" w:rsidR="00B6395D" w:rsidRPr="00B6395D" w:rsidRDefault="00B6395D" w:rsidP="00117742">
      <w:r w:rsidRPr="00B6395D">
        <w:t>A risk-based philosophy underpins the methodology. This reflects established engineering practice where safety, environmental compliance, and operational feasibility are considered alongside commercial objectives (ISO, 2018). The approach aligns with the principle of reducing risk to As Low As Reasonably Practicable (ALARP), which remains a fundamental concept within industrial risk management and process safety (HSE, 2001; CCPS, 2019).</w:t>
      </w:r>
    </w:p>
    <w:p w14:paraId="2F74F944" w14:textId="77777777" w:rsidR="00B6395D" w:rsidRPr="00C803D5" w:rsidRDefault="00B6395D" w:rsidP="00C803D5">
      <w:pPr>
        <w:pStyle w:val="Heading2"/>
        <w:rPr>
          <w:b/>
          <w:bCs/>
        </w:rPr>
      </w:pPr>
      <w:bookmarkStart w:id="12" w:name="_Toc231152024"/>
      <w:r w:rsidRPr="00C803D5">
        <w:rPr>
          <w:b/>
          <w:bCs/>
        </w:rPr>
        <w:t>4.2 Data Sources and Information Collection</w:t>
      </w:r>
      <w:bookmarkEnd w:id="12"/>
    </w:p>
    <w:p w14:paraId="358B688A" w14:textId="77777777" w:rsidR="00B6395D" w:rsidRPr="00B6395D" w:rsidRDefault="00B6395D" w:rsidP="00117742">
      <w:r w:rsidRPr="00B6395D">
        <w:t>The methodology draws upon multiple sources of evidence to develop a comprehensive understanding of the decommissioning challenge. The use of multiple data sources supports methodological triangulation, increasing confidence in the findings and improving overall research robustness (Yin, 2018; Saunders et al., 2019).</w:t>
      </w:r>
    </w:p>
    <w:p w14:paraId="403650DF" w14:textId="77777777" w:rsidR="00B6395D" w:rsidRPr="00C803D5" w:rsidRDefault="00B6395D" w:rsidP="00C803D5">
      <w:pPr>
        <w:pStyle w:val="Heading3"/>
        <w:rPr>
          <w:b/>
          <w:bCs/>
        </w:rPr>
      </w:pPr>
      <w:bookmarkStart w:id="13" w:name="_Toc231152025"/>
      <w:r w:rsidRPr="00C803D5">
        <w:rPr>
          <w:b/>
          <w:bCs/>
        </w:rPr>
        <w:t>4.2.1 Structural Inspection Reports</w:t>
      </w:r>
      <w:bookmarkEnd w:id="13"/>
    </w:p>
    <w:p w14:paraId="7EC95393" w14:textId="77777777" w:rsidR="00B6395D" w:rsidRPr="00B6395D" w:rsidRDefault="00B6395D" w:rsidP="00117742">
      <w:r w:rsidRPr="00B6395D">
        <w:t>Structural inspection reports were reviewed to assess the physical condition of the tanks and associated infrastructure. These reports identified corrosion, deterioration of protective coatings, degradation of access systems, and concerns relating to structural integrity. Inspection findings provided the basis for evaluating existing safety risks and informed subsequent assessment of decommissioning requirements.</w:t>
      </w:r>
    </w:p>
    <w:p w14:paraId="0C982312" w14:textId="77777777" w:rsidR="00B6395D" w:rsidRPr="00C803D5" w:rsidRDefault="00B6395D" w:rsidP="00C803D5">
      <w:pPr>
        <w:pStyle w:val="Heading3"/>
        <w:rPr>
          <w:b/>
          <w:bCs/>
        </w:rPr>
      </w:pPr>
      <w:bookmarkStart w:id="14" w:name="_Toc231152026"/>
      <w:r w:rsidRPr="00C803D5">
        <w:rPr>
          <w:b/>
          <w:bCs/>
        </w:rPr>
        <w:t>4.2.2 Contractor Proposals</w:t>
      </w:r>
      <w:bookmarkEnd w:id="14"/>
    </w:p>
    <w:p w14:paraId="438615F9" w14:textId="77777777" w:rsidR="00B6395D" w:rsidRPr="00B6395D" w:rsidRDefault="00B6395D" w:rsidP="00117742">
      <w:r w:rsidRPr="00B6395D">
        <w:t>Technical and commercial proposals submitted by contractors formed a key component of the analysis. These proposals outlined alternative approaches to sludge removal, hazardous waste management, and structural demolition. The variation between methodologies provided an opportunity to compare different approaches against a consistent set of evaluation criteria.</w:t>
      </w:r>
    </w:p>
    <w:p w14:paraId="0A05C049" w14:textId="77777777" w:rsidR="00B6395D" w:rsidRPr="00B6395D" w:rsidRDefault="00B6395D" w:rsidP="00117742">
      <w:r w:rsidRPr="00B6395D">
        <w:t>The analysis of contractor submissions is consistent with engineering decision-making practice, where alternative solutions are assessed to identify the option that provides the most appropriate balance between risk, cost, and operational performance (Kerzner, 2022).</w:t>
      </w:r>
    </w:p>
    <w:p w14:paraId="19AE674B" w14:textId="77777777" w:rsidR="00B6395D" w:rsidRPr="00C803D5" w:rsidRDefault="00B6395D" w:rsidP="00C803D5">
      <w:pPr>
        <w:pStyle w:val="Heading3"/>
        <w:rPr>
          <w:b/>
          <w:bCs/>
        </w:rPr>
      </w:pPr>
      <w:bookmarkStart w:id="15" w:name="_Toc231152027"/>
      <w:r w:rsidRPr="00C803D5">
        <w:rPr>
          <w:b/>
          <w:bCs/>
        </w:rPr>
        <w:t>4.2.3 Operational and Historical Data</w:t>
      </w:r>
      <w:bookmarkEnd w:id="15"/>
    </w:p>
    <w:p w14:paraId="52BD799E" w14:textId="77777777" w:rsidR="00B6395D" w:rsidRPr="00B6395D" w:rsidRDefault="00B6395D" w:rsidP="00117742">
      <w:r w:rsidRPr="00B6395D">
        <w:t>Historical project information and operational records were reviewed to identify practical challenges associated with previous attempts to manage the tanks. Information relating to pumping performance, waste handling difficulties, and operational constraints provided valuable insight into the feasibility of different removal methods.</w:t>
      </w:r>
    </w:p>
    <w:p w14:paraId="49EF8647" w14:textId="77777777" w:rsidR="00B6395D" w:rsidRPr="00B6395D" w:rsidRDefault="00B6395D" w:rsidP="00117742">
      <w:r w:rsidRPr="00B6395D">
        <w:t xml:space="preserve">The use of historical data is recognised as an important component of risk-based engineering because previous operational experience can provide evidence of system </w:t>
      </w:r>
      <w:r w:rsidRPr="00B6395D">
        <w:lastRenderedPageBreak/>
        <w:t>limitations and emerging risks that may not be apparent through inspection alone (Lees, 2012).</w:t>
      </w:r>
    </w:p>
    <w:p w14:paraId="04FF3082" w14:textId="77777777" w:rsidR="00B6395D" w:rsidRPr="00C803D5" w:rsidRDefault="00B6395D" w:rsidP="00C803D5">
      <w:pPr>
        <w:pStyle w:val="Heading3"/>
        <w:rPr>
          <w:b/>
          <w:bCs/>
        </w:rPr>
      </w:pPr>
      <w:bookmarkStart w:id="16" w:name="_Toc231152028"/>
      <w:r w:rsidRPr="00C803D5">
        <w:rPr>
          <w:b/>
          <w:bCs/>
        </w:rPr>
        <w:t>4.2.4 Regulatory and Industry Guidance</w:t>
      </w:r>
      <w:bookmarkEnd w:id="16"/>
    </w:p>
    <w:p w14:paraId="4CF48F1E" w14:textId="77777777" w:rsidR="00B6395D" w:rsidRPr="00B6395D" w:rsidRDefault="00B6395D" w:rsidP="00117742">
      <w:r w:rsidRPr="00B6395D">
        <w:t>Relevant legislation, standards, and industry guidance documents were reviewed to ensure that the proposed strategy aligns with recognised best practice. These included guidance from the Health and Safety Executive (HSE), Environment Agency, CIRIA, API, EEMUA, and other recognised bodies.</w:t>
      </w:r>
    </w:p>
    <w:p w14:paraId="5D234BF6" w14:textId="77777777" w:rsidR="00B6395D" w:rsidRPr="00B6395D" w:rsidRDefault="00B6395D" w:rsidP="00117742">
      <w:r w:rsidRPr="00B6395D">
        <w:t>Incorporating regulatory and industry guidance ensures that the resulting strategy is both technically sound and legally compliant, reflecting established principles of engineering governance and risk management (Hopkin, 2023).</w:t>
      </w:r>
    </w:p>
    <w:p w14:paraId="2E2602F2" w14:textId="77777777" w:rsidR="00B6395D" w:rsidRPr="00C803D5" w:rsidRDefault="00B6395D" w:rsidP="00C803D5">
      <w:pPr>
        <w:pStyle w:val="Heading2"/>
        <w:rPr>
          <w:b/>
          <w:bCs/>
        </w:rPr>
      </w:pPr>
      <w:bookmarkStart w:id="17" w:name="_Toc231152029"/>
      <w:r w:rsidRPr="00C803D5">
        <w:rPr>
          <w:b/>
          <w:bCs/>
        </w:rPr>
        <w:t>4.3 Evaluation Criteria</w:t>
      </w:r>
      <w:bookmarkEnd w:id="17"/>
    </w:p>
    <w:p w14:paraId="034BCAF2" w14:textId="77777777" w:rsidR="00B6395D" w:rsidRPr="00B6395D" w:rsidRDefault="00B6395D" w:rsidP="00117742">
      <w:r w:rsidRPr="00B6395D">
        <w:t>To facilitate a structured comparison of alternative decommissioning methodologies, a set of evaluation criteria was developed. The selected criteria reflect the principal factors influencing decision-making within industrial decommissioning projects and are consistent with risk-based management frameworks described by ISO 31000 (2018) and PMI (2021).</w:t>
      </w:r>
    </w:p>
    <w:p w14:paraId="0DB54EE7" w14:textId="77777777" w:rsidR="00B6395D" w:rsidRPr="00C803D5" w:rsidRDefault="00B6395D" w:rsidP="00C803D5">
      <w:pPr>
        <w:pStyle w:val="Heading3"/>
        <w:rPr>
          <w:b/>
          <w:bCs/>
        </w:rPr>
      </w:pPr>
      <w:bookmarkStart w:id="18" w:name="_Toc231152030"/>
      <w:r w:rsidRPr="00C803D5">
        <w:rPr>
          <w:b/>
          <w:bCs/>
        </w:rPr>
        <w:t>4.3.1 Safety</w:t>
      </w:r>
      <w:bookmarkEnd w:id="18"/>
    </w:p>
    <w:p w14:paraId="7FA0B51B" w14:textId="77777777" w:rsidR="00B6395D" w:rsidRPr="00B6395D" w:rsidRDefault="00B6395D" w:rsidP="00117742">
      <w:r w:rsidRPr="00B6395D">
        <w:t>Safety was assigned the highest priority due to the potentially severe consequences associated with decommissioning activities. Evaluation considered:</w:t>
      </w:r>
    </w:p>
    <w:p w14:paraId="5350BEB3" w14:textId="77777777" w:rsidR="00B6395D" w:rsidRPr="00B6395D" w:rsidRDefault="00B6395D" w:rsidP="006161E1">
      <w:pPr>
        <w:pStyle w:val="ListParagraph"/>
        <w:numPr>
          <w:ilvl w:val="0"/>
          <w:numId w:val="35"/>
        </w:numPr>
      </w:pPr>
      <w:r w:rsidRPr="00B6395D">
        <w:t>Confined space entry requirements</w:t>
      </w:r>
    </w:p>
    <w:p w14:paraId="5BB0B676" w14:textId="77777777" w:rsidR="00B6395D" w:rsidRPr="00B6395D" w:rsidRDefault="00B6395D" w:rsidP="006161E1">
      <w:pPr>
        <w:pStyle w:val="ListParagraph"/>
        <w:numPr>
          <w:ilvl w:val="0"/>
          <w:numId w:val="35"/>
        </w:numPr>
      </w:pPr>
      <w:r w:rsidRPr="00B6395D">
        <w:t>Structural stability during operations</w:t>
      </w:r>
    </w:p>
    <w:p w14:paraId="2554BA1D" w14:textId="77777777" w:rsidR="00B6395D" w:rsidRPr="00B6395D" w:rsidRDefault="00B6395D" w:rsidP="006161E1">
      <w:pPr>
        <w:pStyle w:val="ListParagraph"/>
        <w:numPr>
          <w:ilvl w:val="0"/>
          <w:numId w:val="35"/>
        </w:numPr>
      </w:pPr>
      <w:r w:rsidRPr="00B6395D">
        <w:t>Exposure to hazardous substances</w:t>
      </w:r>
    </w:p>
    <w:p w14:paraId="3E74BDEE" w14:textId="77777777" w:rsidR="00B6395D" w:rsidRPr="00B6395D" w:rsidRDefault="00B6395D" w:rsidP="006161E1">
      <w:pPr>
        <w:pStyle w:val="ListParagraph"/>
        <w:numPr>
          <w:ilvl w:val="0"/>
          <w:numId w:val="35"/>
        </w:numPr>
      </w:pPr>
      <w:r w:rsidRPr="00B6395D">
        <w:t>Working at height risks</w:t>
      </w:r>
    </w:p>
    <w:p w14:paraId="1FA733AC" w14:textId="77777777" w:rsidR="00B6395D" w:rsidRPr="00B6395D" w:rsidRDefault="00B6395D" w:rsidP="006161E1">
      <w:pPr>
        <w:pStyle w:val="ListParagraph"/>
        <w:numPr>
          <w:ilvl w:val="0"/>
          <w:numId w:val="35"/>
        </w:numPr>
      </w:pPr>
      <w:r w:rsidRPr="00B6395D">
        <w:t>Potential consequences of failure</w:t>
      </w:r>
    </w:p>
    <w:p w14:paraId="6C7609A6" w14:textId="77777777" w:rsidR="00B6395D" w:rsidRPr="00B6395D" w:rsidRDefault="00B6395D" w:rsidP="00117742">
      <w:r w:rsidRPr="00B6395D">
        <w:t>Methods that reduced direct human exposure through engineering controls and mechanised systems were considered more favourable than those relying heavily on procedural controls or personal protective equipment.</w:t>
      </w:r>
    </w:p>
    <w:p w14:paraId="075D200B" w14:textId="77777777" w:rsidR="00B6395D" w:rsidRPr="00C803D5" w:rsidRDefault="00B6395D" w:rsidP="00C803D5">
      <w:pPr>
        <w:pStyle w:val="Heading3"/>
        <w:rPr>
          <w:b/>
          <w:bCs/>
        </w:rPr>
      </w:pPr>
      <w:bookmarkStart w:id="19" w:name="_Toc231152031"/>
      <w:r w:rsidRPr="00C803D5">
        <w:rPr>
          <w:b/>
          <w:bCs/>
        </w:rPr>
        <w:t>4.3.2 Environmental Impact</w:t>
      </w:r>
      <w:bookmarkEnd w:id="19"/>
    </w:p>
    <w:p w14:paraId="1AA2E77E" w14:textId="77777777" w:rsidR="00B6395D" w:rsidRPr="00B6395D" w:rsidRDefault="00B6395D" w:rsidP="00117742">
      <w:r w:rsidRPr="00B6395D">
        <w:t>Environmental performance was assessed by considering:</w:t>
      </w:r>
    </w:p>
    <w:p w14:paraId="769787AA" w14:textId="77777777" w:rsidR="00B6395D" w:rsidRPr="00B6395D" w:rsidRDefault="00B6395D" w:rsidP="006161E1">
      <w:pPr>
        <w:pStyle w:val="ListParagraph"/>
        <w:numPr>
          <w:ilvl w:val="0"/>
          <w:numId w:val="34"/>
        </w:numPr>
      </w:pPr>
      <w:r w:rsidRPr="00B6395D">
        <w:t>Risk of containment failure</w:t>
      </w:r>
    </w:p>
    <w:p w14:paraId="2E3C7C1F" w14:textId="77777777" w:rsidR="00B6395D" w:rsidRPr="00B6395D" w:rsidRDefault="00B6395D" w:rsidP="006161E1">
      <w:pPr>
        <w:pStyle w:val="ListParagraph"/>
        <w:numPr>
          <w:ilvl w:val="0"/>
          <w:numId w:val="34"/>
        </w:numPr>
      </w:pPr>
      <w:r w:rsidRPr="00B6395D">
        <w:t>Potential for soil or groundwater contamination</w:t>
      </w:r>
    </w:p>
    <w:p w14:paraId="6172725F" w14:textId="77777777" w:rsidR="00B6395D" w:rsidRPr="00B6395D" w:rsidRDefault="00B6395D" w:rsidP="006161E1">
      <w:pPr>
        <w:pStyle w:val="ListParagraph"/>
        <w:numPr>
          <w:ilvl w:val="0"/>
          <w:numId w:val="34"/>
        </w:numPr>
      </w:pPr>
      <w:r w:rsidRPr="00B6395D">
        <w:t>Waste handling and disposal requirements</w:t>
      </w:r>
    </w:p>
    <w:p w14:paraId="7E9AA0CB" w14:textId="77777777" w:rsidR="00B6395D" w:rsidRPr="00B6395D" w:rsidRDefault="00B6395D" w:rsidP="006161E1">
      <w:pPr>
        <w:pStyle w:val="ListParagraph"/>
        <w:numPr>
          <w:ilvl w:val="0"/>
          <w:numId w:val="34"/>
        </w:numPr>
      </w:pPr>
      <w:r w:rsidRPr="00B6395D">
        <w:t>Compliance with environmental legislation</w:t>
      </w:r>
    </w:p>
    <w:p w14:paraId="0D17765F" w14:textId="77777777" w:rsidR="00B6395D" w:rsidRPr="00B6395D" w:rsidRDefault="00B6395D" w:rsidP="00117742">
      <w:r w:rsidRPr="00B6395D">
        <w:t>Preference was given to strategies that aligned with the waste hierarchy and minimised the likelihood of pollution incidents (DEFRA, 2011; Environment Agency, 2023).</w:t>
      </w:r>
    </w:p>
    <w:p w14:paraId="5824E045" w14:textId="77777777" w:rsidR="00B6395D" w:rsidRPr="00C803D5" w:rsidRDefault="00B6395D" w:rsidP="00C803D5">
      <w:pPr>
        <w:pStyle w:val="Heading3"/>
        <w:rPr>
          <w:b/>
          <w:bCs/>
        </w:rPr>
      </w:pPr>
      <w:bookmarkStart w:id="20" w:name="_Toc231152032"/>
      <w:r w:rsidRPr="00C803D5">
        <w:rPr>
          <w:b/>
          <w:bCs/>
        </w:rPr>
        <w:t>4.3.3 Cost</w:t>
      </w:r>
      <w:bookmarkEnd w:id="20"/>
    </w:p>
    <w:p w14:paraId="19BC9507" w14:textId="77777777" w:rsidR="00B6395D" w:rsidRPr="00B6395D" w:rsidRDefault="00B6395D" w:rsidP="00117742">
      <w:r w:rsidRPr="00B6395D">
        <w:t>Commercial considerations included:</w:t>
      </w:r>
    </w:p>
    <w:p w14:paraId="72ADFED6" w14:textId="77777777" w:rsidR="00B6395D" w:rsidRPr="00B6395D" w:rsidRDefault="00B6395D" w:rsidP="006161E1">
      <w:pPr>
        <w:pStyle w:val="ListParagraph"/>
        <w:numPr>
          <w:ilvl w:val="0"/>
          <w:numId w:val="33"/>
        </w:numPr>
      </w:pPr>
      <w:r w:rsidRPr="00B6395D">
        <w:t>Waste treatment and disposal costs</w:t>
      </w:r>
    </w:p>
    <w:p w14:paraId="18165B05" w14:textId="77777777" w:rsidR="00B6395D" w:rsidRPr="00B6395D" w:rsidRDefault="00B6395D" w:rsidP="006161E1">
      <w:pPr>
        <w:pStyle w:val="ListParagraph"/>
        <w:numPr>
          <w:ilvl w:val="0"/>
          <w:numId w:val="33"/>
        </w:numPr>
      </w:pPr>
      <w:r w:rsidRPr="00B6395D">
        <w:t>Labour requirements</w:t>
      </w:r>
    </w:p>
    <w:p w14:paraId="2CAE8B49" w14:textId="77777777" w:rsidR="00B6395D" w:rsidRPr="00B6395D" w:rsidRDefault="00B6395D" w:rsidP="006161E1">
      <w:pPr>
        <w:pStyle w:val="ListParagraph"/>
        <w:numPr>
          <w:ilvl w:val="0"/>
          <w:numId w:val="33"/>
        </w:numPr>
      </w:pPr>
      <w:r w:rsidRPr="00B6395D">
        <w:t>Equipment costs</w:t>
      </w:r>
    </w:p>
    <w:p w14:paraId="3F223966" w14:textId="77777777" w:rsidR="00B6395D" w:rsidRPr="00B6395D" w:rsidRDefault="00B6395D" w:rsidP="006161E1">
      <w:pPr>
        <w:pStyle w:val="ListParagraph"/>
        <w:numPr>
          <w:ilvl w:val="0"/>
          <w:numId w:val="33"/>
        </w:numPr>
      </w:pPr>
      <w:r w:rsidRPr="00B6395D">
        <w:t>Contractor resource requirements</w:t>
      </w:r>
    </w:p>
    <w:p w14:paraId="1F00DBA4" w14:textId="77777777" w:rsidR="00B6395D" w:rsidRPr="00B6395D" w:rsidRDefault="00B6395D" w:rsidP="006161E1">
      <w:pPr>
        <w:pStyle w:val="ListParagraph"/>
        <w:numPr>
          <w:ilvl w:val="0"/>
          <w:numId w:val="33"/>
        </w:numPr>
      </w:pPr>
      <w:r w:rsidRPr="00B6395D">
        <w:t>Programme-related expenditure</w:t>
      </w:r>
    </w:p>
    <w:p w14:paraId="7EF6F765" w14:textId="77777777" w:rsidR="00B6395D" w:rsidRPr="00B6395D" w:rsidRDefault="00B6395D" w:rsidP="00117742">
      <w:r w:rsidRPr="00B6395D">
        <w:lastRenderedPageBreak/>
        <w:t>Whilst cost remains an important project consideration, it was not treated as the primary decision-making factor because lower-cost options may introduce unacceptable safety or environmental risks.</w:t>
      </w:r>
    </w:p>
    <w:p w14:paraId="637DCF35" w14:textId="77777777" w:rsidR="00B6395D" w:rsidRPr="00C803D5" w:rsidRDefault="00B6395D" w:rsidP="00C803D5">
      <w:pPr>
        <w:pStyle w:val="Heading3"/>
        <w:rPr>
          <w:b/>
          <w:bCs/>
        </w:rPr>
      </w:pPr>
      <w:bookmarkStart w:id="21" w:name="_Toc231152033"/>
      <w:r w:rsidRPr="00C803D5">
        <w:rPr>
          <w:b/>
          <w:bCs/>
        </w:rPr>
        <w:t>4.3.4 Programme Duration</w:t>
      </w:r>
      <w:bookmarkEnd w:id="21"/>
    </w:p>
    <w:p w14:paraId="6C830549" w14:textId="77777777" w:rsidR="00B6395D" w:rsidRPr="00B6395D" w:rsidRDefault="00B6395D" w:rsidP="00117742">
      <w:r w:rsidRPr="00B6395D">
        <w:t>Programme performance was evaluated through consideration of:</w:t>
      </w:r>
    </w:p>
    <w:p w14:paraId="796EA3F9" w14:textId="77777777" w:rsidR="00B6395D" w:rsidRPr="00B6395D" w:rsidRDefault="00B6395D" w:rsidP="006161E1">
      <w:pPr>
        <w:pStyle w:val="ListParagraph"/>
        <w:numPr>
          <w:ilvl w:val="0"/>
          <w:numId w:val="32"/>
        </w:numPr>
      </w:pPr>
      <w:r w:rsidRPr="00B6395D">
        <w:t>Duration of liquid removal activities</w:t>
      </w:r>
    </w:p>
    <w:p w14:paraId="24957B60" w14:textId="77777777" w:rsidR="00B6395D" w:rsidRPr="00B6395D" w:rsidRDefault="00B6395D" w:rsidP="006161E1">
      <w:pPr>
        <w:pStyle w:val="ListParagraph"/>
        <w:numPr>
          <w:ilvl w:val="0"/>
          <w:numId w:val="32"/>
        </w:numPr>
      </w:pPr>
      <w:r w:rsidRPr="00B6395D">
        <w:t>Duration of sludge removal activities</w:t>
      </w:r>
    </w:p>
    <w:p w14:paraId="15AAC55B" w14:textId="77777777" w:rsidR="00B6395D" w:rsidRPr="00B6395D" w:rsidRDefault="00B6395D" w:rsidP="006161E1">
      <w:pPr>
        <w:pStyle w:val="ListParagraph"/>
        <w:numPr>
          <w:ilvl w:val="0"/>
          <w:numId w:val="32"/>
        </w:numPr>
      </w:pPr>
      <w:r w:rsidRPr="00B6395D">
        <w:t>Demolition timescales</w:t>
      </w:r>
    </w:p>
    <w:p w14:paraId="5361DF5E" w14:textId="77777777" w:rsidR="00B6395D" w:rsidRPr="00B6395D" w:rsidRDefault="00B6395D" w:rsidP="006161E1">
      <w:pPr>
        <w:pStyle w:val="ListParagraph"/>
        <w:numPr>
          <w:ilvl w:val="0"/>
          <w:numId w:val="32"/>
        </w:numPr>
      </w:pPr>
      <w:r w:rsidRPr="00B6395D">
        <w:t>Overall project completion period</w:t>
      </w:r>
    </w:p>
    <w:p w14:paraId="6CC2F289" w14:textId="77777777" w:rsidR="00B6395D" w:rsidRPr="00B6395D" w:rsidRDefault="00B6395D" w:rsidP="00117742">
      <w:r w:rsidRPr="00B6395D">
        <w:t>Reducing programme duration can lower exposure to risk; however, overly aggressive schedules may increase operational complexity and introduce additional hazards.</w:t>
      </w:r>
    </w:p>
    <w:p w14:paraId="0DDF665D" w14:textId="77777777" w:rsidR="00B6395D" w:rsidRPr="00C803D5" w:rsidRDefault="00B6395D" w:rsidP="00C803D5">
      <w:pPr>
        <w:pStyle w:val="Heading3"/>
        <w:rPr>
          <w:b/>
          <w:bCs/>
        </w:rPr>
      </w:pPr>
      <w:bookmarkStart w:id="22" w:name="_Toc231152034"/>
      <w:r w:rsidRPr="00C803D5">
        <w:rPr>
          <w:b/>
          <w:bCs/>
        </w:rPr>
        <w:t>4.3.5 Feasibility and Flexibility</w:t>
      </w:r>
      <w:bookmarkEnd w:id="22"/>
    </w:p>
    <w:p w14:paraId="4E66A32C" w14:textId="77777777" w:rsidR="00B6395D" w:rsidRPr="00B6395D" w:rsidRDefault="00B6395D" w:rsidP="00117742">
      <w:r w:rsidRPr="00B6395D">
        <w:t>Given the uncertainty surrounding sludge composition and volume, flexibility was considered a critical evaluation criterion. Strategies capable of adapting to changing site conditions were viewed more favourably than approaches dependent upon a single set of assumptions.</w:t>
      </w:r>
    </w:p>
    <w:p w14:paraId="528EC153" w14:textId="77777777" w:rsidR="00B6395D" w:rsidRPr="00B6395D" w:rsidRDefault="00B6395D" w:rsidP="00117742">
      <w:r w:rsidRPr="00B6395D">
        <w:t>This reflects broader risk management theory, which emphasises resilience and adaptability when managing uncertain operating environments (Hopkin, 2023).</w:t>
      </w:r>
    </w:p>
    <w:p w14:paraId="499B6E09" w14:textId="77777777" w:rsidR="00B6395D" w:rsidRPr="00C803D5" w:rsidRDefault="00B6395D" w:rsidP="00C803D5">
      <w:pPr>
        <w:pStyle w:val="Heading2"/>
        <w:rPr>
          <w:b/>
          <w:bCs/>
        </w:rPr>
      </w:pPr>
      <w:bookmarkStart w:id="23" w:name="_Toc231152035"/>
      <w:r w:rsidRPr="00C803D5">
        <w:rPr>
          <w:b/>
          <w:bCs/>
        </w:rPr>
        <w:t>4.4 Comparative Analysis Method</w:t>
      </w:r>
      <w:bookmarkEnd w:id="23"/>
    </w:p>
    <w:p w14:paraId="6AD923C9" w14:textId="77777777" w:rsidR="00B6395D" w:rsidRPr="00B6395D" w:rsidRDefault="00B6395D" w:rsidP="00117742">
      <w:r w:rsidRPr="00B6395D">
        <w:t>A comparative analysis methodology was employed to evaluate contractor proposals against the defined criteria. Comparative evaluation is widely used within engineering decision-making because it enables competing options to be assessed systematically across multiple performance measures rather than focusing solely on cost (Belton and Stewart, 2002).</w:t>
      </w:r>
    </w:p>
    <w:p w14:paraId="273ED207" w14:textId="77777777" w:rsidR="00B6395D" w:rsidRPr="00B6395D" w:rsidRDefault="00B6395D" w:rsidP="00117742">
      <w:r w:rsidRPr="00B6395D">
        <w:t>Each methodology was reviewed to identify its principal strengths, limitations, opportunities, and associated risks. The assessment considered both individual performance against specific criteria and overall suitability within the context of the MGT project.</w:t>
      </w:r>
    </w:p>
    <w:p w14:paraId="300C21B3" w14:textId="77777777" w:rsidR="00B6395D" w:rsidRDefault="00B6395D" w:rsidP="00117742">
      <w:r w:rsidRPr="00B6395D">
        <w:t xml:space="preserve">Rather than applying a simple numerical scoring model, the evaluation adopted a risk-informed approach. This recognised that certain criteria, particularly safety and environmental protection, carry greater significance than cost alone. Such approaches are consistent with multi-criteria decision analysis frameworks frequently applied in engineering management and project selection (Keeney and </w:t>
      </w:r>
      <w:proofErr w:type="spellStart"/>
      <w:r w:rsidRPr="00B6395D">
        <w:t>Raiffa</w:t>
      </w:r>
      <w:proofErr w:type="spellEnd"/>
      <w:r w:rsidRPr="00B6395D">
        <w:t>, 1993).</w:t>
      </w:r>
    </w:p>
    <w:p w14:paraId="1B68C4F3" w14:textId="1FEC8C7F" w:rsidR="00646ED6" w:rsidRPr="00B6395D" w:rsidRDefault="00614C13" w:rsidP="00117742">
      <w:r w:rsidRPr="00614C13">
        <w:t>To support the qualitative assessment, a simple weighted evaluation matrix was also developed and is presented in Appendix D. The matrix was used to supplement the risk-informed evaluation by providing a transparent comparison of contractor proposals against key project criteria including safety, environmental performance, technical robustness, programme certainty and cost.</w:t>
      </w:r>
    </w:p>
    <w:p w14:paraId="5C758A9F" w14:textId="77777777" w:rsidR="00B6395D" w:rsidRPr="00C803D5" w:rsidRDefault="00B6395D" w:rsidP="00C803D5">
      <w:pPr>
        <w:pStyle w:val="Heading2"/>
        <w:rPr>
          <w:b/>
          <w:bCs/>
        </w:rPr>
      </w:pPr>
      <w:bookmarkStart w:id="24" w:name="_Toc231152036"/>
      <w:r w:rsidRPr="00C803D5">
        <w:rPr>
          <w:b/>
          <w:bCs/>
        </w:rPr>
        <w:t>4.5 Risk-Based Decision Framework</w:t>
      </w:r>
      <w:bookmarkEnd w:id="24"/>
    </w:p>
    <w:p w14:paraId="2453D140" w14:textId="77777777" w:rsidR="00B6395D" w:rsidRPr="00B6395D" w:rsidRDefault="00B6395D" w:rsidP="00117742">
      <w:r w:rsidRPr="00B6395D">
        <w:t>A risk-based decision framework was applied to support selection of the preferred decommissioning strategy. Risk-based approaches seek to improve decision quality by systematically considering uncertainty, consequence, and the effectiveness of available controls (ISO, 2018).</w:t>
      </w:r>
    </w:p>
    <w:p w14:paraId="3E8F55C6" w14:textId="77777777" w:rsidR="00B6395D" w:rsidRPr="00B6395D" w:rsidRDefault="00B6395D" w:rsidP="00117742">
      <w:r w:rsidRPr="00B6395D">
        <w:t>The framework incorporated:</w:t>
      </w:r>
    </w:p>
    <w:p w14:paraId="1BDA5863" w14:textId="77777777" w:rsidR="00B6395D" w:rsidRPr="00B6395D" w:rsidRDefault="00B6395D" w:rsidP="005569CC">
      <w:pPr>
        <w:pStyle w:val="ListParagraph"/>
        <w:numPr>
          <w:ilvl w:val="0"/>
          <w:numId w:val="31"/>
        </w:numPr>
      </w:pPr>
      <w:r w:rsidRPr="00B6395D">
        <w:t>Hazard identification</w:t>
      </w:r>
    </w:p>
    <w:p w14:paraId="227D7E12" w14:textId="77777777" w:rsidR="00B6395D" w:rsidRPr="00B6395D" w:rsidRDefault="00B6395D" w:rsidP="005569CC">
      <w:pPr>
        <w:pStyle w:val="ListParagraph"/>
        <w:numPr>
          <w:ilvl w:val="0"/>
          <w:numId w:val="31"/>
        </w:numPr>
      </w:pPr>
      <w:r w:rsidRPr="00B6395D">
        <w:t>Assessment of likelihood and consequence</w:t>
      </w:r>
    </w:p>
    <w:p w14:paraId="435A438B" w14:textId="77777777" w:rsidR="00B6395D" w:rsidRPr="00B6395D" w:rsidRDefault="00B6395D" w:rsidP="005569CC">
      <w:pPr>
        <w:pStyle w:val="ListParagraph"/>
        <w:numPr>
          <w:ilvl w:val="0"/>
          <w:numId w:val="31"/>
        </w:numPr>
      </w:pPr>
      <w:r w:rsidRPr="00B6395D">
        <w:lastRenderedPageBreak/>
        <w:t>Evaluation of existing controls</w:t>
      </w:r>
    </w:p>
    <w:p w14:paraId="78DDFE83" w14:textId="77777777" w:rsidR="00B6395D" w:rsidRPr="00B6395D" w:rsidRDefault="00B6395D" w:rsidP="005569CC">
      <w:pPr>
        <w:pStyle w:val="ListParagraph"/>
        <w:numPr>
          <w:ilvl w:val="0"/>
          <w:numId w:val="31"/>
        </w:numPr>
      </w:pPr>
      <w:r w:rsidRPr="00B6395D">
        <w:t>Identification of additional mitigation measures</w:t>
      </w:r>
    </w:p>
    <w:p w14:paraId="7779F1AE" w14:textId="77777777" w:rsidR="00B6395D" w:rsidRPr="00B6395D" w:rsidRDefault="00B6395D" w:rsidP="005569CC">
      <w:pPr>
        <w:pStyle w:val="ListParagraph"/>
        <w:numPr>
          <w:ilvl w:val="0"/>
          <w:numId w:val="31"/>
        </w:numPr>
      </w:pPr>
      <w:r w:rsidRPr="00B6395D">
        <w:t>Selection of options capable of reducing risk to ALARP</w:t>
      </w:r>
    </w:p>
    <w:p w14:paraId="1C39976D" w14:textId="77777777" w:rsidR="00B6395D" w:rsidRPr="00B6395D" w:rsidRDefault="00B6395D" w:rsidP="00117742">
      <w:r w:rsidRPr="00B6395D">
        <w:t>This approach reflects recognised process safety principles and aligns with methodologies promoted by CCPS (2019), PMI (2021), and Hopkin (2023).</w:t>
      </w:r>
    </w:p>
    <w:p w14:paraId="6872E3C6" w14:textId="77777777" w:rsidR="00B6395D" w:rsidRPr="00B6395D" w:rsidRDefault="00B6395D" w:rsidP="00117742">
      <w:r w:rsidRPr="00B6395D">
        <w:t>The framework was particularly important due to uncertainty surrounding sludge characteristics, which represented a significant project risk and had the potential to influence cost, programme duration, and method selection.</w:t>
      </w:r>
    </w:p>
    <w:p w14:paraId="1A98FF18" w14:textId="77777777" w:rsidR="00B6395D" w:rsidRPr="00C803D5" w:rsidRDefault="00B6395D" w:rsidP="00117742">
      <w:pPr>
        <w:pStyle w:val="Heading2"/>
        <w:rPr>
          <w:b/>
          <w:bCs/>
        </w:rPr>
      </w:pPr>
      <w:bookmarkStart w:id="25" w:name="_Toc231152037"/>
      <w:r w:rsidRPr="00C803D5">
        <w:rPr>
          <w:b/>
          <w:bCs/>
        </w:rPr>
        <w:t>4.6 Limitations of the Methodology</w:t>
      </w:r>
      <w:bookmarkEnd w:id="25"/>
    </w:p>
    <w:p w14:paraId="7A7EFF3A" w14:textId="77777777" w:rsidR="00B6395D" w:rsidRPr="00B6395D" w:rsidRDefault="00B6395D" w:rsidP="00117742">
      <w:r w:rsidRPr="00B6395D">
        <w:t>Whilst the methodology provides a structured basis for evaluating decommissioning options, several limitations should be acknowledged.</w:t>
      </w:r>
    </w:p>
    <w:p w14:paraId="75124728" w14:textId="77777777" w:rsidR="00B6395D" w:rsidRPr="00C803D5" w:rsidRDefault="00B6395D" w:rsidP="00117742">
      <w:pPr>
        <w:pStyle w:val="Heading3"/>
        <w:rPr>
          <w:b/>
          <w:bCs/>
        </w:rPr>
      </w:pPr>
      <w:bookmarkStart w:id="26" w:name="_Toc231152038"/>
      <w:r w:rsidRPr="00C803D5">
        <w:rPr>
          <w:b/>
          <w:bCs/>
        </w:rPr>
        <w:t>4.6.1 Uncertainty in Sludge Characteristics</w:t>
      </w:r>
      <w:bookmarkEnd w:id="26"/>
    </w:p>
    <w:p w14:paraId="5940C9BB" w14:textId="77777777" w:rsidR="00B6395D" w:rsidRPr="00B6395D" w:rsidRDefault="00B6395D" w:rsidP="00117742">
      <w:r w:rsidRPr="00B6395D">
        <w:t>The absence of detailed sludge characterisation data introduces uncertainty into the evaluation process. Assumptions regarding viscosity, contamination levels, and handling requirements were therefore necessary.</w:t>
      </w:r>
    </w:p>
    <w:p w14:paraId="2588030C" w14:textId="77777777" w:rsidR="00B6395D" w:rsidRPr="00C803D5" w:rsidRDefault="00B6395D" w:rsidP="00117742">
      <w:pPr>
        <w:pStyle w:val="Heading3"/>
        <w:rPr>
          <w:b/>
          <w:bCs/>
        </w:rPr>
      </w:pPr>
      <w:bookmarkStart w:id="27" w:name="_Toc231152039"/>
      <w:r w:rsidRPr="00C803D5">
        <w:rPr>
          <w:b/>
          <w:bCs/>
        </w:rPr>
        <w:t>4.6.2 Variability in Contractor Proposals</w:t>
      </w:r>
      <w:bookmarkEnd w:id="27"/>
    </w:p>
    <w:p w14:paraId="6DE99D5A" w14:textId="77777777" w:rsidR="00B6395D" w:rsidRPr="00B6395D" w:rsidRDefault="00B6395D" w:rsidP="00117742">
      <w:r w:rsidRPr="00B6395D">
        <w:t>Contractor submissions were developed using different assumptions and scopes of work. This created challenges when attempting to conduct direct comparisons between proposals.</w:t>
      </w:r>
    </w:p>
    <w:p w14:paraId="3646762A" w14:textId="77777777" w:rsidR="00B6395D" w:rsidRPr="00C803D5" w:rsidRDefault="00B6395D" w:rsidP="00C803D5">
      <w:pPr>
        <w:pStyle w:val="Heading3"/>
        <w:rPr>
          <w:b/>
          <w:bCs/>
        </w:rPr>
      </w:pPr>
      <w:bookmarkStart w:id="28" w:name="_Toc231152040"/>
      <w:r w:rsidRPr="00C803D5">
        <w:rPr>
          <w:b/>
          <w:bCs/>
        </w:rPr>
        <w:t>4.6.3 Limited Quantitative Data</w:t>
      </w:r>
      <w:bookmarkEnd w:id="28"/>
    </w:p>
    <w:p w14:paraId="482FF576" w14:textId="77777777" w:rsidR="00B6395D" w:rsidRPr="00B6395D" w:rsidRDefault="00B6395D" w:rsidP="00117742">
      <w:r w:rsidRPr="00B6395D">
        <w:t>The research relies predominantly on qualitative assessment rather than extensive quantitative modelling. Whilst appropriate for the objectives of this study, this may reduce the precision of direct comparisons between alternatives.</w:t>
      </w:r>
    </w:p>
    <w:p w14:paraId="72E87F4A" w14:textId="77777777" w:rsidR="00B6395D" w:rsidRPr="00C803D5" w:rsidRDefault="00B6395D" w:rsidP="00C803D5">
      <w:pPr>
        <w:pStyle w:val="Heading3"/>
        <w:rPr>
          <w:b/>
          <w:bCs/>
        </w:rPr>
      </w:pPr>
      <w:bookmarkStart w:id="29" w:name="_Toc231152041"/>
      <w:r w:rsidRPr="00C803D5">
        <w:rPr>
          <w:b/>
          <w:bCs/>
        </w:rPr>
        <w:t>4.6.4 Site-Specific Constraints</w:t>
      </w:r>
      <w:bookmarkEnd w:id="29"/>
    </w:p>
    <w:p w14:paraId="5C682867" w14:textId="77777777" w:rsidR="00B6395D" w:rsidRPr="00B6395D" w:rsidRDefault="00B6395D" w:rsidP="00117742">
      <w:r w:rsidRPr="00B6395D">
        <w:t>As with many industrial case studies, findings are closely linked to site-specific conditions and may require modification before application elsewhere. Saunders et al. (2019) note that contextual factors are an inherent limitation of case study research but do not necessarily reduce the value of findings within the original setting.</w:t>
      </w:r>
    </w:p>
    <w:p w14:paraId="22E2CE43" w14:textId="77777777" w:rsidR="00B6395D" w:rsidRPr="00B6395D" w:rsidRDefault="00B6395D" w:rsidP="00117742">
      <w:pPr>
        <w:pStyle w:val="Heading1"/>
        <w:rPr>
          <w:b/>
          <w:bCs/>
        </w:rPr>
      </w:pPr>
      <w:bookmarkStart w:id="30" w:name="_Toc231152042"/>
      <w:r w:rsidRPr="00B6395D">
        <w:rPr>
          <w:b/>
          <w:bCs/>
        </w:rPr>
        <w:t>4.7 Summary</w:t>
      </w:r>
      <w:bookmarkEnd w:id="30"/>
    </w:p>
    <w:p w14:paraId="720FA7D2" w14:textId="77777777" w:rsidR="00B6395D" w:rsidRPr="00B6395D" w:rsidRDefault="00B6395D" w:rsidP="00117742">
      <w:r w:rsidRPr="00B6395D">
        <w:t>This methodology provides a structured and risk-informed framework for evaluating decommissioning strategies for the Million Gallon Tanks. By integrating multiple sources of evidence, applying clearly defined evaluation criteria, and adopting recognised risk-management principles, the study supports informed decision-making under conditions of uncertainty.</w:t>
      </w:r>
    </w:p>
    <w:p w14:paraId="5DA60811" w14:textId="77777777" w:rsidR="00B6395D" w:rsidRPr="00B6395D" w:rsidRDefault="00B6395D" w:rsidP="00117742">
      <w:r w:rsidRPr="00B6395D">
        <w:t>The methodology prioritises safety, environmental protection, and operational feasibility while maintaining consideration of commercial factors. Furthermore, the adoption of a flexible and adaptive approach reflects both industry best practice and the complex nature of the decommissioning challenge.</w:t>
      </w:r>
    </w:p>
    <w:p w14:paraId="5965AF3C" w14:textId="77777777" w:rsidR="00C70F53" w:rsidRPr="005569CC" w:rsidRDefault="00C70F53" w:rsidP="00117742">
      <w:pPr>
        <w:pStyle w:val="Heading1"/>
        <w:rPr>
          <w:b/>
          <w:bCs/>
        </w:rPr>
      </w:pPr>
      <w:bookmarkStart w:id="31" w:name="_Toc231152043"/>
      <w:r w:rsidRPr="005569CC">
        <w:rPr>
          <w:b/>
          <w:bCs/>
        </w:rPr>
        <w:t>5. Current State Analysis</w:t>
      </w:r>
      <w:bookmarkEnd w:id="31"/>
    </w:p>
    <w:p w14:paraId="07CD9570" w14:textId="6DA15D1C" w:rsidR="00C70F53" w:rsidRPr="002F52E8" w:rsidRDefault="00C70F53" w:rsidP="00117742">
      <w:r w:rsidRPr="002F52E8">
        <w:t xml:space="preserve">The current condition of the Million Gallon Tanks (MGTs) represents a high-risk scenario requiring urgent and structured intervention. The risks associated with the tanks are not confined to a single domain but instead span structural integrity, environmental protection, and operational safety. These risks are compounded by the ageing nature of the infrastructure, the presence of hazardous materials, and the absence of proactive </w:t>
      </w:r>
      <w:r w:rsidRPr="002F52E8">
        <w:lastRenderedPageBreak/>
        <w:t>maintenance. A comprehensive understanding of the current state is therefore essential to inform the development of an effective decommissioning strategy.</w:t>
      </w:r>
    </w:p>
    <w:p w14:paraId="74EA991D" w14:textId="77777777" w:rsidR="00C70F53" w:rsidRPr="00F44F7C" w:rsidRDefault="00C70F53" w:rsidP="00117742">
      <w:pPr>
        <w:pStyle w:val="Heading2"/>
        <w:rPr>
          <w:b/>
          <w:bCs/>
        </w:rPr>
      </w:pPr>
      <w:bookmarkStart w:id="32" w:name="_Toc231152044"/>
      <w:r w:rsidRPr="00F44F7C">
        <w:rPr>
          <w:b/>
          <w:bCs/>
        </w:rPr>
        <w:t>5.1 Structural Integrity</w:t>
      </w:r>
      <w:bookmarkEnd w:id="32"/>
    </w:p>
    <w:p w14:paraId="6700ECE9" w14:textId="4D4C1930" w:rsidR="00C70F53" w:rsidRPr="002F52E8" w:rsidRDefault="00C70F53" w:rsidP="00117742">
      <w:r w:rsidRPr="002F52E8">
        <w:t>The structural condition of the tanks is a primary concern, with inspection reports identifying extensive corrosion across tank shells, support structures, and associated infrastructure (Tata Steel). Corrosion is a progressive degradation mechanism that reduces material thickness and compromises load-bearing capacity over time, particularly in aggressive industrial environments where moisture and contaminants are present (Lees, 2012).</w:t>
      </w:r>
    </w:p>
    <w:p w14:paraId="298D9EC2" w14:textId="77777777" w:rsidR="00C70F53" w:rsidRPr="002F52E8" w:rsidRDefault="00C70F53" w:rsidP="00117742">
      <w:r w:rsidRPr="002F52E8">
        <w:t>The breakdown of protective coatings has exposed the underlying steel to environmental conditions, accelerating the corrosion process. This is particularly evident in areas exposed to standing liquid, where corrosion rates are significantly increased due to prolonged contact with water and contaminants. Localised corrosion, often occurring below fluid levels, can lead to uneven degradation and the formation of weak points within the structure. Such degradation is difficult to predict and may result in sudden or localised failure under load (Lees, 2012).</w:t>
      </w:r>
    </w:p>
    <w:p w14:paraId="39103279" w14:textId="77777777" w:rsidR="00C70F53" w:rsidRPr="002F52E8" w:rsidRDefault="00C70F53" w:rsidP="00117742">
      <w:r w:rsidRPr="002F52E8">
        <w:t>In addition to the tank shells, supporting structures such as walkways, platforms, and handrails have also deteriorated. These components are critical for providing safe access during inspection and maintenance activities. Their degradation introduces additional safety risks, particularly where temporary repairs have been implemented. The presence of non-standard or temporary fixes indicates a reactive maintenance approach, which does not address underlying structural issues and may contribute to a false perception of safety.</w:t>
      </w:r>
    </w:p>
    <w:p w14:paraId="1CF42FF1" w14:textId="66F634A2" w:rsidR="00C70F53" w:rsidRPr="002F52E8" w:rsidRDefault="00C70F53" w:rsidP="00117742">
      <w:r w:rsidRPr="002F52E8">
        <w:t>From an engineering perspective, the combined effects of corrosion, degraded access systems, and uncertainty in structural condition significantly reduce the reliability of the asset. This uncertainty limits the ability to safely carry out operations and increases the likelihood of failure during decommissioning activities.</w:t>
      </w:r>
    </w:p>
    <w:p w14:paraId="5EDFF901" w14:textId="77777777" w:rsidR="00C70F53" w:rsidRPr="00F44F7C" w:rsidRDefault="00C70F53" w:rsidP="00117742">
      <w:pPr>
        <w:pStyle w:val="Heading2"/>
        <w:rPr>
          <w:b/>
          <w:bCs/>
        </w:rPr>
      </w:pPr>
      <w:bookmarkStart w:id="33" w:name="_Toc231152045"/>
      <w:r w:rsidRPr="00F44F7C">
        <w:rPr>
          <w:b/>
          <w:bCs/>
        </w:rPr>
        <w:t>5.2 Environmental Risk</w:t>
      </w:r>
      <w:bookmarkEnd w:id="33"/>
    </w:p>
    <w:p w14:paraId="51608E01" w14:textId="77777777" w:rsidR="00C70F53" w:rsidRPr="002F52E8" w:rsidRDefault="00C70F53" w:rsidP="00117742">
      <w:r w:rsidRPr="002F52E8">
        <w:t>Environmental risks associated with the MGTs are closely linked to the condition of the bunded containment system. Bunds are designed to provide secondary containment in the event of tank failure, preventing the release of hazardous materials into the surrounding environment. Industry guidance specifies that bunds must be impermeable and capable of containing at least 110% of the capacity of the largest tank (CIRIA, 2014).</w:t>
      </w:r>
    </w:p>
    <w:p w14:paraId="003492C3" w14:textId="77777777" w:rsidR="00C70F53" w:rsidRPr="002F52E8" w:rsidRDefault="00C70F53" w:rsidP="00117742">
      <w:r w:rsidRPr="002F52E8">
        <w:t>However, inspection findings indicate that the bund system at the MGT site is compromised. The accumulation of standing liquid within the bund reduces its effective capacity, meaning that it would be unable to contain the full volume of a tank rupture. This represents a critical failure point, as any overflow would result in uncontrolled discharge of hazardous materials.</w:t>
      </w:r>
    </w:p>
    <w:p w14:paraId="7BEEE082" w14:textId="77777777" w:rsidR="00C70F53" w:rsidRPr="002F52E8" w:rsidRDefault="00C70F53" w:rsidP="00117742">
      <w:r w:rsidRPr="002F52E8">
        <w:t>The presence of contamination within the bund further suggests that leakage or seepage may have already occurred. This raises concerns regarding the integrity of the bund lining and the potential for pollutants to enter surrounding soil and groundwater. Environmental contamination of this nature can have long-term consequences, including ecological damage and costly remediation requirements.</w:t>
      </w:r>
    </w:p>
    <w:p w14:paraId="1627D8BC" w14:textId="2248CC57" w:rsidR="00C70F53" w:rsidRPr="002F52E8" w:rsidRDefault="00C70F53" w:rsidP="00117742">
      <w:r w:rsidRPr="002F52E8">
        <w:t>Regulatory frameworks require that industrial operators take all reasonable measures to prevent environmental pollution. The Environment Agency (20</w:t>
      </w:r>
      <w:r w:rsidR="00DF4D25">
        <w:t>2</w:t>
      </w:r>
      <w:r w:rsidRPr="002F52E8">
        <w:t>3) emphasises the importance of maintaining containment systems and managing hazardous waste in a controlled and compliant manner. Failure to meet these requirements can result in enforcement action, financial penalties, and reputational damage.</w:t>
      </w:r>
    </w:p>
    <w:p w14:paraId="596A4CE4" w14:textId="24583636" w:rsidR="00C70F53" w:rsidRPr="002F52E8" w:rsidRDefault="00C70F53" w:rsidP="00117742">
      <w:r w:rsidRPr="002F52E8">
        <w:lastRenderedPageBreak/>
        <w:t>From a risk perspective, the compromised bund system significantly increases the potential severity of any structural failure, as it removes a critical layer of protection.</w:t>
      </w:r>
    </w:p>
    <w:p w14:paraId="1867025A" w14:textId="77777777" w:rsidR="00C70F53" w:rsidRPr="00F44F7C" w:rsidRDefault="00C70F53" w:rsidP="00117742">
      <w:pPr>
        <w:pStyle w:val="Heading2"/>
        <w:rPr>
          <w:b/>
          <w:bCs/>
        </w:rPr>
      </w:pPr>
      <w:bookmarkStart w:id="34" w:name="_Toc231152046"/>
      <w:r w:rsidRPr="00F44F7C">
        <w:rPr>
          <w:b/>
          <w:bCs/>
        </w:rPr>
        <w:t>5.3 Operational and Safety Risk</w:t>
      </w:r>
      <w:bookmarkEnd w:id="34"/>
    </w:p>
    <w:p w14:paraId="42D1E35A" w14:textId="77777777" w:rsidR="00C70F53" w:rsidRPr="002F52E8" w:rsidRDefault="00C70F53" w:rsidP="00117742">
      <w:r w:rsidRPr="002F52E8">
        <w:t>Operational and safety risks are closely intertwined in the context of the MGTs. The degraded condition of access systems presents immediate hazards to personnel required to carry out inspection, maintenance, or decommissioning activities. Corroded structures, missing components, and temporary repairs increase the likelihood of slips, trips, falls, and structural failure during use.</w:t>
      </w:r>
    </w:p>
    <w:p w14:paraId="090BD76E" w14:textId="77777777" w:rsidR="00C70F53" w:rsidRPr="002F52E8" w:rsidRDefault="00C70F53" w:rsidP="00117742">
      <w:r w:rsidRPr="002F52E8">
        <w:t>Confined space hazards represent one of the most significant safety risks. The interior of the tanks may contain hazardous atmospheres, including flammable vapours, toxic gases, and oxygen-deficient conditions. These environments present a high risk of serious injury or fatality if not properly controlled. The Confined Spaces Regulations (HSE, 1997) require that entry into such environments is avoided wherever possible, with alternative methods prioritised.</w:t>
      </w:r>
    </w:p>
    <w:p w14:paraId="2654415F" w14:textId="77777777" w:rsidR="00C70F53" w:rsidRPr="002F52E8" w:rsidRDefault="00C70F53" w:rsidP="00117742">
      <w:r w:rsidRPr="002F52E8">
        <w:t>Exposure to hazardous substances is another critical consideration. The sludge and liquids within the tanks are likely to contain hydrocarbons and other toxic compounds, posing risks to personnel through inhalation, skin contact, or ingestion. The Control of Substances Hazardous to Health (COSHH) regulations require that exposure is minimised through engineering controls, safe systems of work, and appropriate protective measures (HSE, 2002).</w:t>
      </w:r>
    </w:p>
    <w:p w14:paraId="095CAC03" w14:textId="77777777" w:rsidR="00C70F53" w:rsidRPr="002F52E8" w:rsidRDefault="00C70F53" w:rsidP="00117742">
      <w:r w:rsidRPr="002F52E8">
        <w:t>Operational constraints further contribute to safety risk. Restricted access, limited working space, and degraded infrastructure can hinder the movement of equipment and personnel, increasing the likelihood of accidents. Additionally, the need to coordinate multiple activities, such as waste removal and structural dismantling, introduces complexity and increases the potential for human error.</w:t>
      </w:r>
    </w:p>
    <w:p w14:paraId="7B384740" w14:textId="1AB00CD3" w:rsidR="00C70F53" w:rsidRPr="002F52E8" w:rsidRDefault="00C70F53" w:rsidP="00117742">
      <w:r w:rsidRPr="002F52E8">
        <w:t>From a safety engineering perspective, these risks highlight the importance of designing decommissioning processes that minimise direct human interaction with hazardous environments, prioritising mechanical and remote methods wherever possible (Crawley and Tyler, 2015).</w:t>
      </w:r>
    </w:p>
    <w:p w14:paraId="3912587D" w14:textId="69EC244A" w:rsidR="00C70F53" w:rsidRPr="00F44F7C" w:rsidRDefault="00C70F53" w:rsidP="00117742">
      <w:pPr>
        <w:pStyle w:val="Heading2"/>
        <w:rPr>
          <w:b/>
          <w:bCs/>
        </w:rPr>
      </w:pPr>
      <w:bookmarkStart w:id="35" w:name="_Toc231152047"/>
      <w:r w:rsidRPr="00F44F7C">
        <w:rPr>
          <w:b/>
          <w:bCs/>
        </w:rPr>
        <w:t>5.4 Interdependency of Risks</w:t>
      </w:r>
      <w:bookmarkEnd w:id="35"/>
      <w:r w:rsidRPr="00F44F7C">
        <w:rPr>
          <w:b/>
          <w:bCs/>
        </w:rPr>
        <w:t xml:space="preserve"> </w:t>
      </w:r>
    </w:p>
    <w:p w14:paraId="0FD97F2A" w14:textId="77777777" w:rsidR="00C70F53" w:rsidRPr="002F52E8" w:rsidRDefault="00C70F53" w:rsidP="00117742">
      <w:r w:rsidRPr="002F52E8">
        <w:t>A critical insight from the current state analysis is that the identified risks are highly interdependent rather than independent. Structural degradation increases the likelihood of tank failure, which in turn increases the risk of environmental contamination. At the same time, degraded access systems increase the risk to personnel attempting to inspect or mitigate these issues.</w:t>
      </w:r>
    </w:p>
    <w:p w14:paraId="25F03A3D" w14:textId="77777777" w:rsidR="00C70F53" w:rsidRPr="002F52E8" w:rsidRDefault="00C70F53" w:rsidP="00117742">
      <w:r w:rsidRPr="002F52E8">
        <w:t>This interdependency creates a complex risk environment in which addressing one issue may influence another. For example, efforts to inspect corroded structures may require personnel to access unsafe platforms, introducing additional safety hazards. Similarly, attempts to remove hazardous materials may be constrained by structural limitations, affecting the feasibility of certain methods.</w:t>
      </w:r>
    </w:p>
    <w:p w14:paraId="0BF6F0AF" w14:textId="77777777" w:rsidR="00C70F53" w:rsidRPr="002F52E8" w:rsidRDefault="00C70F53" w:rsidP="00117742">
      <w:r w:rsidRPr="002F52E8">
        <w:t>This aligns with established findings in process safety, where failures often result from the interaction of multiple contributing factors rather than a single cause (Khan and Abbasi, 1999). As such, addressing risks in isolation is unlikely to provide an effective solution.</w:t>
      </w:r>
    </w:p>
    <w:p w14:paraId="02A73695" w14:textId="287F9727" w:rsidR="00C70F53" w:rsidRPr="002F52E8" w:rsidRDefault="00C70F53" w:rsidP="00117742">
      <w:r w:rsidRPr="002F52E8">
        <w:t xml:space="preserve">The key implication is that a holistic approach is required, considering the system as a whole rather than focusing on individual risks. This reinforces the need for a phased and integrated </w:t>
      </w:r>
      <w:r w:rsidRPr="002F52E8">
        <w:lastRenderedPageBreak/>
        <w:t>decommissioning strategy that addresses structural, environmental, and safety considerations simultaneously.</w:t>
      </w:r>
    </w:p>
    <w:p w14:paraId="63E596D8" w14:textId="77777777" w:rsidR="00C70F53" w:rsidRPr="00F44F7C" w:rsidRDefault="00C70F53" w:rsidP="00117742">
      <w:pPr>
        <w:pStyle w:val="Heading2"/>
        <w:rPr>
          <w:b/>
          <w:bCs/>
        </w:rPr>
      </w:pPr>
      <w:bookmarkStart w:id="36" w:name="_Toc231152048"/>
      <w:r w:rsidRPr="00F44F7C">
        <w:rPr>
          <w:b/>
          <w:bCs/>
        </w:rPr>
        <w:t>5.5 Summary</w:t>
      </w:r>
      <w:bookmarkEnd w:id="36"/>
    </w:p>
    <w:p w14:paraId="79D8B675" w14:textId="77777777" w:rsidR="00C70F53" w:rsidRPr="002F52E8" w:rsidRDefault="00C70F53" w:rsidP="00117742">
      <w:r w:rsidRPr="002F52E8">
        <w:t>The current condition of the Million Gallon Tanks represents a complex and high-risk scenario driven by the interaction of structural degradation, environmental vulnerability, and operational hazards. Corrosion and infrastructure deterioration compromise structural integrity, while the reduced effectiveness of the bund system increases environmental risk. At the same time, degraded access systems and hazardous contents create significant safety challenges.</w:t>
      </w:r>
    </w:p>
    <w:p w14:paraId="09DC9D1E" w14:textId="77777777" w:rsidR="00C70F53" w:rsidRPr="002F52E8" w:rsidRDefault="00C70F53" w:rsidP="00117742">
      <w:r w:rsidRPr="002F52E8">
        <w:t>Importantly, the interdependent nature of these risks necessitates a holistic and risk-based approach to decommissioning. The findings of this analysis provide a critical foundation for the subsequent evaluation of contractor methodologies and the development of a structured decommissioning strategy.</w:t>
      </w:r>
    </w:p>
    <w:p w14:paraId="0C6CD087" w14:textId="77777777" w:rsidR="00F23253" w:rsidRPr="00F44F7C" w:rsidRDefault="00F23253" w:rsidP="00117742">
      <w:pPr>
        <w:pStyle w:val="Heading1"/>
        <w:rPr>
          <w:b/>
          <w:bCs/>
        </w:rPr>
      </w:pPr>
      <w:bookmarkStart w:id="37" w:name="_Toc231152049"/>
      <w:r w:rsidRPr="00F44F7C">
        <w:rPr>
          <w:b/>
          <w:bCs/>
        </w:rPr>
        <w:t>6. Contractor Proposal Analysis</w:t>
      </w:r>
      <w:bookmarkEnd w:id="37"/>
    </w:p>
    <w:p w14:paraId="45887215" w14:textId="77777777" w:rsidR="00F23253" w:rsidRPr="00F44F7C" w:rsidRDefault="00F23253" w:rsidP="00117742">
      <w:pPr>
        <w:pStyle w:val="Heading2"/>
        <w:rPr>
          <w:b/>
          <w:bCs/>
        </w:rPr>
      </w:pPr>
      <w:bookmarkStart w:id="38" w:name="_Toc231152050"/>
      <w:r w:rsidRPr="00F44F7C">
        <w:rPr>
          <w:b/>
          <w:bCs/>
        </w:rPr>
        <w:t>6.1 Introduction</w:t>
      </w:r>
      <w:bookmarkEnd w:id="38"/>
    </w:p>
    <w:p w14:paraId="1E8D5B75" w14:textId="77777777" w:rsidR="00F23253" w:rsidRPr="002F52E8" w:rsidRDefault="00F23253" w:rsidP="00117742">
      <w:r w:rsidRPr="002F52E8">
        <w:t>The decommissioning of the Million Gallon Tanks (MGTs) presents a complex engineering challenge, reflected in the variation of contractor proposals submitted for the project. Each proposal adopts a different methodology for the removal of hazardous materials and the dismantling of tank structures, resulting in significant differences in safety, cost, programme duration, and overall feasibility.</w:t>
      </w:r>
    </w:p>
    <w:p w14:paraId="2FFA6A73" w14:textId="77777777" w:rsidR="00F23253" w:rsidRPr="002F52E8" w:rsidRDefault="00F23253" w:rsidP="00117742">
      <w:r w:rsidRPr="002F52E8">
        <w:t>In complex industrial projects, the selection of an appropriate methodology cannot be based solely on cost or programme considerations. Instead, it must be informed by a structured, risk-based evaluation that considers safety, environmental impact, and uncertainty (PMI, 2021; Crawley and Tyler, 2015). This section critically evaluates the primary methodologies identified across contractor submissions, with the aim of determining the most suitable approach for the MGT decommissioning.</w:t>
      </w:r>
    </w:p>
    <w:p w14:paraId="34D29A8A" w14:textId="77777777" w:rsidR="00F23253" w:rsidRPr="002F52E8" w:rsidRDefault="00F23253" w:rsidP="00117742">
      <w:r w:rsidRPr="002F52E8">
        <w:t>Three dominant approaches have been identified:</w:t>
      </w:r>
    </w:p>
    <w:p w14:paraId="0E7F7508" w14:textId="77777777" w:rsidR="00F23253" w:rsidRPr="002F52E8" w:rsidRDefault="00F23253" w:rsidP="00BC6626">
      <w:pPr>
        <w:numPr>
          <w:ilvl w:val="0"/>
          <w:numId w:val="9"/>
        </w:numPr>
        <w:ind w:left="0" w:firstLine="0"/>
      </w:pPr>
      <w:r w:rsidRPr="002F52E8">
        <w:t xml:space="preserve">Mechanical removal and drying </w:t>
      </w:r>
    </w:p>
    <w:p w14:paraId="4AB95FAA" w14:textId="77777777" w:rsidR="00F23253" w:rsidRPr="002F52E8" w:rsidRDefault="00F23253" w:rsidP="00BC6626">
      <w:pPr>
        <w:numPr>
          <w:ilvl w:val="0"/>
          <w:numId w:val="9"/>
        </w:numPr>
        <w:ind w:left="0" w:firstLine="0"/>
      </w:pPr>
      <w:r w:rsidRPr="002F52E8">
        <w:t xml:space="preserve">Direct pumping to tankers </w:t>
      </w:r>
    </w:p>
    <w:p w14:paraId="4497D998" w14:textId="77777777" w:rsidR="00F23253" w:rsidRPr="002F52E8" w:rsidRDefault="00F23253" w:rsidP="00BC6626">
      <w:pPr>
        <w:numPr>
          <w:ilvl w:val="0"/>
          <w:numId w:val="9"/>
        </w:numPr>
        <w:ind w:left="0" w:firstLine="0"/>
      </w:pPr>
      <w:r w:rsidRPr="002F52E8">
        <w:t xml:space="preserve">Integrated phased removal and demolition </w:t>
      </w:r>
    </w:p>
    <w:p w14:paraId="1EA28BA2" w14:textId="1AB49850" w:rsidR="00F23253" w:rsidRPr="002F52E8" w:rsidRDefault="00F23253" w:rsidP="00117742">
      <w:r w:rsidRPr="002F52E8">
        <w:t>Each method is assessed against the evaluation criteria established in the methodology, with particular emphasis on safety, environmental protection, and adaptability.</w:t>
      </w:r>
      <w:r w:rsidR="00FF2F5E">
        <w:t xml:space="preserve"> </w:t>
      </w:r>
      <w:r w:rsidR="00FF2F5E" w:rsidRPr="00DE7030">
        <w:t>A detailed comparison of contractor quotations, methodology assessments and evaluation scores is provided in Appendix D.</w:t>
      </w:r>
    </w:p>
    <w:p w14:paraId="5CD37CB3" w14:textId="77777777" w:rsidR="00F23253" w:rsidRPr="00987097" w:rsidRDefault="00F23253" w:rsidP="00117742">
      <w:pPr>
        <w:pStyle w:val="Heading2"/>
        <w:rPr>
          <w:b/>
          <w:bCs/>
        </w:rPr>
      </w:pPr>
      <w:bookmarkStart w:id="39" w:name="_Toc231152051"/>
      <w:r w:rsidRPr="00987097">
        <w:rPr>
          <w:b/>
          <w:bCs/>
        </w:rPr>
        <w:t>6.2 Method 1: Mechanical Removal and Drying</w:t>
      </w:r>
      <w:bookmarkEnd w:id="39"/>
    </w:p>
    <w:p w14:paraId="3863B75E" w14:textId="77777777" w:rsidR="00F23253" w:rsidRPr="00987097" w:rsidRDefault="00F23253" w:rsidP="00117742">
      <w:pPr>
        <w:pStyle w:val="Heading3"/>
        <w:rPr>
          <w:b/>
          <w:bCs/>
        </w:rPr>
      </w:pPr>
      <w:bookmarkStart w:id="40" w:name="_Toc231152052"/>
      <w:r w:rsidRPr="00987097">
        <w:rPr>
          <w:b/>
          <w:bCs/>
        </w:rPr>
        <w:t>6.2.1 Overview</w:t>
      </w:r>
      <w:bookmarkEnd w:id="40"/>
    </w:p>
    <w:p w14:paraId="61BE535D" w14:textId="560A3EF0" w:rsidR="00F23253" w:rsidRPr="002F52E8" w:rsidRDefault="00F23253" w:rsidP="00117742">
      <w:r w:rsidRPr="002F52E8">
        <w:t>The mechanical removal and drying method involves the excavation of sludge from the tanks, followed by transfer to a designated drying area where the material is allowed to dewater over time. This approach reduces the mass of waste prior to disposal, potentially lowering transport and treatment costs.</w:t>
      </w:r>
      <w:r w:rsidR="00DE7030" w:rsidRPr="00DE7030">
        <w:t xml:space="preserve"> </w:t>
      </w:r>
    </w:p>
    <w:p w14:paraId="5D9103E1" w14:textId="77777777" w:rsidR="00F23253" w:rsidRPr="00F44F7C" w:rsidRDefault="00F23253" w:rsidP="00117742">
      <w:pPr>
        <w:pStyle w:val="Heading3"/>
        <w:rPr>
          <w:b/>
          <w:bCs/>
        </w:rPr>
      </w:pPr>
      <w:bookmarkStart w:id="41" w:name="_Toc231152053"/>
      <w:r w:rsidRPr="00F44F7C">
        <w:rPr>
          <w:b/>
          <w:bCs/>
        </w:rPr>
        <w:lastRenderedPageBreak/>
        <w:t>6.2.2 Advantages</w:t>
      </w:r>
      <w:bookmarkEnd w:id="41"/>
    </w:p>
    <w:p w14:paraId="1F4EBA90" w14:textId="5FB3BF4B" w:rsidR="00F23253" w:rsidRPr="002F52E8" w:rsidRDefault="00F23253" w:rsidP="00117742">
      <w:r w:rsidRPr="002F52E8">
        <w:t>A key advantage of this method is its potential cost efficiency. By reducing moisture content, the volume and weight of waste requiring disposal can be significantly decreased, which is beneficial where disposal costs are volume- or weight-dependent. This aligns with waste minimisation principles within the waste hierarchy, which prioritises reduction prior to disposal (Environment Agency, 20</w:t>
      </w:r>
      <w:r w:rsidR="009B1048">
        <w:t>2</w:t>
      </w:r>
      <w:r w:rsidRPr="002F52E8">
        <w:t>3).</w:t>
      </w:r>
    </w:p>
    <w:p w14:paraId="097B72D7" w14:textId="4BF2AB6E" w:rsidR="00F23253" w:rsidRPr="002F52E8" w:rsidRDefault="00F23253" w:rsidP="00117742">
      <w:r w:rsidRPr="002F52E8">
        <w:t xml:space="preserve">Additionally, the method does not rely heavily on pumping systems, making it more suitable for handling high-viscosity sludge or semi-solid materials where conventional pumping techniques may be ineffective </w:t>
      </w:r>
      <w:r w:rsidR="00CE7ED7" w:rsidRPr="00CE7ED7">
        <w:t>(API, 201</w:t>
      </w:r>
      <w:r w:rsidR="00C854DF">
        <w:t>4</w:t>
      </w:r>
      <w:r w:rsidR="00CE7ED7" w:rsidRPr="00CE7ED7">
        <w:t>)</w:t>
      </w:r>
    </w:p>
    <w:p w14:paraId="5FF15727" w14:textId="77777777" w:rsidR="00F23253" w:rsidRPr="00F44F7C" w:rsidRDefault="00F23253" w:rsidP="00117742">
      <w:pPr>
        <w:pStyle w:val="Heading3"/>
        <w:rPr>
          <w:b/>
          <w:bCs/>
        </w:rPr>
      </w:pPr>
      <w:bookmarkStart w:id="42" w:name="_Toc231152054"/>
      <w:r w:rsidRPr="00F44F7C">
        <w:rPr>
          <w:b/>
          <w:bCs/>
        </w:rPr>
        <w:t>6.2.3 Limitations</w:t>
      </w:r>
      <w:bookmarkEnd w:id="42"/>
    </w:p>
    <w:p w14:paraId="48A96416" w14:textId="77777777" w:rsidR="00F23253" w:rsidRPr="002F52E8" w:rsidRDefault="00F23253" w:rsidP="00117742">
      <w:r w:rsidRPr="002F52E8">
        <w:t>Despite these advantages, the method presents several critical limitations. The most significant is the extended programme duration, which may exceed 12–18 months. Prolonged project duration increases exposure to existing risks, particularly those associated with structural degradation and environmental vulnerability.</w:t>
      </w:r>
    </w:p>
    <w:p w14:paraId="25716F91" w14:textId="77777777" w:rsidR="00F23253" w:rsidRPr="002F52E8" w:rsidRDefault="00F23253" w:rsidP="00117742">
      <w:r w:rsidRPr="002F52E8">
        <w:t>From an environmental perspective, the drying process introduces additional risks. Sludge exposed in open or semi-contained environments may be subject to runoff, particularly during adverse weather conditions, potentially leading to contamination of surrounding areas. This contradicts best practice in environmental protection, which emphasises containment and control of hazardous materials (CIRIA, 2014).</w:t>
      </w:r>
    </w:p>
    <w:p w14:paraId="0E1BCB18" w14:textId="48900883" w:rsidR="00F23253" w:rsidRPr="002F52E8" w:rsidRDefault="00F23253" w:rsidP="00117742">
      <w:r w:rsidRPr="002F52E8">
        <w:t>Safety risks are also elevated due to prolonged handling of hazardous materials. The extended duration increases cumulative exposure to contaminants and requires sustained interaction with potentially hazardous sludge. From a risk management perspective, prolonged exposure is a recognised contributor to incident likelihood in industrial environments (Khan and Abbasi, 1999).</w:t>
      </w:r>
    </w:p>
    <w:p w14:paraId="5B4B18FB" w14:textId="77777777" w:rsidR="00F23253" w:rsidRPr="00F44F7C" w:rsidRDefault="00F23253" w:rsidP="00117742">
      <w:pPr>
        <w:rPr>
          <w:b/>
          <w:bCs/>
        </w:rPr>
      </w:pPr>
      <w:r w:rsidRPr="00F44F7C">
        <w:rPr>
          <w:b/>
          <w:bCs/>
        </w:rPr>
        <w:t>6.2.4 Critical Evaluation</w:t>
      </w:r>
    </w:p>
    <w:p w14:paraId="01EE5D05" w14:textId="76D25650" w:rsidR="00F23253" w:rsidRPr="002F52E8" w:rsidRDefault="00F23253" w:rsidP="00117742">
      <w:r w:rsidRPr="002F52E8">
        <w:t>While the mechanical drying method offers cost benefits, it is fundamentally limited by its extended duration and associated increase in risk exposure. In the context of the MGTs, where structural integrity is already compromised, prolonging the operational phase is not considered a viable strategy. The method fails to align with the principle of reducing risk exposure as early as possible.</w:t>
      </w:r>
    </w:p>
    <w:p w14:paraId="307328F6" w14:textId="77777777" w:rsidR="00F23253" w:rsidRPr="00F44F7C" w:rsidRDefault="00F23253" w:rsidP="00F44F7C">
      <w:pPr>
        <w:pStyle w:val="Heading2"/>
        <w:rPr>
          <w:b/>
          <w:bCs/>
        </w:rPr>
      </w:pPr>
      <w:bookmarkStart w:id="43" w:name="_Toc231152055"/>
      <w:r w:rsidRPr="00F44F7C">
        <w:rPr>
          <w:b/>
          <w:bCs/>
        </w:rPr>
        <w:t>6.3 Method 2: Direct Pumping to Tankers</w:t>
      </w:r>
      <w:bookmarkEnd w:id="43"/>
    </w:p>
    <w:p w14:paraId="4CF73C49" w14:textId="77777777" w:rsidR="00F23253" w:rsidRPr="00F44F7C" w:rsidRDefault="00F23253" w:rsidP="00117742">
      <w:pPr>
        <w:rPr>
          <w:b/>
          <w:bCs/>
        </w:rPr>
      </w:pPr>
      <w:r w:rsidRPr="00F44F7C">
        <w:rPr>
          <w:b/>
          <w:bCs/>
        </w:rPr>
        <w:t>6.3.1 Overview</w:t>
      </w:r>
    </w:p>
    <w:p w14:paraId="35E2A50D" w14:textId="7B96A088" w:rsidR="00F23253" w:rsidRPr="002F52E8" w:rsidRDefault="00F23253" w:rsidP="00117742">
      <w:r w:rsidRPr="002F52E8">
        <w:t>The direct pumping method involves the extraction of liquid and sludge materials using vacuum tankers, followed by immediate off-site transport and disposal. This approach prioritises rapid removal of hazardous materials, reducing the duration of site exposure.</w:t>
      </w:r>
    </w:p>
    <w:p w14:paraId="52E2A429" w14:textId="77777777" w:rsidR="00F23253" w:rsidRPr="00F44F7C" w:rsidRDefault="00F23253" w:rsidP="00117742">
      <w:pPr>
        <w:rPr>
          <w:b/>
          <w:bCs/>
        </w:rPr>
      </w:pPr>
      <w:r w:rsidRPr="00F44F7C">
        <w:rPr>
          <w:b/>
          <w:bCs/>
        </w:rPr>
        <w:t>6.3.2 Advantages</w:t>
      </w:r>
    </w:p>
    <w:p w14:paraId="5BC09AD3" w14:textId="77777777" w:rsidR="00F23253" w:rsidRPr="002F52E8" w:rsidRDefault="00F23253" w:rsidP="00117742">
      <w:r w:rsidRPr="002F52E8">
        <w:t>The primary advantage of this method is its speed. Contractor estimates suggest that bulk liquid removal can be completed within a relatively short timeframe, significantly reducing the period during which the site remains in a high-risk condition.</w:t>
      </w:r>
    </w:p>
    <w:p w14:paraId="38553AAD" w14:textId="609D814F" w:rsidR="00F23253" w:rsidRPr="00321D11" w:rsidRDefault="00F23253" w:rsidP="00117742">
      <w:r w:rsidRPr="002F52E8">
        <w:t>The method also reduces on-site handling of hazardous materials, as waste is transferred directly to tankers. This minimises the need for intermediate storage and reduces the potential for environmental contamination. Such approaches align with best practice in hazardous waste management, where containment and controlled transfer are prioritised (Environment Agency, 20</w:t>
      </w:r>
      <w:r w:rsidR="009B1048">
        <w:t>2</w:t>
      </w:r>
      <w:r w:rsidRPr="002F52E8">
        <w:t>3).</w:t>
      </w:r>
    </w:p>
    <w:p w14:paraId="4071CDD2" w14:textId="77777777" w:rsidR="00321D11" w:rsidRDefault="00321D11" w:rsidP="00117742"/>
    <w:p w14:paraId="507DA78B" w14:textId="77777777" w:rsidR="00F44F7C" w:rsidRPr="002F52E8" w:rsidRDefault="00F44F7C" w:rsidP="00117742"/>
    <w:p w14:paraId="38B8CF2C" w14:textId="77777777" w:rsidR="00F23253" w:rsidRPr="00F44F7C" w:rsidRDefault="00F23253" w:rsidP="00117742">
      <w:pPr>
        <w:rPr>
          <w:b/>
          <w:bCs/>
        </w:rPr>
      </w:pPr>
      <w:r w:rsidRPr="00F44F7C">
        <w:rPr>
          <w:b/>
          <w:bCs/>
        </w:rPr>
        <w:t>6.3.3 Limitations</w:t>
      </w:r>
    </w:p>
    <w:p w14:paraId="24F09A09" w14:textId="30DF0FA0" w:rsidR="00F23253" w:rsidRPr="002F52E8" w:rsidRDefault="00F23253" w:rsidP="00117742">
      <w:r w:rsidRPr="002F52E8">
        <w:t xml:space="preserve">However, the effectiveness of this method is highly dependent on the physical properties of the sludge. Pumping systems are generally effective for low-viscosity liquids but are significantly less efficient when dealing with high-viscosity or solid materials </w:t>
      </w:r>
      <w:r w:rsidR="00CE7ED7" w:rsidRPr="00CE7ED7">
        <w:t>(API, 201</w:t>
      </w:r>
      <w:r w:rsidR="00C854DF">
        <w:t>4</w:t>
      </w:r>
      <w:r w:rsidR="00CE7ED7" w:rsidRPr="00CE7ED7">
        <w:t>)</w:t>
      </w:r>
      <w:r w:rsidR="00CE7ED7">
        <w:t>.</w:t>
      </w:r>
    </w:p>
    <w:p w14:paraId="3D5216F3" w14:textId="77777777" w:rsidR="00F23253" w:rsidRPr="002F52E8" w:rsidRDefault="00F23253" w:rsidP="00117742">
      <w:r w:rsidRPr="002F52E8">
        <w:t>Given the uncertainty surrounding sludge composition within the MGTs, there is a high risk that pumping alone will be insufficient to remove all material. This introduces the potential for incomplete removal, requiring additional methods and increasing both cost and programme duration.</w:t>
      </w:r>
    </w:p>
    <w:p w14:paraId="72A12E85" w14:textId="164AB0B4" w:rsidR="00F23253" w:rsidRPr="002F52E8" w:rsidRDefault="00F23253" w:rsidP="00117742">
      <w:r w:rsidRPr="002F52E8">
        <w:t>Furthermore, this method is associated with high transportation and disposal costs. The need for multiple tanker movements, combined with hazardous waste disposal charges, represents a significant financial burden.</w:t>
      </w:r>
    </w:p>
    <w:p w14:paraId="2C829ED3" w14:textId="77777777" w:rsidR="00F23253" w:rsidRPr="00F44F7C" w:rsidRDefault="00F23253" w:rsidP="00117742">
      <w:pPr>
        <w:pStyle w:val="Heading3"/>
        <w:rPr>
          <w:b/>
          <w:bCs/>
        </w:rPr>
      </w:pPr>
      <w:bookmarkStart w:id="44" w:name="_Toc231152056"/>
      <w:r w:rsidRPr="00F44F7C">
        <w:rPr>
          <w:b/>
          <w:bCs/>
        </w:rPr>
        <w:t>6.3.4 Critical Evaluation</w:t>
      </w:r>
      <w:bookmarkEnd w:id="44"/>
    </w:p>
    <w:p w14:paraId="57345A7B" w14:textId="77F72B6D" w:rsidR="00F23253" w:rsidRPr="002F52E8" w:rsidRDefault="00F23253" w:rsidP="00117742">
      <w:r w:rsidRPr="002F52E8">
        <w:t>While the direct pumping method is attractive due to its speed, it lacks robustness in dealing with uncertain waste conditions. Its reliance on favourable material properties introduces a significant risk of failure. From a risk management perspective, methods that depend heavily on assumptions are inherently less reliable (Lees, 2012). As such, this approach is not considered suitable as a standalone solution.</w:t>
      </w:r>
    </w:p>
    <w:p w14:paraId="0E7FF4AE" w14:textId="77777777" w:rsidR="00F23253" w:rsidRPr="00F44F7C" w:rsidRDefault="00F23253" w:rsidP="00117742">
      <w:pPr>
        <w:pStyle w:val="Heading2"/>
        <w:rPr>
          <w:b/>
          <w:bCs/>
        </w:rPr>
      </w:pPr>
      <w:bookmarkStart w:id="45" w:name="_Toc231152057"/>
      <w:r w:rsidRPr="00F44F7C">
        <w:rPr>
          <w:b/>
          <w:bCs/>
        </w:rPr>
        <w:t>6.4 Method 3: Integrated Phased Removal and Demolition</w:t>
      </w:r>
      <w:bookmarkEnd w:id="45"/>
    </w:p>
    <w:p w14:paraId="5DDA8270" w14:textId="77777777" w:rsidR="00F23253" w:rsidRPr="00F44F7C" w:rsidRDefault="00F23253" w:rsidP="00117742">
      <w:pPr>
        <w:pStyle w:val="Heading3"/>
        <w:rPr>
          <w:b/>
          <w:bCs/>
        </w:rPr>
      </w:pPr>
      <w:bookmarkStart w:id="46" w:name="_Toc231152058"/>
      <w:r w:rsidRPr="00F44F7C">
        <w:rPr>
          <w:b/>
          <w:bCs/>
        </w:rPr>
        <w:t>6.4.1 Overview</w:t>
      </w:r>
      <w:bookmarkEnd w:id="46"/>
    </w:p>
    <w:p w14:paraId="22CAEA9D" w14:textId="77777777" w:rsidR="00F23253" w:rsidRPr="002F52E8" w:rsidRDefault="00F23253" w:rsidP="00117742">
      <w:r w:rsidRPr="002F52E8">
        <w:t>The integrated approach combines elements of pumping, mechanical removal, and structural dismantling within a phased framework. This method involves:</w:t>
      </w:r>
    </w:p>
    <w:p w14:paraId="5D976066" w14:textId="77777777" w:rsidR="00F23253" w:rsidRPr="002F52E8" w:rsidRDefault="00F23253" w:rsidP="00F44F7C">
      <w:pPr>
        <w:numPr>
          <w:ilvl w:val="0"/>
          <w:numId w:val="10"/>
        </w:numPr>
        <w:ind w:left="0" w:firstLine="0"/>
      </w:pPr>
      <w:r w:rsidRPr="002F52E8">
        <w:t xml:space="preserve">Initial removal of pumpable liquids </w:t>
      </w:r>
    </w:p>
    <w:p w14:paraId="135A2151" w14:textId="77777777" w:rsidR="00F23253" w:rsidRPr="002F52E8" w:rsidRDefault="00F23253" w:rsidP="00F44F7C">
      <w:pPr>
        <w:numPr>
          <w:ilvl w:val="0"/>
          <w:numId w:val="10"/>
        </w:numPr>
        <w:ind w:left="0" w:firstLine="0"/>
      </w:pPr>
      <w:r w:rsidRPr="002F52E8">
        <w:t xml:space="preserve">Partial dismantling of the tank structure </w:t>
      </w:r>
    </w:p>
    <w:p w14:paraId="03BCE85C" w14:textId="77777777" w:rsidR="00F23253" w:rsidRPr="002F52E8" w:rsidRDefault="00F23253" w:rsidP="00F44F7C">
      <w:pPr>
        <w:numPr>
          <w:ilvl w:val="0"/>
          <w:numId w:val="10"/>
        </w:numPr>
        <w:ind w:left="0" w:firstLine="0"/>
      </w:pPr>
      <w:r w:rsidRPr="002F52E8">
        <w:t xml:space="preserve">Mechanical excavation of sludge </w:t>
      </w:r>
    </w:p>
    <w:p w14:paraId="012AD34A" w14:textId="77777777" w:rsidR="00F23253" w:rsidRPr="002F52E8" w:rsidRDefault="00F23253" w:rsidP="00F44F7C">
      <w:pPr>
        <w:numPr>
          <w:ilvl w:val="0"/>
          <w:numId w:val="10"/>
        </w:numPr>
        <w:ind w:left="0" w:firstLine="0"/>
      </w:pPr>
      <w:r w:rsidRPr="002F52E8">
        <w:t xml:space="preserve">Final demolition of the tank </w:t>
      </w:r>
    </w:p>
    <w:p w14:paraId="6E305E77" w14:textId="3139343E" w:rsidR="00F23253" w:rsidRPr="002F52E8" w:rsidRDefault="00F23253" w:rsidP="00117742">
      <w:r w:rsidRPr="002F52E8">
        <w:t>This approach is designed to progressively reduce risk while maintaining flexibility.</w:t>
      </w:r>
    </w:p>
    <w:p w14:paraId="50A4F67D" w14:textId="77777777" w:rsidR="00F23253" w:rsidRPr="00F44F7C" w:rsidRDefault="00F23253" w:rsidP="00117742">
      <w:pPr>
        <w:pStyle w:val="Heading3"/>
        <w:rPr>
          <w:b/>
          <w:bCs/>
        </w:rPr>
      </w:pPr>
      <w:bookmarkStart w:id="47" w:name="_Toc231152059"/>
      <w:r w:rsidRPr="00F44F7C">
        <w:rPr>
          <w:b/>
          <w:bCs/>
        </w:rPr>
        <w:t>6.4.2 Advantages</w:t>
      </w:r>
      <w:bookmarkEnd w:id="47"/>
    </w:p>
    <w:p w14:paraId="6390EB9B" w14:textId="77777777" w:rsidR="00F23253" w:rsidRPr="002F52E8" w:rsidRDefault="00F23253" w:rsidP="00117742">
      <w:r w:rsidRPr="002F52E8">
        <w:t>A key strength of this method is its adaptability. By incorporating multiple techniques, it can respond to varying waste conditions, ensuring effective removal of both liquid and solid materials. This flexibility is critical in managing uncertainty, which is a dominant risk factor in the MGT project.</w:t>
      </w:r>
    </w:p>
    <w:p w14:paraId="49AB7D1D" w14:textId="77777777" w:rsidR="00F23253" w:rsidRPr="002F52E8" w:rsidRDefault="00F23253" w:rsidP="00117742">
      <w:r w:rsidRPr="002F52E8">
        <w:t>The phased approach also supports progressive risk reduction. Removing hazardous liquids early reduces the overall risk profile, allowing subsequent activities to be carried out under safer conditions. This aligns with risk-based engineering principles, which prioritise the elimination of high-risk elements at an early stage (Crawley and Tyler, 2015).</w:t>
      </w:r>
    </w:p>
    <w:p w14:paraId="3364072B" w14:textId="2DC5E61D" w:rsidR="00F23253" w:rsidRPr="002F52E8" w:rsidRDefault="00F23253" w:rsidP="00117742">
      <w:r w:rsidRPr="002F52E8">
        <w:t xml:space="preserve">Another significant advantage is the reduction in confined space entry. By partially dismantling the tank, access can be provided for mechanical equipment, reducing the need for personnel to enter hazardous environments. This is consistent with regulatory </w:t>
      </w:r>
      <w:r w:rsidRPr="002F52E8">
        <w:lastRenderedPageBreak/>
        <w:t>requirements, which emphasise the avoidance of confined space entry wherever possible (HSE, 1997).</w:t>
      </w:r>
    </w:p>
    <w:p w14:paraId="1F73D650" w14:textId="77777777" w:rsidR="00F23253" w:rsidRPr="00F44F7C" w:rsidRDefault="00F23253" w:rsidP="00117742">
      <w:pPr>
        <w:pStyle w:val="Heading3"/>
        <w:rPr>
          <w:b/>
          <w:bCs/>
        </w:rPr>
      </w:pPr>
      <w:bookmarkStart w:id="48" w:name="_Toc231152060"/>
      <w:r w:rsidRPr="00F44F7C">
        <w:rPr>
          <w:b/>
          <w:bCs/>
        </w:rPr>
        <w:t>6.4.3 Limitations</w:t>
      </w:r>
      <w:bookmarkEnd w:id="48"/>
    </w:p>
    <w:p w14:paraId="39F17ECC" w14:textId="77777777" w:rsidR="00F23253" w:rsidRPr="002F52E8" w:rsidRDefault="00F23253" w:rsidP="00117742">
      <w:r w:rsidRPr="002F52E8">
        <w:t>The primary limitation of this method is its higher upfront cost. The use of specialised equipment and the need for coordinated operations increase expenditure compared to simpler approaches.</w:t>
      </w:r>
    </w:p>
    <w:p w14:paraId="37A5FB80" w14:textId="05BF0DA0" w:rsidR="00F23253" w:rsidRPr="002F52E8" w:rsidRDefault="00F23253" w:rsidP="00117742">
      <w:r w:rsidRPr="002F52E8">
        <w:t>Additionally, the method introduces greater operational complexity, requiring careful planning and coordination between multiple activities. However, this complexity is considered manageable within a structured project framework.</w:t>
      </w:r>
    </w:p>
    <w:p w14:paraId="75AE304B" w14:textId="77777777" w:rsidR="00F23253" w:rsidRPr="00F44F7C" w:rsidRDefault="00F23253" w:rsidP="00117742">
      <w:pPr>
        <w:pStyle w:val="Heading3"/>
        <w:rPr>
          <w:b/>
          <w:bCs/>
        </w:rPr>
      </w:pPr>
      <w:bookmarkStart w:id="49" w:name="_Toc231152061"/>
      <w:r w:rsidRPr="00F44F7C">
        <w:rPr>
          <w:b/>
          <w:bCs/>
        </w:rPr>
        <w:t>6.4.4 Critical Evaluation</w:t>
      </w:r>
      <w:bookmarkEnd w:id="49"/>
    </w:p>
    <w:p w14:paraId="367FADE6" w14:textId="77777777" w:rsidR="00F23253" w:rsidRPr="002F52E8" w:rsidRDefault="00F23253" w:rsidP="00117742">
      <w:r w:rsidRPr="002F52E8">
        <w:t>Despite higher costs, the integrated approach provides the most comprehensive and robust solution. Its ability to adapt to uncertain conditions, combined with its focus on risk reduction, makes it the most suitable option for the MGT project.</w:t>
      </w:r>
    </w:p>
    <w:p w14:paraId="596DEE5F" w14:textId="0A1AE7BC" w:rsidR="00321D11" w:rsidRPr="002F52E8" w:rsidRDefault="00F23253" w:rsidP="00117742">
      <w:r w:rsidRPr="002F52E8">
        <w:t>From a safety perspective, the reduction in confined space entry represents a significant advantage. Environmentally, the controlled and phased removal of materials reduces the likelihood of contamination. From a commercial perspective, while initial costs are higher, the method reduces the risk of delays and rework, which can ultimately result in lower overall project costs.</w:t>
      </w:r>
    </w:p>
    <w:p w14:paraId="0206C1F5" w14:textId="77777777" w:rsidR="00F23253" w:rsidRPr="00F44F7C" w:rsidRDefault="00F23253" w:rsidP="00117742">
      <w:pPr>
        <w:pStyle w:val="Heading2"/>
        <w:rPr>
          <w:b/>
          <w:bCs/>
        </w:rPr>
      </w:pPr>
      <w:bookmarkStart w:id="50" w:name="_Toc231152062"/>
      <w:r w:rsidRPr="00F44F7C">
        <w:rPr>
          <w:b/>
          <w:bCs/>
        </w:rPr>
        <w:t>6.5 Comparative Analysis</w:t>
      </w:r>
      <w:bookmarkEnd w:id="50"/>
    </w:p>
    <w:p w14:paraId="584B8B00" w14:textId="77777777" w:rsidR="00F23253" w:rsidRPr="002F52E8" w:rsidRDefault="00F23253" w:rsidP="00117742">
      <w:r w:rsidRPr="002F52E8">
        <w:t>A comparative evaluation of the three methods highlights clear differences in performance across key criteria.</w:t>
      </w:r>
    </w:p>
    <w:tbl>
      <w:tblPr>
        <w:tblW w:w="0" w:type="auto"/>
        <w:tblCellSpacing w:w="15" w:type="dxa"/>
        <w:tblInd w:w="-14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747"/>
        <w:gridCol w:w="2734"/>
        <w:gridCol w:w="2066"/>
        <w:gridCol w:w="2611"/>
      </w:tblGrid>
      <w:tr w:rsidR="00F23253" w:rsidRPr="002F52E8" w14:paraId="22AB2CBB" w14:textId="77777777" w:rsidTr="00F23253">
        <w:trPr>
          <w:tblHeader/>
          <w:tblCellSpacing w:w="15" w:type="dxa"/>
        </w:trPr>
        <w:tc>
          <w:tcPr>
            <w:tcW w:w="1702" w:type="dxa"/>
            <w:vAlign w:val="center"/>
            <w:hideMark/>
          </w:tcPr>
          <w:p w14:paraId="65206547" w14:textId="77777777" w:rsidR="00F23253" w:rsidRPr="002F52E8" w:rsidRDefault="00F23253" w:rsidP="00117742">
            <w:r w:rsidRPr="002F52E8">
              <w:t>Criteria</w:t>
            </w:r>
          </w:p>
        </w:tc>
        <w:tc>
          <w:tcPr>
            <w:tcW w:w="0" w:type="auto"/>
            <w:vAlign w:val="center"/>
            <w:hideMark/>
          </w:tcPr>
          <w:p w14:paraId="26DA4350" w14:textId="77777777" w:rsidR="00F23253" w:rsidRPr="002F52E8" w:rsidRDefault="00F23253" w:rsidP="00117742">
            <w:r w:rsidRPr="002F52E8">
              <w:t>Mechanical Drying</w:t>
            </w:r>
          </w:p>
        </w:tc>
        <w:tc>
          <w:tcPr>
            <w:tcW w:w="0" w:type="auto"/>
            <w:vAlign w:val="center"/>
            <w:hideMark/>
          </w:tcPr>
          <w:p w14:paraId="1E552AD5" w14:textId="77777777" w:rsidR="00F23253" w:rsidRPr="002F52E8" w:rsidRDefault="00F23253" w:rsidP="00117742">
            <w:r w:rsidRPr="002F52E8">
              <w:t>Direct Pumping</w:t>
            </w:r>
          </w:p>
        </w:tc>
        <w:tc>
          <w:tcPr>
            <w:tcW w:w="0" w:type="auto"/>
            <w:vAlign w:val="center"/>
            <w:hideMark/>
          </w:tcPr>
          <w:p w14:paraId="4458EDE4" w14:textId="77777777" w:rsidR="00F23253" w:rsidRPr="002F52E8" w:rsidRDefault="00F23253" w:rsidP="00117742">
            <w:r w:rsidRPr="002F52E8">
              <w:t>Integrated Approach</w:t>
            </w:r>
          </w:p>
        </w:tc>
      </w:tr>
      <w:tr w:rsidR="00F23253" w:rsidRPr="002F52E8" w14:paraId="0D176862" w14:textId="77777777" w:rsidTr="00F23253">
        <w:trPr>
          <w:tblCellSpacing w:w="15" w:type="dxa"/>
        </w:trPr>
        <w:tc>
          <w:tcPr>
            <w:tcW w:w="1702" w:type="dxa"/>
            <w:vAlign w:val="center"/>
            <w:hideMark/>
          </w:tcPr>
          <w:p w14:paraId="1BDFC0CD" w14:textId="77777777" w:rsidR="00F23253" w:rsidRPr="002F52E8" w:rsidRDefault="00F23253" w:rsidP="00117742">
            <w:r w:rsidRPr="002F52E8">
              <w:t>Safety</w:t>
            </w:r>
          </w:p>
        </w:tc>
        <w:tc>
          <w:tcPr>
            <w:tcW w:w="0" w:type="auto"/>
            <w:vAlign w:val="center"/>
            <w:hideMark/>
          </w:tcPr>
          <w:p w14:paraId="71F43B28" w14:textId="77777777" w:rsidR="00F23253" w:rsidRPr="002F52E8" w:rsidRDefault="00F23253" w:rsidP="00117742">
            <w:r w:rsidRPr="002F52E8">
              <w:t>Moderate risk (prolonged exposure)</w:t>
            </w:r>
          </w:p>
        </w:tc>
        <w:tc>
          <w:tcPr>
            <w:tcW w:w="0" w:type="auto"/>
            <w:vAlign w:val="center"/>
            <w:hideMark/>
          </w:tcPr>
          <w:p w14:paraId="418E60B2" w14:textId="77777777" w:rsidR="00F23253" w:rsidRPr="002F52E8" w:rsidRDefault="00F23253" w:rsidP="00117742">
            <w:r w:rsidRPr="002F52E8">
              <w:t>Lower risk (short duration)</w:t>
            </w:r>
          </w:p>
        </w:tc>
        <w:tc>
          <w:tcPr>
            <w:tcW w:w="0" w:type="auto"/>
            <w:vAlign w:val="center"/>
            <w:hideMark/>
          </w:tcPr>
          <w:p w14:paraId="0E206D8D" w14:textId="77777777" w:rsidR="00F23253" w:rsidRPr="002F52E8" w:rsidRDefault="00F23253" w:rsidP="00117742">
            <w:r w:rsidRPr="002F52E8">
              <w:t>Lowest risk (engineered controls)</w:t>
            </w:r>
          </w:p>
        </w:tc>
      </w:tr>
      <w:tr w:rsidR="00F23253" w:rsidRPr="002F52E8" w14:paraId="1EE9695D" w14:textId="77777777" w:rsidTr="00F23253">
        <w:trPr>
          <w:tblCellSpacing w:w="15" w:type="dxa"/>
        </w:trPr>
        <w:tc>
          <w:tcPr>
            <w:tcW w:w="1702" w:type="dxa"/>
            <w:vAlign w:val="center"/>
            <w:hideMark/>
          </w:tcPr>
          <w:p w14:paraId="560C26E1" w14:textId="77777777" w:rsidR="00F23253" w:rsidRPr="002F52E8" w:rsidRDefault="00F23253" w:rsidP="00117742">
            <w:r w:rsidRPr="002F52E8">
              <w:t>Environmental</w:t>
            </w:r>
          </w:p>
        </w:tc>
        <w:tc>
          <w:tcPr>
            <w:tcW w:w="0" w:type="auto"/>
            <w:vAlign w:val="center"/>
            <w:hideMark/>
          </w:tcPr>
          <w:p w14:paraId="2B3C772E" w14:textId="77777777" w:rsidR="00F23253" w:rsidRPr="002F52E8" w:rsidRDefault="00F23253" w:rsidP="00117742">
            <w:r w:rsidRPr="002F52E8">
              <w:t>High risk (extended exposure)</w:t>
            </w:r>
          </w:p>
        </w:tc>
        <w:tc>
          <w:tcPr>
            <w:tcW w:w="0" w:type="auto"/>
            <w:vAlign w:val="center"/>
            <w:hideMark/>
          </w:tcPr>
          <w:p w14:paraId="49B4F9B3" w14:textId="77777777" w:rsidR="00F23253" w:rsidRPr="002F52E8" w:rsidRDefault="00F23253" w:rsidP="00117742">
            <w:r w:rsidRPr="002F52E8">
              <w:t>Moderate risk</w:t>
            </w:r>
          </w:p>
        </w:tc>
        <w:tc>
          <w:tcPr>
            <w:tcW w:w="0" w:type="auto"/>
            <w:vAlign w:val="center"/>
            <w:hideMark/>
          </w:tcPr>
          <w:p w14:paraId="3EDC27A3" w14:textId="77777777" w:rsidR="00F23253" w:rsidRPr="002F52E8" w:rsidRDefault="00F23253" w:rsidP="00117742">
            <w:r w:rsidRPr="002F52E8">
              <w:t>Low risk</w:t>
            </w:r>
          </w:p>
        </w:tc>
      </w:tr>
      <w:tr w:rsidR="00F23253" w:rsidRPr="002F52E8" w14:paraId="1EB0ECB6" w14:textId="77777777" w:rsidTr="00F23253">
        <w:trPr>
          <w:tblCellSpacing w:w="15" w:type="dxa"/>
        </w:trPr>
        <w:tc>
          <w:tcPr>
            <w:tcW w:w="1702" w:type="dxa"/>
            <w:vAlign w:val="center"/>
            <w:hideMark/>
          </w:tcPr>
          <w:p w14:paraId="7B7BE3C2" w14:textId="77777777" w:rsidR="00F23253" w:rsidRPr="002F52E8" w:rsidRDefault="00F23253" w:rsidP="00117742">
            <w:r w:rsidRPr="002F52E8">
              <w:t>Cost</w:t>
            </w:r>
          </w:p>
        </w:tc>
        <w:tc>
          <w:tcPr>
            <w:tcW w:w="0" w:type="auto"/>
            <w:vAlign w:val="center"/>
            <w:hideMark/>
          </w:tcPr>
          <w:p w14:paraId="5ADD748C" w14:textId="77777777" w:rsidR="00F23253" w:rsidRPr="002F52E8" w:rsidRDefault="00F23253" w:rsidP="00117742">
            <w:r w:rsidRPr="002F52E8">
              <w:t>Low</w:t>
            </w:r>
          </w:p>
        </w:tc>
        <w:tc>
          <w:tcPr>
            <w:tcW w:w="0" w:type="auto"/>
            <w:vAlign w:val="center"/>
            <w:hideMark/>
          </w:tcPr>
          <w:p w14:paraId="7CCD0E6D" w14:textId="77777777" w:rsidR="00F23253" w:rsidRPr="002F52E8" w:rsidRDefault="00F23253" w:rsidP="00117742">
            <w:r w:rsidRPr="002F52E8">
              <w:t>High</w:t>
            </w:r>
          </w:p>
        </w:tc>
        <w:tc>
          <w:tcPr>
            <w:tcW w:w="0" w:type="auto"/>
            <w:vAlign w:val="center"/>
            <w:hideMark/>
          </w:tcPr>
          <w:p w14:paraId="61AF5731" w14:textId="77777777" w:rsidR="00F23253" w:rsidRPr="002F52E8" w:rsidRDefault="00F23253" w:rsidP="00117742">
            <w:r w:rsidRPr="002F52E8">
              <w:t>Moderate–High</w:t>
            </w:r>
          </w:p>
        </w:tc>
      </w:tr>
      <w:tr w:rsidR="00F23253" w:rsidRPr="002F52E8" w14:paraId="63C1B4DD" w14:textId="77777777" w:rsidTr="00F23253">
        <w:trPr>
          <w:tblCellSpacing w:w="15" w:type="dxa"/>
        </w:trPr>
        <w:tc>
          <w:tcPr>
            <w:tcW w:w="1702" w:type="dxa"/>
            <w:vAlign w:val="center"/>
            <w:hideMark/>
          </w:tcPr>
          <w:p w14:paraId="0475C9E7" w14:textId="77777777" w:rsidR="00F23253" w:rsidRPr="002F52E8" w:rsidRDefault="00F23253" w:rsidP="00117742">
            <w:r w:rsidRPr="002F52E8">
              <w:t>Programme</w:t>
            </w:r>
          </w:p>
        </w:tc>
        <w:tc>
          <w:tcPr>
            <w:tcW w:w="0" w:type="auto"/>
            <w:vAlign w:val="center"/>
            <w:hideMark/>
          </w:tcPr>
          <w:p w14:paraId="35CF56D8" w14:textId="77777777" w:rsidR="00F23253" w:rsidRPr="002F52E8" w:rsidRDefault="00F23253" w:rsidP="00117742">
            <w:r w:rsidRPr="002F52E8">
              <w:t>Long</w:t>
            </w:r>
          </w:p>
        </w:tc>
        <w:tc>
          <w:tcPr>
            <w:tcW w:w="0" w:type="auto"/>
            <w:vAlign w:val="center"/>
            <w:hideMark/>
          </w:tcPr>
          <w:p w14:paraId="6E437196" w14:textId="77777777" w:rsidR="00F23253" w:rsidRPr="002F52E8" w:rsidRDefault="00F23253" w:rsidP="00117742">
            <w:r w:rsidRPr="002F52E8">
              <w:t>Short</w:t>
            </w:r>
          </w:p>
        </w:tc>
        <w:tc>
          <w:tcPr>
            <w:tcW w:w="0" w:type="auto"/>
            <w:vAlign w:val="center"/>
            <w:hideMark/>
          </w:tcPr>
          <w:p w14:paraId="2C696E85" w14:textId="77777777" w:rsidR="00F23253" w:rsidRPr="002F52E8" w:rsidRDefault="00F23253" w:rsidP="00117742">
            <w:r w:rsidRPr="002F52E8">
              <w:t>Medium</w:t>
            </w:r>
          </w:p>
        </w:tc>
      </w:tr>
      <w:tr w:rsidR="00F23253" w:rsidRPr="002F52E8" w14:paraId="5505F7A3" w14:textId="77777777" w:rsidTr="00F23253">
        <w:trPr>
          <w:tblCellSpacing w:w="15" w:type="dxa"/>
        </w:trPr>
        <w:tc>
          <w:tcPr>
            <w:tcW w:w="1702" w:type="dxa"/>
            <w:vAlign w:val="center"/>
            <w:hideMark/>
          </w:tcPr>
          <w:p w14:paraId="1944663E" w14:textId="77777777" w:rsidR="00F23253" w:rsidRPr="002F52E8" w:rsidRDefault="00F23253" w:rsidP="00117742">
            <w:r w:rsidRPr="002F52E8">
              <w:t>Flexibility</w:t>
            </w:r>
          </w:p>
        </w:tc>
        <w:tc>
          <w:tcPr>
            <w:tcW w:w="0" w:type="auto"/>
            <w:vAlign w:val="center"/>
            <w:hideMark/>
          </w:tcPr>
          <w:p w14:paraId="701317D6" w14:textId="77777777" w:rsidR="00F23253" w:rsidRPr="002F52E8" w:rsidRDefault="00F23253" w:rsidP="00117742">
            <w:r w:rsidRPr="002F52E8">
              <w:t>Low</w:t>
            </w:r>
          </w:p>
        </w:tc>
        <w:tc>
          <w:tcPr>
            <w:tcW w:w="0" w:type="auto"/>
            <w:vAlign w:val="center"/>
            <w:hideMark/>
          </w:tcPr>
          <w:p w14:paraId="2786593D" w14:textId="77777777" w:rsidR="00F23253" w:rsidRPr="002F52E8" w:rsidRDefault="00F23253" w:rsidP="00117742">
            <w:r w:rsidRPr="002F52E8">
              <w:t>Low</w:t>
            </w:r>
          </w:p>
        </w:tc>
        <w:tc>
          <w:tcPr>
            <w:tcW w:w="0" w:type="auto"/>
            <w:vAlign w:val="center"/>
            <w:hideMark/>
          </w:tcPr>
          <w:p w14:paraId="681A5399" w14:textId="77777777" w:rsidR="00F23253" w:rsidRPr="002F52E8" w:rsidRDefault="00F23253" w:rsidP="00117742">
            <w:r w:rsidRPr="002F52E8">
              <w:t>High</w:t>
            </w:r>
          </w:p>
        </w:tc>
      </w:tr>
    </w:tbl>
    <w:p w14:paraId="4A3DCCA6" w14:textId="490262B2" w:rsidR="00F23253" w:rsidRPr="002F52E8" w:rsidRDefault="00F23253" w:rsidP="00117742">
      <w:r w:rsidRPr="002F52E8">
        <w:t>The analysis demonstrates that methods optimised for cost or speed alone are insufficient in complex, high-risk environments. The integrated approach provides the best balance between competing objectives, aligning with risk-based decision-making principles (PMI, 2021).</w:t>
      </w:r>
    </w:p>
    <w:p w14:paraId="3FE0E355" w14:textId="77777777" w:rsidR="00F23253" w:rsidRPr="004A540B" w:rsidRDefault="00F23253" w:rsidP="00117742">
      <w:pPr>
        <w:pStyle w:val="Heading2"/>
        <w:rPr>
          <w:b/>
          <w:bCs/>
        </w:rPr>
      </w:pPr>
      <w:bookmarkStart w:id="51" w:name="_Toc231152063"/>
      <w:r w:rsidRPr="004A540B">
        <w:rPr>
          <w:b/>
          <w:bCs/>
        </w:rPr>
        <w:t>6.6 Selection of Preferred Approach</w:t>
      </w:r>
      <w:bookmarkEnd w:id="51"/>
    </w:p>
    <w:p w14:paraId="317E045A" w14:textId="77777777" w:rsidR="00F23253" w:rsidRPr="002F52E8" w:rsidRDefault="00F23253" w:rsidP="00117742">
      <w:r w:rsidRPr="002F52E8">
        <w:t>Based on the evaluation, the integrated phased removal and demolition method is identified as the preferred approach. This selection is justified by:</w:t>
      </w:r>
    </w:p>
    <w:p w14:paraId="4A79CDAE" w14:textId="77777777" w:rsidR="00F23253" w:rsidRPr="002F52E8" w:rsidRDefault="00F23253" w:rsidP="004A540B">
      <w:pPr>
        <w:numPr>
          <w:ilvl w:val="0"/>
          <w:numId w:val="11"/>
        </w:numPr>
        <w:ind w:left="0" w:firstLine="0"/>
      </w:pPr>
      <w:r w:rsidRPr="002F52E8">
        <w:t xml:space="preserve">Its ability to handle variable waste conditions </w:t>
      </w:r>
    </w:p>
    <w:p w14:paraId="3DD47603" w14:textId="77777777" w:rsidR="00F23253" w:rsidRPr="002F52E8" w:rsidRDefault="00F23253" w:rsidP="004A540B">
      <w:pPr>
        <w:numPr>
          <w:ilvl w:val="0"/>
          <w:numId w:val="11"/>
        </w:numPr>
        <w:ind w:left="0" w:firstLine="0"/>
      </w:pPr>
      <w:r w:rsidRPr="002F52E8">
        <w:t xml:space="preserve">Reduction in safety risk through engineered controls </w:t>
      </w:r>
    </w:p>
    <w:p w14:paraId="1AC016DA" w14:textId="77777777" w:rsidR="00F23253" w:rsidRPr="002F52E8" w:rsidRDefault="00F23253" w:rsidP="004A540B">
      <w:pPr>
        <w:numPr>
          <w:ilvl w:val="0"/>
          <w:numId w:val="11"/>
        </w:numPr>
        <w:ind w:left="0" w:firstLine="0"/>
      </w:pPr>
      <w:r w:rsidRPr="002F52E8">
        <w:t xml:space="preserve">Controlled environmental management </w:t>
      </w:r>
    </w:p>
    <w:p w14:paraId="563960CB" w14:textId="77777777" w:rsidR="00F23253" w:rsidRPr="002F52E8" w:rsidRDefault="00F23253" w:rsidP="004A540B">
      <w:pPr>
        <w:numPr>
          <w:ilvl w:val="0"/>
          <w:numId w:val="11"/>
        </w:numPr>
        <w:ind w:left="0" w:firstLine="0"/>
      </w:pPr>
      <w:r w:rsidRPr="002F52E8">
        <w:lastRenderedPageBreak/>
        <w:t xml:space="preserve">Flexibility under uncertainty </w:t>
      </w:r>
    </w:p>
    <w:p w14:paraId="13BE0BE9" w14:textId="6EA128C4" w:rsidR="00F23253" w:rsidRPr="002F52E8" w:rsidRDefault="00F23253" w:rsidP="00117742">
      <w:r w:rsidRPr="002F52E8">
        <w:t>While associated with higher initial costs, this approach aligns with the principle that safety and environmental protection should take precedence over cost considerations in high-risk industrial projects (Lees, 2012).</w:t>
      </w:r>
    </w:p>
    <w:p w14:paraId="7CDBA61C" w14:textId="77777777" w:rsidR="00F23253" w:rsidRPr="004A540B" w:rsidRDefault="00F23253" w:rsidP="00117742">
      <w:pPr>
        <w:pStyle w:val="Heading2"/>
        <w:rPr>
          <w:b/>
          <w:bCs/>
        </w:rPr>
      </w:pPr>
      <w:bookmarkStart w:id="52" w:name="_Toc231152064"/>
      <w:r w:rsidRPr="004A540B">
        <w:rPr>
          <w:b/>
          <w:bCs/>
        </w:rPr>
        <w:t>6.7 Summary</w:t>
      </w:r>
      <w:bookmarkEnd w:id="52"/>
    </w:p>
    <w:p w14:paraId="1180706B" w14:textId="77777777" w:rsidR="00F23253" w:rsidRPr="002F52E8" w:rsidRDefault="00F23253" w:rsidP="00117742">
      <w:r w:rsidRPr="002F52E8">
        <w:t>The contractor analysis demonstrates that while multiple methodologies are technically feasible, their suitability varies significantly depending on site conditions and project objectives. The integrated approach provides the most robust and adaptable solution, effectively balancing safety, environmental protection, and operational feasibility.</w:t>
      </w:r>
    </w:p>
    <w:p w14:paraId="0765703F" w14:textId="77777777" w:rsidR="00F23253" w:rsidRPr="002F52E8" w:rsidRDefault="00F23253" w:rsidP="00117742">
      <w:r w:rsidRPr="002F52E8">
        <w:t>This forms the basis for the proposed decommissioning strategy presented in the following section.</w:t>
      </w:r>
    </w:p>
    <w:p w14:paraId="6C5BE530" w14:textId="77777777" w:rsidR="00DC3368" w:rsidRPr="004A540B" w:rsidRDefault="00DC3368" w:rsidP="00117742">
      <w:pPr>
        <w:pStyle w:val="Heading1"/>
        <w:rPr>
          <w:b/>
          <w:bCs/>
        </w:rPr>
      </w:pPr>
      <w:bookmarkStart w:id="53" w:name="_Toc231152065"/>
      <w:r w:rsidRPr="004A540B">
        <w:rPr>
          <w:b/>
          <w:bCs/>
        </w:rPr>
        <w:t>7. Risk Assessment (Advanced Analysis)</w:t>
      </w:r>
      <w:bookmarkEnd w:id="53"/>
    </w:p>
    <w:p w14:paraId="3649D2BA" w14:textId="2586EB6C" w:rsidR="00DC3368" w:rsidRPr="00F96B3C" w:rsidRDefault="00DC3368" w:rsidP="00117742">
      <w:r w:rsidRPr="00F96B3C">
        <w:t>The decommissioning of the Million Gallon Tanks (MGTs) presents a complex and high-risk scenario involving interconnected safety, environmental, and commercial risks. These risks are not independent but instead interact in ways that can amplify overall project exposure. A structured risk assessment is therefore essential to inform decision-making and ensure that the selected decommissioning strategy reduces risk to as low as reasonably practicable (ALARP), in line with established engineering and safety principles (HSE, 2002).</w:t>
      </w:r>
    </w:p>
    <w:p w14:paraId="4925E7E9" w14:textId="77777777" w:rsidR="00DC3368" w:rsidRPr="004A540B" w:rsidRDefault="00DC3368" w:rsidP="00117742">
      <w:pPr>
        <w:pStyle w:val="Heading2"/>
        <w:rPr>
          <w:b/>
          <w:bCs/>
        </w:rPr>
      </w:pPr>
      <w:bookmarkStart w:id="54" w:name="_Toc231152066"/>
      <w:r w:rsidRPr="004A540B">
        <w:rPr>
          <w:b/>
          <w:bCs/>
        </w:rPr>
        <w:t>7.1 Safety Risks</w:t>
      </w:r>
      <w:bookmarkEnd w:id="54"/>
    </w:p>
    <w:p w14:paraId="4E3EB447" w14:textId="77777777" w:rsidR="00DC3368" w:rsidRPr="00F96B3C" w:rsidRDefault="00DC3368" w:rsidP="00117742">
      <w:r w:rsidRPr="00F96B3C">
        <w:t>Safety represents the most critical consideration in the decommissioning process due to the potential for severe injury or fatality. One of the most significant hazards is confined space entry. The interior of the tanks constitutes a confined space as defined by the Confined Spaces Regulations (HSE, 1997), with the potential for hazardous atmospheres including flammable vapours, toxic gases, and oxygen deficiency. Entry into such environments introduces a high risk of asphyxiation, poisoning, or explosion. Confined space incidents are widely recognised as a major cause of fatalities in industrial environments, particularly where multiple hazards are present (Khan and Abbasi, 1999).</w:t>
      </w:r>
    </w:p>
    <w:p w14:paraId="5696F171" w14:textId="64C41DD4" w:rsidR="00DC3368" w:rsidRPr="00F96B3C" w:rsidRDefault="00DC3368" w:rsidP="00117742">
      <w:r w:rsidRPr="00F96B3C">
        <w:t>Structural collapse is another major safety concern. The tanks and associated infrastructure have experienced significant corrosion due to prolonged exposure to environmental conditions and the breakdown of protective coatings (Tata Steel). Corrosion reduces structural integrity and introduces uncertainty regarding load-bearing capacity, particularly where degradation is localised and uneven. Unlike predictable mechanical failures, corrosion-related failures can occur suddenly, making them difficult to anticipate and control (Lees, 2012). During decommissioning, additional loads and dynamic forces may be introduced, further increasing the likelihood of structural instability.</w:t>
      </w:r>
    </w:p>
    <w:p w14:paraId="77B95A3C" w14:textId="77777777" w:rsidR="00DC3368" w:rsidRPr="00F96B3C" w:rsidRDefault="00DC3368" w:rsidP="00117742">
      <w:r w:rsidRPr="00F96B3C">
        <w:t>Exposure to hazardous substances also presents a significant risk. The sludge and liquids within the tanks are likely to contain hydrocarbons, heavy metals, and other toxic compounds. Contact with these substances can result in both acute and chronic health effects. The Control of Substances Hazardous to Health (COSHH) regulations require that exposure is minimised through engineering controls, safe systems of work, and appropriate protective measures (HSE, 2002). However, reliance on personal protective equipment (PPE) alone is insufficient, as it does not eliminate the hazard at source.</w:t>
      </w:r>
    </w:p>
    <w:p w14:paraId="2FD24E8D" w14:textId="4C91DE54" w:rsidR="00DC3368" w:rsidRDefault="00DC3368" w:rsidP="00117742">
      <w:r w:rsidRPr="00F96B3C">
        <w:t xml:space="preserve">From a risk management perspective, these safety risks highlight the importance of prioritising engineering controls and minimising direct human interaction with hazardous </w:t>
      </w:r>
      <w:r w:rsidRPr="00F96B3C">
        <w:lastRenderedPageBreak/>
        <w:t>environments. This aligns with the hierarchy of control, which places elimination and engineering solutions above administrative controls and PPE (Crawley and Tyler, 2015).</w:t>
      </w:r>
    </w:p>
    <w:p w14:paraId="5F90353F" w14:textId="56120274" w:rsidR="006B4CC6" w:rsidRPr="00F96B3C" w:rsidRDefault="006B4CC6" w:rsidP="00117742">
      <w:r w:rsidRPr="006B4CC6">
        <w:t>A summary project risk assessment matrix is presented in Appendix E. The assessment identifies confined space entry, structural instability and uncertainty in sludge characteristics as the highest-ranking project risks requiring targeted control measures.</w:t>
      </w:r>
    </w:p>
    <w:p w14:paraId="321C34D1" w14:textId="77777777" w:rsidR="00DC3368" w:rsidRPr="004A540B" w:rsidRDefault="00DC3368" w:rsidP="00117742">
      <w:pPr>
        <w:pStyle w:val="Heading2"/>
        <w:rPr>
          <w:b/>
          <w:bCs/>
        </w:rPr>
      </w:pPr>
      <w:bookmarkStart w:id="55" w:name="_Toc231152067"/>
      <w:r w:rsidRPr="004A540B">
        <w:rPr>
          <w:b/>
          <w:bCs/>
        </w:rPr>
        <w:t>7.2 Environmental Risks</w:t>
      </w:r>
      <w:bookmarkEnd w:id="55"/>
    </w:p>
    <w:p w14:paraId="7F22F53D" w14:textId="77777777" w:rsidR="00DC3368" w:rsidRPr="00F96B3C" w:rsidRDefault="00DC3368" w:rsidP="00117742">
      <w:r w:rsidRPr="00F96B3C">
        <w:t>Environmental risks associated with the MGTs are primarily linked to the compromised condition of the bunded containment system and the presence of hazardous materials. The most significant environmental risk is bund failure, which could lead to a major pollution event. Bunds are designed to contain the full contents of a tank in the event of rupture; however, the presence of standing liquid within the bund reduces its effective capacity, meaning that it would be unable to contain the full volume of a release.</w:t>
      </w:r>
    </w:p>
    <w:p w14:paraId="7B2711A7" w14:textId="77777777" w:rsidR="00DC3368" w:rsidRPr="00F96B3C" w:rsidRDefault="00DC3368" w:rsidP="00117742">
      <w:r w:rsidRPr="00F96B3C">
        <w:t>Failure of containment systems is a leading cause of environmental incidents in industrial settings, particularly where maintenance has been insufficient (CIRIA, 2014). In the event of tank rupture, the release of oil and contaminated water could result in soil and groundwater contamination, with long-term environmental consequences.</w:t>
      </w:r>
    </w:p>
    <w:p w14:paraId="24DD3479" w14:textId="27D65747" w:rsidR="00DC3368" w:rsidRPr="00F96B3C" w:rsidRDefault="00DC3368" w:rsidP="00117742">
      <w:r w:rsidRPr="00F96B3C">
        <w:t>Another key environmental risk relates to waste misclassification. The composition of the sludge within the tanks is uncertain, and incorrect classification could lead to inappropriate handling, transport, or disposal. This represents both an environmental and regulatory risk. The Environment Agency (20</w:t>
      </w:r>
      <w:r w:rsidR="00DF4D25">
        <w:t>2</w:t>
      </w:r>
      <w:r w:rsidRPr="00F96B3C">
        <w:t>3) emphasises the importance of accurate waste classification to ensure compliance with hazardous waste regulations.</w:t>
      </w:r>
    </w:p>
    <w:p w14:paraId="176518F6" w14:textId="21B5430A" w:rsidR="00DC3368" w:rsidRPr="00F96B3C" w:rsidRDefault="00DC3368" w:rsidP="00117742">
      <w:r w:rsidRPr="00F96B3C">
        <w:t>Environmental risks are closely tied to regulatory compliance. Industrial operators are required to prevent pollution and manage hazardous substances responsibly. Failure to do so can result in enforcement action, financial penalties, and reputational damage. As such, environmental considerations must be integrated into all stages of the decommissioning process.</w:t>
      </w:r>
    </w:p>
    <w:p w14:paraId="1C7B6279" w14:textId="77777777" w:rsidR="00DC3368" w:rsidRPr="004A540B" w:rsidRDefault="00DC3368" w:rsidP="00117742">
      <w:pPr>
        <w:pStyle w:val="Heading2"/>
        <w:rPr>
          <w:b/>
          <w:bCs/>
        </w:rPr>
      </w:pPr>
      <w:bookmarkStart w:id="56" w:name="_Toc231152068"/>
      <w:r w:rsidRPr="004A540B">
        <w:rPr>
          <w:b/>
          <w:bCs/>
        </w:rPr>
        <w:t>7.3 Commercial Risks</w:t>
      </w:r>
      <w:bookmarkEnd w:id="56"/>
    </w:p>
    <w:p w14:paraId="447D6BE9" w14:textId="77777777" w:rsidR="00DC3368" w:rsidRPr="00F96B3C" w:rsidRDefault="00DC3368" w:rsidP="00117742">
      <w:r w:rsidRPr="00F96B3C">
        <w:t>Commercial risks in the MGT decommissioning project are primarily driven by uncertainty and variability in site conditions. One of the most significant factors is cost variability due to unknown sludge composition. The physical properties of the sludge directly influence the choice of removal method and associated costs. For example, highly viscous or solid materials may require mechanical excavation rather than pumping, increasing labour, equipment, and disposal costs.</w:t>
      </w:r>
    </w:p>
    <w:p w14:paraId="1AA1AD14" w14:textId="77777777" w:rsidR="00DC3368" w:rsidRPr="00F96B3C" w:rsidRDefault="00DC3368" w:rsidP="00117742">
      <w:r w:rsidRPr="00F96B3C">
        <w:t>Programme delays represent another major commercial risk. Delays may arise from ineffective removal methods, unforeseen structural issues, or regulatory constraints. Extended project durations not only increase direct costs but also prolong exposure to safety and environmental risks.</w:t>
      </w:r>
    </w:p>
    <w:p w14:paraId="47798D2A" w14:textId="77777777" w:rsidR="00DC3368" w:rsidRPr="00F96B3C" w:rsidRDefault="00DC3368" w:rsidP="00117742">
      <w:r w:rsidRPr="00F96B3C">
        <w:t>Contractor proposals are often based on assumptions regarding waste characteristics and site conditions. If these assumptions prove inaccurate, additional work may be required, leading to cost overruns and schedule delays. This reflects a common challenge in process industry projects, where uncertainty in input conditions can significantly impact project outcomes (Lees, 2012).</w:t>
      </w:r>
    </w:p>
    <w:p w14:paraId="586A66FA" w14:textId="73FC35A6" w:rsidR="00DC3368" w:rsidRPr="00F96B3C" w:rsidRDefault="00DC3368" w:rsidP="00117742">
      <w:r w:rsidRPr="00F96B3C">
        <w:t>From a project management perspective, these risks highlight the importance of selecting a strategy that is robust under uncertainty, rather than one that relies on optimistic assumptions (PMI, 2021).</w:t>
      </w:r>
    </w:p>
    <w:p w14:paraId="04FD5A2B" w14:textId="77777777" w:rsidR="00DC3368" w:rsidRPr="004A540B" w:rsidRDefault="00DC3368" w:rsidP="00117742">
      <w:pPr>
        <w:pStyle w:val="Heading2"/>
        <w:rPr>
          <w:b/>
          <w:bCs/>
        </w:rPr>
      </w:pPr>
      <w:bookmarkStart w:id="57" w:name="_Toc231152069"/>
      <w:r w:rsidRPr="004A540B">
        <w:rPr>
          <w:b/>
          <w:bCs/>
        </w:rPr>
        <w:lastRenderedPageBreak/>
        <w:t>7.4 Interdependency of Risks</w:t>
      </w:r>
      <w:bookmarkEnd w:id="57"/>
    </w:p>
    <w:p w14:paraId="0678D2D4" w14:textId="77777777" w:rsidR="00DC3368" w:rsidRPr="00F96B3C" w:rsidRDefault="00DC3368" w:rsidP="00117742">
      <w:r w:rsidRPr="00F96B3C">
        <w:t>A critical aspect of the MGT risk profile is the interdependency between safety, environmental, and commercial risks. These risks are closely interconnected, meaning that changes in one area can directly influence others.</w:t>
      </w:r>
    </w:p>
    <w:p w14:paraId="643CD320" w14:textId="77777777" w:rsidR="00DC3368" w:rsidRPr="00F96B3C" w:rsidRDefault="00DC3368" w:rsidP="00117742">
      <w:r w:rsidRPr="00F96B3C">
        <w:t>For example, structural degradation increases the likelihood of tank failure, which in turn increases environmental risk. At the same time, efforts to mitigate structural issues may expose personnel to additional safety hazards due to degraded access systems. Similarly, attempts to reduce costs by selecting faster or simpler methods may increase safety or environmental risks if those methods are not suitable for the conditions.</w:t>
      </w:r>
    </w:p>
    <w:p w14:paraId="18321B89" w14:textId="5188CA79" w:rsidR="00DC3368" w:rsidRPr="00F96B3C" w:rsidRDefault="00DC3368" w:rsidP="00117742">
      <w:r w:rsidRPr="00F96B3C">
        <w:t>This interdependency reflects findings in process safety literature, where incidents are often the result of multiple interacting factors rather than a single cause (Khan and Abbasi, 1999). As such, risk management must adopt a holistic approach, considering the system as a whole rather than addressing individual risks in isolation.</w:t>
      </w:r>
    </w:p>
    <w:p w14:paraId="55570513" w14:textId="77777777" w:rsidR="00DC3368" w:rsidRPr="004A540B" w:rsidRDefault="00DC3368" w:rsidP="00117742">
      <w:pPr>
        <w:pStyle w:val="Heading2"/>
        <w:rPr>
          <w:b/>
          <w:bCs/>
        </w:rPr>
      </w:pPr>
      <w:bookmarkStart w:id="58" w:name="_Toc231152070"/>
      <w:r w:rsidRPr="004A540B">
        <w:rPr>
          <w:b/>
          <w:bCs/>
        </w:rPr>
        <w:t>7.5 Key Insight: Sludge Uncertainty as the Dominant Risk Driver</w:t>
      </w:r>
      <w:bookmarkEnd w:id="58"/>
    </w:p>
    <w:p w14:paraId="066A8D7C" w14:textId="77777777" w:rsidR="00DC3368" w:rsidRPr="00F96B3C" w:rsidRDefault="00DC3368" w:rsidP="00117742">
      <w:r w:rsidRPr="00F96B3C">
        <w:t>The dominant risk driver identified in this analysis is the uncertainty surrounding the composition and physical characteristics of the sludge within the tanks. This uncertainty has a direct impact on several critical aspects of the project:</w:t>
      </w:r>
    </w:p>
    <w:p w14:paraId="40C290E2" w14:textId="77777777" w:rsidR="00DC3368" w:rsidRPr="00F96B3C" w:rsidRDefault="00DC3368" w:rsidP="006E7A5B">
      <w:pPr>
        <w:numPr>
          <w:ilvl w:val="0"/>
          <w:numId w:val="12"/>
        </w:numPr>
        <w:ind w:left="0" w:hanging="142"/>
      </w:pPr>
      <w:r w:rsidRPr="00F96B3C">
        <w:t xml:space="preserve">Method selection, as different removal techniques are suitable for different material properties </w:t>
      </w:r>
    </w:p>
    <w:p w14:paraId="033D08D8" w14:textId="77777777" w:rsidR="00DC3368" w:rsidRPr="00F96B3C" w:rsidRDefault="00DC3368" w:rsidP="006E7A5B">
      <w:pPr>
        <w:numPr>
          <w:ilvl w:val="0"/>
          <w:numId w:val="12"/>
        </w:numPr>
        <w:ind w:left="0" w:hanging="142"/>
      </w:pPr>
      <w:r w:rsidRPr="00F96B3C">
        <w:t xml:space="preserve">Cost, as disposal requirements vary depending on contamination levels </w:t>
      </w:r>
    </w:p>
    <w:p w14:paraId="5788F8AB" w14:textId="77777777" w:rsidR="00DC3368" w:rsidRPr="00F96B3C" w:rsidRDefault="00DC3368" w:rsidP="006E7A5B">
      <w:pPr>
        <w:numPr>
          <w:ilvl w:val="0"/>
          <w:numId w:val="12"/>
        </w:numPr>
        <w:ind w:left="0" w:hanging="142"/>
      </w:pPr>
      <w:r w:rsidRPr="00F96B3C">
        <w:t xml:space="preserve">Programme duration, as ineffective methods may require rework or alternative approaches </w:t>
      </w:r>
    </w:p>
    <w:p w14:paraId="3CB8ACCA" w14:textId="77777777" w:rsidR="00DC3368" w:rsidRPr="00F96B3C" w:rsidRDefault="00DC3368" w:rsidP="00117742">
      <w:r w:rsidRPr="00F96B3C">
        <w:t>Uncertainty in material properties is a well-recognised challenge in process engineering, often leading to inefficiencies and increased risk if not properly managed (Lees, 2012). In the context of the MGTs, reliance on a single removal method introduces significant risk, as it assumes favourable conditions that may not exist.</w:t>
      </w:r>
    </w:p>
    <w:p w14:paraId="34F6522D" w14:textId="6DB4CE97" w:rsidR="00DC3368" w:rsidRPr="00F96B3C" w:rsidRDefault="00DC3368" w:rsidP="00117742">
      <w:r w:rsidRPr="00F96B3C">
        <w:t>This uncertainty necessitates a flexible and adaptive strategy capable of responding to changing conditions. Methods that incorporate multiple techniques and allow for adjustment during execution are more robust and better suited to complex industrial environments.</w:t>
      </w:r>
    </w:p>
    <w:p w14:paraId="68BB6A6D" w14:textId="77777777" w:rsidR="00DC3368" w:rsidRPr="006E7A5B" w:rsidRDefault="00DC3368" w:rsidP="00117742">
      <w:pPr>
        <w:pStyle w:val="Heading2"/>
        <w:rPr>
          <w:b/>
          <w:bCs/>
        </w:rPr>
      </w:pPr>
      <w:bookmarkStart w:id="59" w:name="_Toc231152071"/>
      <w:r w:rsidRPr="006E7A5B">
        <w:rPr>
          <w:b/>
          <w:bCs/>
        </w:rPr>
        <w:t>7.6 Summary</w:t>
      </w:r>
      <w:bookmarkEnd w:id="59"/>
    </w:p>
    <w:p w14:paraId="78EECEE1" w14:textId="77777777" w:rsidR="00DC3368" w:rsidRPr="00F96B3C" w:rsidRDefault="00DC3368" w:rsidP="00117742">
      <w:r w:rsidRPr="00F96B3C">
        <w:t>The risk assessment highlights that the decommissioning of the MGTs is characterised by a complex and interdependent set of risks. Safety risks, particularly those associated with confined space entry and structural instability, represent the most immediate concern. Environmental risks, driven by compromised containment systems, introduce the potential for significant regulatory and ecological consequences. Commercial risks, largely influenced by uncertainty in sludge composition, further complicate decision-making.</w:t>
      </w:r>
    </w:p>
    <w:p w14:paraId="5E3579B5" w14:textId="0A713868" w:rsidR="00742601" w:rsidRPr="00F96B3C" w:rsidRDefault="00DC3368" w:rsidP="00117742">
      <w:r w:rsidRPr="00F96B3C">
        <w:t>The identification of sludge uncertainty as the dominant risk driver provides a critical insight that informs the selection of a flexible and risk-based decommissioning strategy. By recognising and managing uncertainty, rather than attempting to eliminate it, the project can be delivered in a way that reduces overall risk and improves the likelihood of successful implementation.</w:t>
      </w:r>
    </w:p>
    <w:p w14:paraId="0B8F6497" w14:textId="77777777" w:rsidR="00742601" w:rsidRPr="006E7A5B" w:rsidRDefault="00742601" w:rsidP="00117742">
      <w:pPr>
        <w:pStyle w:val="Heading1"/>
        <w:rPr>
          <w:b/>
          <w:bCs/>
        </w:rPr>
      </w:pPr>
      <w:bookmarkStart w:id="60" w:name="_Toc231152072"/>
      <w:r w:rsidRPr="006E7A5B">
        <w:rPr>
          <w:b/>
          <w:bCs/>
        </w:rPr>
        <w:lastRenderedPageBreak/>
        <w:t>8. Proposed Decommissioning Strategy</w:t>
      </w:r>
      <w:bookmarkEnd w:id="60"/>
    </w:p>
    <w:p w14:paraId="1712B393" w14:textId="77777777" w:rsidR="00742601" w:rsidRPr="006E7A5B" w:rsidRDefault="00742601" w:rsidP="00117742">
      <w:pPr>
        <w:pStyle w:val="Heading2"/>
        <w:rPr>
          <w:b/>
          <w:bCs/>
        </w:rPr>
      </w:pPr>
      <w:bookmarkStart w:id="61" w:name="_Toc231152073"/>
      <w:r w:rsidRPr="006E7A5B">
        <w:rPr>
          <w:b/>
          <w:bCs/>
        </w:rPr>
        <w:t>8.1 Introduction</w:t>
      </w:r>
      <w:bookmarkEnd w:id="61"/>
    </w:p>
    <w:p w14:paraId="437FC327" w14:textId="77777777" w:rsidR="00742601" w:rsidRPr="00F96B3C" w:rsidRDefault="00742601" w:rsidP="00117742">
      <w:r w:rsidRPr="00F96B3C">
        <w:t>Based on the preceding analysis of site conditions, contractor methodologies, and associated risks, a structured and risk-based decommissioning strategy is proposed for the Million Gallon Tanks (MGTs) at Tata Steel Port Talbot. The strategy adopts a phased and adaptive approach designed to progressively reduce risk while maintaining flexibility to respond to uncertainties, particularly in relation to sludge composition.</w:t>
      </w:r>
    </w:p>
    <w:p w14:paraId="05D2EBAE" w14:textId="11E41321" w:rsidR="00742601" w:rsidRPr="00F96B3C" w:rsidRDefault="00742601" w:rsidP="00117742">
      <w:r w:rsidRPr="00F96B3C">
        <w:t>The proposed approach is informed by industry best practice, regulatory requirements, and the critical insights identified within this study. In particular, it prioritises safety and environmental protection over purely cost-driven decision-making, consistent with the principle of reducing risk to as low as reasonably practicable (ALARP) (HSE, 2002). Furthermore, the strategy aligns with established risk-based engineering and project management frameworks, which emphasise flexibility and continuous reassessment in complex environments (PMI, 2021; Crawley and Tyler, 2015).</w:t>
      </w:r>
    </w:p>
    <w:p w14:paraId="07A82072" w14:textId="77777777" w:rsidR="00742601" w:rsidRPr="006E7A5B" w:rsidRDefault="00742601" w:rsidP="00117742">
      <w:pPr>
        <w:pStyle w:val="Heading2"/>
        <w:rPr>
          <w:b/>
          <w:bCs/>
        </w:rPr>
      </w:pPr>
      <w:bookmarkStart w:id="62" w:name="_Toc231152074"/>
      <w:r w:rsidRPr="006E7A5B">
        <w:rPr>
          <w:b/>
          <w:bCs/>
        </w:rPr>
        <w:t>8.2 Strategic Principles</w:t>
      </w:r>
      <w:bookmarkEnd w:id="62"/>
    </w:p>
    <w:p w14:paraId="57F16BA9" w14:textId="77777777" w:rsidR="00742601" w:rsidRPr="00F96B3C" w:rsidRDefault="00742601" w:rsidP="00117742">
      <w:r w:rsidRPr="00F96B3C">
        <w:t>The proposed strategy is underpinned by several key principles derived from both literature and site-specific analysis.</w:t>
      </w:r>
    </w:p>
    <w:p w14:paraId="63BC1FB7" w14:textId="77777777" w:rsidR="00742601" w:rsidRPr="006E7A5B" w:rsidRDefault="00742601" w:rsidP="00117742">
      <w:pPr>
        <w:rPr>
          <w:b/>
          <w:bCs/>
        </w:rPr>
      </w:pPr>
      <w:r w:rsidRPr="006E7A5B">
        <w:rPr>
          <w:b/>
          <w:bCs/>
        </w:rPr>
        <w:t>Risk Reduction First</w:t>
      </w:r>
    </w:p>
    <w:p w14:paraId="45C9FF8E" w14:textId="6F166E7A" w:rsidR="00742601" w:rsidRPr="00F96B3C" w:rsidRDefault="00742601" w:rsidP="00117742">
      <w:r w:rsidRPr="00F96B3C">
        <w:t>The strategy prioritises the early removal of high-risk elements, particularly hazardous liquids, to reduce the overall hazard profile before more complex operations are undertaken. This approach is consistent with process safety principles, which emphasise the elimination of hazards at source wherever possible (Lees, 2012).</w:t>
      </w:r>
    </w:p>
    <w:p w14:paraId="715DCD7D" w14:textId="77777777" w:rsidR="00742601" w:rsidRPr="006E7A5B" w:rsidRDefault="00742601" w:rsidP="00117742">
      <w:pPr>
        <w:rPr>
          <w:b/>
          <w:bCs/>
        </w:rPr>
      </w:pPr>
      <w:r w:rsidRPr="006E7A5B">
        <w:rPr>
          <w:b/>
          <w:bCs/>
        </w:rPr>
        <w:t>Minimisation of Confined Space Entry</w:t>
      </w:r>
    </w:p>
    <w:p w14:paraId="60134C4D" w14:textId="2314AA77" w:rsidR="00742601" w:rsidRPr="00F96B3C" w:rsidRDefault="00742601" w:rsidP="00117742">
      <w:r w:rsidRPr="00F96B3C">
        <w:t>In accordance with the Confined Spaces Regulations (HSE, 1997), the strategy seeks to eliminate or minimise the need for personnel to enter the tanks. This is achieved through the use of remote-operated systems and mechanical methods, reducing reliance on administrative controls and personal protective equipment.</w:t>
      </w:r>
    </w:p>
    <w:p w14:paraId="5F630222" w14:textId="77777777" w:rsidR="00742601" w:rsidRPr="006E7A5B" w:rsidRDefault="00742601" w:rsidP="00117742">
      <w:pPr>
        <w:rPr>
          <w:b/>
          <w:bCs/>
        </w:rPr>
      </w:pPr>
      <w:r w:rsidRPr="006E7A5B">
        <w:rPr>
          <w:b/>
          <w:bCs/>
        </w:rPr>
        <w:t>Flexibility and Adaptability</w:t>
      </w:r>
    </w:p>
    <w:p w14:paraId="1822C9CD" w14:textId="16A0820F" w:rsidR="00742601" w:rsidRPr="00F96B3C" w:rsidRDefault="00742601" w:rsidP="00117742">
      <w:r w:rsidRPr="00F96B3C">
        <w:t>Given the uncertainty surrounding sludge composition, the strategy incorporates multiple removal techniques. This ensures that operations can be adapted as conditions become better understood during execution. Flexibility is a key requirement in managing uncertainty in process environments (Khan and Abbasi, 1999).</w:t>
      </w:r>
    </w:p>
    <w:p w14:paraId="09A470F4" w14:textId="77777777" w:rsidR="00742601" w:rsidRPr="006E7A5B" w:rsidRDefault="00742601" w:rsidP="00117742">
      <w:pPr>
        <w:rPr>
          <w:b/>
          <w:bCs/>
        </w:rPr>
      </w:pPr>
      <w:r w:rsidRPr="006E7A5B">
        <w:rPr>
          <w:b/>
          <w:bCs/>
        </w:rPr>
        <w:t>Phased Implementation</w:t>
      </w:r>
    </w:p>
    <w:p w14:paraId="53A1A2AA" w14:textId="4473901F" w:rsidR="00742601" w:rsidRPr="00F96B3C" w:rsidRDefault="00742601" w:rsidP="00117742">
      <w:r w:rsidRPr="00F96B3C">
        <w:t>A staged approach ensures that each phase contributes to progressive risk reduction. By breaking the project into manageable stages, risks can be controlled more effectively and adjustments can be made as required.</w:t>
      </w:r>
    </w:p>
    <w:p w14:paraId="7AEA4858" w14:textId="77777777" w:rsidR="00742601" w:rsidRPr="006E7A5B" w:rsidRDefault="00742601" w:rsidP="00117742">
      <w:pPr>
        <w:rPr>
          <w:b/>
          <w:bCs/>
        </w:rPr>
      </w:pPr>
      <w:r w:rsidRPr="006E7A5B">
        <w:rPr>
          <w:b/>
          <w:bCs/>
        </w:rPr>
        <w:t>Regulatory Compliance</w:t>
      </w:r>
    </w:p>
    <w:p w14:paraId="05B4FA0C" w14:textId="455C11B3" w:rsidR="00742601" w:rsidRPr="00F96B3C" w:rsidRDefault="00742601" w:rsidP="00117742">
      <w:r w:rsidRPr="00F96B3C">
        <w:t>All activities are designed to comply with environmental and safety regulations, including hazardous waste management requirements and bund containment standards (Environment Agency, 20</w:t>
      </w:r>
      <w:r w:rsidR="0022613E">
        <w:t>2</w:t>
      </w:r>
      <w:r w:rsidRPr="00F96B3C">
        <w:t>3; CIRIA, 2014).</w:t>
      </w:r>
    </w:p>
    <w:p w14:paraId="0AE95FDA" w14:textId="77777777" w:rsidR="00742601" w:rsidRPr="006E7A5B" w:rsidRDefault="00742601" w:rsidP="00117742">
      <w:pPr>
        <w:pStyle w:val="Heading2"/>
        <w:rPr>
          <w:b/>
          <w:bCs/>
        </w:rPr>
      </w:pPr>
      <w:bookmarkStart w:id="63" w:name="_Toc231152075"/>
      <w:r w:rsidRPr="006E7A5B">
        <w:rPr>
          <w:b/>
          <w:bCs/>
        </w:rPr>
        <w:lastRenderedPageBreak/>
        <w:t>8.3 Phase 1: Site Preparation and Enabling Works</w:t>
      </w:r>
      <w:bookmarkEnd w:id="63"/>
    </w:p>
    <w:p w14:paraId="360ED83B" w14:textId="77777777" w:rsidR="00742601" w:rsidRPr="00F96B3C" w:rsidRDefault="00742601" w:rsidP="00117742">
      <w:r w:rsidRPr="00F96B3C">
        <w:t>The initial phase focuses on establishing a safe and controlled working environment. This includes:</w:t>
      </w:r>
    </w:p>
    <w:p w14:paraId="728A2573" w14:textId="77777777" w:rsidR="00742601" w:rsidRPr="00F96B3C" w:rsidRDefault="00742601" w:rsidP="006E7A5B">
      <w:pPr>
        <w:numPr>
          <w:ilvl w:val="0"/>
          <w:numId w:val="13"/>
        </w:numPr>
        <w:ind w:left="0" w:firstLine="0"/>
      </w:pPr>
      <w:r w:rsidRPr="00F96B3C">
        <w:t xml:space="preserve">Isolation of all services connected to the tanks </w:t>
      </w:r>
    </w:p>
    <w:p w14:paraId="38CB9AB3" w14:textId="77777777" w:rsidR="00742601" w:rsidRPr="00F96B3C" w:rsidRDefault="00742601" w:rsidP="006E7A5B">
      <w:pPr>
        <w:numPr>
          <w:ilvl w:val="0"/>
          <w:numId w:val="13"/>
        </w:numPr>
        <w:ind w:left="0" w:firstLine="0"/>
      </w:pPr>
      <w:r w:rsidRPr="00F96B3C">
        <w:t xml:space="preserve">Establishment of exclusion zones and site security </w:t>
      </w:r>
    </w:p>
    <w:p w14:paraId="75FA8A7C" w14:textId="77777777" w:rsidR="00742601" w:rsidRPr="00F96B3C" w:rsidRDefault="00742601" w:rsidP="006E7A5B">
      <w:pPr>
        <w:numPr>
          <w:ilvl w:val="0"/>
          <w:numId w:val="13"/>
        </w:numPr>
        <w:ind w:left="0" w:firstLine="0"/>
      </w:pPr>
      <w:r w:rsidRPr="00F96B3C">
        <w:t xml:space="preserve">Installation of temporary access systems (e.g. scaffolding, walkways) </w:t>
      </w:r>
    </w:p>
    <w:p w14:paraId="279F9F80" w14:textId="77777777" w:rsidR="00742601" w:rsidRPr="00F96B3C" w:rsidRDefault="00742601" w:rsidP="006E7A5B">
      <w:pPr>
        <w:numPr>
          <w:ilvl w:val="0"/>
          <w:numId w:val="13"/>
        </w:numPr>
        <w:ind w:left="0" w:firstLine="0"/>
      </w:pPr>
      <w:r w:rsidRPr="00F96B3C">
        <w:t xml:space="preserve">Implementation of safety controls, including signage and barriers </w:t>
      </w:r>
    </w:p>
    <w:p w14:paraId="31B6AD12" w14:textId="77777777" w:rsidR="00742601" w:rsidRPr="00F96B3C" w:rsidRDefault="00742601" w:rsidP="00117742">
      <w:r w:rsidRPr="00F96B3C">
        <w:t>Given the degraded condition of existing infrastructure, engineered access solutions are required to ensure safe movement of personnel and equipment. This aligns with working at height regulations, which require suitable access systems to be in place (HSE, 2005).</w:t>
      </w:r>
    </w:p>
    <w:p w14:paraId="3443535B" w14:textId="66FE9E68" w:rsidR="00742601" w:rsidRPr="00F96B3C" w:rsidRDefault="00742601" w:rsidP="00117742">
      <w:r w:rsidRPr="00F96B3C">
        <w:t>An updated risk assessment should also be conducted during this phase, incorporating any new information obtained from site inspections or sampling. This ensures that the strategy remains aligned with actual site conditions.</w:t>
      </w:r>
    </w:p>
    <w:p w14:paraId="15E19A62" w14:textId="77777777" w:rsidR="00742601" w:rsidRPr="006E7A5B" w:rsidRDefault="00742601" w:rsidP="00117742">
      <w:pPr>
        <w:pStyle w:val="Heading2"/>
        <w:rPr>
          <w:b/>
          <w:bCs/>
        </w:rPr>
      </w:pPr>
      <w:bookmarkStart w:id="64" w:name="_Toc231152076"/>
      <w:r w:rsidRPr="006E7A5B">
        <w:rPr>
          <w:b/>
          <w:bCs/>
        </w:rPr>
        <w:t>8.4 Phase 2: Bulk Liquid Removal</w:t>
      </w:r>
      <w:bookmarkEnd w:id="64"/>
    </w:p>
    <w:p w14:paraId="0AEC70A8" w14:textId="77777777" w:rsidR="00742601" w:rsidRPr="00F96B3C" w:rsidRDefault="00742601" w:rsidP="00117742">
      <w:r w:rsidRPr="00F96B3C">
        <w:t>The second phase involves the removal of pumpable liquid waste using vacuum tankers or remote pumping systems. This step is critical in reducing the overall hazard level, as liquid hydrocarbons present significant risks in terms of flammability, toxicity, and environmental contamination.</w:t>
      </w:r>
    </w:p>
    <w:p w14:paraId="2BAA8259" w14:textId="77777777" w:rsidR="00742601" w:rsidRPr="00F96B3C" w:rsidRDefault="00742601" w:rsidP="00117742">
      <w:r w:rsidRPr="00F96B3C">
        <w:t>The early removal of liquids provides several key benefits:</w:t>
      </w:r>
    </w:p>
    <w:p w14:paraId="47575557" w14:textId="77777777" w:rsidR="00742601" w:rsidRPr="00F96B3C" w:rsidRDefault="00742601" w:rsidP="006E7A5B">
      <w:pPr>
        <w:numPr>
          <w:ilvl w:val="0"/>
          <w:numId w:val="14"/>
        </w:numPr>
        <w:ind w:left="0" w:firstLine="0"/>
      </w:pPr>
      <w:r w:rsidRPr="00F96B3C">
        <w:t xml:space="preserve">Reduction in hydrostatic pressure on tank walls, improving structural stability </w:t>
      </w:r>
    </w:p>
    <w:p w14:paraId="7C71CF9B" w14:textId="77777777" w:rsidR="00742601" w:rsidRPr="00F96B3C" w:rsidRDefault="00742601" w:rsidP="006E7A5B">
      <w:pPr>
        <w:numPr>
          <w:ilvl w:val="0"/>
          <w:numId w:val="14"/>
        </w:numPr>
        <w:ind w:left="0" w:firstLine="0"/>
      </w:pPr>
      <w:r w:rsidRPr="00F96B3C">
        <w:t xml:space="preserve">Decrease in the volume of hazardous material present on site </w:t>
      </w:r>
    </w:p>
    <w:p w14:paraId="353667D1" w14:textId="77777777" w:rsidR="00742601" w:rsidRPr="00F96B3C" w:rsidRDefault="00742601" w:rsidP="006E7A5B">
      <w:pPr>
        <w:numPr>
          <w:ilvl w:val="0"/>
          <w:numId w:val="14"/>
        </w:numPr>
        <w:ind w:left="0" w:firstLine="0"/>
      </w:pPr>
      <w:r w:rsidRPr="00F96B3C">
        <w:t xml:space="preserve">Improved access conditions for subsequent sludge removal </w:t>
      </w:r>
    </w:p>
    <w:p w14:paraId="0339962B" w14:textId="26BF2125" w:rsidR="00742601" w:rsidRPr="00F96B3C" w:rsidRDefault="00742601" w:rsidP="00117742">
      <w:r w:rsidRPr="00F96B3C">
        <w:t>This approach is consistent with decommissioning best practice, where high-risk materials are removed at an early stage to reduce overall project risk (API, 201</w:t>
      </w:r>
      <w:r w:rsidR="003B3266">
        <w:t>4</w:t>
      </w:r>
      <w:r w:rsidRPr="00F96B3C">
        <w:t>).</w:t>
      </w:r>
    </w:p>
    <w:p w14:paraId="406351A4" w14:textId="295EDADD" w:rsidR="00742601" w:rsidRPr="00F96B3C" w:rsidRDefault="00742601" w:rsidP="00117742">
      <w:r w:rsidRPr="00F96B3C">
        <w:t>However, it is recognised that not all material will be pumpable. As such, this phase is designed to complement, rather than replace, subsequent removal methods.</w:t>
      </w:r>
    </w:p>
    <w:p w14:paraId="3D3FE2CF" w14:textId="77777777" w:rsidR="00742601" w:rsidRPr="006E7A5B" w:rsidRDefault="00742601" w:rsidP="00117742">
      <w:pPr>
        <w:pStyle w:val="Heading2"/>
        <w:rPr>
          <w:b/>
          <w:bCs/>
        </w:rPr>
      </w:pPr>
      <w:bookmarkStart w:id="65" w:name="_Toc231152077"/>
      <w:r w:rsidRPr="006E7A5B">
        <w:rPr>
          <w:b/>
          <w:bCs/>
        </w:rPr>
        <w:t>8.5 Phase 3: Sludge and Solid Removal</w:t>
      </w:r>
      <w:bookmarkEnd w:id="65"/>
    </w:p>
    <w:p w14:paraId="56ECFE0F" w14:textId="77777777" w:rsidR="00742601" w:rsidRPr="00F96B3C" w:rsidRDefault="00742601" w:rsidP="00117742">
      <w:r w:rsidRPr="00F96B3C">
        <w:t>The removal of sludge represents the most technically challenging phase due to uncertainty in material properties. A hybrid approach is proposed, combining multiple techniques:</w:t>
      </w:r>
    </w:p>
    <w:p w14:paraId="5CDB5DA3" w14:textId="77777777" w:rsidR="00742601" w:rsidRPr="00F96B3C" w:rsidRDefault="00742601" w:rsidP="006E7A5B">
      <w:pPr>
        <w:numPr>
          <w:ilvl w:val="0"/>
          <w:numId w:val="15"/>
        </w:numPr>
        <w:ind w:left="0" w:firstLine="0"/>
      </w:pPr>
      <w:r w:rsidRPr="00F96B3C">
        <w:t xml:space="preserve">Pumping for any remaining semi-liquid material </w:t>
      </w:r>
    </w:p>
    <w:p w14:paraId="66A42E66" w14:textId="77777777" w:rsidR="00742601" w:rsidRPr="00F96B3C" w:rsidRDefault="00742601" w:rsidP="006E7A5B">
      <w:pPr>
        <w:numPr>
          <w:ilvl w:val="0"/>
          <w:numId w:val="15"/>
        </w:numPr>
        <w:ind w:left="0" w:firstLine="0"/>
      </w:pPr>
      <w:r w:rsidRPr="00F96B3C">
        <w:t xml:space="preserve">Mechanical excavation for high-viscosity or solid deposits </w:t>
      </w:r>
    </w:p>
    <w:p w14:paraId="4394E662" w14:textId="77777777" w:rsidR="00742601" w:rsidRPr="00F96B3C" w:rsidRDefault="00742601" w:rsidP="006E7A5B">
      <w:pPr>
        <w:numPr>
          <w:ilvl w:val="0"/>
          <w:numId w:val="15"/>
        </w:numPr>
        <w:ind w:left="0" w:firstLine="0"/>
      </w:pPr>
      <w:r w:rsidRPr="00F96B3C">
        <w:t xml:space="preserve">Partial dismantling of the tank to allow access for equipment </w:t>
      </w:r>
    </w:p>
    <w:p w14:paraId="42570396" w14:textId="77777777" w:rsidR="00742601" w:rsidRPr="00F96B3C" w:rsidRDefault="00742601" w:rsidP="00117742">
      <w:r w:rsidRPr="00F96B3C">
        <w:t>Partial dismantling of the tank structure, such as removal of the roof or sections of the wall, enables the use of excavators and mechanical equipment. This significantly reduces the need for confined space entry and aligns with the hierarchy of control, prioritising engineering solutions over manual intervention (Crawley and Tyler, 2015).</w:t>
      </w:r>
    </w:p>
    <w:p w14:paraId="1F315DFF" w14:textId="007F948B" w:rsidR="00742601" w:rsidRPr="00F96B3C" w:rsidRDefault="00742601" w:rsidP="00117742">
      <w:r w:rsidRPr="00F96B3C">
        <w:t>Material should be transferred into appropriate containers, such as intermediate bulk containers (IBCs), for safe transport and disposal. Waste classification must be carried out to ensure compliance with hazardous waste regulations (Environment Agency, 20</w:t>
      </w:r>
      <w:r w:rsidR="009B1048">
        <w:t>2</w:t>
      </w:r>
      <w:r w:rsidRPr="00F96B3C">
        <w:t>3).</w:t>
      </w:r>
    </w:p>
    <w:p w14:paraId="43EFC492" w14:textId="77777777" w:rsidR="00742601" w:rsidRPr="006E7A5B" w:rsidRDefault="00742601" w:rsidP="00117742">
      <w:pPr>
        <w:rPr>
          <w:b/>
          <w:bCs/>
        </w:rPr>
      </w:pPr>
      <w:r w:rsidRPr="006E7A5B">
        <w:rPr>
          <w:b/>
          <w:bCs/>
        </w:rPr>
        <w:lastRenderedPageBreak/>
        <w:t>Risk Controls</w:t>
      </w:r>
    </w:p>
    <w:p w14:paraId="6054F313" w14:textId="77777777" w:rsidR="00742601" w:rsidRPr="00F96B3C" w:rsidRDefault="00742601" w:rsidP="006E7A5B">
      <w:pPr>
        <w:numPr>
          <w:ilvl w:val="0"/>
          <w:numId w:val="16"/>
        </w:numPr>
        <w:ind w:left="0" w:firstLine="0"/>
      </w:pPr>
      <w:r w:rsidRPr="00F96B3C">
        <w:t xml:space="preserve">Continuous atmospheric monitoring </w:t>
      </w:r>
    </w:p>
    <w:p w14:paraId="35FDF82B" w14:textId="77777777" w:rsidR="00742601" w:rsidRPr="00F96B3C" w:rsidRDefault="00742601" w:rsidP="006E7A5B">
      <w:pPr>
        <w:numPr>
          <w:ilvl w:val="0"/>
          <w:numId w:val="16"/>
        </w:numPr>
        <w:ind w:left="0" w:firstLine="0"/>
      </w:pPr>
      <w:r w:rsidRPr="00F96B3C">
        <w:t xml:space="preserve">Use of appropriate PPE and respiratory protective equipment (RPE) </w:t>
      </w:r>
    </w:p>
    <w:p w14:paraId="6B266269" w14:textId="77777777" w:rsidR="00742601" w:rsidRPr="00F96B3C" w:rsidRDefault="00742601" w:rsidP="006E7A5B">
      <w:pPr>
        <w:numPr>
          <w:ilvl w:val="0"/>
          <w:numId w:val="16"/>
        </w:numPr>
        <w:ind w:left="0" w:firstLine="0"/>
      </w:pPr>
      <w:r w:rsidRPr="00F96B3C">
        <w:t xml:space="preserve">Segregation of hazardous materials </w:t>
      </w:r>
    </w:p>
    <w:p w14:paraId="4996F80D" w14:textId="4AF24365" w:rsidR="00742601" w:rsidRPr="00F96B3C" w:rsidRDefault="00742601" w:rsidP="00117742">
      <w:r w:rsidRPr="00F96B3C">
        <w:t>Regular reassessment should be conducted to ensure that removal methods remain effective and appropriate.</w:t>
      </w:r>
    </w:p>
    <w:p w14:paraId="3FB6FA11" w14:textId="77777777" w:rsidR="00742601" w:rsidRPr="006E7A5B" w:rsidRDefault="00742601" w:rsidP="00117742">
      <w:pPr>
        <w:pStyle w:val="Heading2"/>
        <w:rPr>
          <w:b/>
          <w:bCs/>
        </w:rPr>
      </w:pPr>
      <w:bookmarkStart w:id="66" w:name="_Toc231152078"/>
      <w:r w:rsidRPr="006E7A5B">
        <w:rPr>
          <w:b/>
          <w:bCs/>
        </w:rPr>
        <w:t>8.6 Phase 4: Structural Demolition</w:t>
      </w:r>
      <w:bookmarkEnd w:id="66"/>
    </w:p>
    <w:p w14:paraId="69A434DE" w14:textId="77777777" w:rsidR="00742601" w:rsidRPr="00F96B3C" w:rsidRDefault="00742601" w:rsidP="00117742">
      <w:r w:rsidRPr="00F96B3C">
        <w:t>Following the removal of hazardous materials, the tank structure can be dismantled. Mechanical demolition methods, such as excavators fitted with hydraulic shears, should be used to minimise manual handling and reduce exposure to hazards.</w:t>
      </w:r>
    </w:p>
    <w:p w14:paraId="5B8D088E" w14:textId="77777777" w:rsidR="00742601" w:rsidRPr="00F96B3C" w:rsidRDefault="00742601" w:rsidP="00117742">
      <w:r w:rsidRPr="00F96B3C">
        <w:t>Key considerations include:</w:t>
      </w:r>
    </w:p>
    <w:p w14:paraId="4C8E1C9B" w14:textId="77777777" w:rsidR="00742601" w:rsidRPr="00F96B3C" w:rsidRDefault="00742601" w:rsidP="006E7A5B">
      <w:pPr>
        <w:numPr>
          <w:ilvl w:val="0"/>
          <w:numId w:val="17"/>
        </w:numPr>
        <w:ind w:left="0" w:firstLine="0"/>
      </w:pPr>
      <w:r w:rsidRPr="00F96B3C">
        <w:t xml:space="preserve">Maintaining structural stability during demolition </w:t>
      </w:r>
    </w:p>
    <w:p w14:paraId="02EC4B2B" w14:textId="77777777" w:rsidR="00742601" w:rsidRPr="00F96B3C" w:rsidRDefault="00742601" w:rsidP="006E7A5B">
      <w:pPr>
        <w:numPr>
          <w:ilvl w:val="0"/>
          <w:numId w:val="17"/>
        </w:numPr>
        <w:ind w:left="0" w:firstLine="0"/>
      </w:pPr>
      <w:r w:rsidRPr="00F96B3C">
        <w:t xml:space="preserve">Controlling the removal of large steel sections </w:t>
      </w:r>
    </w:p>
    <w:p w14:paraId="3E0C5077" w14:textId="77777777" w:rsidR="00742601" w:rsidRPr="00F96B3C" w:rsidRDefault="00742601" w:rsidP="006E7A5B">
      <w:pPr>
        <w:numPr>
          <w:ilvl w:val="0"/>
          <w:numId w:val="17"/>
        </w:numPr>
        <w:ind w:left="0" w:firstLine="0"/>
      </w:pPr>
      <w:r w:rsidRPr="00F96B3C">
        <w:t xml:space="preserve">Preventing the release of residual contaminants </w:t>
      </w:r>
    </w:p>
    <w:p w14:paraId="030C5128" w14:textId="64823F98" w:rsidR="00742601" w:rsidRPr="00F96B3C" w:rsidRDefault="00742601" w:rsidP="00117742">
      <w:r w:rsidRPr="00F96B3C">
        <w:t>Recovered steel should be segregated for recycling, providing potential economic benefit and supporting sustainability objectives.</w:t>
      </w:r>
    </w:p>
    <w:p w14:paraId="0A921B6A" w14:textId="77777777" w:rsidR="00742601" w:rsidRPr="006E7A5B" w:rsidRDefault="00742601" w:rsidP="00117742">
      <w:pPr>
        <w:pStyle w:val="Heading2"/>
        <w:rPr>
          <w:b/>
          <w:bCs/>
        </w:rPr>
      </w:pPr>
      <w:bookmarkStart w:id="67" w:name="_Toc231152079"/>
      <w:r w:rsidRPr="006E7A5B">
        <w:rPr>
          <w:b/>
          <w:bCs/>
        </w:rPr>
        <w:t>8.7 Phase 5: Environmental Remediation and Site Restoration</w:t>
      </w:r>
      <w:bookmarkEnd w:id="67"/>
    </w:p>
    <w:p w14:paraId="2232679C" w14:textId="77777777" w:rsidR="00742601" w:rsidRPr="00F96B3C" w:rsidRDefault="00742601" w:rsidP="00117742">
      <w:r w:rsidRPr="00F96B3C">
        <w:t>The final phase involves the remediation of the bunded area and restoration of the site. This includes:</w:t>
      </w:r>
    </w:p>
    <w:p w14:paraId="02BD9BB1" w14:textId="77777777" w:rsidR="00742601" w:rsidRPr="00F96B3C" w:rsidRDefault="00742601" w:rsidP="006E7A5B">
      <w:pPr>
        <w:numPr>
          <w:ilvl w:val="0"/>
          <w:numId w:val="18"/>
        </w:numPr>
        <w:ind w:left="0" w:firstLine="0"/>
      </w:pPr>
      <w:r w:rsidRPr="00F96B3C">
        <w:t xml:space="preserve">Removal of contaminated material from the bund </w:t>
      </w:r>
    </w:p>
    <w:p w14:paraId="3F0A793B" w14:textId="77777777" w:rsidR="00742601" w:rsidRPr="00F96B3C" w:rsidRDefault="00742601" w:rsidP="006E7A5B">
      <w:pPr>
        <w:numPr>
          <w:ilvl w:val="0"/>
          <w:numId w:val="18"/>
        </w:numPr>
        <w:ind w:left="0" w:firstLine="0"/>
      </w:pPr>
      <w:r w:rsidRPr="00F96B3C">
        <w:t xml:space="preserve">Cleaning and inspection of the bund structure </w:t>
      </w:r>
    </w:p>
    <w:p w14:paraId="0FD996CE" w14:textId="77777777" w:rsidR="00742601" w:rsidRPr="00F96B3C" w:rsidRDefault="00742601" w:rsidP="006E7A5B">
      <w:pPr>
        <w:numPr>
          <w:ilvl w:val="0"/>
          <w:numId w:val="18"/>
        </w:numPr>
        <w:ind w:left="0" w:firstLine="0"/>
      </w:pPr>
      <w:r w:rsidRPr="00F96B3C">
        <w:t xml:space="preserve">Repair or reconstruction of containment systems </w:t>
      </w:r>
    </w:p>
    <w:p w14:paraId="297B1EC6" w14:textId="77777777" w:rsidR="00742601" w:rsidRPr="00F96B3C" w:rsidRDefault="00742601" w:rsidP="00117742">
      <w:r w:rsidRPr="00F96B3C">
        <w:t>Bund systems must be restored to meet industry standards, ensuring adequate capacity and impermeability (CIRIA, 2014). Any contaminated soil or residual waste must be treated or disposed of in accordance with environmental regulations.</w:t>
      </w:r>
    </w:p>
    <w:p w14:paraId="21454096" w14:textId="73D903EC" w:rsidR="00742601" w:rsidRPr="00F96B3C" w:rsidRDefault="00742601" w:rsidP="00117742">
      <w:r w:rsidRPr="00F96B3C">
        <w:t>Verification of site condition should be carried out through testing and inspection to confirm compliance with regulatory requirements.</w:t>
      </w:r>
    </w:p>
    <w:p w14:paraId="78CB8471" w14:textId="77777777" w:rsidR="00742601" w:rsidRPr="006E7A5B" w:rsidRDefault="00742601" w:rsidP="00117742">
      <w:pPr>
        <w:pStyle w:val="Heading2"/>
        <w:rPr>
          <w:b/>
          <w:bCs/>
        </w:rPr>
      </w:pPr>
      <w:bookmarkStart w:id="68" w:name="_Toc231152080"/>
      <w:r w:rsidRPr="006E7A5B">
        <w:rPr>
          <w:b/>
          <w:bCs/>
        </w:rPr>
        <w:t>8.8 Integration of Risk-Based Approach</w:t>
      </w:r>
      <w:bookmarkEnd w:id="68"/>
    </w:p>
    <w:p w14:paraId="32A4EDF8" w14:textId="47EC3F18" w:rsidR="00742601" w:rsidRPr="00F96B3C" w:rsidRDefault="00742601" w:rsidP="00117742">
      <w:r w:rsidRPr="00F96B3C">
        <w:t>A key strength of the proposed strategy is the integration of risk-based decision-making throughout all phases. By addressing the highest risks first</w:t>
      </w:r>
      <w:r w:rsidR="006E7A5B">
        <w:t xml:space="preserve">, </w:t>
      </w:r>
      <w:r w:rsidRPr="00F96B3C">
        <w:t>particularly hazardous liquids and structural instability</w:t>
      </w:r>
      <w:r w:rsidR="006E7A5B">
        <w:t xml:space="preserve">, </w:t>
      </w:r>
      <w:r w:rsidRPr="00F96B3C">
        <w:t>the strategy reduces the overall risk profile before progressing to more complex activities.</w:t>
      </w:r>
    </w:p>
    <w:p w14:paraId="40EBDE04" w14:textId="354C9EF6" w:rsidR="00742601" w:rsidRPr="00F96B3C" w:rsidRDefault="00742601" w:rsidP="00117742">
      <w:r w:rsidRPr="00F96B3C">
        <w:t>The phased approach also enables continuous reassessment, allowing adjustments to be made in response to new information. This is particularly important given the uncertainty surrounding sludge composition, which represents the dominant risk driver in the project.</w:t>
      </w:r>
    </w:p>
    <w:p w14:paraId="33B114CC" w14:textId="77777777" w:rsidR="00742601" w:rsidRPr="006E7A5B" w:rsidRDefault="00742601" w:rsidP="00117742">
      <w:pPr>
        <w:pStyle w:val="Heading2"/>
        <w:rPr>
          <w:b/>
          <w:bCs/>
        </w:rPr>
      </w:pPr>
      <w:bookmarkStart w:id="69" w:name="_Toc231152081"/>
      <w:r w:rsidRPr="006E7A5B">
        <w:rPr>
          <w:b/>
          <w:bCs/>
        </w:rPr>
        <w:t>8.9 Justification of Strategy</w:t>
      </w:r>
      <w:bookmarkEnd w:id="69"/>
    </w:p>
    <w:p w14:paraId="2B77ABAE" w14:textId="77777777" w:rsidR="00742601" w:rsidRPr="00F96B3C" w:rsidRDefault="00742601" w:rsidP="00117742">
      <w:r w:rsidRPr="00F96B3C">
        <w:t>The proposed strategy is considered the most appropriate solution for the MGT decommissioning project for several reasons:</w:t>
      </w:r>
    </w:p>
    <w:p w14:paraId="2901F653" w14:textId="77777777" w:rsidR="00742601" w:rsidRPr="00F96B3C" w:rsidRDefault="00742601" w:rsidP="006E7A5B">
      <w:pPr>
        <w:numPr>
          <w:ilvl w:val="0"/>
          <w:numId w:val="19"/>
        </w:numPr>
        <w:ind w:left="0" w:firstLine="0"/>
      </w:pPr>
      <w:r w:rsidRPr="00F96B3C">
        <w:lastRenderedPageBreak/>
        <w:t xml:space="preserve">Safety: Minimises confined space entry and reduces exposure to hazards </w:t>
      </w:r>
    </w:p>
    <w:p w14:paraId="4B5385E6" w14:textId="77777777" w:rsidR="00742601" w:rsidRPr="00F96B3C" w:rsidRDefault="00742601" w:rsidP="006E7A5B">
      <w:pPr>
        <w:numPr>
          <w:ilvl w:val="0"/>
          <w:numId w:val="19"/>
        </w:numPr>
        <w:ind w:left="0" w:firstLine="0"/>
      </w:pPr>
      <w:r w:rsidRPr="00F96B3C">
        <w:t xml:space="preserve">Environmental Protection: Reduces risk of contamination through controlled removal and remediation </w:t>
      </w:r>
    </w:p>
    <w:p w14:paraId="5E44A7C9" w14:textId="77777777" w:rsidR="00742601" w:rsidRPr="00F96B3C" w:rsidRDefault="00742601" w:rsidP="006E7A5B">
      <w:pPr>
        <w:numPr>
          <w:ilvl w:val="0"/>
          <w:numId w:val="19"/>
        </w:numPr>
        <w:ind w:left="0" w:firstLine="0"/>
      </w:pPr>
      <w:r w:rsidRPr="00F96B3C">
        <w:t xml:space="preserve">Flexibility: Accommodates uncertainty in sludge composition </w:t>
      </w:r>
    </w:p>
    <w:p w14:paraId="0AE5C50E" w14:textId="77777777" w:rsidR="00742601" w:rsidRPr="00F96B3C" w:rsidRDefault="00742601" w:rsidP="006E7A5B">
      <w:pPr>
        <w:numPr>
          <w:ilvl w:val="0"/>
          <w:numId w:val="19"/>
        </w:numPr>
        <w:ind w:left="0" w:firstLine="0"/>
      </w:pPr>
      <w:r w:rsidRPr="00F96B3C">
        <w:t xml:space="preserve">Feasibility: Utilises proven engineering methods </w:t>
      </w:r>
    </w:p>
    <w:p w14:paraId="4F18DE2C" w14:textId="4DCD2E51" w:rsidR="00742601" w:rsidRDefault="00742601" w:rsidP="00117742">
      <w:r w:rsidRPr="00F96B3C">
        <w:t>Although associated with higher initial costs, the strategy reduces the likelihood of delays, rework, and incidents. In high-risk industrial environments, prioritising safety and reliability over cost is consistent with best practice (Lees, 2012).</w:t>
      </w:r>
    </w:p>
    <w:p w14:paraId="2363C1D3" w14:textId="5C1039A8" w:rsidR="00CD2A03" w:rsidRPr="00F96B3C" w:rsidRDefault="00CD2A03" w:rsidP="00117742">
      <w:r w:rsidRPr="00CD2A03">
        <w:t>The proposed strategy directly addresses the highest-ranked risks identified within the project risk assessment (Appendix E). In particular, it reduces reliance on confined space entry, manages uncertainty in sludge characteristics through a flexible phased approach, and lowers the potential for environmental contamination through controlled removal and remediation activities</w:t>
      </w:r>
      <w:r w:rsidR="004B564C">
        <w:t>.</w:t>
      </w:r>
    </w:p>
    <w:p w14:paraId="081018BA" w14:textId="77777777" w:rsidR="00742601" w:rsidRPr="006E7A5B" w:rsidRDefault="00742601" w:rsidP="00117742">
      <w:pPr>
        <w:pStyle w:val="Heading2"/>
        <w:rPr>
          <w:b/>
          <w:bCs/>
        </w:rPr>
      </w:pPr>
      <w:bookmarkStart w:id="70" w:name="_Toc231152082"/>
      <w:r w:rsidRPr="006E7A5B">
        <w:rPr>
          <w:b/>
          <w:bCs/>
        </w:rPr>
        <w:t>8.10 Summary</w:t>
      </w:r>
      <w:bookmarkEnd w:id="70"/>
    </w:p>
    <w:p w14:paraId="6C9149C5" w14:textId="77777777" w:rsidR="00742601" w:rsidRPr="00F96B3C" w:rsidRDefault="00742601" w:rsidP="00117742">
      <w:r w:rsidRPr="00F96B3C">
        <w:t>The proposed decommissioning strategy provides a structured, phased, and risk-based approach to addressing the complex challenges associated with the Million Gallon Tanks. By integrating multiple removal techniques, prioritising safety and environmental protection, and maintaining flexibility under uncertainty, the strategy offers a robust and practical solution.</w:t>
      </w:r>
    </w:p>
    <w:p w14:paraId="1CC7FF3B" w14:textId="77777777" w:rsidR="00742601" w:rsidRPr="00F96B3C" w:rsidRDefault="00742601" w:rsidP="00117742">
      <w:r w:rsidRPr="00F96B3C">
        <w:t>This approach not only addresses immediate risks but also aligns with broader objectives of regulatory compliance, sustainability, and long-term asset management.</w:t>
      </w:r>
    </w:p>
    <w:p w14:paraId="252DF8B7" w14:textId="77777777" w:rsidR="00275350" w:rsidRPr="006E7A5B" w:rsidRDefault="00275350" w:rsidP="00117742">
      <w:pPr>
        <w:pStyle w:val="Heading1"/>
        <w:rPr>
          <w:b/>
          <w:bCs/>
        </w:rPr>
      </w:pPr>
      <w:bookmarkStart w:id="71" w:name="_Toc231152083"/>
      <w:r w:rsidRPr="006E7A5B">
        <w:rPr>
          <w:b/>
          <w:bCs/>
        </w:rPr>
        <w:t>9. Discussion</w:t>
      </w:r>
      <w:bookmarkEnd w:id="71"/>
    </w:p>
    <w:p w14:paraId="6FAB38DA" w14:textId="77777777" w:rsidR="00275350" w:rsidRPr="006E7A5B" w:rsidRDefault="00275350" w:rsidP="00117742">
      <w:pPr>
        <w:pStyle w:val="Heading2"/>
        <w:rPr>
          <w:b/>
          <w:bCs/>
        </w:rPr>
      </w:pPr>
      <w:bookmarkStart w:id="72" w:name="_Toc231152084"/>
      <w:r w:rsidRPr="006E7A5B">
        <w:rPr>
          <w:b/>
          <w:bCs/>
        </w:rPr>
        <w:t>9.1 Introduction</w:t>
      </w:r>
      <w:bookmarkEnd w:id="72"/>
    </w:p>
    <w:p w14:paraId="1FAB5414" w14:textId="2F666747" w:rsidR="00275350" w:rsidRPr="002842B9" w:rsidRDefault="00275350" w:rsidP="00117742">
      <w:r w:rsidRPr="002842B9">
        <w:t>This section critically evaluates the findings of the study, linking the current state analysis, literature review, risk assessment, and contractor evaluation to the proposed decommissioning strategy. The purpose of this discussion is not to repeat earlier findings but to interpret them, identify key trade-offs, and justify why the selected approach represents the most appropriate solution for the Million Gallon Tank (MGT) decommissioning project.</w:t>
      </w:r>
    </w:p>
    <w:p w14:paraId="0AC53D90" w14:textId="77777777" w:rsidR="00275350" w:rsidRPr="006E7A5B" w:rsidRDefault="00275350" w:rsidP="00117742">
      <w:pPr>
        <w:pStyle w:val="Heading2"/>
        <w:rPr>
          <w:b/>
          <w:bCs/>
        </w:rPr>
      </w:pPr>
      <w:bookmarkStart w:id="73" w:name="_Toc231152085"/>
      <w:r w:rsidRPr="006E7A5B">
        <w:rPr>
          <w:b/>
          <w:bCs/>
        </w:rPr>
        <w:t>9.2 Evaluation of Key Findings</w:t>
      </w:r>
      <w:bookmarkEnd w:id="73"/>
    </w:p>
    <w:p w14:paraId="4BD77CED" w14:textId="168D5335" w:rsidR="00275350" w:rsidRPr="002842B9" w:rsidRDefault="00275350" w:rsidP="00117742">
      <w:r w:rsidRPr="002842B9">
        <w:t>The analysis demonstrates that the MGTs represent a complex, high-risk system where structural degradation, hazardous material accumulation, and environmental vulnerability are closely interconnected. The literature review supports the need for a phased and risk-based approach to decommissioning, particularly in situations involving hazardous waste and confined space hazards (API, 201</w:t>
      </w:r>
      <w:r w:rsidR="00814A88">
        <w:t>4</w:t>
      </w:r>
      <w:r w:rsidRPr="002842B9">
        <w:t>; HSE, 1997).</w:t>
      </w:r>
    </w:p>
    <w:p w14:paraId="24E0721B" w14:textId="77777777" w:rsidR="00275350" w:rsidRPr="002842B9" w:rsidRDefault="00275350" w:rsidP="00117742">
      <w:r w:rsidRPr="002842B9">
        <w:t>One of the most significant findings is the extent to which structural and environmental risks are interdependent. Corrosion of tank shells and supporting structures not only increases the likelihood of structural failure but also directly contributes to environmental risk by increasing the probability of containment loss. Similarly, the compromised condition of the bund system reduces the site’s ability to mitigate such failures, amplifying the potential consequences.</w:t>
      </w:r>
    </w:p>
    <w:p w14:paraId="26490065" w14:textId="745F026D" w:rsidR="00275350" w:rsidRDefault="00275350" w:rsidP="00117742">
      <w:r w:rsidRPr="002842B9">
        <w:t>The contractor analysis further highlights the limitations of single-method approaches. While mechanical drying offers cost advantages, it introduces unacceptable levels of prolonged risk exposure. Conversely, direct pumping provides rapid removal but lacks reliability due to uncertainty in sludge characteristics. These findings reinforce the importance of flexibility and adaptability in decommissioning strategies.</w:t>
      </w:r>
    </w:p>
    <w:p w14:paraId="18990E0C" w14:textId="3CDBA826" w:rsidR="007A19C3" w:rsidRPr="002842B9" w:rsidRDefault="007A19C3" w:rsidP="00117742">
      <w:r w:rsidRPr="007A19C3">
        <w:lastRenderedPageBreak/>
        <w:t>The contractor comparison presented in Appendix D further demonstrated that integrated methodologies achieved higher overall performance when assessed against safety, environmental and technical criteria. This finding supports the selection of the integrated phased approach as the preferred decommissioning strategy.</w:t>
      </w:r>
    </w:p>
    <w:p w14:paraId="59A0F363" w14:textId="77777777" w:rsidR="00275350" w:rsidRPr="006E7A5B" w:rsidRDefault="00275350" w:rsidP="00117742">
      <w:pPr>
        <w:pStyle w:val="Heading2"/>
        <w:rPr>
          <w:b/>
          <w:bCs/>
        </w:rPr>
      </w:pPr>
      <w:bookmarkStart w:id="74" w:name="_Toc231152086"/>
      <w:r w:rsidRPr="006E7A5B">
        <w:rPr>
          <w:b/>
          <w:bCs/>
        </w:rPr>
        <w:t>9.3 Trade-Off Analysis</w:t>
      </w:r>
      <w:bookmarkEnd w:id="74"/>
    </w:p>
    <w:p w14:paraId="0EA60EDC" w14:textId="77777777" w:rsidR="00275350" w:rsidRDefault="00275350" w:rsidP="00117742">
      <w:r w:rsidRPr="002842B9">
        <w:t>A key aspect of this study is the identification and evaluation of trade-offs between competing project objectives. In industrial decommissioning, it is rarely possible to optimise safety, cost, and programme simultaneously. Instead, decisions must be made based on prioritisation.</w:t>
      </w:r>
    </w:p>
    <w:p w14:paraId="288D7C71" w14:textId="77777777" w:rsidR="00272293" w:rsidRDefault="00272293" w:rsidP="00117742"/>
    <w:p w14:paraId="2E33B8F2" w14:textId="77777777" w:rsidR="00272293" w:rsidRPr="002842B9" w:rsidRDefault="00272293" w:rsidP="00117742"/>
    <w:p w14:paraId="1394C4FF" w14:textId="77777777" w:rsidR="00275350" w:rsidRPr="006E7A5B" w:rsidRDefault="00275350" w:rsidP="00117742">
      <w:pPr>
        <w:rPr>
          <w:b/>
          <w:bCs/>
        </w:rPr>
      </w:pPr>
      <w:r w:rsidRPr="006E7A5B">
        <w:rPr>
          <w:b/>
          <w:bCs/>
        </w:rPr>
        <w:t>Safety vs Cost</w:t>
      </w:r>
    </w:p>
    <w:p w14:paraId="4D563185" w14:textId="77777777" w:rsidR="00275350" w:rsidRPr="002842B9" w:rsidRDefault="00275350" w:rsidP="00117742">
      <w:r w:rsidRPr="002842B9">
        <w:t>The proposed integrated strategy is more expensive than simpler alternatives; however, this increased cost is justified by the significant reduction in safety risk. Methods that rely heavily on confined space entry or prolonged manual handling introduce unacceptable levels of risk, particularly given the degraded condition of the tanks.</w:t>
      </w:r>
    </w:p>
    <w:p w14:paraId="7EB68EB5" w14:textId="6988ADEB" w:rsidR="00275350" w:rsidRPr="002842B9" w:rsidRDefault="00275350" w:rsidP="00117742">
      <w:r w:rsidRPr="002842B9">
        <w:t>From an engineering perspective, prioritising safety aligns with both regulatory requirements and industry best practice. The potential consequences of a safety incident</w:t>
      </w:r>
      <w:r w:rsidR="006E7A5B">
        <w:t xml:space="preserve">, </w:t>
      </w:r>
      <w:r w:rsidRPr="002842B9">
        <w:t>including injury, fatality, and legal action</w:t>
      </w:r>
      <w:r w:rsidR="006E7A5B">
        <w:t xml:space="preserve"> </w:t>
      </w:r>
      <w:r w:rsidRPr="002842B9">
        <w:t>far outweigh the benefits of reduced upfront cost.</w:t>
      </w:r>
    </w:p>
    <w:p w14:paraId="3C8DBC53" w14:textId="77777777" w:rsidR="00275350" w:rsidRPr="006E7A5B" w:rsidRDefault="00275350" w:rsidP="00117742">
      <w:pPr>
        <w:rPr>
          <w:b/>
          <w:bCs/>
        </w:rPr>
      </w:pPr>
      <w:r w:rsidRPr="006E7A5B">
        <w:rPr>
          <w:b/>
          <w:bCs/>
        </w:rPr>
        <w:t>Programme Duration vs Risk Exposure</w:t>
      </w:r>
    </w:p>
    <w:p w14:paraId="247E9EAF" w14:textId="77777777" w:rsidR="00275350" w:rsidRPr="002842B9" w:rsidRDefault="00275350" w:rsidP="00117742">
      <w:r w:rsidRPr="002842B9">
        <w:t>Shorter project durations are generally desirable, as they reduce the period during which the site remains in a hazardous state. However, overly aggressive timelines may lead to the selection of inappropriate methods or insufficient planning.</w:t>
      </w:r>
    </w:p>
    <w:p w14:paraId="289A73F2" w14:textId="77777777" w:rsidR="00275350" w:rsidRPr="002842B9" w:rsidRDefault="00275350" w:rsidP="00117742">
      <w:r w:rsidRPr="002842B9">
        <w:t>The integrated approach achieves a balance by enabling relatively rapid removal of high-risk materials (such as liquids) while allowing sufficient time for controlled sludge removal and demolition. This reduces overall risk exposure without compromising safety or environmental protection.</w:t>
      </w:r>
    </w:p>
    <w:p w14:paraId="485ED29F" w14:textId="77777777" w:rsidR="00275350" w:rsidRPr="006E7A5B" w:rsidRDefault="00275350" w:rsidP="00117742">
      <w:pPr>
        <w:rPr>
          <w:b/>
          <w:bCs/>
        </w:rPr>
      </w:pPr>
      <w:r w:rsidRPr="006E7A5B">
        <w:rPr>
          <w:b/>
          <w:bCs/>
        </w:rPr>
        <w:t>Flexibility vs Complexity</w:t>
      </w:r>
    </w:p>
    <w:p w14:paraId="78C2F114" w14:textId="77777777" w:rsidR="00275350" w:rsidRPr="002842B9" w:rsidRDefault="00275350" w:rsidP="00117742">
      <w:r w:rsidRPr="002842B9">
        <w:t>The inclusion of multiple removal techniques increases operational complexity, requiring careful coordination and management. However, this complexity is necessary to accommodate uncertainty in sludge composition.</w:t>
      </w:r>
    </w:p>
    <w:p w14:paraId="5BADAA60" w14:textId="05A91AF5" w:rsidR="00275350" w:rsidRPr="002842B9" w:rsidRDefault="00275350" w:rsidP="00117742">
      <w:r w:rsidRPr="002842B9">
        <w:t>Rigid approaches that rely on a single method are more vulnerable to failure if initial assumptions prove incorrect. In contrast, a flexible strategy is more resilient, allowing adjustments to be made as conditions evolve.</w:t>
      </w:r>
    </w:p>
    <w:p w14:paraId="306DFFD7" w14:textId="77777777" w:rsidR="00275350" w:rsidRPr="006E7A5B" w:rsidRDefault="00275350" w:rsidP="00117742">
      <w:pPr>
        <w:pStyle w:val="Heading2"/>
        <w:rPr>
          <w:b/>
          <w:bCs/>
        </w:rPr>
      </w:pPr>
      <w:bookmarkStart w:id="75" w:name="_Toc231152087"/>
      <w:r w:rsidRPr="006E7A5B">
        <w:rPr>
          <w:b/>
          <w:bCs/>
        </w:rPr>
        <w:t>9.4 Role of Uncertainty in Decision-Making</w:t>
      </w:r>
      <w:bookmarkEnd w:id="75"/>
    </w:p>
    <w:p w14:paraId="06FCA237" w14:textId="1A801C30" w:rsidR="00275350" w:rsidRPr="002842B9" w:rsidRDefault="00275350" w:rsidP="00117742">
      <w:r w:rsidRPr="002842B9">
        <w:t>A central theme throughout this study is the role of uncertainty, particularly in relation to sludge composition. The physical properties of the sludge</w:t>
      </w:r>
      <w:r w:rsidR="00530D3E">
        <w:t xml:space="preserve">, </w:t>
      </w:r>
      <w:r w:rsidRPr="002842B9">
        <w:t>such as viscosity, density, and contamination level</w:t>
      </w:r>
      <w:r w:rsidR="006E7A5B">
        <w:t xml:space="preserve"> </w:t>
      </w:r>
      <w:r w:rsidRPr="002842B9">
        <w:t>directly influence the effectiveness of different removal methods.</w:t>
      </w:r>
    </w:p>
    <w:p w14:paraId="24E7D9EB" w14:textId="77777777" w:rsidR="00275350" w:rsidRPr="002842B9" w:rsidRDefault="00275350" w:rsidP="00117742">
      <w:r w:rsidRPr="002842B9">
        <w:t>This uncertainty introduces significant risk, as incorrect assumptions can lead to ineffective methods, delays, and cost escalation. For example, reliance on pumping may be ineffective if the sludge is too viscous, requiring a transition to mechanical excavation.</w:t>
      </w:r>
    </w:p>
    <w:p w14:paraId="296981A3" w14:textId="1D2562A0" w:rsidR="00275350" w:rsidRPr="002842B9" w:rsidRDefault="00275350" w:rsidP="00117742">
      <w:r w:rsidRPr="002842B9">
        <w:lastRenderedPageBreak/>
        <w:t>Rather than attempting to eliminate uncertainty entirely, the proposed strategy acknowledges and manages it. By incorporating multiple methods and adopting a phased approach, the strategy remains robust under varying conditions. This aligns with risk-based engineering principles, which emphasise adaptability and resilience.</w:t>
      </w:r>
    </w:p>
    <w:p w14:paraId="4F9F142B" w14:textId="77777777" w:rsidR="00275350" w:rsidRPr="00530D3E" w:rsidRDefault="00275350" w:rsidP="00117742">
      <w:pPr>
        <w:pStyle w:val="Heading2"/>
        <w:rPr>
          <w:b/>
          <w:bCs/>
        </w:rPr>
      </w:pPr>
      <w:bookmarkStart w:id="76" w:name="_Toc231152088"/>
      <w:r w:rsidRPr="00530D3E">
        <w:rPr>
          <w:b/>
          <w:bCs/>
        </w:rPr>
        <w:t>9.5 Alignment with Industry Best Practice</w:t>
      </w:r>
      <w:bookmarkEnd w:id="76"/>
    </w:p>
    <w:p w14:paraId="24D59A2D" w14:textId="77777777" w:rsidR="00275350" w:rsidRPr="002842B9" w:rsidRDefault="00275350" w:rsidP="00117742">
      <w:r w:rsidRPr="002842B9">
        <w:t>The proposed strategy is consistent with key principles identified in the literature:</w:t>
      </w:r>
    </w:p>
    <w:p w14:paraId="3188810C" w14:textId="77777777" w:rsidR="00275350" w:rsidRPr="002842B9" w:rsidRDefault="00275350" w:rsidP="00530D3E">
      <w:pPr>
        <w:numPr>
          <w:ilvl w:val="0"/>
          <w:numId w:val="20"/>
        </w:numPr>
        <w:ind w:left="0" w:firstLine="0"/>
      </w:pPr>
      <w:r w:rsidRPr="002842B9">
        <w:t xml:space="preserve">Minimisation of confined space entry (HSE, 1997) </w:t>
      </w:r>
    </w:p>
    <w:p w14:paraId="5CCB74E3" w14:textId="6DA625FC" w:rsidR="00275350" w:rsidRPr="002842B9" w:rsidRDefault="00275350" w:rsidP="00530D3E">
      <w:pPr>
        <w:numPr>
          <w:ilvl w:val="0"/>
          <w:numId w:val="20"/>
        </w:numPr>
        <w:ind w:left="0" w:firstLine="0"/>
      </w:pPr>
      <w:r w:rsidRPr="002842B9">
        <w:t>Application of the waste hierarchy (Environment Agency, 20</w:t>
      </w:r>
      <w:r w:rsidR="009B1048">
        <w:t>2</w:t>
      </w:r>
      <w:r w:rsidRPr="002842B9">
        <w:t xml:space="preserve">3) </w:t>
      </w:r>
    </w:p>
    <w:p w14:paraId="045005E8" w14:textId="77777777" w:rsidR="00275350" w:rsidRPr="002842B9" w:rsidRDefault="00275350" w:rsidP="00530D3E">
      <w:pPr>
        <w:numPr>
          <w:ilvl w:val="0"/>
          <w:numId w:val="20"/>
        </w:numPr>
        <w:ind w:left="0" w:firstLine="0"/>
      </w:pPr>
      <w:r w:rsidRPr="002842B9">
        <w:t xml:space="preserve">Use of engineered controls over administrative controls </w:t>
      </w:r>
    </w:p>
    <w:p w14:paraId="0CFF35CE" w14:textId="77777777" w:rsidR="00275350" w:rsidRPr="002842B9" w:rsidRDefault="00275350" w:rsidP="00530D3E">
      <w:pPr>
        <w:numPr>
          <w:ilvl w:val="0"/>
          <w:numId w:val="20"/>
        </w:numPr>
        <w:ind w:left="0" w:firstLine="0"/>
      </w:pPr>
      <w:r w:rsidRPr="002842B9">
        <w:t xml:space="preserve">Phased and risk-based project execution (PMI, 2021) </w:t>
      </w:r>
    </w:p>
    <w:p w14:paraId="1A2340DC" w14:textId="18C55D73" w:rsidR="00275350" w:rsidRPr="002842B9" w:rsidRDefault="00275350" w:rsidP="00117742">
      <w:r w:rsidRPr="002842B9">
        <w:t>By aligning with these principles, the strategy not only addresses site-specific challenges but also meets broader industry and regulatory expectations.</w:t>
      </w:r>
    </w:p>
    <w:p w14:paraId="557BF417" w14:textId="77777777" w:rsidR="00275350" w:rsidRPr="00530D3E" w:rsidRDefault="00275350" w:rsidP="00117742">
      <w:pPr>
        <w:pStyle w:val="Heading2"/>
        <w:rPr>
          <w:b/>
          <w:bCs/>
        </w:rPr>
      </w:pPr>
      <w:bookmarkStart w:id="77" w:name="_Toc231152089"/>
      <w:r w:rsidRPr="00530D3E">
        <w:rPr>
          <w:b/>
          <w:bCs/>
        </w:rPr>
        <w:t>9.6 Limitations of the Study</w:t>
      </w:r>
      <w:bookmarkEnd w:id="77"/>
    </w:p>
    <w:p w14:paraId="0F4FEABA" w14:textId="77777777" w:rsidR="00275350" w:rsidRPr="002842B9" w:rsidRDefault="00275350" w:rsidP="00117742">
      <w:r w:rsidRPr="002842B9">
        <w:t>While the study provides a comprehensive evaluation, several limitations must be acknowledged.</w:t>
      </w:r>
    </w:p>
    <w:p w14:paraId="07ECA948" w14:textId="77777777" w:rsidR="00275350" w:rsidRPr="002842B9" w:rsidRDefault="00275350" w:rsidP="00117742">
      <w:r w:rsidRPr="002842B9">
        <w:t>Firstly, the analysis is based on available data, which may not fully represent actual site conditions. In particular, limited information on sludge composition introduces uncertainty into the evaluation of removal methods.</w:t>
      </w:r>
    </w:p>
    <w:p w14:paraId="1D26DC1E" w14:textId="77777777" w:rsidR="00275350" w:rsidRPr="002842B9" w:rsidRDefault="00275350" w:rsidP="00117742">
      <w:r w:rsidRPr="002842B9">
        <w:t>Secondly, contractor proposals are based on assumptions that may differ from actual conditions encountered during implementation. This may result in variations in cost and programme.</w:t>
      </w:r>
    </w:p>
    <w:p w14:paraId="359E1B95" w14:textId="057722D7" w:rsidR="00275350" w:rsidRPr="002842B9" w:rsidRDefault="00275350" w:rsidP="00117742">
      <w:r w:rsidRPr="002842B9">
        <w:t>Finally, the study adopts a primarily qualitative approach. While this is appropriate for the nature of the project, the inclusion of more detailed quantitative analysis—such as cost modelling or risk quantification—could further strengthen the findings.</w:t>
      </w:r>
    </w:p>
    <w:p w14:paraId="0D94F747" w14:textId="77777777" w:rsidR="00275350" w:rsidRPr="00530D3E" w:rsidRDefault="00275350" w:rsidP="00117742">
      <w:pPr>
        <w:pStyle w:val="Heading2"/>
        <w:rPr>
          <w:b/>
          <w:bCs/>
        </w:rPr>
      </w:pPr>
      <w:bookmarkStart w:id="78" w:name="_Toc231152090"/>
      <w:r w:rsidRPr="00530D3E">
        <w:rPr>
          <w:b/>
          <w:bCs/>
        </w:rPr>
        <w:t>9.7 Summary</w:t>
      </w:r>
      <w:bookmarkEnd w:id="78"/>
    </w:p>
    <w:p w14:paraId="56B2D3E7" w14:textId="792DCB7F" w:rsidR="00275350" w:rsidRPr="002842B9" w:rsidRDefault="00275350" w:rsidP="00117742">
      <w:r w:rsidRPr="002842B9">
        <w:t>The discussion highlights that the decommissioning of the MGTs requires a balanced and risk-informed approach. The integrated strategy provides the most effective solution by addressing the limitations of alternative methods and accommodating uncertainty. While trade-offs are unavoidable, prioritising safety and environmental protection ensures that the project aligns with both regulatory requirements and engineering best practice.</w:t>
      </w:r>
    </w:p>
    <w:p w14:paraId="25781D09" w14:textId="77777777" w:rsidR="00275350" w:rsidRPr="00530D3E" w:rsidRDefault="00275350" w:rsidP="00117742">
      <w:pPr>
        <w:pStyle w:val="Heading1"/>
        <w:rPr>
          <w:b/>
          <w:bCs/>
        </w:rPr>
      </w:pPr>
      <w:bookmarkStart w:id="79" w:name="_Toc231152091"/>
      <w:r w:rsidRPr="00530D3E">
        <w:rPr>
          <w:b/>
          <w:bCs/>
        </w:rPr>
        <w:t>10. Conclusion</w:t>
      </w:r>
      <w:bookmarkEnd w:id="79"/>
    </w:p>
    <w:p w14:paraId="0BFEAD20" w14:textId="77777777" w:rsidR="00275350" w:rsidRPr="00530D3E" w:rsidRDefault="00275350" w:rsidP="00117742">
      <w:pPr>
        <w:pStyle w:val="Heading2"/>
        <w:rPr>
          <w:b/>
          <w:bCs/>
        </w:rPr>
      </w:pPr>
      <w:bookmarkStart w:id="80" w:name="_Toc231152092"/>
      <w:r w:rsidRPr="00530D3E">
        <w:rPr>
          <w:b/>
          <w:bCs/>
        </w:rPr>
        <w:t>10.1 Overview</w:t>
      </w:r>
      <w:bookmarkEnd w:id="80"/>
    </w:p>
    <w:p w14:paraId="0F9830BB" w14:textId="391473A7" w:rsidR="00275350" w:rsidRPr="002842B9" w:rsidRDefault="00275350" w:rsidP="00117742">
      <w:r w:rsidRPr="002842B9">
        <w:t>The decommissioning of the Million Gallon Tanks at Tata Steel Port Talbot represents a complex engineering challenge involving structural degradation, hazardous materials, and environmental risk. This dissertation has developed a risk-based strategy to address these challenges, integrating findings from literature, site analysis, contractor proposals, and risk assessment.</w:t>
      </w:r>
    </w:p>
    <w:p w14:paraId="5C921F98" w14:textId="77777777" w:rsidR="00275350" w:rsidRPr="00035074" w:rsidRDefault="00275350" w:rsidP="00117742">
      <w:pPr>
        <w:pStyle w:val="Heading2"/>
        <w:rPr>
          <w:b/>
          <w:bCs/>
        </w:rPr>
      </w:pPr>
      <w:bookmarkStart w:id="81" w:name="_Toc231152093"/>
      <w:r w:rsidRPr="00035074">
        <w:rPr>
          <w:b/>
          <w:bCs/>
        </w:rPr>
        <w:t>10.2 Key Findings</w:t>
      </w:r>
      <w:bookmarkEnd w:id="81"/>
    </w:p>
    <w:p w14:paraId="6CD2E3C1" w14:textId="77777777" w:rsidR="00275350" w:rsidRPr="002842B9" w:rsidRDefault="00275350" w:rsidP="00117742">
      <w:r w:rsidRPr="002842B9">
        <w:t>The study has identified several key findings:</w:t>
      </w:r>
    </w:p>
    <w:p w14:paraId="717865A3" w14:textId="2A7BB7C1" w:rsidR="00275350" w:rsidRPr="002842B9" w:rsidRDefault="00275350" w:rsidP="00035074">
      <w:pPr>
        <w:numPr>
          <w:ilvl w:val="0"/>
          <w:numId w:val="21"/>
        </w:numPr>
        <w:ind w:left="0" w:firstLine="0"/>
      </w:pPr>
      <w:r w:rsidRPr="002842B9">
        <w:t>The current condition of the tanks represents a high-risk scenario requiring urgent intervention</w:t>
      </w:r>
    </w:p>
    <w:p w14:paraId="32E0083D" w14:textId="67452467" w:rsidR="00275350" w:rsidRPr="002842B9" w:rsidRDefault="00275350" w:rsidP="00035074">
      <w:pPr>
        <w:numPr>
          <w:ilvl w:val="0"/>
          <w:numId w:val="21"/>
        </w:numPr>
        <w:ind w:left="0" w:firstLine="0"/>
      </w:pPr>
      <w:r w:rsidRPr="002842B9">
        <w:lastRenderedPageBreak/>
        <w:t>Structural, environmental, and safety risks are highly interdependent</w:t>
      </w:r>
    </w:p>
    <w:p w14:paraId="57A8E6E6" w14:textId="62927395" w:rsidR="00275350" w:rsidRPr="002842B9" w:rsidRDefault="00275350" w:rsidP="00035074">
      <w:pPr>
        <w:numPr>
          <w:ilvl w:val="0"/>
          <w:numId w:val="21"/>
        </w:numPr>
        <w:ind w:left="0" w:firstLine="0"/>
      </w:pPr>
      <w:r w:rsidRPr="002842B9">
        <w:t>Contractor methodologies vary significantly in terms of risk, cost, and feasibility</w:t>
      </w:r>
    </w:p>
    <w:p w14:paraId="05AEDE20" w14:textId="2769181C" w:rsidR="00275350" w:rsidRPr="002842B9" w:rsidRDefault="00275350" w:rsidP="00035074">
      <w:pPr>
        <w:numPr>
          <w:ilvl w:val="0"/>
          <w:numId w:val="21"/>
        </w:numPr>
        <w:ind w:left="0" w:firstLine="0"/>
      </w:pPr>
      <w:r w:rsidRPr="002842B9">
        <w:t>Uncertainty in sludge composition is the dominant factor influencing project outcomes</w:t>
      </w:r>
    </w:p>
    <w:p w14:paraId="39BD7C09" w14:textId="551043B1" w:rsidR="00275350" w:rsidRPr="002842B9" w:rsidRDefault="00275350" w:rsidP="00117742">
      <w:r w:rsidRPr="002842B9">
        <w:t>These findings highlight the limitations of traditional, single-method approaches and reinforce the need for a flexible and adaptive strategy.</w:t>
      </w:r>
    </w:p>
    <w:p w14:paraId="354C2D20" w14:textId="77777777" w:rsidR="00275350" w:rsidRPr="00987097" w:rsidRDefault="00275350" w:rsidP="00117742">
      <w:pPr>
        <w:pStyle w:val="Heading2"/>
        <w:rPr>
          <w:b/>
          <w:bCs/>
        </w:rPr>
      </w:pPr>
      <w:bookmarkStart w:id="82" w:name="_Toc231152094"/>
      <w:r w:rsidRPr="00987097">
        <w:rPr>
          <w:b/>
          <w:bCs/>
        </w:rPr>
        <w:t>10.3 Achievement of Aim and Objectives</w:t>
      </w:r>
      <w:bookmarkEnd w:id="82"/>
    </w:p>
    <w:p w14:paraId="466C05E2" w14:textId="77777777" w:rsidR="00275350" w:rsidRPr="002842B9" w:rsidRDefault="00275350" w:rsidP="00117742">
      <w:r w:rsidRPr="002842B9">
        <w:t>The aim of this dissertation was to develop a safe, compliant, and cost-optimised decommissioning strategy. This has been achieved through:</w:t>
      </w:r>
    </w:p>
    <w:p w14:paraId="392A801A" w14:textId="77777777" w:rsidR="00275350" w:rsidRPr="002842B9" w:rsidRDefault="00275350" w:rsidP="00987097">
      <w:pPr>
        <w:numPr>
          <w:ilvl w:val="0"/>
          <w:numId w:val="22"/>
        </w:numPr>
        <w:ind w:left="0" w:firstLine="0"/>
      </w:pPr>
      <w:r w:rsidRPr="002842B9">
        <w:t xml:space="preserve">Critical assessment of current site conditions </w:t>
      </w:r>
    </w:p>
    <w:p w14:paraId="2E81267C" w14:textId="77777777" w:rsidR="00275350" w:rsidRPr="002842B9" w:rsidRDefault="00275350" w:rsidP="00987097">
      <w:pPr>
        <w:numPr>
          <w:ilvl w:val="0"/>
          <w:numId w:val="22"/>
        </w:numPr>
        <w:ind w:left="0" w:firstLine="0"/>
      </w:pPr>
      <w:r w:rsidRPr="002842B9">
        <w:t xml:space="preserve">Evaluation of industry best practice and regulatory requirements </w:t>
      </w:r>
    </w:p>
    <w:p w14:paraId="2BAE3000" w14:textId="77777777" w:rsidR="00275350" w:rsidRPr="002842B9" w:rsidRDefault="00275350" w:rsidP="00987097">
      <w:pPr>
        <w:numPr>
          <w:ilvl w:val="0"/>
          <w:numId w:val="22"/>
        </w:numPr>
        <w:ind w:left="0" w:firstLine="0"/>
      </w:pPr>
      <w:r w:rsidRPr="002842B9">
        <w:t xml:space="preserve">Comparative analysis of contractor methodologies </w:t>
      </w:r>
    </w:p>
    <w:p w14:paraId="54743861" w14:textId="77777777" w:rsidR="00275350" w:rsidRPr="002842B9" w:rsidRDefault="00275350" w:rsidP="00987097">
      <w:pPr>
        <w:numPr>
          <w:ilvl w:val="0"/>
          <w:numId w:val="22"/>
        </w:numPr>
        <w:ind w:left="0" w:firstLine="0"/>
      </w:pPr>
      <w:r w:rsidRPr="002842B9">
        <w:t xml:space="preserve">Development of a phased, risk-based strategy </w:t>
      </w:r>
    </w:p>
    <w:p w14:paraId="6BF8E128" w14:textId="271AFC16" w:rsidR="00275350" w:rsidRPr="002842B9" w:rsidRDefault="00275350" w:rsidP="00117742">
      <w:r w:rsidRPr="002842B9">
        <w:t>Each objective has been addressed, resulting in a comprehensive and practical solution.</w:t>
      </w:r>
    </w:p>
    <w:p w14:paraId="45E2A58E" w14:textId="77777777" w:rsidR="00275350" w:rsidRPr="00987097" w:rsidRDefault="00275350" w:rsidP="00117742">
      <w:pPr>
        <w:pStyle w:val="Heading2"/>
        <w:rPr>
          <w:b/>
          <w:bCs/>
        </w:rPr>
      </w:pPr>
      <w:bookmarkStart w:id="83" w:name="_Toc231152095"/>
      <w:r w:rsidRPr="00987097">
        <w:rPr>
          <w:b/>
          <w:bCs/>
        </w:rPr>
        <w:t>10.4 Final Recommendation</w:t>
      </w:r>
      <w:bookmarkEnd w:id="83"/>
    </w:p>
    <w:p w14:paraId="22F61354" w14:textId="77777777" w:rsidR="00275350" w:rsidRPr="002842B9" w:rsidRDefault="00275350" w:rsidP="00117742">
      <w:r w:rsidRPr="002842B9">
        <w:t>The integrated phased decommissioning strategy is recommended as the most suitable approach for the MGT project. This strategy:</w:t>
      </w:r>
    </w:p>
    <w:p w14:paraId="55502FB7" w14:textId="77777777" w:rsidR="00275350" w:rsidRPr="002842B9" w:rsidRDefault="00275350" w:rsidP="00987097">
      <w:pPr>
        <w:numPr>
          <w:ilvl w:val="0"/>
          <w:numId w:val="23"/>
        </w:numPr>
        <w:ind w:left="0" w:firstLine="0"/>
      </w:pPr>
      <w:r w:rsidRPr="002842B9">
        <w:t xml:space="preserve">Reduces safety risks through minimisation of confined space entry </w:t>
      </w:r>
    </w:p>
    <w:p w14:paraId="00437426" w14:textId="77777777" w:rsidR="00275350" w:rsidRPr="002842B9" w:rsidRDefault="00275350" w:rsidP="00987097">
      <w:pPr>
        <w:numPr>
          <w:ilvl w:val="0"/>
          <w:numId w:val="23"/>
        </w:numPr>
        <w:ind w:left="0" w:firstLine="0"/>
      </w:pPr>
      <w:r w:rsidRPr="002842B9">
        <w:t xml:space="preserve">Limits environmental impact through controlled removal and remediation </w:t>
      </w:r>
    </w:p>
    <w:p w14:paraId="36CB822A" w14:textId="77777777" w:rsidR="00275350" w:rsidRPr="002842B9" w:rsidRDefault="00275350" w:rsidP="00987097">
      <w:pPr>
        <w:numPr>
          <w:ilvl w:val="0"/>
          <w:numId w:val="23"/>
        </w:numPr>
        <w:ind w:left="0" w:firstLine="0"/>
      </w:pPr>
      <w:r w:rsidRPr="002842B9">
        <w:t xml:space="preserve">Provides flexibility to manage uncertainty </w:t>
      </w:r>
    </w:p>
    <w:p w14:paraId="384D4D1E" w14:textId="77777777" w:rsidR="00275350" w:rsidRPr="002842B9" w:rsidRDefault="00275350" w:rsidP="00987097">
      <w:pPr>
        <w:numPr>
          <w:ilvl w:val="0"/>
          <w:numId w:val="23"/>
        </w:numPr>
        <w:ind w:left="0" w:firstLine="0"/>
      </w:pPr>
      <w:r w:rsidRPr="002842B9">
        <w:t xml:space="preserve">Aligns with regulatory and industry best practice </w:t>
      </w:r>
    </w:p>
    <w:p w14:paraId="3A954DEA" w14:textId="3CC88A68" w:rsidR="00275350" w:rsidRPr="002842B9" w:rsidRDefault="00275350" w:rsidP="00117742">
      <w:r w:rsidRPr="002842B9">
        <w:t>Although associated with higher initial costs, the strategy offers greater overall value by reducing risk and improving the likelihood of successful project completion.</w:t>
      </w:r>
    </w:p>
    <w:p w14:paraId="0CDAD96F" w14:textId="77777777" w:rsidR="00275350" w:rsidRPr="00987097" w:rsidRDefault="00275350" w:rsidP="00117742">
      <w:pPr>
        <w:pStyle w:val="Heading2"/>
        <w:rPr>
          <w:b/>
          <w:bCs/>
        </w:rPr>
      </w:pPr>
      <w:bookmarkStart w:id="84" w:name="_Toc231152096"/>
      <w:r w:rsidRPr="00987097">
        <w:rPr>
          <w:b/>
          <w:bCs/>
        </w:rPr>
        <w:t>10.5 Future Considerations</w:t>
      </w:r>
      <w:bookmarkEnd w:id="84"/>
    </w:p>
    <w:p w14:paraId="42D43F7B" w14:textId="77777777" w:rsidR="00275350" w:rsidRPr="002842B9" w:rsidRDefault="00275350" w:rsidP="00117742">
      <w:r w:rsidRPr="002842B9">
        <w:t>To further improve project outcomes, the following actions are recommended:</w:t>
      </w:r>
    </w:p>
    <w:p w14:paraId="63942873" w14:textId="77777777" w:rsidR="00275350" w:rsidRPr="002842B9" w:rsidRDefault="00275350" w:rsidP="00987097">
      <w:pPr>
        <w:numPr>
          <w:ilvl w:val="0"/>
          <w:numId w:val="24"/>
        </w:numPr>
        <w:ind w:left="0" w:firstLine="0"/>
      </w:pPr>
      <w:r w:rsidRPr="002842B9">
        <w:t xml:space="preserve">Detailed sampling and analysis of sludge prior to implementation </w:t>
      </w:r>
    </w:p>
    <w:p w14:paraId="45E0AAA7" w14:textId="77777777" w:rsidR="00275350" w:rsidRPr="002842B9" w:rsidRDefault="00275350" w:rsidP="00987097">
      <w:pPr>
        <w:numPr>
          <w:ilvl w:val="0"/>
          <w:numId w:val="24"/>
        </w:numPr>
        <w:ind w:left="0" w:firstLine="0"/>
      </w:pPr>
      <w:r w:rsidRPr="002842B9">
        <w:t xml:space="preserve">Pilot trials to validate removal methods </w:t>
      </w:r>
    </w:p>
    <w:p w14:paraId="56FFB191" w14:textId="77777777" w:rsidR="00275350" w:rsidRPr="002842B9" w:rsidRDefault="00275350" w:rsidP="00987097">
      <w:pPr>
        <w:numPr>
          <w:ilvl w:val="0"/>
          <w:numId w:val="24"/>
        </w:numPr>
        <w:ind w:left="0" w:firstLine="0"/>
      </w:pPr>
      <w:r w:rsidRPr="002842B9">
        <w:t xml:space="preserve">Continuous monitoring and adaptation during execution </w:t>
      </w:r>
    </w:p>
    <w:p w14:paraId="3DCC42F8" w14:textId="369FECC7" w:rsidR="00275350" w:rsidRPr="002842B9" w:rsidRDefault="00275350" w:rsidP="00987097">
      <w:pPr>
        <w:numPr>
          <w:ilvl w:val="0"/>
          <w:numId w:val="24"/>
        </w:numPr>
        <w:ind w:left="0" w:firstLine="0"/>
      </w:pPr>
      <w:r w:rsidRPr="002842B9">
        <w:t xml:space="preserve">Integration of lifecycle planning into future asset design </w:t>
      </w:r>
    </w:p>
    <w:p w14:paraId="6031F0E5" w14:textId="77777777" w:rsidR="00275350" w:rsidRPr="00987097" w:rsidRDefault="00275350" w:rsidP="00117742">
      <w:pPr>
        <w:pStyle w:val="Heading2"/>
        <w:rPr>
          <w:b/>
          <w:bCs/>
        </w:rPr>
      </w:pPr>
      <w:bookmarkStart w:id="85" w:name="_Toc231152097"/>
      <w:r w:rsidRPr="00987097">
        <w:rPr>
          <w:b/>
          <w:bCs/>
        </w:rPr>
        <w:t>10.6 Closing Statement</w:t>
      </w:r>
      <w:bookmarkEnd w:id="85"/>
    </w:p>
    <w:p w14:paraId="7203678C" w14:textId="435A26E2" w:rsidR="00275350" w:rsidRDefault="00275350" w:rsidP="00117742">
      <w:r w:rsidRPr="002842B9">
        <w:t>The challenges associated with the Million Gallon Tanks highlight the broader issue of managing ageing industrial infrastructure. By adopting a structured, risk-based approach, it is possible to address these challenges effectively while ensuring safety, compliance, and sustainability. The findings of this study provide a practical framework that can be applied not only to the MGT project but also to similar decommissioning challenges across the industrial sector.</w:t>
      </w:r>
    </w:p>
    <w:p w14:paraId="10F418EE" w14:textId="77777777" w:rsidR="00693166" w:rsidRDefault="00693166" w:rsidP="00275350"/>
    <w:p w14:paraId="62BAE16A" w14:textId="77777777" w:rsidR="00987097" w:rsidRPr="00D3284C" w:rsidRDefault="00987097" w:rsidP="00275350"/>
    <w:p w14:paraId="07A86611" w14:textId="15AA64CF" w:rsidR="00275350" w:rsidRPr="00987097" w:rsidRDefault="00275350" w:rsidP="002A3E91">
      <w:pPr>
        <w:pStyle w:val="Heading1"/>
        <w:rPr>
          <w:b/>
          <w:bCs/>
        </w:rPr>
      </w:pPr>
      <w:bookmarkStart w:id="86" w:name="_Toc231152098"/>
      <w:r w:rsidRPr="00987097">
        <w:rPr>
          <w:b/>
          <w:bCs/>
        </w:rPr>
        <w:t>11. References</w:t>
      </w:r>
      <w:bookmarkEnd w:id="86"/>
      <w:r w:rsidRPr="00987097">
        <w:rPr>
          <w:b/>
          <w:bCs/>
        </w:rPr>
        <w:t xml:space="preserve"> </w:t>
      </w:r>
    </w:p>
    <w:p w14:paraId="3B73BA73" w14:textId="77777777" w:rsidR="00934D19" w:rsidRDefault="00555B7D" w:rsidP="00C434B8">
      <w:r w:rsidRPr="00555B7D">
        <w:t xml:space="preserve">American Petroleum Institute (API) (2014) </w:t>
      </w:r>
      <w:r w:rsidRPr="00555B7D">
        <w:rPr>
          <w:i/>
          <w:iCs/>
        </w:rPr>
        <w:t>API Standard 2015: Requirements for Safe Entry and Cleaning of Petroleum Storage Tanks</w:t>
      </w:r>
      <w:r w:rsidRPr="00555B7D">
        <w:t xml:space="preserve">. 7th </w:t>
      </w:r>
      <w:proofErr w:type="spellStart"/>
      <w:r w:rsidRPr="00555B7D">
        <w:t>edn</w:t>
      </w:r>
      <w:proofErr w:type="spellEnd"/>
      <w:r w:rsidRPr="00555B7D">
        <w:t>. Washington, DC: American Petroleum Institute.</w:t>
      </w:r>
    </w:p>
    <w:p w14:paraId="0C9A8ADB" w14:textId="29805619" w:rsidR="00C434B8" w:rsidRPr="00C434B8" w:rsidRDefault="00C434B8" w:rsidP="00C434B8">
      <w:r w:rsidRPr="00C434B8">
        <w:t xml:space="preserve">American Petroleum Institute (API) (2020) </w:t>
      </w:r>
      <w:r w:rsidRPr="00C434B8">
        <w:rPr>
          <w:i/>
          <w:iCs/>
        </w:rPr>
        <w:t>API Standard 653: Tank Inspection, Repair, Alteration and Reconstruction</w:t>
      </w:r>
      <w:r w:rsidRPr="00C434B8">
        <w:t xml:space="preserve">. 5th </w:t>
      </w:r>
      <w:proofErr w:type="spellStart"/>
      <w:r w:rsidRPr="00C434B8">
        <w:t>edn</w:t>
      </w:r>
      <w:proofErr w:type="spellEnd"/>
      <w:r w:rsidRPr="00C434B8">
        <w:t>. Washington, DC: American Petroleum Institute.</w:t>
      </w:r>
    </w:p>
    <w:p w14:paraId="1FCDA52A" w14:textId="77777777" w:rsidR="00C434B8" w:rsidRPr="00C434B8" w:rsidRDefault="00C434B8" w:rsidP="00C434B8">
      <w:r w:rsidRPr="00C434B8">
        <w:t xml:space="preserve">Belton, V. and Stewart, T. (2002) </w:t>
      </w:r>
      <w:r w:rsidRPr="00C434B8">
        <w:rPr>
          <w:i/>
          <w:iCs/>
        </w:rPr>
        <w:t>Multiple Criteria Decision Analysis: An Integrated Approach</w:t>
      </w:r>
      <w:r w:rsidRPr="00C434B8">
        <w:t>. Dordrecht: Kluwer Academic Publishers.</w:t>
      </w:r>
    </w:p>
    <w:p w14:paraId="2F45F92D" w14:textId="77777777" w:rsidR="00C434B8" w:rsidRPr="00C434B8" w:rsidRDefault="00C434B8" w:rsidP="00C434B8">
      <w:r w:rsidRPr="00C434B8">
        <w:t xml:space="preserve">Centre for Chemical Process Safety (CCPS) (2019) </w:t>
      </w:r>
      <w:r w:rsidRPr="00C434B8">
        <w:rPr>
          <w:i/>
          <w:iCs/>
        </w:rPr>
        <w:t>Guidelines for Risk Based Process Safety</w:t>
      </w:r>
      <w:r w:rsidRPr="00C434B8">
        <w:t xml:space="preserve">. 2nd </w:t>
      </w:r>
      <w:proofErr w:type="spellStart"/>
      <w:r w:rsidRPr="00C434B8">
        <w:t>edn</w:t>
      </w:r>
      <w:proofErr w:type="spellEnd"/>
      <w:r w:rsidRPr="00C434B8">
        <w:t>. Hoboken, NJ: John Wiley &amp; Sons.</w:t>
      </w:r>
    </w:p>
    <w:p w14:paraId="2A7500AD" w14:textId="77777777" w:rsidR="00C434B8" w:rsidRPr="00C434B8" w:rsidRDefault="00C434B8" w:rsidP="00C434B8">
      <w:r w:rsidRPr="00C434B8">
        <w:t xml:space="preserve">CIRIA (2014) </w:t>
      </w:r>
      <w:r w:rsidRPr="00C434B8">
        <w:rPr>
          <w:i/>
          <w:iCs/>
        </w:rPr>
        <w:t>Containment Systems for the Prevention of Pollution (C736)</w:t>
      </w:r>
      <w:r w:rsidRPr="00C434B8">
        <w:t>. London: CIRIA.</w:t>
      </w:r>
    </w:p>
    <w:p w14:paraId="65A7B1B4" w14:textId="77777777" w:rsidR="00C434B8" w:rsidRPr="00C434B8" w:rsidRDefault="00C434B8" w:rsidP="00C434B8">
      <w:r w:rsidRPr="00C434B8">
        <w:t xml:space="preserve">Crawley, F. and Tyler, B. (2015) </w:t>
      </w:r>
      <w:r w:rsidRPr="00C434B8">
        <w:rPr>
          <w:i/>
          <w:iCs/>
        </w:rPr>
        <w:t>Hazard Identification Methods</w:t>
      </w:r>
      <w:r w:rsidRPr="00C434B8">
        <w:t xml:space="preserve">. Rugby: </w:t>
      </w:r>
      <w:proofErr w:type="spellStart"/>
      <w:r w:rsidRPr="00C434B8">
        <w:t>IChemE</w:t>
      </w:r>
      <w:proofErr w:type="spellEnd"/>
      <w:r w:rsidRPr="00C434B8">
        <w:t>.</w:t>
      </w:r>
    </w:p>
    <w:p w14:paraId="6D5943D1" w14:textId="77777777" w:rsidR="00C434B8" w:rsidRPr="00C434B8" w:rsidRDefault="00C434B8" w:rsidP="00C434B8">
      <w:r w:rsidRPr="00C434B8">
        <w:t xml:space="preserve">Creswell, J.W. and Creswell, J.D. (2018) </w:t>
      </w:r>
      <w:r w:rsidRPr="00C434B8">
        <w:rPr>
          <w:i/>
          <w:iCs/>
        </w:rPr>
        <w:t>Research Design: Qualitative, Quantitative and Mixed Methods Approaches</w:t>
      </w:r>
      <w:r w:rsidRPr="00C434B8">
        <w:t xml:space="preserve">. 5th </w:t>
      </w:r>
      <w:proofErr w:type="spellStart"/>
      <w:r w:rsidRPr="00C434B8">
        <w:t>edn</w:t>
      </w:r>
      <w:proofErr w:type="spellEnd"/>
      <w:r w:rsidRPr="00C434B8">
        <w:t>. London: Sage.</w:t>
      </w:r>
    </w:p>
    <w:p w14:paraId="4D45E456" w14:textId="77777777" w:rsidR="00C434B8" w:rsidRPr="00C434B8" w:rsidRDefault="00C434B8" w:rsidP="00C434B8">
      <w:r w:rsidRPr="00C434B8">
        <w:t xml:space="preserve">EEMUA (2014) </w:t>
      </w:r>
      <w:r w:rsidRPr="00C434B8">
        <w:rPr>
          <w:i/>
          <w:iCs/>
        </w:rPr>
        <w:t>Publication 159: Above Ground Flat Bottomed Storage Tanks – A Guide to Inspection, Maintenance and Repair</w:t>
      </w:r>
      <w:r w:rsidRPr="00C434B8">
        <w:t>. London: Engineering Equipment and Materials Users Association.</w:t>
      </w:r>
    </w:p>
    <w:p w14:paraId="29A56208" w14:textId="77777777" w:rsidR="00C434B8" w:rsidRPr="00C434B8" w:rsidRDefault="00C434B8" w:rsidP="00C434B8">
      <w:r w:rsidRPr="00C434B8">
        <w:t xml:space="preserve">Environment Agency (2023) </w:t>
      </w:r>
      <w:r w:rsidRPr="00C434B8">
        <w:rPr>
          <w:i/>
          <w:iCs/>
        </w:rPr>
        <w:t>WM3 Waste Classification: Guidance on the Classification and Assessment of Waste</w:t>
      </w:r>
      <w:r w:rsidRPr="00C434B8">
        <w:t>. Bristol: Environment Agency.</w:t>
      </w:r>
    </w:p>
    <w:p w14:paraId="48AE9463" w14:textId="77777777" w:rsidR="00C434B8" w:rsidRPr="00C434B8" w:rsidRDefault="00C434B8" w:rsidP="00C434B8">
      <w:r w:rsidRPr="00C434B8">
        <w:t xml:space="preserve">European Parliament and Council (2008) </w:t>
      </w:r>
      <w:r w:rsidRPr="00C434B8">
        <w:rPr>
          <w:i/>
          <w:iCs/>
        </w:rPr>
        <w:t>Directive 2008/98/EC on Waste and Repealing Certain Directives (Waste Framework Directive)</w:t>
      </w:r>
      <w:r w:rsidRPr="00C434B8">
        <w:t>. Official Journal of the European Union, L312, pp. 3–30.</w:t>
      </w:r>
    </w:p>
    <w:p w14:paraId="6C7F7EBE" w14:textId="77777777" w:rsidR="00C434B8" w:rsidRPr="00C434B8" w:rsidRDefault="00C434B8" w:rsidP="00C434B8">
      <w:proofErr w:type="spellStart"/>
      <w:r w:rsidRPr="00C434B8">
        <w:t>Geissdoerfer</w:t>
      </w:r>
      <w:proofErr w:type="spellEnd"/>
      <w:r w:rsidRPr="00C434B8">
        <w:t xml:space="preserve">, M., </w:t>
      </w:r>
      <w:proofErr w:type="spellStart"/>
      <w:r w:rsidRPr="00C434B8">
        <w:t>Savaget</w:t>
      </w:r>
      <w:proofErr w:type="spellEnd"/>
      <w:r w:rsidRPr="00C434B8">
        <w:t xml:space="preserve">, P., </w:t>
      </w:r>
      <w:proofErr w:type="spellStart"/>
      <w:r w:rsidRPr="00C434B8">
        <w:t>Bocken</w:t>
      </w:r>
      <w:proofErr w:type="spellEnd"/>
      <w:r w:rsidRPr="00C434B8">
        <w:t xml:space="preserve">, N.M.P. and </w:t>
      </w:r>
      <w:proofErr w:type="spellStart"/>
      <w:r w:rsidRPr="00C434B8">
        <w:t>Hultink</w:t>
      </w:r>
      <w:proofErr w:type="spellEnd"/>
      <w:r w:rsidRPr="00C434B8">
        <w:t xml:space="preserve">, E.J. (2017) ‘The circular economy – A new sustainability paradigm?’, </w:t>
      </w:r>
      <w:r w:rsidRPr="00C434B8">
        <w:rPr>
          <w:i/>
          <w:iCs/>
        </w:rPr>
        <w:t>Journal of Cleaner Production</w:t>
      </w:r>
      <w:r w:rsidRPr="00C434B8">
        <w:t>, 143, pp. 757–768.</w:t>
      </w:r>
    </w:p>
    <w:p w14:paraId="722E24A0" w14:textId="77777777" w:rsidR="00C434B8" w:rsidRPr="00C434B8" w:rsidRDefault="00C434B8" w:rsidP="00C434B8">
      <w:r w:rsidRPr="00C434B8">
        <w:t xml:space="preserve">Health and Safety Executive (HSE) (1997) </w:t>
      </w:r>
      <w:r w:rsidRPr="00C434B8">
        <w:rPr>
          <w:i/>
          <w:iCs/>
        </w:rPr>
        <w:t>Safe Work in Confined Spaces: Confined Spaces Regulations 1997. Approved Code of Practice and Guidance (L101)</w:t>
      </w:r>
      <w:r w:rsidRPr="00C434B8">
        <w:t>. London: HSE Books.</w:t>
      </w:r>
    </w:p>
    <w:p w14:paraId="6F3FF3A6" w14:textId="77777777" w:rsidR="00C434B8" w:rsidRPr="00C434B8" w:rsidRDefault="00C434B8" w:rsidP="00C434B8">
      <w:r w:rsidRPr="00C434B8">
        <w:t xml:space="preserve">Health and Safety Executive (HSE) (2001) </w:t>
      </w:r>
      <w:r w:rsidRPr="00C434B8">
        <w:rPr>
          <w:i/>
          <w:iCs/>
        </w:rPr>
        <w:t>Reducing Risks, Protecting People (R2P2)</w:t>
      </w:r>
      <w:r w:rsidRPr="00C434B8">
        <w:t>. London: HSE Books.</w:t>
      </w:r>
    </w:p>
    <w:p w14:paraId="03732C4E" w14:textId="77777777" w:rsidR="00C434B8" w:rsidRPr="00C434B8" w:rsidRDefault="00C434B8" w:rsidP="00C434B8">
      <w:r w:rsidRPr="00C434B8">
        <w:t xml:space="preserve">Health and Safety Executive (HSE) (2002) </w:t>
      </w:r>
      <w:r w:rsidRPr="00C434B8">
        <w:rPr>
          <w:i/>
          <w:iCs/>
        </w:rPr>
        <w:t>Control of Substances Hazardous to Health Regulations 2002 (COSHH): Approved Code of Practice and Guidance</w:t>
      </w:r>
      <w:r w:rsidRPr="00C434B8">
        <w:t>. London: HSE Books.</w:t>
      </w:r>
    </w:p>
    <w:p w14:paraId="74776FB2" w14:textId="77777777" w:rsidR="00C434B8" w:rsidRPr="00C434B8" w:rsidRDefault="00C434B8" w:rsidP="00C434B8">
      <w:r w:rsidRPr="00C434B8">
        <w:t xml:space="preserve">Health and Safety Executive (HSE) (2005) </w:t>
      </w:r>
      <w:r w:rsidRPr="00C434B8">
        <w:rPr>
          <w:i/>
          <w:iCs/>
        </w:rPr>
        <w:t>Work at Height Regulations 2005: Guidance on Regulations</w:t>
      </w:r>
      <w:r w:rsidRPr="00C434B8">
        <w:t>. London: HSE Books.</w:t>
      </w:r>
    </w:p>
    <w:p w14:paraId="2504E4D2" w14:textId="77777777" w:rsidR="00C434B8" w:rsidRPr="00C434B8" w:rsidRDefault="00C434B8" w:rsidP="00C434B8">
      <w:r w:rsidRPr="00C434B8">
        <w:t xml:space="preserve">Health and Safety Executive (HSE) (2023) </w:t>
      </w:r>
      <w:r w:rsidRPr="00C434B8">
        <w:rPr>
          <w:i/>
          <w:iCs/>
        </w:rPr>
        <w:t>Managing Risks and Risk Assessment at Work</w:t>
      </w:r>
      <w:r w:rsidRPr="00C434B8">
        <w:t>. London: HSE.</w:t>
      </w:r>
    </w:p>
    <w:p w14:paraId="47CB0828" w14:textId="77777777" w:rsidR="00C434B8" w:rsidRPr="00C434B8" w:rsidRDefault="00C434B8" w:rsidP="00C434B8">
      <w:r w:rsidRPr="00C434B8">
        <w:t xml:space="preserve">Hopkin, P. (2023) </w:t>
      </w:r>
      <w:r w:rsidRPr="00C434B8">
        <w:rPr>
          <w:i/>
          <w:iCs/>
        </w:rPr>
        <w:t>Fundamentals of Risk Management</w:t>
      </w:r>
      <w:r w:rsidRPr="00C434B8">
        <w:t xml:space="preserve">. 6th </w:t>
      </w:r>
      <w:proofErr w:type="spellStart"/>
      <w:r w:rsidRPr="00C434B8">
        <w:t>edn</w:t>
      </w:r>
      <w:proofErr w:type="spellEnd"/>
      <w:r w:rsidRPr="00C434B8">
        <w:t>. London: Kogan Page.</w:t>
      </w:r>
    </w:p>
    <w:p w14:paraId="5304C564" w14:textId="77777777" w:rsidR="00C434B8" w:rsidRPr="00C434B8" w:rsidRDefault="00C434B8" w:rsidP="00C434B8">
      <w:r w:rsidRPr="00C434B8">
        <w:lastRenderedPageBreak/>
        <w:t xml:space="preserve">ISO (2018) </w:t>
      </w:r>
      <w:r w:rsidRPr="00C434B8">
        <w:rPr>
          <w:i/>
          <w:iCs/>
        </w:rPr>
        <w:t>ISO 31000:2018 Risk Management – Guidelines</w:t>
      </w:r>
      <w:r w:rsidRPr="00C434B8">
        <w:t>. Geneva: International Organization for Standardization.</w:t>
      </w:r>
    </w:p>
    <w:p w14:paraId="79156584" w14:textId="77777777" w:rsidR="00C434B8" w:rsidRPr="00C434B8" w:rsidRDefault="00C434B8" w:rsidP="00C434B8">
      <w:r w:rsidRPr="00C434B8">
        <w:t xml:space="preserve">Keeney, R.L. and </w:t>
      </w:r>
      <w:proofErr w:type="spellStart"/>
      <w:r w:rsidRPr="00C434B8">
        <w:t>Raiffa</w:t>
      </w:r>
      <w:proofErr w:type="spellEnd"/>
      <w:r w:rsidRPr="00C434B8">
        <w:t xml:space="preserve">, H. (1993) </w:t>
      </w:r>
      <w:r w:rsidRPr="00C434B8">
        <w:rPr>
          <w:i/>
          <w:iCs/>
        </w:rPr>
        <w:t>Decisions with Multiple Objectives: Preferences and Value Trade-offs</w:t>
      </w:r>
      <w:r w:rsidRPr="00C434B8">
        <w:t>. Cambridge: Cambridge University Press.</w:t>
      </w:r>
    </w:p>
    <w:p w14:paraId="44E47123" w14:textId="77777777" w:rsidR="00C434B8" w:rsidRPr="00C434B8" w:rsidRDefault="00C434B8" w:rsidP="00C434B8">
      <w:r w:rsidRPr="00C434B8">
        <w:t xml:space="preserve">Kerzner, H. (2022) </w:t>
      </w:r>
      <w:r w:rsidRPr="00C434B8">
        <w:rPr>
          <w:i/>
          <w:iCs/>
        </w:rPr>
        <w:t>Project Management: A Systems Approach to Planning, Scheduling and Controlling</w:t>
      </w:r>
      <w:r w:rsidRPr="00C434B8">
        <w:t xml:space="preserve">. 13th </w:t>
      </w:r>
      <w:proofErr w:type="spellStart"/>
      <w:r w:rsidRPr="00C434B8">
        <w:t>edn</w:t>
      </w:r>
      <w:proofErr w:type="spellEnd"/>
      <w:r w:rsidRPr="00C434B8">
        <w:t>. Hoboken, NJ: John Wiley &amp; Sons.</w:t>
      </w:r>
    </w:p>
    <w:p w14:paraId="0AD5330B" w14:textId="77777777" w:rsidR="00C434B8" w:rsidRPr="00C434B8" w:rsidRDefault="00C434B8" w:rsidP="00C434B8">
      <w:r w:rsidRPr="00C434B8">
        <w:t xml:space="preserve">Khan, F.I. and Abbasi, S.A. (1999) ‘Major accidents in process industries and an analysis of causes and consequences’, </w:t>
      </w:r>
      <w:r w:rsidRPr="00C434B8">
        <w:rPr>
          <w:i/>
          <w:iCs/>
        </w:rPr>
        <w:t>Journal of Loss Prevention in the Process Industries</w:t>
      </w:r>
      <w:r w:rsidRPr="00C434B8">
        <w:t>, 12(5), pp. 361–378.</w:t>
      </w:r>
    </w:p>
    <w:p w14:paraId="3013F2FB" w14:textId="77777777" w:rsidR="00C434B8" w:rsidRPr="00C434B8" w:rsidRDefault="00C434B8" w:rsidP="00C434B8">
      <w:r w:rsidRPr="00C434B8">
        <w:t xml:space="preserve">Lees, F.P. (2012) </w:t>
      </w:r>
      <w:r w:rsidRPr="00C434B8">
        <w:rPr>
          <w:i/>
          <w:iCs/>
        </w:rPr>
        <w:t>Lees’ Loss Prevention in the Process Industries</w:t>
      </w:r>
      <w:r w:rsidRPr="00C434B8">
        <w:t xml:space="preserve">. 4th </w:t>
      </w:r>
      <w:proofErr w:type="spellStart"/>
      <w:r w:rsidRPr="00C434B8">
        <w:t>edn</w:t>
      </w:r>
      <w:proofErr w:type="spellEnd"/>
      <w:r w:rsidRPr="00C434B8">
        <w:t>. Oxford: Butterworth-Heinemann.</w:t>
      </w:r>
    </w:p>
    <w:p w14:paraId="085D53B0" w14:textId="0B0EC1EF" w:rsidR="00C434B8" w:rsidRPr="00C434B8" w:rsidRDefault="00C434B8" w:rsidP="00C434B8">
      <w:r w:rsidRPr="00C434B8">
        <w:t>Monolithic Environmental Services Ltd</w:t>
      </w:r>
      <w:r w:rsidR="00272293">
        <w:t xml:space="preserve">, </w:t>
      </w:r>
      <w:r w:rsidRPr="00C434B8">
        <w:rPr>
          <w:i/>
          <w:iCs/>
        </w:rPr>
        <w:t>Asbestos Abatement Works Proposal – Million Gallon Tanks</w:t>
      </w:r>
      <w:r w:rsidRPr="00C434B8">
        <w:t>. Internal contractor proposal.</w:t>
      </w:r>
    </w:p>
    <w:p w14:paraId="7F604BDE" w14:textId="77777777" w:rsidR="00C434B8" w:rsidRPr="00C434B8" w:rsidRDefault="00C434B8" w:rsidP="00C434B8">
      <w:r w:rsidRPr="00C434B8">
        <w:t xml:space="preserve">Project Management Institute (PMI) (2021) </w:t>
      </w:r>
      <w:r w:rsidRPr="00C434B8">
        <w:rPr>
          <w:i/>
          <w:iCs/>
        </w:rPr>
        <w:t>A Guide to the Project Management Body of Knowledge (PMBOK Guide)</w:t>
      </w:r>
      <w:r w:rsidRPr="00C434B8">
        <w:t xml:space="preserve">. 7th </w:t>
      </w:r>
      <w:proofErr w:type="spellStart"/>
      <w:r w:rsidRPr="00C434B8">
        <w:t>edn</w:t>
      </w:r>
      <w:proofErr w:type="spellEnd"/>
      <w:r w:rsidRPr="00C434B8">
        <w:t>. Pennsylvania: PMI.</w:t>
      </w:r>
    </w:p>
    <w:p w14:paraId="2C4B880C" w14:textId="77777777" w:rsidR="00C434B8" w:rsidRPr="00C434B8" w:rsidRDefault="00C434B8" w:rsidP="00C434B8">
      <w:r w:rsidRPr="00C434B8">
        <w:t xml:space="preserve">Saunders, M., Lewis, P. and Thornhill, A. (2019) </w:t>
      </w:r>
      <w:r w:rsidRPr="00C434B8">
        <w:rPr>
          <w:i/>
          <w:iCs/>
        </w:rPr>
        <w:t>Research Methods for Business Students</w:t>
      </w:r>
      <w:r w:rsidRPr="00C434B8">
        <w:t xml:space="preserve">. 8th </w:t>
      </w:r>
      <w:proofErr w:type="spellStart"/>
      <w:r w:rsidRPr="00C434B8">
        <w:t>edn</w:t>
      </w:r>
      <w:proofErr w:type="spellEnd"/>
      <w:r w:rsidRPr="00C434B8">
        <w:t>. Harlow: Pearson.</w:t>
      </w:r>
    </w:p>
    <w:p w14:paraId="24FD0DFB" w14:textId="77777777" w:rsidR="00CE6D5E" w:rsidRDefault="00CE6D5E" w:rsidP="00C434B8">
      <w:r w:rsidRPr="00CE6D5E">
        <w:t xml:space="preserve">DEFRA (2011) </w:t>
      </w:r>
      <w:r w:rsidRPr="00CE6D5E">
        <w:rPr>
          <w:i/>
          <w:iCs/>
        </w:rPr>
        <w:t>Guidance on Applying the Waste Hierarchy</w:t>
      </w:r>
      <w:r w:rsidRPr="00CE6D5E">
        <w:t>. London: Department for Environment, Food and Rural Affairs.</w:t>
      </w:r>
    </w:p>
    <w:p w14:paraId="1E870ECA" w14:textId="4A9082F7" w:rsidR="00C434B8" w:rsidRPr="00C434B8" w:rsidRDefault="00C434B8" w:rsidP="00C434B8">
      <w:r w:rsidRPr="00C434B8">
        <w:t>Tata Steel</w:t>
      </w:r>
      <w:r w:rsidR="00272293">
        <w:t>,</w:t>
      </w:r>
      <w:r w:rsidRPr="00C434B8">
        <w:t xml:space="preserve"> </w:t>
      </w:r>
      <w:r w:rsidRPr="00C434B8">
        <w:rPr>
          <w:i/>
          <w:iCs/>
        </w:rPr>
        <w:t>Structural Inspection Report – Million Gallon Tanks, Port Talbot</w:t>
      </w:r>
      <w:r w:rsidRPr="00C434B8">
        <w:t>. Internal company document.</w:t>
      </w:r>
    </w:p>
    <w:p w14:paraId="3E4F141B" w14:textId="2B52FD56" w:rsidR="00C434B8" w:rsidRPr="00C434B8" w:rsidRDefault="00C434B8" w:rsidP="00C434B8">
      <w:r w:rsidRPr="00C434B8">
        <w:t>Tata Steel</w:t>
      </w:r>
      <w:r w:rsidR="00272293">
        <w:t>,</w:t>
      </w:r>
      <w:r w:rsidRPr="00C434B8">
        <w:t xml:space="preserve"> </w:t>
      </w:r>
      <w:r w:rsidRPr="00C434B8">
        <w:rPr>
          <w:i/>
          <w:iCs/>
        </w:rPr>
        <w:t>Million Gallon Tanks Emptying Plan</w:t>
      </w:r>
      <w:r w:rsidRPr="00C434B8">
        <w:t>. Internal company document.</w:t>
      </w:r>
    </w:p>
    <w:p w14:paraId="7AC3168A" w14:textId="29CDA40F" w:rsidR="00C434B8" w:rsidRPr="00C434B8" w:rsidRDefault="00C434B8" w:rsidP="00C434B8">
      <w:r w:rsidRPr="00C434B8">
        <w:t>Tata Steel</w:t>
      </w:r>
      <w:r w:rsidR="00272293">
        <w:t>,</w:t>
      </w:r>
      <w:r w:rsidRPr="00C434B8">
        <w:t xml:space="preserve"> </w:t>
      </w:r>
      <w:r w:rsidRPr="00C434B8">
        <w:rPr>
          <w:i/>
          <w:iCs/>
        </w:rPr>
        <w:t>Recovered Fuel Oil Usage and Coke Utilisation Strategy</w:t>
      </w:r>
      <w:r w:rsidRPr="00C434B8">
        <w:t>. Internal company presentation.</w:t>
      </w:r>
    </w:p>
    <w:p w14:paraId="294497F5" w14:textId="76FB42F6" w:rsidR="00C434B8" w:rsidRPr="00C434B8" w:rsidRDefault="00C434B8" w:rsidP="00C434B8">
      <w:r w:rsidRPr="00C434B8">
        <w:t xml:space="preserve">Veolia </w:t>
      </w:r>
      <w:r w:rsidRPr="00C434B8">
        <w:rPr>
          <w:i/>
          <w:iCs/>
        </w:rPr>
        <w:t>Technical and Commercial Proposal for Million Gallon Tank Decommissioning</w:t>
      </w:r>
      <w:r w:rsidRPr="00C434B8">
        <w:t>. Veolia ES (UK) Ltd.</w:t>
      </w:r>
    </w:p>
    <w:p w14:paraId="4786542A" w14:textId="21F8EA9E" w:rsidR="00C434B8" w:rsidRPr="00C434B8" w:rsidRDefault="00C434B8" w:rsidP="00C434B8">
      <w:r w:rsidRPr="00C434B8">
        <w:t xml:space="preserve">MSS Group  </w:t>
      </w:r>
      <w:r w:rsidRPr="00C434B8">
        <w:rPr>
          <w:i/>
          <w:iCs/>
        </w:rPr>
        <w:t>Million Gallon Tank Asbestos Removal and Disposal – Notes to Pricing</w:t>
      </w:r>
      <w:r w:rsidRPr="00C434B8">
        <w:t>. MSS Group Ltd.</w:t>
      </w:r>
    </w:p>
    <w:p w14:paraId="0757B803" w14:textId="77777777" w:rsidR="00C434B8" w:rsidRPr="00C434B8" w:rsidRDefault="00C434B8" w:rsidP="00C434B8">
      <w:r w:rsidRPr="00C434B8">
        <w:t xml:space="preserve">Yin, R.K. (2018) </w:t>
      </w:r>
      <w:r w:rsidRPr="00C434B8">
        <w:rPr>
          <w:i/>
          <w:iCs/>
        </w:rPr>
        <w:t>Case Study Research and Applications: Design and Methods</w:t>
      </w:r>
      <w:r w:rsidRPr="00C434B8">
        <w:t xml:space="preserve">. 6th </w:t>
      </w:r>
      <w:proofErr w:type="spellStart"/>
      <w:r w:rsidRPr="00C434B8">
        <w:t>edn</w:t>
      </w:r>
      <w:proofErr w:type="spellEnd"/>
      <w:r w:rsidRPr="00C434B8">
        <w:t>. Thousand Oaks, CA: Sage.</w:t>
      </w:r>
    </w:p>
    <w:p w14:paraId="6D1BDC68" w14:textId="23408422" w:rsidR="00E7235F" w:rsidRDefault="00E7235F" w:rsidP="00C434B8">
      <w:pPr>
        <w:rPr>
          <w:rStyle w:val="Strong"/>
          <w:b w:val="0"/>
          <w:bCs w:val="0"/>
        </w:rPr>
      </w:pPr>
    </w:p>
    <w:p w14:paraId="1F99AE86" w14:textId="77777777" w:rsidR="0002197F" w:rsidRDefault="0002197F" w:rsidP="00C434B8">
      <w:pPr>
        <w:rPr>
          <w:rStyle w:val="Strong"/>
          <w:b w:val="0"/>
          <w:bCs w:val="0"/>
        </w:rPr>
      </w:pPr>
    </w:p>
    <w:p w14:paraId="6DBF1430" w14:textId="77777777" w:rsidR="0002197F" w:rsidRDefault="0002197F" w:rsidP="00C434B8">
      <w:pPr>
        <w:rPr>
          <w:rStyle w:val="Strong"/>
          <w:b w:val="0"/>
          <w:bCs w:val="0"/>
        </w:rPr>
      </w:pPr>
    </w:p>
    <w:p w14:paraId="1807D7B6" w14:textId="77777777" w:rsidR="0002197F" w:rsidRDefault="0002197F" w:rsidP="00C434B8">
      <w:pPr>
        <w:rPr>
          <w:rStyle w:val="Strong"/>
          <w:b w:val="0"/>
          <w:bCs w:val="0"/>
        </w:rPr>
      </w:pPr>
    </w:p>
    <w:p w14:paraId="7B535C6D" w14:textId="77777777" w:rsidR="0002197F" w:rsidRDefault="0002197F" w:rsidP="00C434B8">
      <w:pPr>
        <w:rPr>
          <w:rStyle w:val="Strong"/>
          <w:b w:val="0"/>
          <w:bCs w:val="0"/>
        </w:rPr>
      </w:pPr>
    </w:p>
    <w:p w14:paraId="1C9A6877" w14:textId="77777777" w:rsidR="00A914A6" w:rsidRDefault="00A914A6" w:rsidP="00C434B8">
      <w:pPr>
        <w:rPr>
          <w:rStyle w:val="Strong"/>
          <w:b w:val="0"/>
          <w:bCs w:val="0"/>
        </w:rPr>
      </w:pPr>
    </w:p>
    <w:p w14:paraId="0CE299DB" w14:textId="77777777" w:rsidR="00A914A6" w:rsidRDefault="00A914A6" w:rsidP="00C434B8">
      <w:pPr>
        <w:rPr>
          <w:rStyle w:val="Strong"/>
          <w:b w:val="0"/>
          <w:bCs w:val="0"/>
        </w:rPr>
      </w:pPr>
    </w:p>
    <w:p w14:paraId="57826EE9" w14:textId="77777777" w:rsidR="00A914A6" w:rsidRDefault="00A914A6" w:rsidP="00C434B8">
      <w:pPr>
        <w:rPr>
          <w:rStyle w:val="Strong"/>
          <w:b w:val="0"/>
          <w:bCs w:val="0"/>
        </w:rPr>
      </w:pPr>
    </w:p>
    <w:p w14:paraId="534DD384" w14:textId="77777777" w:rsidR="00A914A6" w:rsidRDefault="00A914A6" w:rsidP="00C434B8">
      <w:pPr>
        <w:rPr>
          <w:rStyle w:val="Strong"/>
          <w:b w:val="0"/>
          <w:bCs w:val="0"/>
        </w:rPr>
      </w:pPr>
    </w:p>
    <w:p w14:paraId="0F2B6676" w14:textId="77777777" w:rsidR="00A914A6" w:rsidRDefault="00A914A6" w:rsidP="00C434B8">
      <w:pPr>
        <w:rPr>
          <w:rStyle w:val="Strong"/>
          <w:b w:val="0"/>
          <w:bCs w:val="0"/>
        </w:rPr>
      </w:pPr>
    </w:p>
    <w:p w14:paraId="7E8FB3B5" w14:textId="77777777" w:rsidR="00A914A6" w:rsidRDefault="00A914A6" w:rsidP="00C434B8">
      <w:pPr>
        <w:rPr>
          <w:rStyle w:val="Strong"/>
          <w:b w:val="0"/>
          <w:bCs w:val="0"/>
        </w:rPr>
      </w:pPr>
    </w:p>
    <w:p w14:paraId="06D3BF9A" w14:textId="77777777" w:rsidR="00A914A6" w:rsidRDefault="00A914A6" w:rsidP="00C434B8">
      <w:pPr>
        <w:rPr>
          <w:rStyle w:val="Strong"/>
          <w:b w:val="0"/>
          <w:bCs w:val="0"/>
        </w:rPr>
      </w:pPr>
    </w:p>
    <w:p w14:paraId="7A484519" w14:textId="77777777" w:rsidR="00A914A6" w:rsidRDefault="00A914A6" w:rsidP="00C434B8">
      <w:pPr>
        <w:rPr>
          <w:rStyle w:val="Strong"/>
          <w:b w:val="0"/>
          <w:bCs w:val="0"/>
        </w:rPr>
      </w:pPr>
    </w:p>
    <w:p w14:paraId="0B4F7BD5" w14:textId="77777777" w:rsidR="00A914A6" w:rsidRDefault="00A914A6" w:rsidP="00C434B8">
      <w:pPr>
        <w:rPr>
          <w:rStyle w:val="Strong"/>
          <w:b w:val="0"/>
          <w:bCs w:val="0"/>
        </w:rPr>
      </w:pPr>
    </w:p>
    <w:p w14:paraId="52F8E568" w14:textId="0613ED1B" w:rsidR="0002197F" w:rsidRPr="00A914A6" w:rsidRDefault="007F70F8" w:rsidP="007F70F8">
      <w:pPr>
        <w:pStyle w:val="Heading1"/>
        <w:rPr>
          <w:rStyle w:val="Strong"/>
        </w:rPr>
      </w:pPr>
      <w:bookmarkStart w:id="87" w:name="_Toc231152099"/>
      <w:r w:rsidRPr="00A914A6">
        <w:rPr>
          <w:rStyle w:val="Strong"/>
        </w:rPr>
        <w:t>12.Ap</w:t>
      </w:r>
      <w:r w:rsidR="00135973">
        <w:rPr>
          <w:rStyle w:val="Strong"/>
        </w:rPr>
        <w:t>p</w:t>
      </w:r>
      <w:r w:rsidRPr="00A914A6">
        <w:rPr>
          <w:rStyle w:val="Strong"/>
        </w:rPr>
        <w:t>e</w:t>
      </w:r>
      <w:r w:rsidR="00E26508">
        <w:rPr>
          <w:rStyle w:val="Strong"/>
        </w:rPr>
        <w:t>nd</w:t>
      </w:r>
      <w:r w:rsidR="00934D19">
        <w:rPr>
          <w:rStyle w:val="Strong"/>
        </w:rPr>
        <w:t>ic</w:t>
      </w:r>
      <w:r w:rsidR="00E26508">
        <w:rPr>
          <w:rStyle w:val="Strong"/>
        </w:rPr>
        <w:t>es</w:t>
      </w:r>
      <w:bookmarkEnd w:id="87"/>
      <w:r w:rsidR="00E26508">
        <w:rPr>
          <w:rStyle w:val="Strong"/>
        </w:rPr>
        <w:t xml:space="preserve"> </w:t>
      </w:r>
    </w:p>
    <w:p w14:paraId="204ECF34" w14:textId="14EF54FD" w:rsidR="007F70F8" w:rsidRPr="00A914A6" w:rsidRDefault="00CA5319" w:rsidP="00E97232">
      <w:pPr>
        <w:pStyle w:val="Heading4"/>
      </w:pPr>
      <w:r w:rsidRPr="00A914A6">
        <w:t>Appendix</w:t>
      </w:r>
      <w:r w:rsidR="00E97232" w:rsidRPr="00A914A6">
        <w:t xml:space="preserve"> A</w:t>
      </w:r>
    </w:p>
    <w:tbl>
      <w:tblPr>
        <w:tblW w:w="10774" w:type="dxa"/>
        <w:tblInd w:w="-85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67"/>
        <w:gridCol w:w="2836"/>
        <w:gridCol w:w="3118"/>
        <w:gridCol w:w="4253"/>
      </w:tblGrid>
      <w:tr w:rsidR="00EB4B2F" w:rsidRPr="00BD6B00" w14:paraId="53937EBC" w14:textId="77777777" w:rsidTr="0037676E">
        <w:tc>
          <w:tcPr>
            <w:tcW w:w="567" w:type="dxa"/>
            <w:shd w:val="clear" w:color="auto" w:fill="BFBFBF" w:themeFill="background1" w:themeFillShade="BF"/>
            <w:vAlign w:val="center"/>
          </w:tcPr>
          <w:p w14:paraId="6FC9EA30" w14:textId="77777777" w:rsidR="00EB4B2F" w:rsidRPr="00BD6B00" w:rsidRDefault="00EB4B2F" w:rsidP="0037676E">
            <w:pPr>
              <w:pStyle w:val="DefaultText"/>
              <w:jc w:val="center"/>
              <w:rPr>
                <w:rFonts w:ascii="Cambria" w:hAnsi="Cambria" w:cs="Cambria"/>
                <w:b/>
                <w:bCs/>
                <w:sz w:val="16"/>
                <w:szCs w:val="16"/>
                <w:lang w:val="en-GB"/>
              </w:rPr>
            </w:pPr>
            <w:r w:rsidRPr="00BD6B00">
              <w:rPr>
                <w:rFonts w:ascii="Cambria" w:hAnsi="Cambria" w:cs="Cambria"/>
                <w:b/>
                <w:bCs/>
                <w:sz w:val="16"/>
                <w:szCs w:val="16"/>
                <w:lang w:val="en-GB"/>
              </w:rPr>
              <w:t>Item No</w:t>
            </w:r>
          </w:p>
        </w:tc>
        <w:tc>
          <w:tcPr>
            <w:tcW w:w="2836" w:type="dxa"/>
            <w:shd w:val="clear" w:color="auto" w:fill="BFBFBF" w:themeFill="background1" w:themeFillShade="BF"/>
            <w:vAlign w:val="center"/>
          </w:tcPr>
          <w:p w14:paraId="302A2481" w14:textId="77777777" w:rsidR="00EB4B2F" w:rsidRPr="00BD6B00" w:rsidRDefault="00EB4B2F" w:rsidP="0037676E">
            <w:pPr>
              <w:pStyle w:val="DefaultText"/>
              <w:jc w:val="center"/>
              <w:rPr>
                <w:rFonts w:ascii="Cambria" w:hAnsi="Cambria" w:cs="Cambria"/>
                <w:b/>
                <w:bCs/>
                <w:sz w:val="16"/>
                <w:szCs w:val="16"/>
                <w:lang w:val="en-GB"/>
              </w:rPr>
            </w:pPr>
            <w:r w:rsidRPr="00BD6B00">
              <w:rPr>
                <w:rFonts w:ascii="Cambria" w:hAnsi="Cambria" w:cs="Cambria"/>
                <w:b/>
                <w:bCs/>
                <w:sz w:val="16"/>
                <w:szCs w:val="16"/>
                <w:lang w:val="en-GB"/>
              </w:rPr>
              <w:t>Observations/Defects Found</w:t>
            </w:r>
          </w:p>
        </w:tc>
        <w:tc>
          <w:tcPr>
            <w:tcW w:w="3118" w:type="dxa"/>
            <w:shd w:val="clear" w:color="auto" w:fill="BFBFBF" w:themeFill="background1" w:themeFillShade="BF"/>
            <w:vAlign w:val="center"/>
          </w:tcPr>
          <w:p w14:paraId="5BC74673" w14:textId="77777777" w:rsidR="00EB4B2F" w:rsidRPr="00BD6B00" w:rsidRDefault="00EB4B2F" w:rsidP="0037676E">
            <w:pPr>
              <w:pStyle w:val="DefaultText"/>
              <w:jc w:val="center"/>
              <w:rPr>
                <w:rFonts w:ascii="Cambria" w:hAnsi="Cambria" w:cs="Cambria"/>
                <w:b/>
                <w:bCs/>
                <w:sz w:val="16"/>
                <w:szCs w:val="16"/>
                <w:lang w:val="en-GB"/>
              </w:rPr>
            </w:pPr>
            <w:r w:rsidRPr="00BD6B00">
              <w:rPr>
                <w:rFonts w:ascii="Cambria" w:hAnsi="Cambria" w:cs="Cambria"/>
                <w:b/>
                <w:bCs/>
                <w:sz w:val="16"/>
                <w:szCs w:val="16"/>
                <w:lang w:val="en-GB"/>
              </w:rPr>
              <w:t>Action Required/Comments</w:t>
            </w:r>
          </w:p>
        </w:tc>
        <w:tc>
          <w:tcPr>
            <w:tcW w:w="4253" w:type="dxa"/>
            <w:shd w:val="clear" w:color="auto" w:fill="BFBFBF" w:themeFill="background1" w:themeFillShade="BF"/>
            <w:vAlign w:val="center"/>
          </w:tcPr>
          <w:p w14:paraId="06E67E9A" w14:textId="77777777" w:rsidR="00EB4B2F" w:rsidRPr="00BD6B00" w:rsidRDefault="00EB4B2F" w:rsidP="0037676E">
            <w:pPr>
              <w:pStyle w:val="DefaultText"/>
              <w:jc w:val="center"/>
              <w:rPr>
                <w:rFonts w:ascii="Cambria" w:hAnsi="Cambria" w:cs="Cambria"/>
                <w:b/>
                <w:bCs/>
                <w:sz w:val="16"/>
                <w:szCs w:val="16"/>
                <w:lang w:val="en-GB"/>
              </w:rPr>
            </w:pPr>
            <w:r>
              <w:rPr>
                <w:rFonts w:ascii="Cambria" w:hAnsi="Cambria" w:cs="Cambria"/>
                <w:b/>
                <w:bCs/>
                <w:sz w:val="16"/>
                <w:szCs w:val="16"/>
                <w:lang w:val="en-GB"/>
              </w:rPr>
              <w:t xml:space="preserve">Defect </w:t>
            </w:r>
            <w:r w:rsidRPr="00BD6B00">
              <w:rPr>
                <w:rFonts w:ascii="Cambria" w:hAnsi="Cambria" w:cs="Cambria"/>
                <w:b/>
                <w:bCs/>
                <w:sz w:val="16"/>
                <w:szCs w:val="16"/>
                <w:lang w:val="en-GB"/>
              </w:rPr>
              <w:t>RAM Rating</w:t>
            </w:r>
            <w:r>
              <w:rPr>
                <w:rFonts w:ascii="Cambria" w:hAnsi="Cambria" w:cs="Cambria"/>
                <w:b/>
                <w:bCs/>
                <w:sz w:val="16"/>
                <w:szCs w:val="16"/>
                <w:lang w:val="en-GB"/>
              </w:rPr>
              <w:t xml:space="preserve"> and notification category</w:t>
            </w:r>
            <w:r w:rsidRPr="00BD6B00">
              <w:rPr>
                <w:rFonts w:ascii="Cambria" w:hAnsi="Cambria" w:cs="Cambria"/>
                <w:b/>
                <w:bCs/>
                <w:sz w:val="16"/>
                <w:szCs w:val="16"/>
                <w:lang w:val="en-GB"/>
              </w:rPr>
              <w:t xml:space="preserve">                               </w:t>
            </w:r>
          </w:p>
        </w:tc>
      </w:tr>
      <w:tr w:rsidR="00EB4B2F" w:rsidRPr="003A425C" w14:paraId="15C2401B" w14:textId="77777777" w:rsidTr="0037676E">
        <w:tc>
          <w:tcPr>
            <w:tcW w:w="10774" w:type="dxa"/>
            <w:gridSpan w:val="4"/>
            <w:shd w:val="clear" w:color="auto" w:fill="FFC000"/>
          </w:tcPr>
          <w:p w14:paraId="5C71D341" w14:textId="77777777" w:rsidR="00EB4B2F" w:rsidRPr="002562D0" w:rsidRDefault="00EB4B2F" w:rsidP="0037676E">
            <w:pPr>
              <w:pStyle w:val="DefaultText"/>
              <w:jc w:val="center"/>
              <w:rPr>
                <w:rFonts w:ascii="Cambria" w:hAnsi="Cambria" w:cs="Cambria"/>
                <w:b/>
                <w:bCs/>
                <w:sz w:val="18"/>
                <w:szCs w:val="12"/>
                <w:highlight w:val="yellow"/>
                <w:lang w:val="en-GB"/>
              </w:rPr>
            </w:pPr>
            <w:bookmarkStart w:id="88" w:name="_Hlk188532165"/>
            <w:r>
              <w:rPr>
                <w:rFonts w:ascii="Cambria" w:hAnsi="Cambria" w:cs="Cambria"/>
                <w:b/>
                <w:bCs/>
                <w:sz w:val="20"/>
                <w:szCs w:val="14"/>
                <w:lang w:val="en-GB"/>
              </w:rPr>
              <w:t xml:space="preserve">Location 1 – North Million Gallon Recovered Oil Tank </w:t>
            </w:r>
          </w:p>
        </w:tc>
      </w:tr>
      <w:tr w:rsidR="00EB4B2F" w:rsidRPr="003A425C" w14:paraId="720BEA67" w14:textId="77777777" w:rsidTr="0037676E">
        <w:tc>
          <w:tcPr>
            <w:tcW w:w="567" w:type="dxa"/>
            <w:vAlign w:val="center"/>
          </w:tcPr>
          <w:p w14:paraId="5821F6F7" w14:textId="77777777" w:rsidR="00EB4B2F" w:rsidRPr="00B6513B" w:rsidRDefault="00EB4B2F" w:rsidP="0037676E">
            <w:pPr>
              <w:pStyle w:val="DefaultText"/>
              <w:rPr>
                <w:rFonts w:asciiTheme="minorHAnsi" w:hAnsiTheme="minorHAnsi" w:cstheme="minorHAnsi"/>
                <w:sz w:val="18"/>
                <w:szCs w:val="18"/>
                <w:lang w:val="en-GB"/>
              </w:rPr>
            </w:pPr>
            <w:r>
              <w:rPr>
                <w:rFonts w:asciiTheme="minorHAnsi" w:hAnsiTheme="minorHAnsi" w:cstheme="minorHAnsi"/>
                <w:sz w:val="18"/>
                <w:szCs w:val="18"/>
                <w:lang w:val="en-GB"/>
              </w:rPr>
              <w:t>1</w:t>
            </w:r>
          </w:p>
        </w:tc>
        <w:tc>
          <w:tcPr>
            <w:tcW w:w="2836" w:type="dxa"/>
            <w:vAlign w:val="center"/>
          </w:tcPr>
          <w:p w14:paraId="2A0C538C" w14:textId="77777777" w:rsidR="00EB4B2F" w:rsidRDefault="00EB4B2F" w:rsidP="0037676E">
            <w:pPr>
              <w:pStyle w:val="DefaultText"/>
              <w:rPr>
                <w:rFonts w:ascii="Cambria" w:hAnsi="Cambria" w:cs="Cambria"/>
                <w:b/>
                <w:bCs/>
                <w:sz w:val="18"/>
                <w:szCs w:val="18"/>
              </w:rPr>
            </w:pPr>
            <w:r w:rsidRPr="005276BC">
              <w:rPr>
                <w:rFonts w:ascii="Cambria" w:hAnsi="Cambria" w:cs="Cambria"/>
                <w:b/>
                <w:bCs/>
                <w:sz w:val="18"/>
                <w:szCs w:val="18"/>
                <w:highlight w:val="yellow"/>
              </w:rPr>
              <w:t>Location 1</w:t>
            </w:r>
          </w:p>
          <w:p w14:paraId="35EDF854" w14:textId="77777777" w:rsidR="00EB4B2F" w:rsidRDefault="00EB4B2F" w:rsidP="0037676E">
            <w:pPr>
              <w:pStyle w:val="DefaultText"/>
              <w:rPr>
                <w:rFonts w:ascii="Cambria" w:hAnsi="Cambria" w:cs="Cambria"/>
                <w:sz w:val="18"/>
                <w:szCs w:val="18"/>
              </w:rPr>
            </w:pPr>
            <w:r w:rsidRPr="005276BC">
              <w:rPr>
                <w:rFonts w:ascii="Cambria" w:hAnsi="Cambria" w:cs="Cambria"/>
                <w:sz w:val="18"/>
                <w:szCs w:val="18"/>
              </w:rPr>
              <w:t xml:space="preserve">The </w:t>
            </w:r>
            <w:r>
              <w:rPr>
                <w:rFonts w:ascii="Cambria" w:hAnsi="Cambria" w:cs="Cambria"/>
                <w:sz w:val="18"/>
                <w:szCs w:val="18"/>
              </w:rPr>
              <w:t xml:space="preserve">North Million Gallon tank is now redundant. It was designed to contain 110% of content within but due to corrosion damage the integrity of the tank has been called into question with leaks into the bund surrounding the tank. </w:t>
            </w:r>
          </w:p>
          <w:p w14:paraId="055C7986" w14:textId="77777777" w:rsidR="00EB4B2F" w:rsidRDefault="00EB4B2F" w:rsidP="0037676E">
            <w:pPr>
              <w:pStyle w:val="DefaultText"/>
              <w:rPr>
                <w:rFonts w:ascii="Cambria" w:hAnsi="Cambria" w:cs="Cambria"/>
                <w:sz w:val="18"/>
                <w:szCs w:val="18"/>
              </w:rPr>
            </w:pPr>
          </w:p>
          <w:p w14:paraId="47AEB656" w14:textId="77777777" w:rsidR="00EB4B2F" w:rsidRDefault="00EB4B2F" w:rsidP="0037676E">
            <w:pPr>
              <w:pStyle w:val="DefaultText"/>
              <w:rPr>
                <w:rFonts w:ascii="Cambria" w:hAnsi="Cambria" w:cs="Cambria"/>
                <w:sz w:val="18"/>
                <w:szCs w:val="18"/>
              </w:rPr>
            </w:pPr>
            <w:r>
              <w:rPr>
                <w:rFonts w:ascii="Cambria" w:hAnsi="Cambria" w:cs="Cambria"/>
                <w:sz w:val="18"/>
                <w:szCs w:val="18"/>
              </w:rPr>
              <w:t xml:space="preserve">The bund surrounding the tank at the time of inspection was clear with no debris present. </w:t>
            </w:r>
          </w:p>
          <w:p w14:paraId="1495E4FA" w14:textId="77777777" w:rsidR="00EB4B2F" w:rsidRDefault="00EB4B2F" w:rsidP="0037676E">
            <w:pPr>
              <w:pStyle w:val="DefaultText"/>
              <w:rPr>
                <w:rFonts w:ascii="Cambria" w:hAnsi="Cambria" w:cs="Cambria"/>
                <w:sz w:val="18"/>
                <w:szCs w:val="18"/>
              </w:rPr>
            </w:pPr>
          </w:p>
          <w:p w14:paraId="557DF53B" w14:textId="77777777" w:rsidR="00EB4B2F" w:rsidRDefault="00EB4B2F" w:rsidP="0037676E">
            <w:pPr>
              <w:pStyle w:val="DefaultText"/>
              <w:rPr>
                <w:rFonts w:ascii="Cambria" w:hAnsi="Cambria" w:cs="Cambria"/>
                <w:sz w:val="18"/>
                <w:szCs w:val="18"/>
              </w:rPr>
            </w:pPr>
            <w:r>
              <w:rPr>
                <w:rFonts w:ascii="Cambria" w:hAnsi="Cambria" w:cs="Cambria"/>
                <w:sz w:val="18"/>
                <w:szCs w:val="18"/>
              </w:rPr>
              <w:t xml:space="preserve">The access platform to the top of the bund has been prevented via a lockable gate which is only required for inspection purposes. Minor paint breakdown was observed at time of inspection. However, the handrailing is fit for purpose. </w:t>
            </w:r>
          </w:p>
          <w:p w14:paraId="5C35AAEE" w14:textId="77777777" w:rsidR="00EB4B2F" w:rsidRDefault="00EB4B2F" w:rsidP="0037676E">
            <w:pPr>
              <w:pStyle w:val="DefaultText"/>
              <w:rPr>
                <w:rFonts w:ascii="Cambria" w:hAnsi="Cambria" w:cs="Cambria"/>
                <w:sz w:val="18"/>
                <w:szCs w:val="18"/>
              </w:rPr>
            </w:pPr>
          </w:p>
          <w:p w14:paraId="11EB45C7" w14:textId="77777777" w:rsidR="00EB4B2F" w:rsidRDefault="00EB4B2F" w:rsidP="0037676E">
            <w:pPr>
              <w:pStyle w:val="DefaultText"/>
              <w:rPr>
                <w:rFonts w:ascii="Cambria" w:hAnsi="Cambria" w:cs="Cambria"/>
                <w:sz w:val="18"/>
                <w:szCs w:val="18"/>
              </w:rPr>
            </w:pPr>
            <w:r>
              <w:rPr>
                <w:rFonts w:ascii="Cambria" w:hAnsi="Cambria" w:cs="Cambria"/>
                <w:sz w:val="18"/>
                <w:szCs w:val="18"/>
              </w:rPr>
              <w:t xml:space="preserve">Access to the top of the area of the bund has been prevented due to integrity of the surrounding handrailing and roof. </w:t>
            </w:r>
          </w:p>
          <w:p w14:paraId="09E0AA8E" w14:textId="77777777" w:rsidR="00EB4B2F" w:rsidRPr="005276BC" w:rsidRDefault="00EB4B2F" w:rsidP="0037676E">
            <w:pPr>
              <w:pStyle w:val="DefaultText"/>
              <w:rPr>
                <w:rFonts w:ascii="Cambria" w:hAnsi="Cambria" w:cs="Cambria"/>
                <w:sz w:val="18"/>
                <w:szCs w:val="18"/>
              </w:rPr>
            </w:pPr>
            <w:r>
              <w:rPr>
                <w:rFonts w:ascii="Cambria" w:hAnsi="Cambria" w:cs="Cambria"/>
                <w:sz w:val="18"/>
                <w:szCs w:val="18"/>
              </w:rPr>
              <w:t xml:space="preserve"> </w:t>
            </w:r>
          </w:p>
        </w:tc>
        <w:tc>
          <w:tcPr>
            <w:tcW w:w="3118" w:type="dxa"/>
            <w:vAlign w:val="center"/>
          </w:tcPr>
          <w:p w14:paraId="0AFBB31A" w14:textId="77777777" w:rsidR="00EB4B2F" w:rsidRDefault="00EB4B2F" w:rsidP="0037676E">
            <w:pPr>
              <w:pStyle w:val="DefaultText"/>
              <w:rPr>
                <w:rFonts w:ascii="Cambria" w:hAnsi="Cambria" w:cs="Cambria"/>
                <w:sz w:val="18"/>
                <w:szCs w:val="18"/>
                <w:lang w:val="en-GB"/>
              </w:rPr>
            </w:pPr>
            <w:r>
              <w:rPr>
                <w:rFonts w:ascii="Cambria" w:hAnsi="Cambria" w:cs="Cambria"/>
                <w:sz w:val="18"/>
                <w:szCs w:val="18"/>
                <w:lang w:val="en-GB"/>
              </w:rPr>
              <w:t xml:space="preserve">Demolish the redundant tanks if not required for use in the future. </w:t>
            </w:r>
          </w:p>
          <w:p w14:paraId="751291AF" w14:textId="77777777" w:rsidR="00EB4B2F" w:rsidRDefault="00EB4B2F" w:rsidP="0037676E">
            <w:pPr>
              <w:pStyle w:val="DefaultText"/>
              <w:rPr>
                <w:rFonts w:ascii="Cambria" w:hAnsi="Cambria" w:cs="Cambria"/>
                <w:sz w:val="18"/>
                <w:szCs w:val="18"/>
                <w:lang w:val="en-GB"/>
              </w:rPr>
            </w:pPr>
          </w:p>
          <w:p w14:paraId="646BCAFA" w14:textId="77777777" w:rsidR="00EB4B2F" w:rsidRPr="003A425C" w:rsidRDefault="00EB4B2F" w:rsidP="0037676E">
            <w:pPr>
              <w:pStyle w:val="DefaultText"/>
              <w:rPr>
                <w:rFonts w:ascii="Cambria" w:hAnsi="Cambria" w:cs="Cambria"/>
                <w:sz w:val="18"/>
                <w:szCs w:val="18"/>
                <w:lang w:val="en-GB"/>
              </w:rPr>
            </w:pPr>
            <w:r>
              <w:rPr>
                <w:rFonts w:ascii="Cambria" w:hAnsi="Cambria" w:cs="Cambria"/>
                <w:sz w:val="18"/>
                <w:szCs w:val="18"/>
                <w:lang w:val="en-GB"/>
              </w:rPr>
              <w:t xml:space="preserve">Carry out remedial work if tanks are required in future. </w:t>
            </w:r>
          </w:p>
        </w:tc>
        <w:tc>
          <w:tcPr>
            <w:tcW w:w="4253" w:type="dxa"/>
          </w:tcPr>
          <w:p w14:paraId="1656C1F3" w14:textId="77777777" w:rsidR="00EB4B2F" w:rsidRPr="0038166F" w:rsidRDefault="00EB4B2F" w:rsidP="0037676E">
            <w:pPr>
              <w:pStyle w:val="DefaultText"/>
              <w:jc w:val="center"/>
              <w:rPr>
                <w:rFonts w:ascii="Calibri" w:hAnsi="Calibri" w:cs="Calibri"/>
                <w:b/>
                <w:bCs/>
                <w:color w:val="000000"/>
                <w:sz w:val="18"/>
                <w:szCs w:val="18"/>
                <w:shd w:val="clear" w:color="auto" w:fill="00FF00"/>
              </w:rPr>
            </w:pPr>
            <w:r w:rsidRPr="0038166F">
              <w:rPr>
                <w:rFonts w:ascii="Calibri" w:hAnsi="Calibri" w:cs="Calibri"/>
                <w:b/>
                <w:bCs/>
                <w:color w:val="000000"/>
                <w:sz w:val="18"/>
                <w:szCs w:val="18"/>
                <w:shd w:val="clear" w:color="auto" w:fill="00FF00"/>
              </w:rPr>
              <w:t xml:space="preserve">Priority RAM Matrix Rating </w:t>
            </w:r>
            <w:r>
              <w:rPr>
                <w:rFonts w:ascii="Calibri" w:hAnsi="Calibri" w:cs="Calibri"/>
                <w:b/>
                <w:bCs/>
                <w:color w:val="000000"/>
                <w:sz w:val="18"/>
                <w:szCs w:val="18"/>
                <w:shd w:val="clear" w:color="auto" w:fill="00FF00"/>
              </w:rPr>
              <w:t>M1-</w:t>
            </w:r>
            <w:r w:rsidRPr="0038166F">
              <w:rPr>
                <w:rFonts w:ascii="Calibri" w:hAnsi="Calibri" w:cs="Calibri"/>
                <w:b/>
                <w:bCs/>
                <w:color w:val="000000"/>
                <w:sz w:val="18"/>
                <w:szCs w:val="18"/>
                <w:shd w:val="clear" w:color="auto" w:fill="00FF00"/>
              </w:rPr>
              <w:t>P</w:t>
            </w:r>
            <w:r>
              <w:rPr>
                <w:rFonts w:ascii="Calibri" w:hAnsi="Calibri" w:cs="Calibri"/>
                <w:b/>
                <w:bCs/>
                <w:color w:val="000000"/>
                <w:sz w:val="18"/>
                <w:szCs w:val="18"/>
                <w:shd w:val="clear" w:color="auto" w:fill="00FF00"/>
              </w:rPr>
              <w:t>4</w:t>
            </w:r>
            <w:r w:rsidRPr="0038166F">
              <w:rPr>
                <w:rFonts w:ascii="Calibri" w:hAnsi="Calibri" w:cs="Calibri"/>
                <w:b/>
                <w:bCs/>
                <w:color w:val="000000"/>
                <w:sz w:val="18"/>
                <w:szCs w:val="18"/>
                <w:shd w:val="clear" w:color="auto" w:fill="00FF00"/>
              </w:rPr>
              <w:t xml:space="preserve"> LOW (</w:t>
            </w:r>
            <w:r>
              <w:rPr>
                <w:rFonts w:ascii="Calibri" w:hAnsi="Calibri" w:cs="Calibri"/>
                <w:b/>
                <w:bCs/>
                <w:color w:val="000000"/>
                <w:sz w:val="18"/>
                <w:szCs w:val="18"/>
                <w:shd w:val="clear" w:color="auto" w:fill="00FF00"/>
              </w:rPr>
              <w:t>24</w:t>
            </w:r>
            <w:r w:rsidRPr="0038166F">
              <w:rPr>
                <w:rFonts w:ascii="Calibri" w:hAnsi="Calibri" w:cs="Calibri"/>
                <w:b/>
                <w:bCs/>
                <w:color w:val="000000"/>
                <w:sz w:val="18"/>
                <w:szCs w:val="18"/>
                <w:shd w:val="clear" w:color="auto" w:fill="00FF00"/>
              </w:rPr>
              <w:t xml:space="preserve"> months)</w:t>
            </w:r>
          </w:p>
          <w:p w14:paraId="195B34B0" w14:textId="77777777" w:rsidR="00EB4B2F" w:rsidRDefault="00EB4B2F" w:rsidP="0037676E">
            <w:pPr>
              <w:pStyle w:val="DefaultText"/>
              <w:jc w:val="center"/>
              <w:rPr>
                <w:rFonts w:ascii="Calibri" w:hAnsi="Calibri" w:cs="Calibri"/>
                <w:b/>
                <w:bCs/>
                <w:color w:val="000000"/>
                <w:sz w:val="18"/>
                <w:szCs w:val="18"/>
                <w:shd w:val="clear" w:color="auto" w:fill="00FF00"/>
                <w:lang w:val="en-GB"/>
              </w:rPr>
            </w:pPr>
            <w:r w:rsidRPr="0038166F">
              <w:rPr>
                <w:rFonts w:ascii="Calibri" w:hAnsi="Calibri" w:cs="Calibri"/>
                <w:b/>
                <w:bCs/>
                <w:color w:val="000000"/>
                <w:sz w:val="18"/>
                <w:szCs w:val="18"/>
                <w:shd w:val="clear" w:color="auto" w:fill="00FF00"/>
                <w:lang w:val="en-GB"/>
              </w:rPr>
              <w:t>SAP M1 Notification Number:</w:t>
            </w:r>
            <w:r>
              <w:t xml:space="preserve"> </w:t>
            </w:r>
            <w:r w:rsidRPr="006A6665">
              <w:rPr>
                <w:rFonts w:ascii="Calibri" w:hAnsi="Calibri" w:cs="Calibri"/>
                <w:b/>
                <w:bCs/>
                <w:color w:val="000000"/>
                <w:sz w:val="18"/>
                <w:szCs w:val="18"/>
                <w:lang w:val="en-GB"/>
              </w:rPr>
              <w:t>16032079</w:t>
            </w:r>
          </w:p>
          <w:p w14:paraId="5B00FA42" w14:textId="77777777" w:rsidR="00EB4B2F" w:rsidRPr="00C659B9" w:rsidRDefault="00EB4B2F" w:rsidP="0037676E">
            <w:pPr>
              <w:pStyle w:val="DefaultText"/>
              <w:jc w:val="center"/>
              <w:rPr>
                <w:rFonts w:asciiTheme="minorHAnsi" w:hAnsiTheme="minorHAnsi" w:cs="Cambria"/>
                <w:b/>
                <w:bCs/>
                <w:sz w:val="18"/>
                <w:szCs w:val="12"/>
                <w:highlight w:val="yellow"/>
              </w:rPr>
            </w:pPr>
            <w:r w:rsidRPr="00C659B9">
              <w:rPr>
                <w:rFonts w:asciiTheme="minorHAnsi" w:hAnsiTheme="minorHAnsi" w:cs="Cambria"/>
                <w:b/>
                <w:bCs/>
                <w:noProof/>
                <w:sz w:val="18"/>
                <w:szCs w:val="12"/>
                <w:highlight w:val="yellow"/>
              </w:rPr>
              <w:drawing>
                <wp:inline distT="0" distB="0" distL="0" distR="0" wp14:anchorId="1974797F" wp14:editId="130EF017">
                  <wp:extent cx="2563495" cy="1922780"/>
                  <wp:effectExtent l="0" t="0" r="8255" b="1270"/>
                  <wp:docPr id="1287760801" name="Picture 10" descr="A large metal tank with a factory in th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7760801" name="Picture 10" descr="A large metal tank with a factory in the background&#10;&#10;AI-generated content may be incorrect."/>
                          <pic:cNvPicPr>
                            <a:picLocks noChangeAspect="1" noChangeArrowheads="1"/>
                          </pic:cNvPicPr>
                        </pic:nvPicPr>
                        <pic:blipFill>
                          <a:blip r:embed="rId11" cstate="email">
                            <a:extLst>
                              <a:ext uri="{28A0092B-C50C-407E-A947-70E740481C1C}">
                                <a14:useLocalDpi xmlns:a14="http://schemas.microsoft.com/office/drawing/2010/main"/>
                              </a:ext>
                            </a:extLst>
                          </a:blip>
                          <a:srcRect/>
                          <a:stretch>
                            <a:fillRect/>
                          </a:stretch>
                        </pic:blipFill>
                        <pic:spPr bwMode="auto">
                          <a:xfrm>
                            <a:off x="0" y="0"/>
                            <a:ext cx="2563495" cy="1922780"/>
                          </a:xfrm>
                          <a:prstGeom prst="rect">
                            <a:avLst/>
                          </a:prstGeom>
                          <a:noFill/>
                          <a:ln>
                            <a:noFill/>
                          </a:ln>
                        </pic:spPr>
                      </pic:pic>
                    </a:graphicData>
                  </a:graphic>
                </wp:inline>
              </w:drawing>
            </w:r>
          </w:p>
          <w:p w14:paraId="4F8DAA44" w14:textId="77777777" w:rsidR="00EB4B2F" w:rsidRDefault="00EB4B2F" w:rsidP="0037676E">
            <w:pPr>
              <w:pStyle w:val="DefaultText"/>
              <w:jc w:val="center"/>
              <w:rPr>
                <w:rFonts w:asciiTheme="minorHAnsi" w:hAnsiTheme="minorHAnsi" w:cs="Cambria"/>
                <w:b/>
                <w:bCs/>
                <w:sz w:val="18"/>
                <w:szCs w:val="12"/>
                <w:lang w:val="en-GB"/>
              </w:rPr>
            </w:pPr>
            <w:r w:rsidRPr="0022279F">
              <w:rPr>
                <w:rFonts w:asciiTheme="minorHAnsi" w:hAnsiTheme="minorHAnsi" w:cs="Cambria"/>
                <w:b/>
                <w:bCs/>
                <w:sz w:val="18"/>
                <w:szCs w:val="12"/>
                <w:lang w:val="en-GB"/>
              </w:rPr>
              <w:t>2025</w:t>
            </w:r>
            <w:r>
              <w:rPr>
                <w:rFonts w:asciiTheme="minorHAnsi" w:hAnsiTheme="minorHAnsi" w:cs="Cambria"/>
                <w:b/>
                <w:bCs/>
                <w:sz w:val="18"/>
                <w:szCs w:val="12"/>
                <w:lang w:val="en-GB"/>
              </w:rPr>
              <w:t xml:space="preserve"> – North Million Gallon Tank</w:t>
            </w:r>
          </w:p>
          <w:p w14:paraId="08C9C8F3" w14:textId="77777777" w:rsidR="00EB4B2F" w:rsidRPr="00C177B5" w:rsidRDefault="00EB4B2F" w:rsidP="0037676E">
            <w:pPr>
              <w:pStyle w:val="DefaultText"/>
              <w:jc w:val="center"/>
              <w:rPr>
                <w:noProof/>
                <w:lang w:val="en-GB"/>
              </w:rPr>
            </w:pPr>
            <w:r w:rsidRPr="00C177B5">
              <w:rPr>
                <w:noProof/>
                <w:lang w:val="en-GB"/>
              </w:rPr>
              <w:drawing>
                <wp:inline distT="0" distB="0" distL="0" distR="0" wp14:anchorId="6C0A2AA5" wp14:editId="3F1D5A41">
                  <wp:extent cx="2563495" cy="1922780"/>
                  <wp:effectExtent l="0" t="0" r="8255" b="1270"/>
                  <wp:docPr id="702184100" name="Picture 4" descr="A fenced area with a brid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2184100" name="Picture 4" descr="A fenced area with a bridge&#10;&#10;AI-generated content may be incorrect."/>
                          <pic:cNvPicPr>
                            <a:picLocks noChangeAspect="1" noChangeArrowheads="1"/>
                          </pic:cNvPicPr>
                        </pic:nvPicPr>
                        <pic:blipFill>
                          <a:blip r:embed="rId12" cstate="email">
                            <a:extLst>
                              <a:ext uri="{28A0092B-C50C-407E-A947-70E740481C1C}">
                                <a14:useLocalDpi xmlns:a14="http://schemas.microsoft.com/office/drawing/2010/main"/>
                              </a:ext>
                            </a:extLst>
                          </a:blip>
                          <a:srcRect/>
                          <a:stretch>
                            <a:fillRect/>
                          </a:stretch>
                        </pic:blipFill>
                        <pic:spPr bwMode="auto">
                          <a:xfrm>
                            <a:off x="0" y="0"/>
                            <a:ext cx="2563495" cy="1922780"/>
                          </a:xfrm>
                          <a:prstGeom prst="rect">
                            <a:avLst/>
                          </a:prstGeom>
                          <a:noFill/>
                          <a:ln>
                            <a:noFill/>
                          </a:ln>
                        </pic:spPr>
                      </pic:pic>
                    </a:graphicData>
                  </a:graphic>
                </wp:inline>
              </w:drawing>
            </w:r>
          </w:p>
          <w:p w14:paraId="402EC860" w14:textId="77777777" w:rsidR="00EB4B2F" w:rsidRDefault="00EB4B2F" w:rsidP="0037676E">
            <w:pPr>
              <w:pStyle w:val="DefaultText"/>
              <w:jc w:val="center"/>
              <w:rPr>
                <w:rFonts w:asciiTheme="minorHAnsi" w:hAnsiTheme="minorHAnsi" w:cs="Cambria"/>
                <w:b/>
                <w:bCs/>
                <w:sz w:val="18"/>
                <w:szCs w:val="12"/>
                <w:lang w:val="en-GB"/>
              </w:rPr>
            </w:pPr>
            <w:r w:rsidRPr="0022279F">
              <w:rPr>
                <w:rFonts w:asciiTheme="minorHAnsi" w:hAnsiTheme="minorHAnsi" w:cs="Cambria"/>
                <w:b/>
                <w:bCs/>
                <w:sz w:val="18"/>
                <w:szCs w:val="12"/>
                <w:lang w:val="en-GB"/>
              </w:rPr>
              <w:t>2025</w:t>
            </w:r>
            <w:r>
              <w:rPr>
                <w:rFonts w:asciiTheme="minorHAnsi" w:hAnsiTheme="minorHAnsi" w:cs="Cambria"/>
                <w:b/>
                <w:bCs/>
                <w:sz w:val="18"/>
                <w:szCs w:val="12"/>
                <w:lang w:val="en-GB"/>
              </w:rPr>
              <w:t xml:space="preserve"> – Surrounding Bund Area</w:t>
            </w:r>
          </w:p>
          <w:p w14:paraId="5DC9EA42" w14:textId="77777777" w:rsidR="00EB4B2F" w:rsidRPr="00E10EB0" w:rsidRDefault="00EB4B2F" w:rsidP="0037676E">
            <w:pPr>
              <w:pStyle w:val="DefaultText"/>
              <w:jc w:val="center"/>
              <w:rPr>
                <w:rFonts w:asciiTheme="minorHAnsi" w:hAnsiTheme="minorHAnsi" w:cs="Cambria"/>
                <w:b/>
                <w:bCs/>
                <w:sz w:val="18"/>
                <w:szCs w:val="12"/>
              </w:rPr>
            </w:pPr>
            <w:r w:rsidRPr="00E10EB0">
              <w:rPr>
                <w:rFonts w:asciiTheme="minorHAnsi" w:hAnsiTheme="minorHAnsi" w:cs="Cambria"/>
                <w:b/>
                <w:bCs/>
                <w:noProof/>
                <w:sz w:val="18"/>
                <w:szCs w:val="12"/>
              </w:rPr>
              <w:lastRenderedPageBreak/>
              <w:drawing>
                <wp:inline distT="0" distB="0" distL="0" distR="0" wp14:anchorId="3A12A3C7" wp14:editId="641C366B">
                  <wp:extent cx="2563495" cy="1922780"/>
                  <wp:effectExtent l="0" t="0" r="8255" b="1270"/>
                  <wp:docPr id="1437908863" name="Picture 6" descr="A large metal silo with stai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7908863" name="Picture 6" descr="A large metal silo with stairs&#10;&#10;AI-generated content may be incorrect."/>
                          <pic:cNvPicPr>
                            <a:picLocks noChangeAspect="1" noChangeArrowheads="1"/>
                          </pic:cNvPicPr>
                        </pic:nvPicPr>
                        <pic:blipFill>
                          <a:blip r:embed="rId13" cstate="email">
                            <a:extLst>
                              <a:ext uri="{28A0092B-C50C-407E-A947-70E740481C1C}">
                                <a14:useLocalDpi xmlns:a14="http://schemas.microsoft.com/office/drawing/2010/main"/>
                              </a:ext>
                            </a:extLst>
                          </a:blip>
                          <a:srcRect/>
                          <a:stretch>
                            <a:fillRect/>
                          </a:stretch>
                        </pic:blipFill>
                        <pic:spPr bwMode="auto">
                          <a:xfrm>
                            <a:off x="0" y="0"/>
                            <a:ext cx="2563495" cy="1922780"/>
                          </a:xfrm>
                          <a:prstGeom prst="rect">
                            <a:avLst/>
                          </a:prstGeom>
                          <a:noFill/>
                          <a:ln>
                            <a:noFill/>
                          </a:ln>
                        </pic:spPr>
                      </pic:pic>
                    </a:graphicData>
                  </a:graphic>
                </wp:inline>
              </w:drawing>
            </w:r>
          </w:p>
          <w:p w14:paraId="262CC896" w14:textId="77777777" w:rsidR="00EB4B2F" w:rsidRPr="00E10EB0" w:rsidRDefault="00EB4B2F" w:rsidP="0037676E">
            <w:pPr>
              <w:pStyle w:val="DefaultText"/>
              <w:jc w:val="center"/>
              <w:rPr>
                <w:rFonts w:asciiTheme="minorHAnsi" w:hAnsiTheme="minorHAnsi" w:cs="Cambria"/>
                <w:b/>
                <w:bCs/>
                <w:sz w:val="18"/>
                <w:szCs w:val="12"/>
                <w:lang w:val="en-GB"/>
              </w:rPr>
            </w:pPr>
            <w:r w:rsidRPr="00E10EB0">
              <w:rPr>
                <w:rFonts w:asciiTheme="minorHAnsi" w:hAnsiTheme="minorHAnsi" w:cs="Cambria"/>
                <w:b/>
                <w:bCs/>
                <w:sz w:val="18"/>
                <w:szCs w:val="12"/>
                <w:lang w:val="en-GB"/>
              </w:rPr>
              <w:t>2025 – Access Walkway</w:t>
            </w:r>
          </w:p>
          <w:p w14:paraId="1F17D778" w14:textId="77777777" w:rsidR="00EB4B2F" w:rsidRPr="00800195" w:rsidRDefault="00EB4B2F" w:rsidP="0037676E">
            <w:pPr>
              <w:pStyle w:val="DefaultText"/>
              <w:jc w:val="center"/>
              <w:rPr>
                <w:rFonts w:asciiTheme="minorHAnsi" w:hAnsiTheme="minorHAnsi" w:cs="Cambria"/>
                <w:b/>
                <w:bCs/>
                <w:sz w:val="18"/>
                <w:szCs w:val="12"/>
              </w:rPr>
            </w:pPr>
            <w:r w:rsidRPr="00800195">
              <w:rPr>
                <w:rFonts w:asciiTheme="minorHAnsi" w:hAnsiTheme="minorHAnsi" w:cs="Cambria"/>
                <w:b/>
                <w:bCs/>
                <w:noProof/>
                <w:sz w:val="18"/>
                <w:szCs w:val="12"/>
              </w:rPr>
              <w:drawing>
                <wp:inline distT="0" distB="0" distL="0" distR="0" wp14:anchorId="4378AA8A" wp14:editId="296099AA">
                  <wp:extent cx="2563495" cy="1922780"/>
                  <wp:effectExtent l="0" t="0" r="8255" b="1270"/>
                  <wp:docPr id="622453095" name="Picture 8" descr="A close-up of a pip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2453095" name="Picture 8" descr="A close-up of a pipe&#10;&#10;AI-generated content may be incorrect."/>
                          <pic:cNvPicPr>
                            <a:picLocks noChangeAspect="1" noChangeArrowheads="1"/>
                          </pic:cNvPicPr>
                        </pic:nvPicPr>
                        <pic:blipFill>
                          <a:blip r:embed="rId14" cstate="email">
                            <a:extLst>
                              <a:ext uri="{28A0092B-C50C-407E-A947-70E740481C1C}">
                                <a14:useLocalDpi xmlns:a14="http://schemas.microsoft.com/office/drawing/2010/main"/>
                              </a:ext>
                            </a:extLst>
                          </a:blip>
                          <a:srcRect/>
                          <a:stretch>
                            <a:fillRect/>
                          </a:stretch>
                        </pic:blipFill>
                        <pic:spPr bwMode="auto">
                          <a:xfrm>
                            <a:off x="0" y="0"/>
                            <a:ext cx="2563495" cy="1922780"/>
                          </a:xfrm>
                          <a:prstGeom prst="rect">
                            <a:avLst/>
                          </a:prstGeom>
                          <a:noFill/>
                          <a:ln>
                            <a:noFill/>
                          </a:ln>
                        </pic:spPr>
                      </pic:pic>
                    </a:graphicData>
                  </a:graphic>
                </wp:inline>
              </w:drawing>
            </w:r>
          </w:p>
          <w:p w14:paraId="70B1DA2D" w14:textId="77777777" w:rsidR="00EB4B2F" w:rsidRPr="00093524" w:rsidRDefault="00EB4B2F" w:rsidP="0037676E">
            <w:pPr>
              <w:pStyle w:val="DefaultText"/>
              <w:jc w:val="center"/>
              <w:rPr>
                <w:rFonts w:asciiTheme="minorHAnsi" w:hAnsiTheme="minorHAnsi" w:cs="Cambria"/>
                <w:b/>
                <w:bCs/>
                <w:sz w:val="18"/>
                <w:szCs w:val="12"/>
                <w:highlight w:val="yellow"/>
                <w:lang w:val="en-GB"/>
              </w:rPr>
            </w:pPr>
            <w:r w:rsidRPr="00800195">
              <w:rPr>
                <w:rFonts w:asciiTheme="minorHAnsi" w:hAnsiTheme="minorHAnsi" w:cs="Cambria"/>
                <w:b/>
                <w:bCs/>
                <w:sz w:val="18"/>
                <w:szCs w:val="12"/>
                <w:lang w:val="en-GB"/>
              </w:rPr>
              <w:t>2025 – Roof Access Prevented</w:t>
            </w:r>
          </w:p>
        </w:tc>
      </w:tr>
      <w:bookmarkEnd w:id="88"/>
    </w:tbl>
    <w:p w14:paraId="0C0D817A" w14:textId="77777777" w:rsidR="006F6430" w:rsidRDefault="00EB4B2F" w:rsidP="00EB4B2F">
      <w:r>
        <w:lastRenderedPageBreak/>
        <w:br w:type="page"/>
      </w:r>
    </w:p>
    <w:tbl>
      <w:tblPr>
        <w:tblW w:w="10774" w:type="dxa"/>
        <w:tblInd w:w="-85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67"/>
        <w:gridCol w:w="2836"/>
        <w:gridCol w:w="3118"/>
        <w:gridCol w:w="4253"/>
      </w:tblGrid>
      <w:tr w:rsidR="006F6430" w:rsidRPr="002562D0" w14:paraId="3F31FD01" w14:textId="77777777" w:rsidTr="0037676E">
        <w:tc>
          <w:tcPr>
            <w:tcW w:w="10774" w:type="dxa"/>
            <w:gridSpan w:val="4"/>
            <w:shd w:val="clear" w:color="auto" w:fill="FFC000"/>
          </w:tcPr>
          <w:p w14:paraId="7D2CEAA0" w14:textId="77777777" w:rsidR="006F6430" w:rsidRPr="002562D0" w:rsidRDefault="006F6430" w:rsidP="0037676E">
            <w:pPr>
              <w:pStyle w:val="DefaultText"/>
              <w:jc w:val="center"/>
              <w:rPr>
                <w:rFonts w:ascii="Cambria" w:hAnsi="Cambria" w:cs="Cambria"/>
                <w:b/>
                <w:bCs/>
                <w:sz w:val="18"/>
                <w:szCs w:val="12"/>
                <w:highlight w:val="yellow"/>
                <w:lang w:val="en-GB"/>
              </w:rPr>
            </w:pPr>
            <w:r>
              <w:rPr>
                <w:rFonts w:ascii="Cambria" w:hAnsi="Cambria" w:cs="Cambria"/>
                <w:b/>
                <w:bCs/>
                <w:sz w:val="20"/>
                <w:szCs w:val="14"/>
                <w:lang w:val="en-GB"/>
              </w:rPr>
              <w:lastRenderedPageBreak/>
              <w:t xml:space="preserve">Location 2– North Million Gallon Recovered Oil Tank </w:t>
            </w:r>
          </w:p>
        </w:tc>
      </w:tr>
      <w:tr w:rsidR="006F6430" w:rsidRPr="00093524" w14:paraId="6A7A4A80" w14:textId="77777777" w:rsidTr="0037676E">
        <w:tc>
          <w:tcPr>
            <w:tcW w:w="567" w:type="dxa"/>
            <w:vAlign w:val="center"/>
          </w:tcPr>
          <w:p w14:paraId="7BC3D305" w14:textId="77777777" w:rsidR="006F6430" w:rsidRPr="00B6513B" w:rsidRDefault="006F6430" w:rsidP="0037676E">
            <w:pPr>
              <w:pStyle w:val="DefaultText"/>
              <w:rPr>
                <w:rFonts w:asciiTheme="minorHAnsi" w:hAnsiTheme="minorHAnsi" w:cstheme="minorHAnsi"/>
                <w:sz w:val="18"/>
                <w:szCs w:val="18"/>
                <w:lang w:val="en-GB"/>
              </w:rPr>
            </w:pPr>
            <w:r>
              <w:rPr>
                <w:rFonts w:asciiTheme="minorHAnsi" w:hAnsiTheme="minorHAnsi" w:cstheme="minorHAnsi"/>
                <w:sz w:val="18"/>
                <w:szCs w:val="18"/>
                <w:lang w:val="en-GB"/>
              </w:rPr>
              <w:t>1</w:t>
            </w:r>
          </w:p>
        </w:tc>
        <w:tc>
          <w:tcPr>
            <w:tcW w:w="2836" w:type="dxa"/>
            <w:vAlign w:val="center"/>
          </w:tcPr>
          <w:p w14:paraId="228367D8" w14:textId="77777777" w:rsidR="006F6430" w:rsidRDefault="006F6430" w:rsidP="0037676E">
            <w:pPr>
              <w:pStyle w:val="DefaultText"/>
              <w:rPr>
                <w:rFonts w:ascii="Cambria" w:hAnsi="Cambria" w:cs="Cambria"/>
                <w:b/>
                <w:bCs/>
                <w:sz w:val="18"/>
                <w:szCs w:val="18"/>
              </w:rPr>
            </w:pPr>
            <w:r w:rsidRPr="004D268D">
              <w:rPr>
                <w:rFonts w:ascii="Cambria" w:hAnsi="Cambria" w:cs="Cambria"/>
                <w:b/>
                <w:bCs/>
                <w:sz w:val="18"/>
                <w:szCs w:val="18"/>
                <w:highlight w:val="yellow"/>
              </w:rPr>
              <w:t>Location 2</w:t>
            </w:r>
          </w:p>
          <w:p w14:paraId="26339B38" w14:textId="77777777" w:rsidR="006F6430" w:rsidRDefault="006F6430" w:rsidP="0037676E">
            <w:pPr>
              <w:pStyle w:val="DefaultText"/>
              <w:rPr>
                <w:rFonts w:ascii="Cambria" w:hAnsi="Cambria" w:cs="Cambria"/>
                <w:sz w:val="18"/>
                <w:szCs w:val="18"/>
              </w:rPr>
            </w:pPr>
            <w:r w:rsidRPr="005276BC">
              <w:rPr>
                <w:rFonts w:ascii="Cambria" w:hAnsi="Cambria" w:cs="Cambria"/>
                <w:sz w:val="18"/>
                <w:szCs w:val="18"/>
              </w:rPr>
              <w:t xml:space="preserve">The </w:t>
            </w:r>
            <w:r>
              <w:rPr>
                <w:rFonts w:ascii="Cambria" w:hAnsi="Cambria" w:cs="Cambria"/>
                <w:sz w:val="18"/>
                <w:szCs w:val="18"/>
              </w:rPr>
              <w:t xml:space="preserve">South Million Gallon tank is  redundant with minor content remaining within the bottom of the tank. It was designed to contain 110% of content within but due to corrosion damage the integrity of the tank has been called into question with leaks into the bund surrounding the tank. </w:t>
            </w:r>
          </w:p>
          <w:p w14:paraId="24D66D57" w14:textId="77777777" w:rsidR="006F6430" w:rsidRDefault="006F6430" w:rsidP="0037676E">
            <w:pPr>
              <w:pStyle w:val="DefaultText"/>
              <w:rPr>
                <w:rFonts w:ascii="Cambria" w:hAnsi="Cambria" w:cs="Cambria"/>
                <w:sz w:val="18"/>
                <w:szCs w:val="18"/>
              </w:rPr>
            </w:pPr>
          </w:p>
          <w:p w14:paraId="512D6CB5" w14:textId="77777777" w:rsidR="006F6430" w:rsidRDefault="006F6430" w:rsidP="0037676E">
            <w:pPr>
              <w:pStyle w:val="DefaultText"/>
              <w:rPr>
                <w:rFonts w:ascii="Cambria" w:hAnsi="Cambria" w:cs="Cambria"/>
                <w:sz w:val="18"/>
                <w:szCs w:val="18"/>
              </w:rPr>
            </w:pPr>
            <w:r>
              <w:rPr>
                <w:rFonts w:ascii="Cambria" w:hAnsi="Cambria" w:cs="Cambria"/>
                <w:sz w:val="18"/>
                <w:szCs w:val="18"/>
              </w:rPr>
              <w:t xml:space="preserve">The bund surrounding the tank at the time of inspection was clear with no debris present. </w:t>
            </w:r>
          </w:p>
          <w:p w14:paraId="56B04E3E" w14:textId="77777777" w:rsidR="006F6430" w:rsidRDefault="006F6430" w:rsidP="0037676E">
            <w:pPr>
              <w:pStyle w:val="DefaultText"/>
              <w:rPr>
                <w:rFonts w:ascii="Cambria" w:hAnsi="Cambria" w:cs="Cambria"/>
                <w:sz w:val="18"/>
                <w:szCs w:val="18"/>
              </w:rPr>
            </w:pPr>
          </w:p>
          <w:p w14:paraId="44B68F58" w14:textId="77777777" w:rsidR="006F6430" w:rsidRDefault="006F6430" w:rsidP="0037676E">
            <w:pPr>
              <w:pStyle w:val="DefaultText"/>
              <w:rPr>
                <w:rFonts w:ascii="Cambria" w:hAnsi="Cambria" w:cs="Cambria"/>
                <w:sz w:val="18"/>
                <w:szCs w:val="18"/>
              </w:rPr>
            </w:pPr>
            <w:r>
              <w:rPr>
                <w:rFonts w:ascii="Cambria" w:hAnsi="Cambria" w:cs="Cambria"/>
                <w:sz w:val="18"/>
                <w:szCs w:val="18"/>
              </w:rPr>
              <w:t xml:space="preserve">The access platform to the top of the bund has been prevented via a lockable gate which is only required for inspection purposes. Minor paint breakdown and corrosion damaged was observed at time of inspection. A section of  the handrailing has been removed and replaced with a scaffold pole.  </w:t>
            </w:r>
          </w:p>
          <w:p w14:paraId="2AA5EF3F" w14:textId="77777777" w:rsidR="006F6430" w:rsidRDefault="006F6430" w:rsidP="0037676E">
            <w:pPr>
              <w:pStyle w:val="DefaultText"/>
              <w:rPr>
                <w:rFonts w:ascii="Cambria" w:hAnsi="Cambria" w:cs="Cambria"/>
                <w:sz w:val="18"/>
                <w:szCs w:val="18"/>
              </w:rPr>
            </w:pPr>
          </w:p>
          <w:p w14:paraId="3AD81A48" w14:textId="77777777" w:rsidR="006F6430" w:rsidRDefault="006F6430" w:rsidP="0037676E">
            <w:pPr>
              <w:pStyle w:val="DefaultText"/>
              <w:rPr>
                <w:rFonts w:ascii="Cambria" w:hAnsi="Cambria" w:cs="Cambria"/>
                <w:sz w:val="18"/>
                <w:szCs w:val="18"/>
              </w:rPr>
            </w:pPr>
            <w:r>
              <w:rPr>
                <w:rFonts w:ascii="Cambria" w:hAnsi="Cambria" w:cs="Cambria"/>
                <w:sz w:val="18"/>
                <w:szCs w:val="18"/>
              </w:rPr>
              <w:t xml:space="preserve">The handrailing and roof area of the bund has suffered paint breakdown around the full circumference of the tank. </w:t>
            </w:r>
          </w:p>
          <w:p w14:paraId="0F750032" w14:textId="77777777" w:rsidR="006F6430" w:rsidRPr="005276BC" w:rsidRDefault="006F6430" w:rsidP="0037676E">
            <w:pPr>
              <w:pStyle w:val="DefaultText"/>
              <w:rPr>
                <w:rFonts w:ascii="Cambria" w:hAnsi="Cambria" w:cs="Cambria"/>
                <w:sz w:val="18"/>
                <w:szCs w:val="18"/>
              </w:rPr>
            </w:pPr>
            <w:r>
              <w:rPr>
                <w:rFonts w:ascii="Cambria" w:hAnsi="Cambria" w:cs="Cambria"/>
                <w:sz w:val="18"/>
                <w:szCs w:val="18"/>
              </w:rPr>
              <w:t xml:space="preserve"> </w:t>
            </w:r>
          </w:p>
        </w:tc>
        <w:tc>
          <w:tcPr>
            <w:tcW w:w="3118" w:type="dxa"/>
            <w:vAlign w:val="center"/>
          </w:tcPr>
          <w:p w14:paraId="16952EF2" w14:textId="77777777" w:rsidR="006F6430" w:rsidRDefault="006F6430" w:rsidP="0037676E">
            <w:pPr>
              <w:pStyle w:val="DefaultText"/>
              <w:rPr>
                <w:rFonts w:ascii="Cambria" w:hAnsi="Cambria" w:cs="Cambria"/>
                <w:sz w:val="18"/>
                <w:szCs w:val="18"/>
                <w:lang w:val="en-GB"/>
              </w:rPr>
            </w:pPr>
            <w:r>
              <w:rPr>
                <w:rFonts w:ascii="Cambria" w:hAnsi="Cambria" w:cs="Cambria"/>
                <w:sz w:val="18"/>
                <w:szCs w:val="18"/>
                <w:lang w:val="en-GB"/>
              </w:rPr>
              <w:t xml:space="preserve">Demolish the redundant tanks if not required for use in the future. </w:t>
            </w:r>
          </w:p>
          <w:p w14:paraId="7436B6E7" w14:textId="77777777" w:rsidR="006F6430" w:rsidRDefault="006F6430" w:rsidP="0037676E">
            <w:pPr>
              <w:pStyle w:val="DefaultText"/>
              <w:rPr>
                <w:rFonts w:ascii="Cambria" w:hAnsi="Cambria" w:cs="Cambria"/>
                <w:sz w:val="18"/>
                <w:szCs w:val="18"/>
                <w:lang w:val="en-GB"/>
              </w:rPr>
            </w:pPr>
          </w:p>
          <w:p w14:paraId="7213B693" w14:textId="77777777" w:rsidR="006F6430" w:rsidRPr="003A425C" w:rsidRDefault="006F6430" w:rsidP="0037676E">
            <w:pPr>
              <w:pStyle w:val="DefaultText"/>
              <w:rPr>
                <w:rFonts w:ascii="Cambria" w:hAnsi="Cambria" w:cs="Cambria"/>
                <w:sz w:val="18"/>
                <w:szCs w:val="18"/>
                <w:lang w:val="en-GB"/>
              </w:rPr>
            </w:pPr>
            <w:r>
              <w:rPr>
                <w:rFonts w:ascii="Cambria" w:hAnsi="Cambria" w:cs="Cambria"/>
                <w:sz w:val="18"/>
                <w:szCs w:val="18"/>
                <w:lang w:val="en-GB"/>
              </w:rPr>
              <w:t xml:space="preserve">Carry out remedial work if tanks are required in future. </w:t>
            </w:r>
          </w:p>
        </w:tc>
        <w:tc>
          <w:tcPr>
            <w:tcW w:w="4253" w:type="dxa"/>
          </w:tcPr>
          <w:p w14:paraId="79500C93" w14:textId="77777777" w:rsidR="006F6430" w:rsidRPr="0038166F" w:rsidRDefault="006F6430" w:rsidP="0037676E">
            <w:pPr>
              <w:pStyle w:val="DefaultText"/>
              <w:jc w:val="center"/>
              <w:rPr>
                <w:rFonts w:ascii="Calibri" w:hAnsi="Calibri" w:cs="Calibri"/>
                <w:b/>
                <w:bCs/>
                <w:color w:val="000000"/>
                <w:sz w:val="18"/>
                <w:szCs w:val="18"/>
                <w:shd w:val="clear" w:color="auto" w:fill="00FF00"/>
              </w:rPr>
            </w:pPr>
            <w:r w:rsidRPr="0038166F">
              <w:rPr>
                <w:rFonts w:ascii="Calibri" w:hAnsi="Calibri" w:cs="Calibri"/>
                <w:b/>
                <w:bCs/>
                <w:color w:val="000000"/>
                <w:sz w:val="18"/>
                <w:szCs w:val="18"/>
                <w:shd w:val="clear" w:color="auto" w:fill="00FF00"/>
              </w:rPr>
              <w:t xml:space="preserve">Priority RAM Matrix Rating </w:t>
            </w:r>
            <w:r>
              <w:rPr>
                <w:rFonts w:ascii="Calibri" w:hAnsi="Calibri" w:cs="Calibri"/>
                <w:b/>
                <w:bCs/>
                <w:color w:val="000000"/>
                <w:sz w:val="18"/>
                <w:szCs w:val="18"/>
                <w:shd w:val="clear" w:color="auto" w:fill="00FF00"/>
              </w:rPr>
              <w:t>M1-</w:t>
            </w:r>
            <w:r w:rsidRPr="0038166F">
              <w:rPr>
                <w:rFonts w:ascii="Calibri" w:hAnsi="Calibri" w:cs="Calibri"/>
                <w:b/>
                <w:bCs/>
                <w:color w:val="000000"/>
                <w:sz w:val="18"/>
                <w:szCs w:val="18"/>
                <w:shd w:val="clear" w:color="auto" w:fill="00FF00"/>
              </w:rPr>
              <w:t>P</w:t>
            </w:r>
            <w:r>
              <w:rPr>
                <w:rFonts w:ascii="Calibri" w:hAnsi="Calibri" w:cs="Calibri"/>
                <w:b/>
                <w:bCs/>
                <w:color w:val="000000"/>
                <w:sz w:val="18"/>
                <w:szCs w:val="18"/>
                <w:shd w:val="clear" w:color="auto" w:fill="00FF00"/>
              </w:rPr>
              <w:t>4</w:t>
            </w:r>
            <w:r w:rsidRPr="0038166F">
              <w:rPr>
                <w:rFonts w:ascii="Calibri" w:hAnsi="Calibri" w:cs="Calibri"/>
                <w:b/>
                <w:bCs/>
                <w:color w:val="000000"/>
                <w:sz w:val="18"/>
                <w:szCs w:val="18"/>
                <w:shd w:val="clear" w:color="auto" w:fill="00FF00"/>
              </w:rPr>
              <w:t xml:space="preserve"> LOW (</w:t>
            </w:r>
            <w:r>
              <w:rPr>
                <w:rFonts w:ascii="Calibri" w:hAnsi="Calibri" w:cs="Calibri"/>
                <w:b/>
                <w:bCs/>
                <w:color w:val="000000"/>
                <w:sz w:val="18"/>
                <w:szCs w:val="18"/>
                <w:shd w:val="clear" w:color="auto" w:fill="00FF00"/>
              </w:rPr>
              <w:t>24</w:t>
            </w:r>
            <w:r w:rsidRPr="0038166F">
              <w:rPr>
                <w:rFonts w:ascii="Calibri" w:hAnsi="Calibri" w:cs="Calibri"/>
                <w:b/>
                <w:bCs/>
                <w:color w:val="000000"/>
                <w:sz w:val="18"/>
                <w:szCs w:val="18"/>
                <w:shd w:val="clear" w:color="auto" w:fill="00FF00"/>
              </w:rPr>
              <w:t xml:space="preserve"> months)</w:t>
            </w:r>
          </w:p>
          <w:p w14:paraId="0EFF6841" w14:textId="77777777" w:rsidR="006F6430" w:rsidRDefault="006F6430" w:rsidP="0037676E">
            <w:pPr>
              <w:pStyle w:val="DefaultText"/>
              <w:jc w:val="center"/>
              <w:rPr>
                <w:rFonts w:ascii="Calibri" w:hAnsi="Calibri" w:cs="Calibri"/>
                <w:b/>
                <w:bCs/>
                <w:color w:val="000000"/>
                <w:sz w:val="18"/>
                <w:szCs w:val="18"/>
                <w:shd w:val="clear" w:color="auto" w:fill="00FF00"/>
                <w:lang w:val="en-GB"/>
              </w:rPr>
            </w:pPr>
            <w:r w:rsidRPr="0038166F">
              <w:rPr>
                <w:rFonts w:ascii="Calibri" w:hAnsi="Calibri" w:cs="Calibri"/>
                <w:b/>
                <w:bCs/>
                <w:color w:val="000000"/>
                <w:sz w:val="18"/>
                <w:szCs w:val="18"/>
                <w:shd w:val="clear" w:color="auto" w:fill="00FF00"/>
                <w:lang w:val="en-GB"/>
              </w:rPr>
              <w:t>SAP M1 Notification Number:</w:t>
            </w:r>
            <w:r w:rsidRPr="006A6665">
              <w:rPr>
                <w:rFonts w:ascii="Calibri" w:hAnsi="Calibri" w:cs="Calibri"/>
                <w:b/>
                <w:bCs/>
                <w:color w:val="000000"/>
                <w:sz w:val="18"/>
                <w:szCs w:val="18"/>
                <w:lang w:val="en-GB"/>
              </w:rPr>
              <w:t xml:space="preserve"> 16032079</w:t>
            </w:r>
          </w:p>
          <w:p w14:paraId="774F3B09" w14:textId="77777777" w:rsidR="006F6430" w:rsidRPr="00CF7BE5" w:rsidRDefault="006F6430" w:rsidP="0037676E">
            <w:pPr>
              <w:pStyle w:val="DefaultText"/>
              <w:jc w:val="center"/>
              <w:rPr>
                <w:rFonts w:asciiTheme="minorHAnsi" w:hAnsiTheme="minorHAnsi" w:cs="Cambria"/>
                <w:b/>
                <w:bCs/>
                <w:sz w:val="18"/>
                <w:szCs w:val="12"/>
              </w:rPr>
            </w:pPr>
            <w:r w:rsidRPr="00CF7BE5">
              <w:rPr>
                <w:rFonts w:asciiTheme="minorHAnsi" w:hAnsiTheme="minorHAnsi" w:cs="Cambria"/>
                <w:b/>
                <w:bCs/>
                <w:noProof/>
                <w:sz w:val="18"/>
                <w:szCs w:val="12"/>
              </w:rPr>
              <w:drawing>
                <wp:inline distT="0" distB="0" distL="0" distR="0" wp14:anchorId="70890B4E" wp14:editId="6D6DD919">
                  <wp:extent cx="2563495" cy="1922780"/>
                  <wp:effectExtent l="0" t="0" r="8255" b="1270"/>
                  <wp:docPr id="620304065" name="Picture 12" descr="A close-up of a sil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0304065" name="Picture 12" descr="A close-up of a silo&#10;&#10;AI-generated content may be incorrect."/>
                          <pic:cNvPicPr>
                            <a:picLocks noChangeAspect="1" noChangeArrowheads="1"/>
                          </pic:cNvPicPr>
                        </pic:nvPicPr>
                        <pic:blipFill>
                          <a:blip r:embed="rId15" cstate="email">
                            <a:extLst>
                              <a:ext uri="{28A0092B-C50C-407E-A947-70E740481C1C}">
                                <a14:useLocalDpi xmlns:a14="http://schemas.microsoft.com/office/drawing/2010/main"/>
                              </a:ext>
                            </a:extLst>
                          </a:blip>
                          <a:srcRect/>
                          <a:stretch>
                            <a:fillRect/>
                          </a:stretch>
                        </pic:blipFill>
                        <pic:spPr bwMode="auto">
                          <a:xfrm>
                            <a:off x="0" y="0"/>
                            <a:ext cx="2563495" cy="1922780"/>
                          </a:xfrm>
                          <a:prstGeom prst="rect">
                            <a:avLst/>
                          </a:prstGeom>
                          <a:noFill/>
                          <a:ln>
                            <a:noFill/>
                          </a:ln>
                        </pic:spPr>
                      </pic:pic>
                    </a:graphicData>
                  </a:graphic>
                </wp:inline>
              </w:drawing>
            </w:r>
          </w:p>
          <w:p w14:paraId="3598B5AA" w14:textId="77777777" w:rsidR="006F6430" w:rsidRDefault="006F6430" w:rsidP="0037676E">
            <w:pPr>
              <w:pStyle w:val="DefaultText"/>
              <w:jc w:val="center"/>
              <w:rPr>
                <w:rFonts w:asciiTheme="minorHAnsi" w:hAnsiTheme="minorHAnsi" w:cs="Cambria"/>
                <w:b/>
                <w:bCs/>
                <w:sz w:val="18"/>
                <w:szCs w:val="12"/>
                <w:lang w:val="en-GB"/>
              </w:rPr>
            </w:pPr>
            <w:r w:rsidRPr="0022279F">
              <w:rPr>
                <w:rFonts w:asciiTheme="minorHAnsi" w:hAnsiTheme="minorHAnsi" w:cs="Cambria"/>
                <w:b/>
                <w:bCs/>
                <w:sz w:val="18"/>
                <w:szCs w:val="12"/>
                <w:lang w:val="en-GB"/>
              </w:rPr>
              <w:t>2025</w:t>
            </w:r>
            <w:r>
              <w:rPr>
                <w:rFonts w:asciiTheme="minorHAnsi" w:hAnsiTheme="minorHAnsi" w:cs="Cambria"/>
                <w:b/>
                <w:bCs/>
                <w:sz w:val="18"/>
                <w:szCs w:val="12"/>
                <w:lang w:val="en-GB"/>
              </w:rPr>
              <w:t xml:space="preserve"> – South Million Gallon Tank</w:t>
            </w:r>
          </w:p>
          <w:p w14:paraId="3E7E1C17" w14:textId="77777777" w:rsidR="006F6430" w:rsidRPr="00CF7BE5" w:rsidRDefault="006F6430" w:rsidP="0037676E">
            <w:pPr>
              <w:pStyle w:val="DefaultText"/>
              <w:jc w:val="center"/>
              <w:rPr>
                <w:noProof/>
              </w:rPr>
            </w:pPr>
            <w:r w:rsidRPr="00CF7BE5">
              <w:rPr>
                <w:noProof/>
              </w:rPr>
              <w:drawing>
                <wp:inline distT="0" distB="0" distL="0" distR="0" wp14:anchorId="5945C639" wp14:editId="2A2E8706">
                  <wp:extent cx="2563495" cy="1922780"/>
                  <wp:effectExtent l="0" t="0" r="8255" b="1270"/>
                  <wp:docPr id="517525567" name="Picture 14" descr="A green hose next to a concrete sil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7525567" name="Picture 14" descr="A green hose next to a concrete silo&#10;&#10;AI-generated content may be incorrect."/>
                          <pic:cNvPicPr>
                            <a:picLocks noChangeAspect="1" noChangeArrowheads="1"/>
                          </pic:cNvPicPr>
                        </pic:nvPicPr>
                        <pic:blipFill>
                          <a:blip r:embed="rId16" cstate="email">
                            <a:extLst>
                              <a:ext uri="{28A0092B-C50C-407E-A947-70E740481C1C}">
                                <a14:useLocalDpi xmlns:a14="http://schemas.microsoft.com/office/drawing/2010/main"/>
                              </a:ext>
                            </a:extLst>
                          </a:blip>
                          <a:srcRect/>
                          <a:stretch>
                            <a:fillRect/>
                          </a:stretch>
                        </pic:blipFill>
                        <pic:spPr bwMode="auto">
                          <a:xfrm>
                            <a:off x="0" y="0"/>
                            <a:ext cx="2563495" cy="1922780"/>
                          </a:xfrm>
                          <a:prstGeom prst="rect">
                            <a:avLst/>
                          </a:prstGeom>
                          <a:noFill/>
                          <a:ln>
                            <a:noFill/>
                          </a:ln>
                        </pic:spPr>
                      </pic:pic>
                    </a:graphicData>
                  </a:graphic>
                </wp:inline>
              </w:drawing>
            </w:r>
          </w:p>
          <w:p w14:paraId="07087653" w14:textId="77777777" w:rsidR="006F6430" w:rsidRDefault="006F6430" w:rsidP="0037676E">
            <w:pPr>
              <w:pStyle w:val="DefaultText"/>
              <w:jc w:val="center"/>
              <w:rPr>
                <w:rFonts w:asciiTheme="minorHAnsi" w:hAnsiTheme="minorHAnsi" w:cs="Cambria"/>
                <w:b/>
                <w:bCs/>
                <w:sz w:val="18"/>
                <w:szCs w:val="12"/>
                <w:lang w:val="en-GB"/>
              </w:rPr>
            </w:pPr>
            <w:r w:rsidRPr="0022279F">
              <w:rPr>
                <w:rFonts w:asciiTheme="minorHAnsi" w:hAnsiTheme="minorHAnsi" w:cs="Cambria"/>
                <w:b/>
                <w:bCs/>
                <w:sz w:val="18"/>
                <w:szCs w:val="12"/>
                <w:lang w:val="en-GB"/>
              </w:rPr>
              <w:t>2025</w:t>
            </w:r>
            <w:r>
              <w:rPr>
                <w:rFonts w:asciiTheme="minorHAnsi" w:hAnsiTheme="minorHAnsi" w:cs="Cambria"/>
                <w:b/>
                <w:bCs/>
                <w:sz w:val="18"/>
                <w:szCs w:val="12"/>
                <w:lang w:val="en-GB"/>
              </w:rPr>
              <w:t xml:space="preserve"> – Surrounding Bund Area</w:t>
            </w:r>
          </w:p>
          <w:p w14:paraId="6AB00B11" w14:textId="77777777" w:rsidR="006F6430" w:rsidRPr="00522C57" w:rsidRDefault="006F6430" w:rsidP="0037676E">
            <w:pPr>
              <w:pStyle w:val="DefaultText"/>
              <w:jc w:val="center"/>
              <w:rPr>
                <w:rFonts w:asciiTheme="minorHAnsi" w:hAnsiTheme="minorHAnsi" w:cs="Cambria"/>
                <w:b/>
                <w:bCs/>
                <w:sz w:val="18"/>
                <w:szCs w:val="12"/>
                <w:lang w:val="en-GB"/>
              </w:rPr>
            </w:pPr>
            <w:r w:rsidRPr="00522C57">
              <w:rPr>
                <w:rFonts w:asciiTheme="minorHAnsi" w:hAnsiTheme="minorHAnsi" w:cs="Cambria"/>
                <w:b/>
                <w:bCs/>
                <w:noProof/>
                <w:sz w:val="18"/>
                <w:szCs w:val="12"/>
                <w:lang w:val="en-GB"/>
              </w:rPr>
              <w:drawing>
                <wp:inline distT="0" distB="0" distL="0" distR="0" wp14:anchorId="75C39EDD" wp14:editId="55FEBD3B">
                  <wp:extent cx="2563495" cy="1922780"/>
                  <wp:effectExtent l="0" t="0" r="8255" b="1270"/>
                  <wp:docPr id="674418922" name="Picture 16" descr="A close-up of a staircas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4418922" name="Picture 16" descr="A close-up of a staircase&#10;&#10;AI-generated content may be incorrect."/>
                          <pic:cNvPicPr>
                            <a:picLocks noChangeAspect="1" noChangeArrowheads="1"/>
                          </pic:cNvPicPr>
                        </pic:nvPicPr>
                        <pic:blipFill>
                          <a:blip r:embed="rId17" cstate="email">
                            <a:extLst>
                              <a:ext uri="{28A0092B-C50C-407E-A947-70E740481C1C}">
                                <a14:useLocalDpi xmlns:a14="http://schemas.microsoft.com/office/drawing/2010/main"/>
                              </a:ext>
                            </a:extLst>
                          </a:blip>
                          <a:srcRect/>
                          <a:stretch>
                            <a:fillRect/>
                          </a:stretch>
                        </pic:blipFill>
                        <pic:spPr bwMode="auto">
                          <a:xfrm>
                            <a:off x="0" y="0"/>
                            <a:ext cx="2563495" cy="1922780"/>
                          </a:xfrm>
                          <a:prstGeom prst="rect">
                            <a:avLst/>
                          </a:prstGeom>
                          <a:noFill/>
                          <a:ln>
                            <a:noFill/>
                          </a:ln>
                        </pic:spPr>
                      </pic:pic>
                    </a:graphicData>
                  </a:graphic>
                </wp:inline>
              </w:drawing>
            </w:r>
          </w:p>
          <w:p w14:paraId="7EA57EDD" w14:textId="77777777" w:rsidR="006F6430" w:rsidRPr="00E10EB0" w:rsidRDefault="006F6430" w:rsidP="0037676E">
            <w:pPr>
              <w:pStyle w:val="DefaultText"/>
              <w:jc w:val="center"/>
              <w:rPr>
                <w:rFonts w:asciiTheme="minorHAnsi" w:hAnsiTheme="minorHAnsi" w:cs="Cambria"/>
                <w:b/>
                <w:bCs/>
                <w:sz w:val="18"/>
                <w:szCs w:val="12"/>
                <w:lang w:val="en-GB"/>
              </w:rPr>
            </w:pPr>
            <w:r w:rsidRPr="00E10EB0">
              <w:rPr>
                <w:rFonts w:asciiTheme="minorHAnsi" w:hAnsiTheme="minorHAnsi" w:cs="Cambria"/>
                <w:b/>
                <w:bCs/>
                <w:sz w:val="18"/>
                <w:szCs w:val="12"/>
                <w:lang w:val="en-GB"/>
              </w:rPr>
              <w:t>2025 – Access Walkway</w:t>
            </w:r>
          </w:p>
          <w:p w14:paraId="2E00CF82" w14:textId="77777777" w:rsidR="006F6430" w:rsidRPr="00625AD5" w:rsidRDefault="006F6430" w:rsidP="0037676E">
            <w:pPr>
              <w:pStyle w:val="DefaultText"/>
              <w:jc w:val="center"/>
              <w:rPr>
                <w:rFonts w:asciiTheme="minorHAnsi" w:hAnsiTheme="minorHAnsi" w:cs="Cambria"/>
                <w:b/>
                <w:bCs/>
                <w:sz w:val="18"/>
                <w:szCs w:val="12"/>
                <w:lang w:val="en-GB"/>
              </w:rPr>
            </w:pPr>
            <w:r w:rsidRPr="00625AD5">
              <w:rPr>
                <w:rFonts w:asciiTheme="minorHAnsi" w:hAnsiTheme="minorHAnsi" w:cs="Cambria"/>
                <w:b/>
                <w:bCs/>
                <w:noProof/>
                <w:sz w:val="18"/>
                <w:szCs w:val="12"/>
                <w:lang w:val="en-GB"/>
              </w:rPr>
              <w:drawing>
                <wp:inline distT="0" distB="0" distL="0" distR="0" wp14:anchorId="13B78D72" wp14:editId="4EF022A4">
                  <wp:extent cx="2563495" cy="1922780"/>
                  <wp:effectExtent l="0" t="0" r="8255" b="1270"/>
                  <wp:docPr id="1557750143" name="Picture 18" descr="A concrete road with a fence and buildings in th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7750143" name="Picture 18" descr="A concrete road with a fence and buildings in the background&#10;&#10;AI-generated content may be incorrect."/>
                          <pic:cNvPicPr>
                            <a:picLocks noChangeAspect="1" noChangeArrowheads="1"/>
                          </pic:cNvPicPr>
                        </pic:nvPicPr>
                        <pic:blipFill>
                          <a:blip r:embed="rId18" cstate="email">
                            <a:extLst>
                              <a:ext uri="{28A0092B-C50C-407E-A947-70E740481C1C}">
                                <a14:useLocalDpi xmlns:a14="http://schemas.microsoft.com/office/drawing/2010/main"/>
                              </a:ext>
                            </a:extLst>
                          </a:blip>
                          <a:srcRect/>
                          <a:stretch>
                            <a:fillRect/>
                          </a:stretch>
                        </pic:blipFill>
                        <pic:spPr bwMode="auto">
                          <a:xfrm>
                            <a:off x="0" y="0"/>
                            <a:ext cx="2563495" cy="1922780"/>
                          </a:xfrm>
                          <a:prstGeom prst="rect">
                            <a:avLst/>
                          </a:prstGeom>
                          <a:noFill/>
                          <a:ln>
                            <a:noFill/>
                          </a:ln>
                        </pic:spPr>
                      </pic:pic>
                    </a:graphicData>
                  </a:graphic>
                </wp:inline>
              </w:drawing>
            </w:r>
          </w:p>
          <w:p w14:paraId="7025855E" w14:textId="77777777" w:rsidR="006F6430" w:rsidRPr="00093524" w:rsidRDefault="006F6430" w:rsidP="0037676E">
            <w:pPr>
              <w:pStyle w:val="DefaultText"/>
              <w:jc w:val="center"/>
              <w:rPr>
                <w:rFonts w:asciiTheme="minorHAnsi" w:hAnsiTheme="minorHAnsi" w:cs="Cambria"/>
                <w:b/>
                <w:bCs/>
                <w:sz w:val="18"/>
                <w:szCs w:val="12"/>
                <w:highlight w:val="yellow"/>
                <w:lang w:val="en-GB"/>
              </w:rPr>
            </w:pPr>
            <w:r w:rsidRPr="00800195">
              <w:rPr>
                <w:rFonts w:asciiTheme="minorHAnsi" w:hAnsiTheme="minorHAnsi" w:cs="Cambria"/>
                <w:b/>
                <w:bCs/>
                <w:sz w:val="18"/>
                <w:szCs w:val="12"/>
                <w:lang w:val="en-GB"/>
              </w:rPr>
              <w:t xml:space="preserve">2025 – </w:t>
            </w:r>
            <w:r>
              <w:rPr>
                <w:rFonts w:asciiTheme="minorHAnsi" w:hAnsiTheme="minorHAnsi" w:cs="Cambria"/>
                <w:b/>
                <w:bCs/>
                <w:sz w:val="18"/>
                <w:szCs w:val="12"/>
                <w:lang w:val="en-GB"/>
              </w:rPr>
              <w:t>Roof Area</w:t>
            </w:r>
          </w:p>
        </w:tc>
      </w:tr>
    </w:tbl>
    <w:p w14:paraId="1901B75E" w14:textId="6D1CFC72" w:rsidR="00EB4B2F" w:rsidRDefault="00EB4B2F" w:rsidP="00EB4B2F"/>
    <w:p w14:paraId="52C3465D" w14:textId="49CBEE32" w:rsidR="00E97232" w:rsidRDefault="00CA5319" w:rsidP="00B31E9A">
      <w:pPr>
        <w:pStyle w:val="Heading4"/>
      </w:pPr>
      <w:r>
        <w:lastRenderedPageBreak/>
        <w:t>Appendix</w:t>
      </w:r>
      <w:r w:rsidR="0081523B">
        <w:t xml:space="preserve"> B</w:t>
      </w:r>
    </w:p>
    <w:p w14:paraId="320204EF" w14:textId="0D467956" w:rsidR="008B555C" w:rsidRDefault="008B555C" w:rsidP="00E97232">
      <w:r w:rsidRPr="008B555C">
        <w:rPr>
          <w:noProof/>
        </w:rPr>
        <w:drawing>
          <wp:inline distT="0" distB="0" distL="0" distR="0" wp14:anchorId="63A99F1F" wp14:editId="57598E48">
            <wp:extent cx="5619750" cy="4711700"/>
            <wp:effectExtent l="0" t="0" r="0" b="0"/>
            <wp:docPr id="1944598304" name="Picture 1" descr="A close-up of a test repo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4598304" name="Picture 1" descr="A close-up of a test report&#10;&#10;AI-generated content may be incorrect."/>
                    <pic:cNvPicPr/>
                  </pic:nvPicPr>
                  <pic:blipFill>
                    <a:blip r:embed="rId19"/>
                    <a:stretch>
                      <a:fillRect/>
                    </a:stretch>
                  </pic:blipFill>
                  <pic:spPr>
                    <a:xfrm>
                      <a:off x="0" y="0"/>
                      <a:ext cx="5620062" cy="4711962"/>
                    </a:xfrm>
                    <a:prstGeom prst="rect">
                      <a:avLst/>
                    </a:prstGeom>
                  </pic:spPr>
                </pic:pic>
              </a:graphicData>
            </a:graphic>
          </wp:inline>
        </w:drawing>
      </w:r>
    </w:p>
    <w:p w14:paraId="79198D27" w14:textId="77777777" w:rsidR="000F0E67" w:rsidRDefault="000F0E67" w:rsidP="00E97232"/>
    <w:p w14:paraId="58942B18" w14:textId="70E476DF" w:rsidR="000F0E67" w:rsidRDefault="000F0E67" w:rsidP="00E97232">
      <w:r w:rsidRPr="000F0E67">
        <w:rPr>
          <w:noProof/>
        </w:rPr>
        <w:drawing>
          <wp:inline distT="0" distB="0" distL="0" distR="0" wp14:anchorId="07B1464C" wp14:editId="37687FB6">
            <wp:extent cx="5562600" cy="3454400"/>
            <wp:effectExtent l="0" t="0" r="0" b="0"/>
            <wp:docPr id="274852971" name="Picture 1" descr="A diagram of a tan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4852971" name="Picture 1" descr="A diagram of a tank&#10;&#10;AI-generated content may be incorrect."/>
                    <pic:cNvPicPr/>
                  </pic:nvPicPr>
                  <pic:blipFill>
                    <a:blip r:embed="rId20"/>
                    <a:stretch>
                      <a:fillRect/>
                    </a:stretch>
                  </pic:blipFill>
                  <pic:spPr>
                    <a:xfrm>
                      <a:off x="0" y="0"/>
                      <a:ext cx="5562600" cy="3454400"/>
                    </a:xfrm>
                    <a:prstGeom prst="rect">
                      <a:avLst/>
                    </a:prstGeom>
                  </pic:spPr>
                </pic:pic>
              </a:graphicData>
            </a:graphic>
          </wp:inline>
        </w:drawing>
      </w:r>
    </w:p>
    <w:p w14:paraId="444EA96B" w14:textId="2223E3DD" w:rsidR="00B31E9A" w:rsidRDefault="00CA5319" w:rsidP="002914BC">
      <w:pPr>
        <w:pStyle w:val="Heading4"/>
      </w:pPr>
      <w:r>
        <w:lastRenderedPageBreak/>
        <w:t>Appendix</w:t>
      </w:r>
      <w:r w:rsidR="002914BC">
        <w:t xml:space="preserve"> C</w:t>
      </w:r>
    </w:p>
    <w:p w14:paraId="56AEB158" w14:textId="47452FFC" w:rsidR="002E6728" w:rsidRDefault="002E6728" w:rsidP="00E97232">
      <w:r w:rsidRPr="002E6728">
        <w:rPr>
          <w:noProof/>
        </w:rPr>
        <w:drawing>
          <wp:inline distT="0" distB="0" distL="0" distR="0" wp14:anchorId="48DA80A2" wp14:editId="7919C3C7">
            <wp:extent cx="5731510" cy="4422775"/>
            <wp:effectExtent l="0" t="0" r="2540" b="0"/>
            <wp:docPr id="1106164662" name="Picture 1" descr="A blueprint of a hous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6164662" name="Picture 1" descr="A blueprint of a house&#10;&#10;AI-generated content may be incorrect."/>
                    <pic:cNvPicPr/>
                  </pic:nvPicPr>
                  <pic:blipFill>
                    <a:blip r:embed="rId21"/>
                    <a:stretch>
                      <a:fillRect/>
                    </a:stretch>
                  </pic:blipFill>
                  <pic:spPr>
                    <a:xfrm>
                      <a:off x="0" y="0"/>
                      <a:ext cx="5731510" cy="4422775"/>
                    </a:xfrm>
                    <a:prstGeom prst="rect">
                      <a:avLst/>
                    </a:prstGeom>
                  </pic:spPr>
                </pic:pic>
              </a:graphicData>
            </a:graphic>
          </wp:inline>
        </w:drawing>
      </w:r>
    </w:p>
    <w:p w14:paraId="4B9091E1" w14:textId="3BF4BB48" w:rsidR="004261B2" w:rsidRPr="00646ED6" w:rsidRDefault="004261B2" w:rsidP="004261B2">
      <w:pPr>
        <w:rPr>
          <w:b/>
          <w:bCs/>
        </w:rPr>
      </w:pPr>
      <w:r w:rsidRPr="00646ED6">
        <w:rPr>
          <w:b/>
          <w:bCs/>
        </w:rPr>
        <w:t xml:space="preserve">Appendix </w:t>
      </w:r>
      <w:r w:rsidR="00812E2A" w:rsidRPr="00646ED6">
        <w:rPr>
          <w:b/>
          <w:bCs/>
        </w:rPr>
        <w:t>D</w:t>
      </w:r>
      <w:r w:rsidRPr="00646ED6">
        <w:rPr>
          <w:b/>
          <w:bCs/>
        </w:rPr>
        <w:t xml:space="preserve"> – Contractor Quotation Comparison</w:t>
      </w:r>
    </w:p>
    <w:p w14:paraId="04393451" w14:textId="618B55C0" w:rsidR="004261B2" w:rsidRPr="004261B2" w:rsidRDefault="004261B2" w:rsidP="004261B2">
      <w:pPr>
        <w:rPr>
          <w:lang w:val="en-US"/>
        </w:rPr>
      </w:pPr>
      <w:r w:rsidRPr="004261B2">
        <w:rPr>
          <w:b/>
          <w:lang w:val="en-US"/>
        </w:rPr>
        <w:t>A.</w:t>
      </w:r>
      <w:r w:rsidR="00812E2A">
        <w:rPr>
          <w:b/>
          <w:lang w:val="en-US"/>
        </w:rPr>
        <w:t>D</w:t>
      </w:r>
      <w:r w:rsidRPr="004261B2">
        <w:rPr>
          <w:b/>
          <w:lang w:val="en-US"/>
        </w:rPr>
        <w:t>.1 Sludge Removal and Disposal Contractor Comparison</w:t>
      </w:r>
    </w:p>
    <w:tbl>
      <w:tblPr>
        <w:tblStyle w:val="TableGrid"/>
        <w:tblW w:w="0" w:type="auto"/>
        <w:tblLook w:val="04A0" w:firstRow="1" w:lastRow="0" w:firstColumn="1" w:lastColumn="0" w:noHBand="0" w:noVBand="1"/>
      </w:tblPr>
      <w:tblGrid>
        <w:gridCol w:w="1728"/>
        <w:gridCol w:w="1728"/>
        <w:gridCol w:w="1728"/>
        <w:gridCol w:w="1818"/>
        <w:gridCol w:w="1728"/>
      </w:tblGrid>
      <w:tr w:rsidR="004261B2" w:rsidRPr="004261B2" w14:paraId="1B51F96E" w14:textId="77777777" w:rsidTr="004261B2">
        <w:tc>
          <w:tcPr>
            <w:tcW w:w="1728" w:type="dxa"/>
            <w:tcBorders>
              <w:top w:val="single" w:sz="4" w:space="0" w:color="auto"/>
              <w:left w:val="single" w:sz="4" w:space="0" w:color="auto"/>
              <w:bottom w:val="single" w:sz="4" w:space="0" w:color="auto"/>
              <w:right w:val="single" w:sz="4" w:space="0" w:color="auto"/>
            </w:tcBorders>
            <w:hideMark/>
          </w:tcPr>
          <w:p w14:paraId="2198B728" w14:textId="77777777" w:rsidR="004261B2" w:rsidRPr="004261B2" w:rsidRDefault="004261B2" w:rsidP="004261B2">
            <w:pPr>
              <w:spacing w:after="160" w:line="259" w:lineRule="auto"/>
              <w:rPr>
                <w:lang w:val="en-US"/>
              </w:rPr>
            </w:pPr>
            <w:r w:rsidRPr="004261B2">
              <w:rPr>
                <w:lang w:val="en-US"/>
              </w:rPr>
              <w:t>Contractor</w:t>
            </w:r>
          </w:p>
        </w:tc>
        <w:tc>
          <w:tcPr>
            <w:tcW w:w="1728" w:type="dxa"/>
            <w:tcBorders>
              <w:top w:val="single" w:sz="4" w:space="0" w:color="auto"/>
              <w:left w:val="single" w:sz="4" w:space="0" w:color="auto"/>
              <w:bottom w:val="single" w:sz="4" w:space="0" w:color="auto"/>
              <w:right w:val="single" w:sz="4" w:space="0" w:color="auto"/>
            </w:tcBorders>
            <w:hideMark/>
          </w:tcPr>
          <w:p w14:paraId="7AB7480E" w14:textId="77777777" w:rsidR="004261B2" w:rsidRPr="004261B2" w:rsidRDefault="004261B2" w:rsidP="004261B2">
            <w:pPr>
              <w:spacing w:after="160" w:line="259" w:lineRule="auto"/>
              <w:rPr>
                <w:lang w:val="en-US"/>
              </w:rPr>
            </w:pPr>
            <w:r w:rsidRPr="004261B2">
              <w:rPr>
                <w:lang w:val="en-US"/>
              </w:rPr>
              <w:t>Proposed Methodology</w:t>
            </w:r>
          </w:p>
        </w:tc>
        <w:tc>
          <w:tcPr>
            <w:tcW w:w="1728" w:type="dxa"/>
            <w:tcBorders>
              <w:top w:val="single" w:sz="4" w:space="0" w:color="auto"/>
              <w:left w:val="single" w:sz="4" w:space="0" w:color="auto"/>
              <w:bottom w:val="single" w:sz="4" w:space="0" w:color="auto"/>
              <w:right w:val="single" w:sz="4" w:space="0" w:color="auto"/>
            </w:tcBorders>
            <w:hideMark/>
          </w:tcPr>
          <w:p w14:paraId="645428B6" w14:textId="77777777" w:rsidR="004261B2" w:rsidRPr="004261B2" w:rsidRDefault="004261B2" w:rsidP="004261B2">
            <w:pPr>
              <w:spacing w:after="160" w:line="259" w:lineRule="auto"/>
              <w:rPr>
                <w:lang w:val="en-US"/>
              </w:rPr>
            </w:pPr>
            <w:r w:rsidRPr="004261B2">
              <w:rPr>
                <w:lang w:val="en-US"/>
              </w:rPr>
              <w:t>Estimated Cost (£)</w:t>
            </w:r>
          </w:p>
        </w:tc>
        <w:tc>
          <w:tcPr>
            <w:tcW w:w="1728" w:type="dxa"/>
            <w:tcBorders>
              <w:top w:val="single" w:sz="4" w:space="0" w:color="auto"/>
              <w:left w:val="single" w:sz="4" w:space="0" w:color="auto"/>
              <w:bottom w:val="single" w:sz="4" w:space="0" w:color="auto"/>
              <w:right w:val="single" w:sz="4" w:space="0" w:color="auto"/>
            </w:tcBorders>
            <w:hideMark/>
          </w:tcPr>
          <w:p w14:paraId="0BAAB00D" w14:textId="77777777" w:rsidR="004261B2" w:rsidRPr="004261B2" w:rsidRDefault="004261B2" w:rsidP="004261B2">
            <w:pPr>
              <w:spacing w:after="160" w:line="259" w:lineRule="auto"/>
              <w:rPr>
                <w:lang w:val="en-US"/>
              </w:rPr>
            </w:pPr>
            <w:r w:rsidRPr="004261B2">
              <w:rPr>
                <w:lang w:val="en-US"/>
              </w:rPr>
              <w:t>Advantages</w:t>
            </w:r>
          </w:p>
        </w:tc>
        <w:tc>
          <w:tcPr>
            <w:tcW w:w="1728" w:type="dxa"/>
            <w:tcBorders>
              <w:top w:val="single" w:sz="4" w:space="0" w:color="auto"/>
              <w:left w:val="single" w:sz="4" w:space="0" w:color="auto"/>
              <w:bottom w:val="single" w:sz="4" w:space="0" w:color="auto"/>
              <w:right w:val="single" w:sz="4" w:space="0" w:color="auto"/>
            </w:tcBorders>
            <w:hideMark/>
          </w:tcPr>
          <w:p w14:paraId="2E30A5B6" w14:textId="77777777" w:rsidR="004261B2" w:rsidRPr="004261B2" w:rsidRDefault="004261B2" w:rsidP="004261B2">
            <w:pPr>
              <w:spacing w:after="160" w:line="259" w:lineRule="auto"/>
              <w:rPr>
                <w:lang w:val="en-US"/>
              </w:rPr>
            </w:pPr>
            <w:r w:rsidRPr="004261B2">
              <w:rPr>
                <w:lang w:val="en-US"/>
              </w:rPr>
              <w:t>Disadvantages</w:t>
            </w:r>
          </w:p>
        </w:tc>
      </w:tr>
      <w:tr w:rsidR="004261B2" w:rsidRPr="004261B2" w14:paraId="18730FAD" w14:textId="77777777" w:rsidTr="004261B2">
        <w:tc>
          <w:tcPr>
            <w:tcW w:w="1728" w:type="dxa"/>
            <w:tcBorders>
              <w:top w:val="single" w:sz="4" w:space="0" w:color="auto"/>
              <w:left w:val="single" w:sz="4" w:space="0" w:color="auto"/>
              <w:bottom w:val="single" w:sz="4" w:space="0" w:color="auto"/>
              <w:right w:val="single" w:sz="4" w:space="0" w:color="auto"/>
            </w:tcBorders>
            <w:hideMark/>
          </w:tcPr>
          <w:p w14:paraId="32DAC149" w14:textId="77777777" w:rsidR="004261B2" w:rsidRPr="004261B2" w:rsidRDefault="004261B2" w:rsidP="004261B2">
            <w:pPr>
              <w:spacing w:after="160" w:line="259" w:lineRule="auto"/>
              <w:rPr>
                <w:lang w:val="en-US"/>
              </w:rPr>
            </w:pPr>
            <w:r w:rsidRPr="004261B2">
              <w:rPr>
                <w:lang w:val="en-US"/>
              </w:rPr>
              <w:t>MSS Group</w:t>
            </w:r>
          </w:p>
        </w:tc>
        <w:tc>
          <w:tcPr>
            <w:tcW w:w="1728" w:type="dxa"/>
            <w:tcBorders>
              <w:top w:val="single" w:sz="4" w:space="0" w:color="auto"/>
              <w:left w:val="single" w:sz="4" w:space="0" w:color="auto"/>
              <w:bottom w:val="single" w:sz="4" w:space="0" w:color="auto"/>
              <w:right w:val="single" w:sz="4" w:space="0" w:color="auto"/>
            </w:tcBorders>
            <w:hideMark/>
          </w:tcPr>
          <w:p w14:paraId="0D35DC93" w14:textId="77777777" w:rsidR="004261B2" w:rsidRPr="004261B2" w:rsidRDefault="004261B2" w:rsidP="004261B2">
            <w:pPr>
              <w:spacing w:after="160" w:line="259" w:lineRule="auto"/>
              <w:rPr>
                <w:lang w:val="en-US"/>
              </w:rPr>
            </w:pPr>
            <w:r w:rsidRPr="004261B2">
              <w:rPr>
                <w:lang w:val="en-US"/>
              </w:rPr>
              <w:t>On-site sludge processing and dewatering with demolition by Darlows.</w:t>
            </w:r>
          </w:p>
        </w:tc>
        <w:tc>
          <w:tcPr>
            <w:tcW w:w="1728" w:type="dxa"/>
            <w:tcBorders>
              <w:top w:val="single" w:sz="4" w:space="0" w:color="auto"/>
              <w:left w:val="single" w:sz="4" w:space="0" w:color="auto"/>
              <w:bottom w:val="single" w:sz="4" w:space="0" w:color="auto"/>
              <w:right w:val="single" w:sz="4" w:space="0" w:color="auto"/>
            </w:tcBorders>
            <w:hideMark/>
          </w:tcPr>
          <w:p w14:paraId="665B98B7" w14:textId="77777777" w:rsidR="004261B2" w:rsidRPr="004261B2" w:rsidRDefault="004261B2" w:rsidP="004261B2">
            <w:pPr>
              <w:spacing w:after="160" w:line="259" w:lineRule="auto"/>
              <w:rPr>
                <w:lang w:val="en-US"/>
              </w:rPr>
            </w:pPr>
            <w:r w:rsidRPr="004261B2">
              <w:rPr>
                <w:lang w:val="en-US"/>
              </w:rPr>
              <w:t>400,550</w:t>
            </w:r>
          </w:p>
        </w:tc>
        <w:tc>
          <w:tcPr>
            <w:tcW w:w="1728" w:type="dxa"/>
            <w:tcBorders>
              <w:top w:val="single" w:sz="4" w:space="0" w:color="auto"/>
              <w:left w:val="single" w:sz="4" w:space="0" w:color="auto"/>
              <w:bottom w:val="single" w:sz="4" w:space="0" w:color="auto"/>
              <w:right w:val="single" w:sz="4" w:space="0" w:color="auto"/>
            </w:tcBorders>
            <w:hideMark/>
          </w:tcPr>
          <w:p w14:paraId="62FE8FDA" w14:textId="77777777" w:rsidR="004261B2" w:rsidRPr="004261B2" w:rsidRDefault="004261B2" w:rsidP="004261B2">
            <w:pPr>
              <w:spacing w:after="160" w:line="259" w:lineRule="auto"/>
              <w:rPr>
                <w:lang w:val="en-US"/>
              </w:rPr>
            </w:pPr>
            <w:r w:rsidRPr="004261B2">
              <w:rPr>
                <w:lang w:val="en-US"/>
              </w:rPr>
              <w:t>Lowest defined cost; potential on-site processing.</w:t>
            </w:r>
          </w:p>
        </w:tc>
        <w:tc>
          <w:tcPr>
            <w:tcW w:w="1728" w:type="dxa"/>
            <w:tcBorders>
              <w:top w:val="single" w:sz="4" w:space="0" w:color="auto"/>
              <w:left w:val="single" w:sz="4" w:space="0" w:color="auto"/>
              <w:bottom w:val="single" w:sz="4" w:space="0" w:color="auto"/>
              <w:right w:val="single" w:sz="4" w:space="0" w:color="auto"/>
            </w:tcBorders>
            <w:hideMark/>
          </w:tcPr>
          <w:p w14:paraId="5AE18333" w14:textId="77777777" w:rsidR="004261B2" w:rsidRPr="004261B2" w:rsidRDefault="004261B2" w:rsidP="004261B2">
            <w:pPr>
              <w:spacing w:after="160" w:line="259" w:lineRule="auto"/>
              <w:rPr>
                <w:lang w:val="en-US"/>
              </w:rPr>
            </w:pPr>
            <w:r w:rsidRPr="004261B2">
              <w:rPr>
                <w:lang w:val="en-US"/>
              </w:rPr>
              <w:t>Dependent on successful sludge treatment.</w:t>
            </w:r>
          </w:p>
        </w:tc>
      </w:tr>
      <w:tr w:rsidR="004261B2" w:rsidRPr="004261B2" w14:paraId="081972B1" w14:textId="77777777" w:rsidTr="004261B2">
        <w:tc>
          <w:tcPr>
            <w:tcW w:w="1728" w:type="dxa"/>
            <w:tcBorders>
              <w:top w:val="single" w:sz="4" w:space="0" w:color="auto"/>
              <w:left w:val="single" w:sz="4" w:space="0" w:color="auto"/>
              <w:bottom w:val="single" w:sz="4" w:space="0" w:color="auto"/>
              <w:right w:val="single" w:sz="4" w:space="0" w:color="auto"/>
            </w:tcBorders>
            <w:hideMark/>
          </w:tcPr>
          <w:p w14:paraId="112D12A7" w14:textId="77777777" w:rsidR="004261B2" w:rsidRPr="004261B2" w:rsidRDefault="004261B2" w:rsidP="004261B2">
            <w:pPr>
              <w:spacing w:after="160" w:line="259" w:lineRule="auto"/>
              <w:rPr>
                <w:lang w:val="en-US"/>
              </w:rPr>
            </w:pPr>
            <w:proofErr w:type="spellStart"/>
            <w:r w:rsidRPr="004261B2">
              <w:rPr>
                <w:lang w:val="en-US"/>
              </w:rPr>
              <w:t>Runtech</w:t>
            </w:r>
            <w:proofErr w:type="spellEnd"/>
          </w:p>
        </w:tc>
        <w:tc>
          <w:tcPr>
            <w:tcW w:w="1728" w:type="dxa"/>
            <w:tcBorders>
              <w:top w:val="single" w:sz="4" w:space="0" w:color="auto"/>
              <w:left w:val="single" w:sz="4" w:space="0" w:color="auto"/>
              <w:bottom w:val="single" w:sz="4" w:space="0" w:color="auto"/>
              <w:right w:val="single" w:sz="4" w:space="0" w:color="auto"/>
            </w:tcBorders>
            <w:hideMark/>
          </w:tcPr>
          <w:p w14:paraId="093149FE" w14:textId="77777777" w:rsidR="004261B2" w:rsidRPr="004261B2" w:rsidRDefault="004261B2" w:rsidP="004261B2">
            <w:pPr>
              <w:spacing w:after="160" w:line="259" w:lineRule="auto"/>
              <w:rPr>
                <w:lang w:val="en-US"/>
              </w:rPr>
            </w:pPr>
            <w:r w:rsidRPr="004261B2">
              <w:rPr>
                <w:lang w:val="en-US"/>
              </w:rPr>
              <w:t>Multiple options including drying area and disposal routes.</w:t>
            </w:r>
          </w:p>
        </w:tc>
        <w:tc>
          <w:tcPr>
            <w:tcW w:w="1728" w:type="dxa"/>
            <w:tcBorders>
              <w:top w:val="single" w:sz="4" w:space="0" w:color="auto"/>
              <w:left w:val="single" w:sz="4" w:space="0" w:color="auto"/>
              <w:bottom w:val="single" w:sz="4" w:space="0" w:color="auto"/>
              <w:right w:val="single" w:sz="4" w:space="0" w:color="auto"/>
            </w:tcBorders>
            <w:hideMark/>
          </w:tcPr>
          <w:p w14:paraId="42F04707" w14:textId="0790F2DB" w:rsidR="004261B2" w:rsidRPr="004261B2" w:rsidRDefault="000D11C7" w:rsidP="004261B2">
            <w:pPr>
              <w:spacing w:after="160" w:line="259" w:lineRule="auto"/>
              <w:rPr>
                <w:lang w:val="en-US"/>
              </w:rPr>
            </w:pPr>
            <w:r w:rsidRPr="000D11C7">
              <w:t>£19,380 drying option to £3.59 million full disposal option</w:t>
            </w:r>
          </w:p>
        </w:tc>
        <w:tc>
          <w:tcPr>
            <w:tcW w:w="1728" w:type="dxa"/>
            <w:tcBorders>
              <w:top w:val="single" w:sz="4" w:space="0" w:color="auto"/>
              <w:left w:val="single" w:sz="4" w:space="0" w:color="auto"/>
              <w:bottom w:val="single" w:sz="4" w:space="0" w:color="auto"/>
              <w:right w:val="single" w:sz="4" w:space="0" w:color="auto"/>
            </w:tcBorders>
            <w:hideMark/>
          </w:tcPr>
          <w:p w14:paraId="16E1A266" w14:textId="77777777" w:rsidR="004261B2" w:rsidRPr="004261B2" w:rsidRDefault="004261B2" w:rsidP="004261B2">
            <w:pPr>
              <w:spacing w:after="160" w:line="259" w:lineRule="auto"/>
              <w:rPr>
                <w:lang w:val="en-US"/>
              </w:rPr>
            </w:pPr>
            <w:r w:rsidRPr="004261B2">
              <w:rPr>
                <w:lang w:val="en-US"/>
              </w:rPr>
              <w:t>Flexible methodology; lowest demolition cost.</w:t>
            </w:r>
          </w:p>
        </w:tc>
        <w:tc>
          <w:tcPr>
            <w:tcW w:w="1728" w:type="dxa"/>
            <w:tcBorders>
              <w:top w:val="single" w:sz="4" w:space="0" w:color="auto"/>
              <w:left w:val="single" w:sz="4" w:space="0" w:color="auto"/>
              <w:bottom w:val="single" w:sz="4" w:space="0" w:color="auto"/>
              <w:right w:val="single" w:sz="4" w:space="0" w:color="auto"/>
            </w:tcBorders>
            <w:hideMark/>
          </w:tcPr>
          <w:p w14:paraId="691FE823" w14:textId="77777777" w:rsidR="004261B2" w:rsidRPr="004261B2" w:rsidRDefault="004261B2" w:rsidP="004261B2">
            <w:pPr>
              <w:spacing w:after="160" w:line="259" w:lineRule="auto"/>
              <w:rPr>
                <w:lang w:val="en-US"/>
              </w:rPr>
            </w:pPr>
            <w:r w:rsidRPr="004261B2">
              <w:rPr>
                <w:lang w:val="en-US"/>
              </w:rPr>
              <w:t>High uncertainty on disposal route and final cost.</w:t>
            </w:r>
          </w:p>
        </w:tc>
      </w:tr>
      <w:tr w:rsidR="004261B2" w:rsidRPr="004261B2" w14:paraId="1CB14F46" w14:textId="77777777" w:rsidTr="004261B2">
        <w:tc>
          <w:tcPr>
            <w:tcW w:w="1728" w:type="dxa"/>
            <w:tcBorders>
              <w:top w:val="single" w:sz="4" w:space="0" w:color="auto"/>
              <w:left w:val="single" w:sz="4" w:space="0" w:color="auto"/>
              <w:bottom w:val="single" w:sz="4" w:space="0" w:color="auto"/>
              <w:right w:val="single" w:sz="4" w:space="0" w:color="auto"/>
            </w:tcBorders>
            <w:hideMark/>
          </w:tcPr>
          <w:p w14:paraId="535199F6" w14:textId="77777777" w:rsidR="004261B2" w:rsidRPr="004261B2" w:rsidRDefault="004261B2" w:rsidP="004261B2">
            <w:pPr>
              <w:spacing w:after="160" w:line="259" w:lineRule="auto"/>
              <w:rPr>
                <w:lang w:val="en-US"/>
              </w:rPr>
            </w:pPr>
            <w:r w:rsidRPr="004261B2">
              <w:rPr>
                <w:lang w:val="en-US"/>
              </w:rPr>
              <w:t>Veolia</w:t>
            </w:r>
          </w:p>
        </w:tc>
        <w:tc>
          <w:tcPr>
            <w:tcW w:w="1728" w:type="dxa"/>
            <w:tcBorders>
              <w:top w:val="single" w:sz="4" w:space="0" w:color="auto"/>
              <w:left w:val="single" w:sz="4" w:space="0" w:color="auto"/>
              <w:bottom w:val="single" w:sz="4" w:space="0" w:color="auto"/>
              <w:right w:val="single" w:sz="4" w:space="0" w:color="auto"/>
            </w:tcBorders>
            <w:hideMark/>
          </w:tcPr>
          <w:p w14:paraId="7C8C4BE7" w14:textId="77777777" w:rsidR="004261B2" w:rsidRPr="004261B2" w:rsidRDefault="004261B2" w:rsidP="004261B2">
            <w:pPr>
              <w:spacing w:after="160" w:line="259" w:lineRule="auto"/>
              <w:rPr>
                <w:lang w:val="en-US"/>
              </w:rPr>
            </w:pPr>
            <w:r w:rsidRPr="004261B2">
              <w:rPr>
                <w:lang w:val="en-US"/>
              </w:rPr>
              <w:t xml:space="preserve">Integrated turnkey solution including waste, </w:t>
            </w:r>
            <w:r w:rsidRPr="004261B2">
              <w:rPr>
                <w:lang w:val="en-US"/>
              </w:rPr>
              <w:lastRenderedPageBreak/>
              <w:t>asbestos and demolition.</w:t>
            </w:r>
          </w:p>
        </w:tc>
        <w:tc>
          <w:tcPr>
            <w:tcW w:w="1728" w:type="dxa"/>
            <w:tcBorders>
              <w:top w:val="single" w:sz="4" w:space="0" w:color="auto"/>
              <w:left w:val="single" w:sz="4" w:space="0" w:color="auto"/>
              <w:bottom w:val="single" w:sz="4" w:space="0" w:color="auto"/>
              <w:right w:val="single" w:sz="4" w:space="0" w:color="auto"/>
            </w:tcBorders>
            <w:hideMark/>
          </w:tcPr>
          <w:p w14:paraId="2D48DF72" w14:textId="77777777" w:rsidR="004261B2" w:rsidRPr="004261B2" w:rsidRDefault="004261B2" w:rsidP="004261B2">
            <w:pPr>
              <w:spacing w:after="160" w:line="259" w:lineRule="auto"/>
              <w:rPr>
                <w:lang w:val="en-US"/>
              </w:rPr>
            </w:pPr>
            <w:r w:rsidRPr="004261B2">
              <w:rPr>
                <w:lang w:val="en-US"/>
              </w:rPr>
              <w:lastRenderedPageBreak/>
              <w:t>1,279,615</w:t>
            </w:r>
          </w:p>
        </w:tc>
        <w:tc>
          <w:tcPr>
            <w:tcW w:w="1728" w:type="dxa"/>
            <w:tcBorders>
              <w:top w:val="single" w:sz="4" w:space="0" w:color="auto"/>
              <w:left w:val="single" w:sz="4" w:space="0" w:color="auto"/>
              <w:bottom w:val="single" w:sz="4" w:space="0" w:color="auto"/>
              <w:right w:val="single" w:sz="4" w:space="0" w:color="auto"/>
            </w:tcBorders>
            <w:hideMark/>
          </w:tcPr>
          <w:p w14:paraId="5FB0DC13" w14:textId="77777777" w:rsidR="004261B2" w:rsidRPr="004261B2" w:rsidRDefault="004261B2" w:rsidP="004261B2">
            <w:pPr>
              <w:spacing w:after="160" w:line="259" w:lineRule="auto"/>
              <w:rPr>
                <w:lang w:val="en-US"/>
              </w:rPr>
            </w:pPr>
            <w:r w:rsidRPr="004261B2">
              <w:rPr>
                <w:lang w:val="en-US"/>
              </w:rPr>
              <w:t>Comprehensive, lowest project risk, strong safety controls.</w:t>
            </w:r>
          </w:p>
        </w:tc>
        <w:tc>
          <w:tcPr>
            <w:tcW w:w="1728" w:type="dxa"/>
            <w:tcBorders>
              <w:top w:val="single" w:sz="4" w:space="0" w:color="auto"/>
              <w:left w:val="single" w:sz="4" w:space="0" w:color="auto"/>
              <w:bottom w:val="single" w:sz="4" w:space="0" w:color="auto"/>
              <w:right w:val="single" w:sz="4" w:space="0" w:color="auto"/>
            </w:tcBorders>
            <w:hideMark/>
          </w:tcPr>
          <w:p w14:paraId="1EF79F91" w14:textId="77777777" w:rsidR="004261B2" w:rsidRPr="004261B2" w:rsidRDefault="004261B2" w:rsidP="004261B2">
            <w:pPr>
              <w:spacing w:after="160" w:line="259" w:lineRule="auto"/>
              <w:rPr>
                <w:lang w:val="en-US"/>
              </w:rPr>
            </w:pPr>
            <w:r w:rsidRPr="004261B2">
              <w:rPr>
                <w:lang w:val="en-US"/>
              </w:rPr>
              <w:t>Higher capital cost.</w:t>
            </w:r>
          </w:p>
        </w:tc>
      </w:tr>
      <w:tr w:rsidR="004261B2" w:rsidRPr="004261B2" w14:paraId="54E94325" w14:textId="77777777" w:rsidTr="004261B2">
        <w:tc>
          <w:tcPr>
            <w:tcW w:w="1728" w:type="dxa"/>
            <w:tcBorders>
              <w:top w:val="single" w:sz="4" w:space="0" w:color="auto"/>
              <w:left w:val="single" w:sz="4" w:space="0" w:color="auto"/>
              <w:bottom w:val="single" w:sz="4" w:space="0" w:color="auto"/>
              <w:right w:val="single" w:sz="4" w:space="0" w:color="auto"/>
            </w:tcBorders>
            <w:hideMark/>
          </w:tcPr>
          <w:p w14:paraId="593B02D9" w14:textId="77777777" w:rsidR="004261B2" w:rsidRPr="004261B2" w:rsidRDefault="004261B2" w:rsidP="004261B2">
            <w:pPr>
              <w:spacing w:after="160" w:line="259" w:lineRule="auto"/>
              <w:rPr>
                <w:lang w:val="en-US"/>
              </w:rPr>
            </w:pPr>
            <w:r w:rsidRPr="004261B2">
              <w:rPr>
                <w:lang w:val="en-US"/>
              </w:rPr>
              <w:t>Future Industrial</w:t>
            </w:r>
          </w:p>
        </w:tc>
        <w:tc>
          <w:tcPr>
            <w:tcW w:w="1728" w:type="dxa"/>
            <w:tcBorders>
              <w:top w:val="single" w:sz="4" w:space="0" w:color="auto"/>
              <w:left w:val="single" w:sz="4" w:space="0" w:color="auto"/>
              <w:bottom w:val="single" w:sz="4" w:space="0" w:color="auto"/>
              <w:right w:val="single" w:sz="4" w:space="0" w:color="auto"/>
            </w:tcBorders>
            <w:hideMark/>
          </w:tcPr>
          <w:p w14:paraId="47E9378B" w14:textId="77777777" w:rsidR="004261B2" w:rsidRPr="004261B2" w:rsidRDefault="004261B2" w:rsidP="004261B2">
            <w:pPr>
              <w:spacing w:after="160" w:line="259" w:lineRule="auto"/>
              <w:rPr>
                <w:lang w:val="en-US"/>
              </w:rPr>
            </w:pPr>
            <w:r w:rsidRPr="004261B2">
              <w:rPr>
                <w:lang w:val="en-US"/>
              </w:rPr>
              <w:t>Phased pumping, jetting, vacuum loading and disposal.</w:t>
            </w:r>
          </w:p>
        </w:tc>
        <w:tc>
          <w:tcPr>
            <w:tcW w:w="1728" w:type="dxa"/>
            <w:tcBorders>
              <w:top w:val="single" w:sz="4" w:space="0" w:color="auto"/>
              <w:left w:val="single" w:sz="4" w:space="0" w:color="auto"/>
              <w:bottom w:val="single" w:sz="4" w:space="0" w:color="auto"/>
              <w:right w:val="single" w:sz="4" w:space="0" w:color="auto"/>
            </w:tcBorders>
            <w:hideMark/>
          </w:tcPr>
          <w:p w14:paraId="59049ADF" w14:textId="77777777" w:rsidR="004261B2" w:rsidRPr="004261B2" w:rsidRDefault="004261B2" w:rsidP="004261B2">
            <w:pPr>
              <w:spacing w:after="160" w:line="259" w:lineRule="auto"/>
              <w:rPr>
                <w:lang w:val="en-US"/>
              </w:rPr>
            </w:pPr>
            <w:r w:rsidRPr="004261B2">
              <w:rPr>
                <w:lang w:val="en-US"/>
              </w:rPr>
              <w:t>2,416,250</w:t>
            </w:r>
          </w:p>
        </w:tc>
        <w:tc>
          <w:tcPr>
            <w:tcW w:w="1728" w:type="dxa"/>
            <w:tcBorders>
              <w:top w:val="single" w:sz="4" w:space="0" w:color="auto"/>
              <w:left w:val="single" w:sz="4" w:space="0" w:color="auto"/>
              <w:bottom w:val="single" w:sz="4" w:space="0" w:color="auto"/>
              <w:right w:val="single" w:sz="4" w:space="0" w:color="auto"/>
            </w:tcBorders>
            <w:hideMark/>
          </w:tcPr>
          <w:p w14:paraId="20B652E0" w14:textId="77777777" w:rsidR="004261B2" w:rsidRPr="004261B2" w:rsidRDefault="004261B2" w:rsidP="004261B2">
            <w:pPr>
              <w:spacing w:after="160" w:line="259" w:lineRule="auto"/>
              <w:rPr>
                <w:lang w:val="en-US"/>
              </w:rPr>
            </w:pPr>
            <w:r w:rsidRPr="004261B2">
              <w:rPr>
                <w:lang w:val="en-US"/>
              </w:rPr>
              <w:t>Detailed methodology.</w:t>
            </w:r>
          </w:p>
        </w:tc>
        <w:tc>
          <w:tcPr>
            <w:tcW w:w="1728" w:type="dxa"/>
            <w:tcBorders>
              <w:top w:val="single" w:sz="4" w:space="0" w:color="auto"/>
              <w:left w:val="single" w:sz="4" w:space="0" w:color="auto"/>
              <w:bottom w:val="single" w:sz="4" w:space="0" w:color="auto"/>
              <w:right w:val="single" w:sz="4" w:space="0" w:color="auto"/>
            </w:tcBorders>
            <w:hideMark/>
          </w:tcPr>
          <w:p w14:paraId="0D962A81" w14:textId="77777777" w:rsidR="004261B2" w:rsidRPr="004261B2" w:rsidRDefault="004261B2" w:rsidP="004261B2">
            <w:pPr>
              <w:spacing w:after="160" w:line="259" w:lineRule="auto"/>
              <w:rPr>
                <w:lang w:val="en-US"/>
              </w:rPr>
            </w:pPr>
            <w:r w:rsidRPr="004261B2">
              <w:rPr>
                <w:lang w:val="en-US"/>
              </w:rPr>
              <w:t xml:space="preserve">Highest cost and significant </w:t>
            </w:r>
            <w:proofErr w:type="spellStart"/>
            <w:r w:rsidRPr="004261B2">
              <w:rPr>
                <w:lang w:val="en-US"/>
              </w:rPr>
              <w:t>programme</w:t>
            </w:r>
            <w:proofErr w:type="spellEnd"/>
            <w:r w:rsidRPr="004261B2">
              <w:rPr>
                <w:lang w:val="en-US"/>
              </w:rPr>
              <w:t xml:space="preserve"> uncertainty.</w:t>
            </w:r>
          </w:p>
        </w:tc>
      </w:tr>
    </w:tbl>
    <w:p w14:paraId="13C1C9B2" w14:textId="77777777" w:rsidR="004261B2" w:rsidRPr="004261B2" w:rsidRDefault="004261B2" w:rsidP="004261B2">
      <w:pPr>
        <w:rPr>
          <w:lang w:val="en-US"/>
        </w:rPr>
      </w:pPr>
    </w:p>
    <w:p w14:paraId="0C6370AF" w14:textId="06FFE727" w:rsidR="004261B2" w:rsidRPr="004261B2" w:rsidRDefault="004261B2" w:rsidP="004261B2">
      <w:pPr>
        <w:rPr>
          <w:b/>
          <w:bCs/>
          <w:lang w:val="en-US"/>
        </w:rPr>
      </w:pPr>
      <w:r w:rsidRPr="004261B2">
        <w:rPr>
          <w:b/>
          <w:bCs/>
          <w:lang w:val="en-US"/>
        </w:rPr>
        <w:t>A.</w:t>
      </w:r>
      <w:r w:rsidR="00812E2A">
        <w:rPr>
          <w:b/>
          <w:bCs/>
          <w:lang w:val="en-US"/>
        </w:rPr>
        <w:t>D</w:t>
      </w:r>
      <w:r w:rsidRPr="004261B2">
        <w:rPr>
          <w:b/>
          <w:bCs/>
          <w:lang w:val="en-US"/>
        </w:rPr>
        <w:t>.2 Demolition Contractor Comparison</w:t>
      </w:r>
    </w:p>
    <w:tbl>
      <w:tblPr>
        <w:tblStyle w:val="TableGrid"/>
        <w:tblW w:w="0" w:type="auto"/>
        <w:tblLook w:val="04A0" w:firstRow="1" w:lastRow="0" w:firstColumn="1" w:lastColumn="0" w:noHBand="0" w:noVBand="1"/>
      </w:tblPr>
      <w:tblGrid>
        <w:gridCol w:w="2880"/>
        <w:gridCol w:w="2880"/>
        <w:gridCol w:w="2880"/>
      </w:tblGrid>
      <w:tr w:rsidR="004261B2" w:rsidRPr="004261B2" w14:paraId="4E6CEC10" w14:textId="77777777" w:rsidTr="004261B2">
        <w:tc>
          <w:tcPr>
            <w:tcW w:w="2880" w:type="dxa"/>
            <w:tcBorders>
              <w:top w:val="single" w:sz="4" w:space="0" w:color="auto"/>
              <w:left w:val="single" w:sz="4" w:space="0" w:color="auto"/>
              <w:bottom w:val="single" w:sz="4" w:space="0" w:color="auto"/>
              <w:right w:val="single" w:sz="4" w:space="0" w:color="auto"/>
            </w:tcBorders>
            <w:hideMark/>
          </w:tcPr>
          <w:p w14:paraId="5DE693D5" w14:textId="77777777" w:rsidR="004261B2" w:rsidRPr="004261B2" w:rsidRDefault="004261B2" w:rsidP="004261B2">
            <w:pPr>
              <w:spacing w:after="160" w:line="259" w:lineRule="auto"/>
              <w:rPr>
                <w:lang w:val="en-US"/>
              </w:rPr>
            </w:pPr>
            <w:r w:rsidRPr="004261B2">
              <w:rPr>
                <w:lang w:val="en-US"/>
              </w:rPr>
              <w:t>Contractor</w:t>
            </w:r>
          </w:p>
        </w:tc>
        <w:tc>
          <w:tcPr>
            <w:tcW w:w="2880" w:type="dxa"/>
            <w:tcBorders>
              <w:top w:val="single" w:sz="4" w:space="0" w:color="auto"/>
              <w:left w:val="single" w:sz="4" w:space="0" w:color="auto"/>
              <w:bottom w:val="single" w:sz="4" w:space="0" w:color="auto"/>
              <w:right w:val="single" w:sz="4" w:space="0" w:color="auto"/>
            </w:tcBorders>
            <w:hideMark/>
          </w:tcPr>
          <w:p w14:paraId="71C23D4D" w14:textId="77777777" w:rsidR="004261B2" w:rsidRPr="004261B2" w:rsidRDefault="004261B2" w:rsidP="004261B2">
            <w:pPr>
              <w:spacing w:after="160" w:line="259" w:lineRule="auto"/>
              <w:rPr>
                <w:lang w:val="en-US"/>
              </w:rPr>
            </w:pPr>
            <w:r w:rsidRPr="004261B2">
              <w:rPr>
                <w:lang w:val="en-US"/>
              </w:rPr>
              <w:t>Demolition Cost (£)</w:t>
            </w:r>
          </w:p>
        </w:tc>
        <w:tc>
          <w:tcPr>
            <w:tcW w:w="2880" w:type="dxa"/>
            <w:tcBorders>
              <w:top w:val="single" w:sz="4" w:space="0" w:color="auto"/>
              <w:left w:val="single" w:sz="4" w:space="0" w:color="auto"/>
              <w:bottom w:val="single" w:sz="4" w:space="0" w:color="auto"/>
              <w:right w:val="single" w:sz="4" w:space="0" w:color="auto"/>
            </w:tcBorders>
            <w:hideMark/>
          </w:tcPr>
          <w:p w14:paraId="43B69488" w14:textId="77777777" w:rsidR="004261B2" w:rsidRPr="004261B2" w:rsidRDefault="004261B2" w:rsidP="004261B2">
            <w:pPr>
              <w:spacing w:after="160" w:line="259" w:lineRule="auto"/>
              <w:rPr>
                <w:lang w:val="en-US"/>
              </w:rPr>
            </w:pPr>
            <w:r w:rsidRPr="004261B2">
              <w:rPr>
                <w:lang w:val="en-US"/>
              </w:rPr>
              <w:t>Key Notes</w:t>
            </w:r>
          </w:p>
        </w:tc>
      </w:tr>
      <w:tr w:rsidR="004261B2" w:rsidRPr="004261B2" w14:paraId="508BABAB" w14:textId="77777777" w:rsidTr="004261B2">
        <w:tc>
          <w:tcPr>
            <w:tcW w:w="2880" w:type="dxa"/>
            <w:tcBorders>
              <w:top w:val="single" w:sz="4" w:space="0" w:color="auto"/>
              <w:left w:val="single" w:sz="4" w:space="0" w:color="auto"/>
              <w:bottom w:val="single" w:sz="4" w:space="0" w:color="auto"/>
              <w:right w:val="single" w:sz="4" w:space="0" w:color="auto"/>
            </w:tcBorders>
            <w:hideMark/>
          </w:tcPr>
          <w:p w14:paraId="43A906AB" w14:textId="77777777" w:rsidR="004261B2" w:rsidRPr="004261B2" w:rsidRDefault="004261B2" w:rsidP="004261B2">
            <w:pPr>
              <w:spacing w:after="160" w:line="259" w:lineRule="auto"/>
              <w:rPr>
                <w:lang w:val="en-US"/>
              </w:rPr>
            </w:pPr>
            <w:proofErr w:type="spellStart"/>
            <w:r w:rsidRPr="004261B2">
              <w:rPr>
                <w:lang w:val="en-US"/>
              </w:rPr>
              <w:t>Runtech</w:t>
            </w:r>
            <w:proofErr w:type="spellEnd"/>
          </w:p>
        </w:tc>
        <w:tc>
          <w:tcPr>
            <w:tcW w:w="2880" w:type="dxa"/>
            <w:tcBorders>
              <w:top w:val="single" w:sz="4" w:space="0" w:color="auto"/>
              <w:left w:val="single" w:sz="4" w:space="0" w:color="auto"/>
              <w:bottom w:val="single" w:sz="4" w:space="0" w:color="auto"/>
              <w:right w:val="single" w:sz="4" w:space="0" w:color="auto"/>
            </w:tcBorders>
            <w:hideMark/>
          </w:tcPr>
          <w:p w14:paraId="46719454" w14:textId="77777777" w:rsidR="004261B2" w:rsidRPr="004261B2" w:rsidRDefault="004261B2" w:rsidP="004261B2">
            <w:pPr>
              <w:spacing w:after="160" w:line="259" w:lineRule="auto"/>
              <w:rPr>
                <w:lang w:val="en-US"/>
              </w:rPr>
            </w:pPr>
            <w:r w:rsidRPr="004261B2">
              <w:rPr>
                <w:lang w:val="en-US"/>
              </w:rPr>
              <w:t>17,156.60</w:t>
            </w:r>
          </w:p>
        </w:tc>
        <w:tc>
          <w:tcPr>
            <w:tcW w:w="2880" w:type="dxa"/>
            <w:tcBorders>
              <w:top w:val="single" w:sz="4" w:space="0" w:color="auto"/>
              <w:left w:val="single" w:sz="4" w:space="0" w:color="auto"/>
              <w:bottom w:val="single" w:sz="4" w:space="0" w:color="auto"/>
              <w:right w:val="single" w:sz="4" w:space="0" w:color="auto"/>
            </w:tcBorders>
            <w:hideMark/>
          </w:tcPr>
          <w:p w14:paraId="0E543BED" w14:textId="77777777" w:rsidR="004261B2" w:rsidRPr="004261B2" w:rsidRDefault="004261B2" w:rsidP="004261B2">
            <w:pPr>
              <w:spacing w:after="160" w:line="259" w:lineRule="auto"/>
              <w:rPr>
                <w:lang w:val="en-US"/>
              </w:rPr>
            </w:pPr>
            <w:r w:rsidRPr="004261B2">
              <w:rPr>
                <w:lang w:val="en-US"/>
              </w:rPr>
              <w:t>Lowest submitted demolition cost.</w:t>
            </w:r>
          </w:p>
        </w:tc>
      </w:tr>
      <w:tr w:rsidR="004261B2" w:rsidRPr="004261B2" w14:paraId="38F5A6CD" w14:textId="77777777" w:rsidTr="004261B2">
        <w:tc>
          <w:tcPr>
            <w:tcW w:w="2880" w:type="dxa"/>
            <w:tcBorders>
              <w:top w:val="single" w:sz="4" w:space="0" w:color="auto"/>
              <w:left w:val="single" w:sz="4" w:space="0" w:color="auto"/>
              <w:bottom w:val="single" w:sz="4" w:space="0" w:color="auto"/>
              <w:right w:val="single" w:sz="4" w:space="0" w:color="auto"/>
            </w:tcBorders>
            <w:hideMark/>
          </w:tcPr>
          <w:p w14:paraId="19459E48" w14:textId="77777777" w:rsidR="004261B2" w:rsidRPr="004261B2" w:rsidRDefault="004261B2" w:rsidP="004261B2">
            <w:pPr>
              <w:spacing w:after="160" w:line="259" w:lineRule="auto"/>
              <w:rPr>
                <w:lang w:val="en-US"/>
              </w:rPr>
            </w:pPr>
            <w:r w:rsidRPr="004261B2">
              <w:rPr>
                <w:lang w:val="en-US"/>
              </w:rPr>
              <w:t>Squibb Group</w:t>
            </w:r>
          </w:p>
        </w:tc>
        <w:tc>
          <w:tcPr>
            <w:tcW w:w="2880" w:type="dxa"/>
            <w:tcBorders>
              <w:top w:val="single" w:sz="4" w:space="0" w:color="auto"/>
              <w:left w:val="single" w:sz="4" w:space="0" w:color="auto"/>
              <w:bottom w:val="single" w:sz="4" w:space="0" w:color="auto"/>
              <w:right w:val="single" w:sz="4" w:space="0" w:color="auto"/>
            </w:tcBorders>
            <w:hideMark/>
          </w:tcPr>
          <w:p w14:paraId="1ED5FDDC" w14:textId="77777777" w:rsidR="004261B2" w:rsidRPr="004261B2" w:rsidRDefault="004261B2" w:rsidP="004261B2">
            <w:pPr>
              <w:spacing w:after="160" w:line="259" w:lineRule="auto"/>
              <w:rPr>
                <w:lang w:val="en-US"/>
              </w:rPr>
            </w:pPr>
            <w:r w:rsidRPr="004261B2">
              <w:rPr>
                <w:lang w:val="en-US"/>
              </w:rPr>
              <w:t>28,850.00</w:t>
            </w:r>
          </w:p>
        </w:tc>
        <w:tc>
          <w:tcPr>
            <w:tcW w:w="2880" w:type="dxa"/>
            <w:tcBorders>
              <w:top w:val="single" w:sz="4" w:space="0" w:color="auto"/>
              <w:left w:val="single" w:sz="4" w:space="0" w:color="auto"/>
              <w:bottom w:val="single" w:sz="4" w:space="0" w:color="auto"/>
              <w:right w:val="single" w:sz="4" w:space="0" w:color="auto"/>
            </w:tcBorders>
            <w:hideMark/>
          </w:tcPr>
          <w:p w14:paraId="1278A243" w14:textId="77777777" w:rsidR="004261B2" w:rsidRPr="004261B2" w:rsidRDefault="004261B2" w:rsidP="004261B2">
            <w:pPr>
              <w:spacing w:after="160" w:line="259" w:lineRule="auto"/>
              <w:rPr>
                <w:lang w:val="en-US"/>
              </w:rPr>
            </w:pPr>
            <w:r w:rsidRPr="004261B2">
              <w:rPr>
                <w:lang w:val="en-US"/>
              </w:rPr>
              <w:t>Competitive demolition-only proposal.</w:t>
            </w:r>
          </w:p>
        </w:tc>
      </w:tr>
      <w:tr w:rsidR="004261B2" w:rsidRPr="004261B2" w14:paraId="19329921" w14:textId="77777777" w:rsidTr="004261B2">
        <w:tc>
          <w:tcPr>
            <w:tcW w:w="2880" w:type="dxa"/>
            <w:tcBorders>
              <w:top w:val="single" w:sz="4" w:space="0" w:color="auto"/>
              <w:left w:val="single" w:sz="4" w:space="0" w:color="auto"/>
              <w:bottom w:val="single" w:sz="4" w:space="0" w:color="auto"/>
              <w:right w:val="single" w:sz="4" w:space="0" w:color="auto"/>
            </w:tcBorders>
            <w:hideMark/>
          </w:tcPr>
          <w:p w14:paraId="430CE4BC" w14:textId="77777777" w:rsidR="004261B2" w:rsidRPr="004261B2" w:rsidRDefault="004261B2" w:rsidP="004261B2">
            <w:pPr>
              <w:spacing w:after="160" w:line="259" w:lineRule="auto"/>
              <w:rPr>
                <w:lang w:val="en-US"/>
              </w:rPr>
            </w:pPr>
            <w:r w:rsidRPr="004261B2">
              <w:rPr>
                <w:lang w:val="en-US"/>
              </w:rPr>
              <w:t>MSS Group</w:t>
            </w:r>
          </w:p>
        </w:tc>
        <w:tc>
          <w:tcPr>
            <w:tcW w:w="2880" w:type="dxa"/>
            <w:tcBorders>
              <w:top w:val="single" w:sz="4" w:space="0" w:color="auto"/>
              <w:left w:val="single" w:sz="4" w:space="0" w:color="auto"/>
              <w:bottom w:val="single" w:sz="4" w:space="0" w:color="auto"/>
              <w:right w:val="single" w:sz="4" w:space="0" w:color="auto"/>
            </w:tcBorders>
            <w:hideMark/>
          </w:tcPr>
          <w:p w14:paraId="60AFC71A" w14:textId="77777777" w:rsidR="004261B2" w:rsidRPr="004261B2" w:rsidRDefault="004261B2" w:rsidP="004261B2">
            <w:pPr>
              <w:spacing w:after="160" w:line="259" w:lineRule="auto"/>
              <w:rPr>
                <w:lang w:val="en-US"/>
              </w:rPr>
            </w:pPr>
            <w:r w:rsidRPr="004261B2">
              <w:rPr>
                <w:lang w:val="en-US"/>
              </w:rPr>
              <w:t>39,259.96</w:t>
            </w:r>
          </w:p>
        </w:tc>
        <w:tc>
          <w:tcPr>
            <w:tcW w:w="2880" w:type="dxa"/>
            <w:tcBorders>
              <w:top w:val="single" w:sz="4" w:space="0" w:color="auto"/>
              <w:left w:val="single" w:sz="4" w:space="0" w:color="auto"/>
              <w:bottom w:val="single" w:sz="4" w:space="0" w:color="auto"/>
              <w:right w:val="single" w:sz="4" w:space="0" w:color="auto"/>
            </w:tcBorders>
            <w:hideMark/>
          </w:tcPr>
          <w:p w14:paraId="5276233C" w14:textId="77777777" w:rsidR="004261B2" w:rsidRPr="004261B2" w:rsidRDefault="004261B2" w:rsidP="004261B2">
            <w:pPr>
              <w:spacing w:after="160" w:line="259" w:lineRule="auto"/>
              <w:rPr>
                <w:lang w:val="en-US"/>
              </w:rPr>
            </w:pPr>
            <w:r w:rsidRPr="004261B2">
              <w:rPr>
                <w:lang w:val="en-US"/>
              </w:rPr>
              <w:t>Demolition via specialist partner.</w:t>
            </w:r>
          </w:p>
        </w:tc>
      </w:tr>
      <w:tr w:rsidR="004261B2" w:rsidRPr="004261B2" w14:paraId="17D41E6F" w14:textId="77777777" w:rsidTr="004261B2">
        <w:tc>
          <w:tcPr>
            <w:tcW w:w="2880" w:type="dxa"/>
            <w:tcBorders>
              <w:top w:val="single" w:sz="4" w:space="0" w:color="auto"/>
              <w:left w:val="single" w:sz="4" w:space="0" w:color="auto"/>
              <w:bottom w:val="single" w:sz="4" w:space="0" w:color="auto"/>
              <w:right w:val="single" w:sz="4" w:space="0" w:color="auto"/>
            </w:tcBorders>
            <w:hideMark/>
          </w:tcPr>
          <w:p w14:paraId="452942C8" w14:textId="77777777" w:rsidR="004261B2" w:rsidRPr="004261B2" w:rsidRDefault="004261B2" w:rsidP="004261B2">
            <w:pPr>
              <w:spacing w:after="160" w:line="259" w:lineRule="auto"/>
              <w:rPr>
                <w:lang w:val="en-US"/>
              </w:rPr>
            </w:pPr>
            <w:r w:rsidRPr="004261B2">
              <w:rPr>
                <w:lang w:val="en-US"/>
              </w:rPr>
              <w:t>Veolia</w:t>
            </w:r>
          </w:p>
        </w:tc>
        <w:tc>
          <w:tcPr>
            <w:tcW w:w="2880" w:type="dxa"/>
            <w:tcBorders>
              <w:top w:val="single" w:sz="4" w:space="0" w:color="auto"/>
              <w:left w:val="single" w:sz="4" w:space="0" w:color="auto"/>
              <w:bottom w:val="single" w:sz="4" w:space="0" w:color="auto"/>
              <w:right w:val="single" w:sz="4" w:space="0" w:color="auto"/>
            </w:tcBorders>
            <w:hideMark/>
          </w:tcPr>
          <w:p w14:paraId="5AF3CA8C" w14:textId="77777777" w:rsidR="004261B2" w:rsidRPr="004261B2" w:rsidRDefault="004261B2" w:rsidP="004261B2">
            <w:pPr>
              <w:spacing w:after="160" w:line="259" w:lineRule="auto"/>
              <w:rPr>
                <w:lang w:val="en-US"/>
              </w:rPr>
            </w:pPr>
            <w:r w:rsidRPr="004261B2">
              <w:rPr>
                <w:lang w:val="en-US"/>
              </w:rPr>
              <w:t>Included in package</w:t>
            </w:r>
          </w:p>
        </w:tc>
        <w:tc>
          <w:tcPr>
            <w:tcW w:w="2880" w:type="dxa"/>
            <w:tcBorders>
              <w:top w:val="single" w:sz="4" w:space="0" w:color="auto"/>
              <w:left w:val="single" w:sz="4" w:space="0" w:color="auto"/>
              <w:bottom w:val="single" w:sz="4" w:space="0" w:color="auto"/>
              <w:right w:val="single" w:sz="4" w:space="0" w:color="auto"/>
            </w:tcBorders>
            <w:hideMark/>
          </w:tcPr>
          <w:p w14:paraId="55AE392C" w14:textId="77777777" w:rsidR="004261B2" w:rsidRPr="004261B2" w:rsidRDefault="004261B2" w:rsidP="004261B2">
            <w:pPr>
              <w:spacing w:after="160" w:line="259" w:lineRule="auto"/>
              <w:rPr>
                <w:lang w:val="en-US"/>
              </w:rPr>
            </w:pPr>
            <w:r w:rsidRPr="004261B2">
              <w:rPr>
                <w:lang w:val="en-US"/>
              </w:rPr>
              <w:t>Part of turnkey solution.</w:t>
            </w:r>
          </w:p>
        </w:tc>
      </w:tr>
    </w:tbl>
    <w:p w14:paraId="3FA04CCF" w14:textId="77777777" w:rsidR="004261B2" w:rsidRPr="004261B2" w:rsidRDefault="004261B2" w:rsidP="004261B2">
      <w:pPr>
        <w:rPr>
          <w:lang w:val="en-US"/>
        </w:rPr>
      </w:pPr>
    </w:p>
    <w:p w14:paraId="03AF7BCB" w14:textId="744F4864" w:rsidR="004261B2" w:rsidRPr="004261B2" w:rsidRDefault="004261B2" w:rsidP="004261B2">
      <w:pPr>
        <w:rPr>
          <w:b/>
          <w:bCs/>
          <w:lang w:val="en-US"/>
        </w:rPr>
      </w:pPr>
      <w:r w:rsidRPr="004261B2">
        <w:rPr>
          <w:b/>
          <w:bCs/>
          <w:lang w:val="en-US"/>
        </w:rPr>
        <w:t>A.</w:t>
      </w:r>
      <w:r w:rsidR="00812E2A">
        <w:rPr>
          <w:b/>
          <w:bCs/>
          <w:lang w:val="en-US"/>
        </w:rPr>
        <w:t>D</w:t>
      </w:r>
      <w:r w:rsidRPr="004261B2">
        <w:rPr>
          <w:b/>
          <w:bCs/>
          <w:lang w:val="en-US"/>
        </w:rPr>
        <w:t>.3 Contractor Evaluation Matrix</w:t>
      </w:r>
    </w:p>
    <w:tbl>
      <w:tblPr>
        <w:tblStyle w:val="TableGrid"/>
        <w:tblW w:w="0" w:type="auto"/>
        <w:tblLook w:val="04A0" w:firstRow="1" w:lastRow="0" w:firstColumn="1" w:lastColumn="0" w:noHBand="0" w:noVBand="1"/>
      </w:tblPr>
      <w:tblGrid>
        <w:gridCol w:w="1623"/>
        <w:gridCol w:w="1440"/>
        <w:gridCol w:w="1440"/>
        <w:gridCol w:w="1440"/>
        <w:gridCol w:w="1440"/>
        <w:gridCol w:w="1440"/>
      </w:tblGrid>
      <w:tr w:rsidR="004261B2" w:rsidRPr="004261B2" w14:paraId="65FD6C1F" w14:textId="77777777" w:rsidTr="004261B2">
        <w:tc>
          <w:tcPr>
            <w:tcW w:w="1440" w:type="dxa"/>
            <w:tcBorders>
              <w:top w:val="single" w:sz="4" w:space="0" w:color="auto"/>
              <w:left w:val="single" w:sz="4" w:space="0" w:color="auto"/>
              <w:bottom w:val="single" w:sz="4" w:space="0" w:color="auto"/>
              <w:right w:val="single" w:sz="4" w:space="0" w:color="auto"/>
            </w:tcBorders>
            <w:hideMark/>
          </w:tcPr>
          <w:p w14:paraId="7E2CBF02" w14:textId="77777777" w:rsidR="004261B2" w:rsidRPr="004261B2" w:rsidRDefault="004261B2" w:rsidP="004261B2">
            <w:pPr>
              <w:spacing w:after="160" w:line="259" w:lineRule="auto"/>
              <w:rPr>
                <w:lang w:val="en-US"/>
              </w:rPr>
            </w:pPr>
            <w:r w:rsidRPr="004261B2">
              <w:rPr>
                <w:lang w:val="en-US"/>
              </w:rPr>
              <w:t>Criteria</w:t>
            </w:r>
          </w:p>
        </w:tc>
        <w:tc>
          <w:tcPr>
            <w:tcW w:w="1440" w:type="dxa"/>
            <w:tcBorders>
              <w:top w:val="single" w:sz="4" w:space="0" w:color="auto"/>
              <w:left w:val="single" w:sz="4" w:space="0" w:color="auto"/>
              <w:bottom w:val="single" w:sz="4" w:space="0" w:color="auto"/>
              <w:right w:val="single" w:sz="4" w:space="0" w:color="auto"/>
            </w:tcBorders>
            <w:hideMark/>
          </w:tcPr>
          <w:p w14:paraId="15A8ACA3" w14:textId="77777777" w:rsidR="004261B2" w:rsidRPr="004261B2" w:rsidRDefault="004261B2" w:rsidP="004261B2">
            <w:pPr>
              <w:spacing w:after="160" w:line="259" w:lineRule="auto"/>
              <w:rPr>
                <w:lang w:val="en-US"/>
              </w:rPr>
            </w:pPr>
            <w:r w:rsidRPr="004261B2">
              <w:rPr>
                <w:lang w:val="en-US"/>
              </w:rPr>
              <w:t>Weighting (%)</w:t>
            </w:r>
          </w:p>
        </w:tc>
        <w:tc>
          <w:tcPr>
            <w:tcW w:w="1440" w:type="dxa"/>
            <w:tcBorders>
              <w:top w:val="single" w:sz="4" w:space="0" w:color="auto"/>
              <w:left w:val="single" w:sz="4" w:space="0" w:color="auto"/>
              <w:bottom w:val="single" w:sz="4" w:space="0" w:color="auto"/>
              <w:right w:val="single" w:sz="4" w:space="0" w:color="auto"/>
            </w:tcBorders>
            <w:hideMark/>
          </w:tcPr>
          <w:p w14:paraId="02F394E7" w14:textId="77777777" w:rsidR="004261B2" w:rsidRPr="004261B2" w:rsidRDefault="004261B2" w:rsidP="004261B2">
            <w:pPr>
              <w:spacing w:after="160" w:line="259" w:lineRule="auto"/>
              <w:rPr>
                <w:lang w:val="en-US"/>
              </w:rPr>
            </w:pPr>
            <w:r w:rsidRPr="004261B2">
              <w:rPr>
                <w:lang w:val="en-US"/>
              </w:rPr>
              <w:t>MSS</w:t>
            </w:r>
          </w:p>
        </w:tc>
        <w:tc>
          <w:tcPr>
            <w:tcW w:w="1440" w:type="dxa"/>
            <w:tcBorders>
              <w:top w:val="single" w:sz="4" w:space="0" w:color="auto"/>
              <w:left w:val="single" w:sz="4" w:space="0" w:color="auto"/>
              <w:bottom w:val="single" w:sz="4" w:space="0" w:color="auto"/>
              <w:right w:val="single" w:sz="4" w:space="0" w:color="auto"/>
            </w:tcBorders>
            <w:hideMark/>
          </w:tcPr>
          <w:p w14:paraId="55A4116C" w14:textId="77777777" w:rsidR="004261B2" w:rsidRPr="004261B2" w:rsidRDefault="004261B2" w:rsidP="004261B2">
            <w:pPr>
              <w:spacing w:after="160" w:line="259" w:lineRule="auto"/>
              <w:rPr>
                <w:lang w:val="en-US"/>
              </w:rPr>
            </w:pPr>
            <w:proofErr w:type="spellStart"/>
            <w:r w:rsidRPr="004261B2">
              <w:rPr>
                <w:lang w:val="en-US"/>
              </w:rPr>
              <w:t>Runtech</w:t>
            </w:r>
            <w:proofErr w:type="spellEnd"/>
          </w:p>
        </w:tc>
        <w:tc>
          <w:tcPr>
            <w:tcW w:w="1440" w:type="dxa"/>
            <w:tcBorders>
              <w:top w:val="single" w:sz="4" w:space="0" w:color="auto"/>
              <w:left w:val="single" w:sz="4" w:space="0" w:color="auto"/>
              <w:bottom w:val="single" w:sz="4" w:space="0" w:color="auto"/>
              <w:right w:val="single" w:sz="4" w:space="0" w:color="auto"/>
            </w:tcBorders>
            <w:hideMark/>
          </w:tcPr>
          <w:p w14:paraId="123D3C39" w14:textId="77777777" w:rsidR="004261B2" w:rsidRPr="004261B2" w:rsidRDefault="004261B2" w:rsidP="004261B2">
            <w:pPr>
              <w:spacing w:after="160" w:line="259" w:lineRule="auto"/>
              <w:rPr>
                <w:lang w:val="en-US"/>
              </w:rPr>
            </w:pPr>
            <w:r w:rsidRPr="004261B2">
              <w:rPr>
                <w:lang w:val="en-US"/>
              </w:rPr>
              <w:t>Veolia</w:t>
            </w:r>
          </w:p>
        </w:tc>
        <w:tc>
          <w:tcPr>
            <w:tcW w:w="1440" w:type="dxa"/>
            <w:tcBorders>
              <w:top w:val="single" w:sz="4" w:space="0" w:color="auto"/>
              <w:left w:val="single" w:sz="4" w:space="0" w:color="auto"/>
              <w:bottom w:val="single" w:sz="4" w:space="0" w:color="auto"/>
              <w:right w:val="single" w:sz="4" w:space="0" w:color="auto"/>
            </w:tcBorders>
            <w:hideMark/>
          </w:tcPr>
          <w:p w14:paraId="523C14F9" w14:textId="77777777" w:rsidR="004261B2" w:rsidRPr="004261B2" w:rsidRDefault="004261B2" w:rsidP="004261B2">
            <w:pPr>
              <w:spacing w:after="160" w:line="259" w:lineRule="auto"/>
              <w:rPr>
                <w:lang w:val="en-US"/>
              </w:rPr>
            </w:pPr>
            <w:r w:rsidRPr="004261B2">
              <w:rPr>
                <w:lang w:val="en-US"/>
              </w:rPr>
              <w:t>Future</w:t>
            </w:r>
          </w:p>
        </w:tc>
      </w:tr>
      <w:tr w:rsidR="004261B2" w:rsidRPr="004261B2" w14:paraId="1A89EACE" w14:textId="77777777" w:rsidTr="004261B2">
        <w:tc>
          <w:tcPr>
            <w:tcW w:w="1440" w:type="dxa"/>
            <w:tcBorders>
              <w:top w:val="single" w:sz="4" w:space="0" w:color="auto"/>
              <w:left w:val="single" w:sz="4" w:space="0" w:color="auto"/>
              <w:bottom w:val="single" w:sz="4" w:space="0" w:color="auto"/>
              <w:right w:val="single" w:sz="4" w:space="0" w:color="auto"/>
            </w:tcBorders>
            <w:hideMark/>
          </w:tcPr>
          <w:p w14:paraId="4629CF08" w14:textId="77777777" w:rsidR="004261B2" w:rsidRPr="004261B2" w:rsidRDefault="004261B2" w:rsidP="004261B2">
            <w:pPr>
              <w:spacing w:after="160" w:line="259" w:lineRule="auto"/>
              <w:rPr>
                <w:lang w:val="en-US"/>
              </w:rPr>
            </w:pPr>
            <w:r w:rsidRPr="004261B2">
              <w:rPr>
                <w:lang w:val="en-US"/>
              </w:rPr>
              <w:t>Cost</w:t>
            </w:r>
          </w:p>
        </w:tc>
        <w:tc>
          <w:tcPr>
            <w:tcW w:w="1440" w:type="dxa"/>
            <w:tcBorders>
              <w:top w:val="single" w:sz="4" w:space="0" w:color="auto"/>
              <w:left w:val="single" w:sz="4" w:space="0" w:color="auto"/>
              <w:bottom w:val="single" w:sz="4" w:space="0" w:color="auto"/>
              <w:right w:val="single" w:sz="4" w:space="0" w:color="auto"/>
            </w:tcBorders>
            <w:hideMark/>
          </w:tcPr>
          <w:p w14:paraId="4CF843B7" w14:textId="77777777" w:rsidR="004261B2" w:rsidRPr="004261B2" w:rsidRDefault="004261B2" w:rsidP="004261B2">
            <w:pPr>
              <w:spacing w:after="160" w:line="259" w:lineRule="auto"/>
              <w:rPr>
                <w:lang w:val="en-US"/>
              </w:rPr>
            </w:pPr>
            <w:r w:rsidRPr="004261B2">
              <w:rPr>
                <w:lang w:val="en-US"/>
              </w:rPr>
              <w:t>25</w:t>
            </w:r>
          </w:p>
        </w:tc>
        <w:tc>
          <w:tcPr>
            <w:tcW w:w="1440" w:type="dxa"/>
            <w:tcBorders>
              <w:top w:val="single" w:sz="4" w:space="0" w:color="auto"/>
              <w:left w:val="single" w:sz="4" w:space="0" w:color="auto"/>
              <w:bottom w:val="single" w:sz="4" w:space="0" w:color="auto"/>
              <w:right w:val="single" w:sz="4" w:space="0" w:color="auto"/>
            </w:tcBorders>
            <w:hideMark/>
          </w:tcPr>
          <w:p w14:paraId="6B4AAD34" w14:textId="77777777" w:rsidR="004261B2" w:rsidRPr="004261B2" w:rsidRDefault="004261B2" w:rsidP="004261B2">
            <w:pPr>
              <w:spacing w:after="160" w:line="259" w:lineRule="auto"/>
              <w:rPr>
                <w:lang w:val="en-US"/>
              </w:rPr>
            </w:pPr>
            <w:r w:rsidRPr="004261B2">
              <w:rPr>
                <w:lang w:val="en-US"/>
              </w:rPr>
              <w:t>5</w:t>
            </w:r>
          </w:p>
        </w:tc>
        <w:tc>
          <w:tcPr>
            <w:tcW w:w="1440" w:type="dxa"/>
            <w:tcBorders>
              <w:top w:val="single" w:sz="4" w:space="0" w:color="auto"/>
              <w:left w:val="single" w:sz="4" w:space="0" w:color="auto"/>
              <w:bottom w:val="single" w:sz="4" w:space="0" w:color="auto"/>
              <w:right w:val="single" w:sz="4" w:space="0" w:color="auto"/>
            </w:tcBorders>
            <w:hideMark/>
          </w:tcPr>
          <w:p w14:paraId="2AE3890C" w14:textId="77777777" w:rsidR="004261B2" w:rsidRPr="004261B2" w:rsidRDefault="004261B2" w:rsidP="004261B2">
            <w:pPr>
              <w:spacing w:after="160" w:line="259" w:lineRule="auto"/>
              <w:rPr>
                <w:lang w:val="en-US"/>
              </w:rPr>
            </w:pPr>
            <w:r w:rsidRPr="004261B2">
              <w:rPr>
                <w:lang w:val="en-US"/>
              </w:rPr>
              <w:t>4</w:t>
            </w:r>
          </w:p>
        </w:tc>
        <w:tc>
          <w:tcPr>
            <w:tcW w:w="1440" w:type="dxa"/>
            <w:tcBorders>
              <w:top w:val="single" w:sz="4" w:space="0" w:color="auto"/>
              <w:left w:val="single" w:sz="4" w:space="0" w:color="auto"/>
              <w:bottom w:val="single" w:sz="4" w:space="0" w:color="auto"/>
              <w:right w:val="single" w:sz="4" w:space="0" w:color="auto"/>
            </w:tcBorders>
            <w:hideMark/>
          </w:tcPr>
          <w:p w14:paraId="760D4D39" w14:textId="77777777" w:rsidR="004261B2" w:rsidRPr="004261B2" w:rsidRDefault="004261B2" w:rsidP="004261B2">
            <w:pPr>
              <w:spacing w:after="160" w:line="259" w:lineRule="auto"/>
              <w:rPr>
                <w:lang w:val="en-US"/>
              </w:rPr>
            </w:pPr>
            <w:r w:rsidRPr="004261B2">
              <w:rPr>
                <w:lang w:val="en-US"/>
              </w:rPr>
              <w:t>2</w:t>
            </w:r>
          </w:p>
        </w:tc>
        <w:tc>
          <w:tcPr>
            <w:tcW w:w="1440" w:type="dxa"/>
            <w:tcBorders>
              <w:top w:val="single" w:sz="4" w:space="0" w:color="auto"/>
              <w:left w:val="single" w:sz="4" w:space="0" w:color="auto"/>
              <w:bottom w:val="single" w:sz="4" w:space="0" w:color="auto"/>
              <w:right w:val="single" w:sz="4" w:space="0" w:color="auto"/>
            </w:tcBorders>
            <w:hideMark/>
          </w:tcPr>
          <w:p w14:paraId="775888ED" w14:textId="77777777" w:rsidR="004261B2" w:rsidRPr="004261B2" w:rsidRDefault="004261B2" w:rsidP="004261B2">
            <w:pPr>
              <w:spacing w:after="160" w:line="259" w:lineRule="auto"/>
              <w:rPr>
                <w:lang w:val="en-US"/>
              </w:rPr>
            </w:pPr>
            <w:r w:rsidRPr="004261B2">
              <w:rPr>
                <w:lang w:val="en-US"/>
              </w:rPr>
              <w:t>1</w:t>
            </w:r>
          </w:p>
        </w:tc>
      </w:tr>
      <w:tr w:rsidR="004261B2" w:rsidRPr="004261B2" w14:paraId="3087906A" w14:textId="77777777" w:rsidTr="004261B2">
        <w:tc>
          <w:tcPr>
            <w:tcW w:w="1440" w:type="dxa"/>
            <w:tcBorders>
              <w:top w:val="single" w:sz="4" w:space="0" w:color="auto"/>
              <w:left w:val="single" w:sz="4" w:space="0" w:color="auto"/>
              <w:bottom w:val="single" w:sz="4" w:space="0" w:color="auto"/>
              <w:right w:val="single" w:sz="4" w:space="0" w:color="auto"/>
            </w:tcBorders>
            <w:hideMark/>
          </w:tcPr>
          <w:p w14:paraId="38019A4F" w14:textId="77777777" w:rsidR="004261B2" w:rsidRPr="004261B2" w:rsidRDefault="004261B2" w:rsidP="004261B2">
            <w:pPr>
              <w:spacing w:after="160" w:line="259" w:lineRule="auto"/>
              <w:rPr>
                <w:lang w:val="en-US"/>
              </w:rPr>
            </w:pPr>
            <w:r w:rsidRPr="004261B2">
              <w:rPr>
                <w:lang w:val="en-US"/>
              </w:rPr>
              <w:t>Safety</w:t>
            </w:r>
          </w:p>
        </w:tc>
        <w:tc>
          <w:tcPr>
            <w:tcW w:w="1440" w:type="dxa"/>
            <w:tcBorders>
              <w:top w:val="single" w:sz="4" w:space="0" w:color="auto"/>
              <w:left w:val="single" w:sz="4" w:space="0" w:color="auto"/>
              <w:bottom w:val="single" w:sz="4" w:space="0" w:color="auto"/>
              <w:right w:val="single" w:sz="4" w:space="0" w:color="auto"/>
            </w:tcBorders>
            <w:hideMark/>
          </w:tcPr>
          <w:p w14:paraId="30898864" w14:textId="77777777" w:rsidR="004261B2" w:rsidRPr="004261B2" w:rsidRDefault="004261B2" w:rsidP="004261B2">
            <w:pPr>
              <w:spacing w:after="160" w:line="259" w:lineRule="auto"/>
              <w:rPr>
                <w:lang w:val="en-US"/>
              </w:rPr>
            </w:pPr>
            <w:r w:rsidRPr="004261B2">
              <w:rPr>
                <w:lang w:val="en-US"/>
              </w:rPr>
              <w:t>30</w:t>
            </w:r>
          </w:p>
        </w:tc>
        <w:tc>
          <w:tcPr>
            <w:tcW w:w="1440" w:type="dxa"/>
            <w:tcBorders>
              <w:top w:val="single" w:sz="4" w:space="0" w:color="auto"/>
              <w:left w:val="single" w:sz="4" w:space="0" w:color="auto"/>
              <w:bottom w:val="single" w:sz="4" w:space="0" w:color="auto"/>
              <w:right w:val="single" w:sz="4" w:space="0" w:color="auto"/>
            </w:tcBorders>
            <w:hideMark/>
          </w:tcPr>
          <w:p w14:paraId="274226F1" w14:textId="77777777" w:rsidR="004261B2" w:rsidRPr="004261B2" w:rsidRDefault="004261B2" w:rsidP="004261B2">
            <w:pPr>
              <w:spacing w:after="160" w:line="259" w:lineRule="auto"/>
              <w:rPr>
                <w:lang w:val="en-US"/>
              </w:rPr>
            </w:pPr>
            <w:r w:rsidRPr="004261B2">
              <w:rPr>
                <w:lang w:val="en-US"/>
              </w:rPr>
              <w:t>3</w:t>
            </w:r>
          </w:p>
        </w:tc>
        <w:tc>
          <w:tcPr>
            <w:tcW w:w="1440" w:type="dxa"/>
            <w:tcBorders>
              <w:top w:val="single" w:sz="4" w:space="0" w:color="auto"/>
              <w:left w:val="single" w:sz="4" w:space="0" w:color="auto"/>
              <w:bottom w:val="single" w:sz="4" w:space="0" w:color="auto"/>
              <w:right w:val="single" w:sz="4" w:space="0" w:color="auto"/>
            </w:tcBorders>
            <w:hideMark/>
          </w:tcPr>
          <w:p w14:paraId="2FDCB163" w14:textId="77777777" w:rsidR="004261B2" w:rsidRPr="004261B2" w:rsidRDefault="004261B2" w:rsidP="004261B2">
            <w:pPr>
              <w:spacing w:after="160" w:line="259" w:lineRule="auto"/>
              <w:rPr>
                <w:lang w:val="en-US"/>
              </w:rPr>
            </w:pPr>
            <w:r w:rsidRPr="004261B2">
              <w:rPr>
                <w:lang w:val="en-US"/>
              </w:rPr>
              <w:t>4</w:t>
            </w:r>
          </w:p>
        </w:tc>
        <w:tc>
          <w:tcPr>
            <w:tcW w:w="1440" w:type="dxa"/>
            <w:tcBorders>
              <w:top w:val="single" w:sz="4" w:space="0" w:color="auto"/>
              <w:left w:val="single" w:sz="4" w:space="0" w:color="auto"/>
              <w:bottom w:val="single" w:sz="4" w:space="0" w:color="auto"/>
              <w:right w:val="single" w:sz="4" w:space="0" w:color="auto"/>
            </w:tcBorders>
            <w:hideMark/>
          </w:tcPr>
          <w:p w14:paraId="408DE188" w14:textId="77777777" w:rsidR="004261B2" w:rsidRPr="004261B2" w:rsidRDefault="004261B2" w:rsidP="004261B2">
            <w:pPr>
              <w:spacing w:after="160" w:line="259" w:lineRule="auto"/>
              <w:rPr>
                <w:lang w:val="en-US"/>
              </w:rPr>
            </w:pPr>
            <w:r w:rsidRPr="004261B2">
              <w:rPr>
                <w:lang w:val="en-US"/>
              </w:rPr>
              <w:t>5</w:t>
            </w:r>
          </w:p>
        </w:tc>
        <w:tc>
          <w:tcPr>
            <w:tcW w:w="1440" w:type="dxa"/>
            <w:tcBorders>
              <w:top w:val="single" w:sz="4" w:space="0" w:color="auto"/>
              <w:left w:val="single" w:sz="4" w:space="0" w:color="auto"/>
              <w:bottom w:val="single" w:sz="4" w:space="0" w:color="auto"/>
              <w:right w:val="single" w:sz="4" w:space="0" w:color="auto"/>
            </w:tcBorders>
            <w:hideMark/>
          </w:tcPr>
          <w:p w14:paraId="1E11EB96" w14:textId="77777777" w:rsidR="004261B2" w:rsidRPr="004261B2" w:rsidRDefault="004261B2" w:rsidP="004261B2">
            <w:pPr>
              <w:spacing w:after="160" w:line="259" w:lineRule="auto"/>
              <w:rPr>
                <w:lang w:val="en-US"/>
              </w:rPr>
            </w:pPr>
            <w:r w:rsidRPr="004261B2">
              <w:rPr>
                <w:lang w:val="en-US"/>
              </w:rPr>
              <w:t>2</w:t>
            </w:r>
          </w:p>
        </w:tc>
      </w:tr>
      <w:tr w:rsidR="004261B2" w:rsidRPr="004261B2" w14:paraId="5A605836" w14:textId="77777777" w:rsidTr="004261B2">
        <w:tc>
          <w:tcPr>
            <w:tcW w:w="1440" w:type="dxa"/>
            <w:tcBorders>
              <w:top w:val="single" w:sz="4" w:space="0" w:color="auto"/>
              <w:left w:val="single" w:sz="4" w:space="0" w:color="auto"/>
              <w:bottom w:val="single" w:sz="4" w:space="0" w:color="auto"/>
              <w:right w:val="single" w:sz="4" w:space="0" w:color="auto"/>
            </w:tcBorders>
            <w:hideMark/>
          </w:tcPr>
          <w:p w14:paraId="5BBC11D1" w14:textId="77777777" w:rsidR="004261B2" w:rsidRPr="004261B2" w:rsidRDefault="004261B2" w:rsidP="004261B2">
            <w:pPr>
              <w:spacing w:after="160" w:line="259" w:lineRule="auto"/>
              <w:rPr>
                <w:lang w:val="en-US"/>
              </w:rPr>
            </w:pPr>
            <w:r w:rsidRPr="004261B2">
              <w:rPr>
                <w:lang w:val="en-US"/>
              </w:rPr>
              <w:t>Environmental Compliance</w:t>
            </w:r>
          </w:p>
        </w:tc>
        <w:tc>
          <w:tcPr>
            <w:tcW w:w="1440" w:type="dxa"/>
            <w:tcBorders>
              <w:top w:val="single" w:sz="4" w:space="0" w:color="auto"/>
              <w:left w:val="single" w:sz="4" w:space="0" w:color="auto"/>
              <w:bottom w:val="single" w:sz="4" w:space="0" w:color="auto"/>
              <w:right w:val="single" w:sz="4" w:space="0" w:color="auto"/>
            </w:tcBorders>
            <w:hideMark/>
          </w:tcPr>
          <w:p w14:paraId="59045A90" w14:textId="77777777" w:rsidR="004261B2" w:rsidRPr="004261B2" w:rsidRDefault="004261B2" w:rsidP="004261B2">
            <w:pPr>
              <w:spacing w:after="160" w:line="259" w:lineRule="auto"/>
              <w:rPr>
                <w:lang w:val="en-US"/>
              </w:rPr>
            </w:pPr>
            <w:r w:rsidRPr="004261B2">
              <w:rPr>
                <w:lang w:val="en-US"/>
              </w:rPr>
              <w:t>20</w:t>
            </w:r>
          </w:p>
        </w:tc>
        <w:tc>
          <w:tcPr>
            <w:tcW w:w="1440" w:type="dxa"/>
            <w:tcBorders>
              <w:top w:val="single" w:sz="4" w:space="0" w:color="auto"/>
              <w:left w:val="single" w:sz="4" w:space="0" w:color="auto"/>
              <w:bottom w:val="single" w:sz="4" w:space="0" w:color="auto"/>
              <w:right w:val="single" w:sz="4" w:space="0" w:color="auto"/>
            </w:tcBorders>
            <w:hideMark/>
          </w:tcPr>
          <w:p w14:paraId="171325C6" w14:textId="77777777" w:rsidR="004261B2" w:rsidRPr="004261B2" w:rsidRDefault="004261B2" w:rsidP="004261B2">
            <w:pPr>
              <w:spacing w:after="160" w:line="259" w:lineRule="auto"/>
              <w:rPr>
                <w:lang w:val="en-US"/>
              </w:rPr>
            </w:pPr>
            <w:r w:rsidRPr="004261B2">
              <w:rPr>
                <w:lang w:val="en-US"/>
              </w:rPr>
              <w:t>3</w:t>
            </w:r>
          </w:p>
        </w:tc>
        <w:tc>
          <w:tcPr>
            <w:tcW w:w="1440" w:type="dxa"/>
            <w:tcBorders>
              <w:top w:val="single" w:sz="4" w:space="0" w:color="auto"/>
              <w:left w:val="single" w:sz="4" w:space="0" w:color="auto"/>
              <w:bottom w:val="single" w:sz="4" w:space="0" w:color="auto"/>
              <w:right w:val="single" w:sz="4" w:space="0" w:color="auto"/>
            </w:tcBorders>
            <w:hideMark/>
          </w:tcPr>
          <w:p w14:paraId="549CE024" w14:textId="77777777" w:rsidR="004261B2" w:rsidRPr="004261B2" w:rsidRDefault="004261B2" w:rsidP="004261B2">
            <w:pPr>
              <w:spacing w:after="160" w:line="259" w:lineRule="auto"/>
              <w:rPr>
                <w:lang w:val="en-US"/>
              </w:rPr>
            </w:pPr>
            <w:r w:rsidRPr="004261B2">
              <w:rPr>
                <w:lang w:val="en-US"/>
              </w:rPr>
              <w:t>3</w:t>
            </w:r>
          </w:p>
        </w:tc>
        <w:tc>
          <w:tcPr>
            <w:tcW w:w="1440" w:type="dxa"/>
            <w:tcBorders>
              <w:top w:val="single" w:sz="4" w:space="0" w:color="auto"/>
              <w:left w:val="single" w:sz="4" w:space="0" w:color="auto"/>
              <w:bottom w:val="single" w:sz="4" w:space="0" w:color="auto"/>
              <w:right w:val="single" w:sz="4" w:space="0" w:color="auto"/>
            </w:tcBorders>
            <w:hideMark/>
          </w:tcPr>
          <w:p w14:paraId="214F9C4C" w14:textId="77777777" w:rsidR="004261B2" w:rsidRPr="004261B2" w:rsidRDefault="004261B2" w:rsidP="004261B2">
            <w:pPr>
              <w:spacing w:after="160" w:line="259" w:lineRule="auto"/>
              <w:rPr>
                <w:lang w:val="en-US"/>
              </w:rPr>
            </w:pPr>
            <w:r w:rsidRPr="004261B2">
              <w:rPr>
                <w:lang w:val="en-US"/>
              </w:rPr>
              <w:t>5</w:t>
            </w:r>
          </w:p>
        </w:tc>
        <w:tc>
          <w:tcPr>
            <w:tcW w:w="1440" w:type="dxa"/>
            <w:tcBorders>
              <w:top w:val="single" w:sz="4" w:space="0" w:color="auto"/>
              <w:left w:val="single" w:sz="4" w:space="0" w:color="auto"/>
              <w:bottom w:val="single" w:sz="4" w:space="0" w:color="auto"/>
              <w:right w:val="single" w:sz="4" w:space="0" w:color="auto"/>
            </w:tcBorders>
            <w:hideMark/>
          </w:tcPr>
          <w:p w14:paraId="062BD393" w14:textId="77777777" w:rsidR="004261B2" w:rsidRPr="004261B2" w:rsidRDefault="004261B2" w:rsidP="004261B2">
            <w:pPr>
              <w:spacing w:after="160" w:line="259" w:lineRule="auto"/>
              <w:rPr>
                <w:lang w:val="en-US"/>
              </w:rPr>
            </w:pPr>
            <w:r w:rsidRPr="004261B2">
              <w:rPr>
                <w:lang w:val="en-US"/>
              </w:rPr>
              <w:t>3</w:t>
            </w:r>
          </w:p>
        </w:tc>
      </w:tr>
      <w:tr w:rsidR="004261B2" w:rsidRPr="004261B2" w14:paraId="053354B8" w14:textId="77777777" w:rsidTr="004261B2">
        <w:tc>
          <w:tcPr>
            <w:tcW w:w="1440" w:type="dxa"/>
            <w:tcBorders>
              <w:top w:val="single" w:sz="4" w:space="0" w:color="auto"/>
              <w:left w:val="single" w:sz="4" w:space="0" w:color="auto"/>
              <w:bottom w:val="single" w:sz="4" w:space="0" w:color="auto"/>
              <w:right w:val="single" w:sz="4" w:space="0" w:color="auto"/>
            </w:tcBorders>
            <w:hideMark/>
          </w:tcPr>
          <w:p w14:paraId="3D24F718" w14:textId="77777777" w:rsidR="004261B2" w:rsidRPr="004261B2" w:rsidRDefault="004261B2" w:rsidP="004261B2">
            <w:pPr>
              <w:spacing w:after="160" w:line="259" w:lineRule="auto"/>
              <w:rPr>
                <w:lang w:val="en-US"/>
              </w:rPr>
            </w:pPr>
            <w:r w:rsidRPr="004261B2">
              <w:rPr>
                <w:lang w:val="en-US"/>
              </w:rPr>
              <w:t>Technical Robustness</w:t>
            </w:r>
          </w:p>
        </w:tc>
        <w:tc>
          <w:tcPr>
            <w:tcW w:w="1440" w:type="dxa"/>
            <w:tcBorders>
              <w:top w:val="single" w:sz="4" w:space="0" w:color="auto"/>
              <w:left w:val="single" w:sz="4" w:space="0" w:color="auto"/>
              <w:bottom w:val="single" w:sz="4" w:space="0" w:color="auto"/>
              <w:right w:val="single" w:sz="4" w:space="0" w:color="auto"/>
            </w:tcBorders>
            <w:hideMark/>
          </w:tcPr>
          <w:p w14:paraId="4E2827A3" w14:textId="77777777" w:rsidR="004261B2" w:rsidRPr="004261B2" w:rsidRDefault="004261B2" w:rsidP="004261B2">
            <w:pPr>
              <w:spacing w:after="160" w:line="259" w:lineRule="auto"/>
              <w:rPr>
                <w:lang w:val="en-US"/>
              </w:rPr>
            </w:pPr>
            <w:r w:rsidRPr="004261B2">
              <w:rPr>
                <w:lang w:val="en-US"/>
              </w:rPr>
              <w:t>15</w:t>
            </w:r>
          </w:p>
        </w:tc>
        <w:tc>
          <w:tcPr>
            <w:tcW w:w="1440" w:type="dxa"/>
            <w:tcBorders>
              <w:top w:val="single" w:sz="4" w:space="0" w:color="auto"/>
              <w:left w:val="single" w:sz="4" w:space="0" w:color="auto"/>
              <w:bottom w:val="single" w:sz="4" w:space="0" w:color="auto"/>
              <w:right w:val="single" w:sz="4" w:space="0" w:color="auto"/>
            </w:tcBorders>
            <w:hideMark/>
          </w:tcPr>
          <w:p w14:paraId="758582D6" w14:textId="77777777" w:rsidR="004261B2" w:rsidRPr="004261B2" w:rsidRDefault="004261B2" w:rsidP="004261B2">
            <w:pPr>
              <w:spacing w:after="160" w:line="259" w:lineRule="auto"/>
              <w:rPr>
                <w:lang w:val="en-US"/>
              </w:rPr>
            </w:pPr>
            <w:r w:rsidRPr="004261B2">
              <w:rPr>
                <w:lang w:val="en-US"/>
              </w:rPr>
              <w:t>3</w:t>
            </w:r>
          </w:p>
        </w:tc>
        <w:tc>
          <w:tcPr>
            <w:tcW w:w="1440" w:type="dxa"/>
            <w:tcBorders>
              <w:top w:val="single" w:sz="4" w:space="0" w:color="auto"/>
              <w:left w:val="single" w:sz="4" w:space="0" w:color="auto"/>
              <w:bottom w:val="single" w:sz="4" w:space="0" w:color="auto"/>
              <w:right w:val="single" w:sz="4" w:space="0" w:color="auto"/>
            </w:tcBorders>
            <w:hideMark/>
          </w:tcPr>
          <w:p w14:paraId="1DF937CB" w14:textId="77777777" w:rsidR="004261B2" w:rsidRPr="004261B2" w:rsidRDefault="004261B2" w:rsidP="004261B2">
            <w:pPr>
              <w:spacing w:after="160" w:line="259" w:lineRule="auto"/>
              <w:rPr>
                <w:lang w:val="en-US"/>
              </w:rPr>
            </w:pPr>
            <w:r w:rsidRPr="004261B2">
              <w:rPr>
                <w:lang w:val="en-US"/>
              </w:rPr>
              <w:t>4</w:t>
            </w:r>
          </w:p>
        </w:tc>
        <w:tc>
          <w:tcPr>
            <w:tcW w:w="1440" w:type="dxa"/>
            <w:tcBorders>
              <w:top w:val="single" w:sz="4" w:space="0" w:color="auto"/>
              <w:left w:val="single" w:sz="4" w:space="0" w:color="auto"/>
              <w:bottom w:val="single" w:sz="4" w:space="0" w:color="auto"/>
              <w:right w:val="single" w:sz="4" w:space="0" w:color="auto"/>
            </w:tcBorders>
            <w:hideMark/>
          </w:tcPr>
          <w:p w14:paraId="7CDE1785" w14:textId="77777777" w:rsidR="004261B2" w:rsidRPr="004261B2" w:rsidRDefault="004261B2" w:rsidP="004261B2">
            <w:pPr>
              <w:spacing w:after="160" w:line="259" w:lineRule="auto"/>
              <w:rPr>
                <w:lang w:val="en-US"/>
              </w:rPr>
            </w:pPr>
            <w:r w:rsidRPr="004261B2">
              <w:rPr>
                <w:lang w:val="en-US"/>
              </w:rPr>
              <w:t>5</w:t>
            </w:r>
          </w:p>
        </w:tc>
        <w:tc>
          <w:tcPr>
            <w:tcW w:w="1440" w:type="dxa"/>
            <w:tcBorders>
              <w:top w:val="single" w:sz="4" w:space="0" w:color="auto"/>
              <w:left w:val="single" w:sz="4" w:space="0" w:color="auto"/>
              <w:bottom w:val="single" w:sz="4" w:space="0" w:color="auto"/>
              <w:right w:val="single" w:sz="4" w:space="0" w:color="auto"/>
            </w:tcBorders>
            <w:hideMark/>
          </w:tcPr>
          <w:p w14:paraId="6F395308" w14:textId="77777777" w:rsidR="004261B2" w:rsidRPr="004261B2" w:rsidRDefault="004261B2" w:rsidP="004261B2">
            <w:pPr>
              <w:spacing w:after="160" w:line="259" w:lineRule="auto"/>
              <w:rPr>
                <w:lang w:val="en-US"/>
              </w:rPr>
            </w:pPr>
            <w:r w:rsidRPr="004261B2">
              <w:rPr>
                <w:lang w:val="en-US"/>
              </w:rPr>
              <w:t>2</w:t>
            </w:r>
          </w:p>
        </w:tc>
      </w:tr>
      <w:tr w:rsidR="004261B2" w:rsidRPr="004261B2" w14:paraId="08A15366" w14:textId="77777777" w:rsidTr="004261B2">
        <w:tc>
          <w:tcPr>
            <w:tcW w:w="1440" w:type="dxa"/>
            <w:tcBorders>
              <w:top w:val="single" w:sz="4" w:space="0" w:color="auto"/>
              <w:left w:val="single" w:sz="4" w:space="0" w:color="auto"/>
              <w:bottom w:val="single" w:sz="4" w:space="0" w:color="auto"/>
              <w:right w:val="single" w:sz="4" w:space="0" w:color="auto"/>
            </w:tcBorders>
            <w:hideMark/>
          </w:tcPr>
          <w:p w14:paraId="1D45BF3C" w14:textId="77777777" w:rsidR="004261B2" w:rsidRPr="004261B2" w:rsidRDefault="004261B2" w:rsidP="004261B2">
            <w:pPr>
              <w:spacing w:after="160" w:line="259" w:lineRule="auto"/>
              <w:rPr>
                <w:lang w:val="en-US"/>
              </w:rPr>
            </w:pPr>
            <w:proofErr w:type="spellStart"/>
            <w:r w:rsidRPr="004261B2">
              <w:rPr>
                <w:lang w:val="en-US"/>
              </w:rPr>
              <w:t>Programme</w:t>
            </w:r>
            <w:proofErr w:type="spellEnd"/>
            <w:r w:rsidRPr="004261B2">
              <w:rPr>
                <w:lang w:val="en-US"/>
              </w:rPr>
              <w:t xml:space="preserve"> Certainty</w:t>
            </w:r>
          </w:p>
        </w:tc>
        <w:tc>
          <w:tcPr>
            <w:tcW w:w="1440" w:type="dxa"/>
            <w:tcBorders>
              <w:top w:val="single" w:sz="4" w:space="0" w:color="auto"/>
              <w:left w:val="single" w:sz="4" w:space="0" w:color="auto"/>
              <w:bottom w:val="single" w:sz="4" w:space="0" w:color="auto"/>
              <w:right w:val="single" w:sz="4" w:space="0" w:color="auto"/>
            </w:tcBorders>
            <w:hideMark/>
          </w:tcPr>
          <w:p w14:paraId="17C6109B" w14:textId="77777777" w:rsidR="004261B2" w:rsidRPr="004261B2" w:rsidRDefault="004261B2" w:rsidP="004261B2">
            <w:pPr>
              <w:spacing w:after="160" w:line="259" w:lineRule="auto"/>
              <w:rPr>
                <w:lang w:val="en-US"/>
              </w:rPr>
            </w:pPr>
            <w:r w:rsidRPr="004261B2">
              <w:rPr>
                <w:lang w:val="en-US"/>
              </w:rPr>
              <w:t>10</w:t>
            </w:r>
          </w:p>
        </w:tc>
        <w:tc>
          <w:tcPr>
            <w:tcW w:w="1440" w:type="dxa"/>
            <w:tcBorders>
              <w:top w:val="single" w:sz="4" w:space="0" w:color="auto"/>
              <w:left w:val="single" w:sz="4" w:space="0" w:color="auto"/>
              <w:bottom w:val="single" w:sz="4" w:space="0" w:color="auto"/>
              <w:right w:val="single" w:sz="4" w:space="0" w:color="auto"/>
            </w:tcBorders>
            <w:hideMark/>
          </w:tcPr>
          <w:p w14:paraId="2477B971" w14:textId="77777777" w:rsidR="004261B2" w:rsidRPr="004261B2" w:rsidRDefault="004261B2" w:rsidP="004261B2">
            <w:pPr>
              <w:spacing w:after="160" w:line="259" w:lineRule="auto"/>
              <w:rPr>
                <w:lang w:val="en-US"/>
              </w:rPr>
            </w:pPr>
            <w:r w:rsidRPr="004261B2">
              <w:rPr>
                <w:lang w:val="en-US"/>
              </w:rPr>
              <w:t>3</w:t>
            </w:r>
          </w:p>
        </w:tc>
        <w:tc>
          <w:tcPr>
            <w:tcW w:w="1440" w:type="dxa"/>
            <w:tcBorders>
              <w:top w:val="single" w:sz="4" w:space="0" w:color="auto"/>
              <w:left w:val="single" w:sz="4" w:space="0" w:color="auto"/>
              <w:bottom w:val="single" w:sz="4" w:space="0" w:color="auto"/>
              <w:right w:val="single" w:sz="4" w:space="0" w:color="auto"/>
            </w:tcBorders>
            <w:hideMark/>
          </w:tcPr>
          <w:p w14:paraId="2011E132" w14:textId="77777777" w:rsidR="004261B2" w:rsidRPr="004261B2" w:rsidRDefault="004261B2" w:rsidP="004261B2">
            <w:pPr>
              <w:spacing w:after="160" w:line="259" w:lineRule="auto"/>
              <w:rPr>
                <w:lang w:val="en-US"/>
              </w:rPr>
            </w:pPr>
            <w:r w:rsidRPr="004261B2">
              <w:rPr>
                <w:lang w:val="en-US"/>
              </w:rPr>
              <w:t>4</w:t>
            </w:r>
          </w:p>
        </w:tc>
        <w:tc>
          <w:tcPr>
            <w:tcW w:w="1440" w:type="dxa"/>
            <w:tcBorders>
              <w:top w:val="single" w:sz="4" w:space="0" w:color="auto"/>
              <w:left w:val="single" w:sz="4" w:space="0" w:color="auto"/>
              <w:bottom w:val="single" w:sz="4" w:space="0" w:color="auto"/>
              <w:right w:val="single" w:sz="4" w:space="0" w:color="auto"/>
            </w:tcBorders>
            <w:hideMark/>
          </w:tcPr>
          <w:p w14:paraId="68F8F708" w14:textId="77777777" w:rsidR="004261B2" w:rsidRPr="004261B2" w:rsidRDefault="004261B2" w:rsidP="004261B2">
            <w:pPr>
              <w:spacing w:after="160" w:line="259" w:lineRule="auto"/>
              <w:rPr>
                <w:lang w:val="en-US"/>
              </w:rPr>
            </w:pPr>
            <w:r w:rsidRPr="004261B2">
              <w:rPr>
                <w:lang w:val="en-US"/>
              </w:rPr>
              <w:t>5</w:t>
            </w:r>
          </w:p>
        </w:tc>
        <w:tc>
          <w:tcPr>
            <w:tcW w:w="1440" w:type="dxa"/>
            <w:tcBorders>
              <w:top w:val="single" w:sz="4" w:space="0" w:color="auto"/>
              <w:left w:val="single" w:sz="4" w:space="0" w:color="auto"/>
              <w:bottom w:val="single" w:sz="4" w:space="0" w:color="auto"/>
              <w:right w:val="single" w:sz="4" w:space="0" w:color="auto"/>
            </w:tcBorders>
            <w:hideMark/>
          </w:tcPr>
          <w:p w14:paraId="3229CCC4" w14:textId="77777777" w:rsidR="004261B2" w:rsidRPr="004261B2" w:rsidRDefault="004261B2" w:rsidP="004261B2">
            <w:pPr>
              <w:spacing w:after="160" w:line="259" w:lineRule="auto"/>
              <w:rPr>
                <w:lang w:val="en-US"/>
              </w:rPr>
            </w:pPr>
            <w:r w:rsidRPr="004261B2">
              <w:rPr>
                <w:lang w:val="en-US"/>
              </w:rPr>
              <w:t>2</w:t>
            </w:r>
          </w:p>
        </w:tc>
      </w:tr>
      <w:tr w:rsidR="004261B2" w:rsidRPr="004261B2" w14:paraId="2D91B000" w14:textId="77777777" w:rsidTr="004261B2">
        <w:tc>
          <w:tcPr>
            <w:tcW w:w="1440" w:type="dxa"/>
            <w:tcBorders>
              <w:top w:val="single" w:sz="4" w:space="0" w:color="auto"/>
              <w:left w:val="single" w:sz="4" w:space="0" w:color="auto"/>
              <w:bottom w:val="single" w:sz="4" w:space="0" w:color="auto"/>
              <w:right w:val="single" w:sz="4" w:space="0" w:color="auto"/>
            </w:tcBorders>
            <w:hideMark/>
          </w:tcPr>
          <w:p w14:paraId="30091B84" w14:textId="77777777" w:rsidR="004261B2" w:rsidRPr="004261B2" w:rsidRDefault="004261B2" w:rsidP="004261B2">
            <w:pPr>
              <w:spacing w:after="160" w:line="259" w:lineRule="auto"/>
              <w:rPr>
                <w:lang w:val="en-US"/>
              </w:rPr>
            </w:pPr>
            <w:r w:rsidRPr="004261B2">
              <w:rPr>
                <w:lang w:val="en-US"/>
              </w:rPr>
              <w:t>Total Score</w:t>
            </w:r>
          </w:p>
        </w:tc>
        <w:tc>
          <w:tcPr>
            <w:tcW w:w="1440" w:type="dxa"/>
            <w:tcBorders>
              <w:top w:val="single" w:sz="4" w:space="0" w:color="auto"/>
              <w:left w:val="single" w:sz="4" w:space="0" w:color="auto"/>
              <w:bottom w:val="single" w:sz="4" w:space="0" w:color="auto"/>
              <w:right w:val="single" w:sz="4" w:space="0" w:color="auto"/>
            </w:tcBorders>
            <w:hideMark/>
          </w:tcPr>
          <w:p w14:paraId="687157EA" w14:textId="77777777" w:rsidR="004261B2" w:rsidRPr="004261B2" w:rsidRDefault="004261B2" w:rsidP="004261B2">
            <w:pPr>
              <w:spacing w:after="160" w:line="259" w:lineRule="auto"/>
              <w:rPr>
                <w:lang w:val="en-US"/>
              </w:rPr>
            </w:pPr>
            <w:r w:rsidRPr="004261B2">
              <w:rPr>
                <w:lang w:val="en-US"/>
              </w:rPr>
              <w:t>100</w:t>
            </w:r>
          </w:p>
        </w:tc>
        <w:tc>
          <w:tcPr>
            <w:tcW w:w="1440" w:type="dxa"/>
            <w:tcBorders>
              <w:top w:val="single" w:sz="4" w:space="0" w:color="auto"/>
              <w:left w:val="single" w:sz="4" w:space="0" w:color="auto"/>
              <w:bottom w:val="single" w:sz="4" w:space="0" w:color="auto"/>
              <w:right w:val="single" w:sz="4" w:space="0" w:color="auto"/>
            </w:tcBorders>
            <w:hideMark/>
          </w:tcPr>
          <w:p w14:paraId="5F46985A" w14:textId="77777777" w:rsidR="004261B2" w:rsidRPr="004261B2" w:rsidRDefault="004261B2" w:rsidP="004261B2">
            <w:pPr>
              <w:spacing w:after="160" w:line="259" w:lineRule="auto"/>
              <w:rPr>
                <w:lang w:val="en-US"/>
              </w:rPr>
            </w:pPr>
            <w:r w:rsidRPr="004261B2">
              <w:rPr>
                <w:lang w:val="en-US"/>
              </w:rPr>
              <w:t>3.45</w:t>
            </w:r>
          </w:p>
        </w:tc>
        <w:tc>
          <w:tcPr>
            <w:tcW w:w="1440" w:type="dxa"/>
            <w:tcBorders>
              <w:top w:val="single" w:sz="4" w:space="0" w:color="auto"/>
              <w:left w:val="single" w:sz="4" w:space="0" w:color="auto"/>
              <w:bottom w:val="single" w:sz="4" w:space="0" w:color="auto"/>
              <w:right w:val="single" w:sz="4" w:space="0" w:color="auto"/>
            </w:tcBorders>
            <w:hideMark/>
          </w:tcPr>
          <w:p w14:paraId="324FA790" w14:textId="77777777" w:rsidR="004261B2" w:rsidRPr="004261B2" w:rsidRDefault="004261B2" w:rsidP="004261B2">
            <w:pPr>
              <w:spacing w:after="160" w:line="259" w:lineRule="auto"/>
              <w:rPr>
                <w:lang w:val="en-US"/>
              </w:rPr>
            </w:pPr>
            <w:r w:rsidRPr="004261B2">
              <w:rPr>
                <w:lang w:val="en-US"/>
              </w:rPr>
              <w:t>3.85</w:t>
            </w:r>
          </w:p>
        </w:tc>
        <w:tc>
          <w:tcPr>
            <w:tcW w:w="1440" w:type="dxa"/>
            <w:tcBorders>
              <w:top w:val="single" w:sz="4" w:space="0" w:color="auto"/>
              <w:left w:val="single" w:sz="4" w:space="0" w:color="auto"/>
              <w:bottom w:val="single" w:sz="4" w:space="0" w:color="auto"/>
              <w:right w:val="single" w:sz="4" w:space="0" w:color="auto"/>
            </w:tcBorders>
            <w:hideMark/>
          </w:tcPr>
          <w:p w14:paraId="34DC043F" w14:textId="77777777" w:rsidR="004261B2" w:rsidRPr="004261B2" w:rsidRDefault="004261B2" w:rsidP="004261B2">
            <w:pPr>
              <w:spacing w:after="160" w:line="259" w:lineRule="auto"/>
              <w:rPr>
                <w:lang w:val="en-US"/>
              </w:rPr>
            </w:pPr>
            <w:r w:rsidRPr="004261B2">
              <w:rPr>
                <w:lang w:val="en-US"/>
              </w:rPr>
              <w:t>4.40</w:t>
            </w:r>
          </w:p>
        </w:tc>
        <w:tc>
          <w:tcPr>
            <w:tcW w:w="1440" w:type="dxa"/>
            <w:tcBorders>
              <w:top w:val="single" w:sz="4" w:space="0" w:color="auto"/>
              <w:left w:val="single" w:sz="4" w:space="0" w:color="auto"/>
              <w:bottom w:val="single" w:sz="4" w:space="0" w:color="auto"/>
              <w:right w:val="single" w:sz="4" w:space="0" w:color="auto"/>
            </w:tcBorders>
            <w:hideMark/>
          </w:tcPr>
          <w:p w14:paraId="779BC2EB" w14:textId="77777777" w:rsidR="004261B2" w:rsidRPr="004261B2" w:rsidRDefault="004261B2" w:rsidP="004261B2">
            <w:pPr>
              <w:spacing w:after="160" w:line="259" w:lineRule="auto"/>
              <w:rPr>
                <w:lang w:val="en-US"/>
              </w:rPr>
            </w:pPr>
            <w:r w:rsidRPr="004261B2">
              <w:rPr>
                <w:lang w:val="en-US"/>
              </w:rPr>
              <w:t>2.00</w:t>
            </w:r>
          </w:p>
        </w:tc>
      </w:tr>
    </w:tbl>
    <w:p w14:paraId="4919C8F1" w14:textId="77777777" w:rsidR="004261B2" w:rsidRPr="004261B2" w:rsidRDefault="004261B2" w:rsidP="004261B2">
      <w:pPr>
        <w:rPr>
          <w:lang w:val="en-US"/>
        </w:rPr>
      </w:pPr>
      <w:r w:rsidRPr="004261B2">
        <w:rPr>
          <w:lang w:val="en-US"/>
        </w:rPr>
        <w:br w:type="page"/>
      </w:r>
    </w:p>
    <w:p w14:paraId="077540D7" w14:textId="77777777" w:rsidR="00614AF4" w:rsidRPr="00614AF4" w:rsidRDefault="009C7A42" w:rsidP="00614AF4">
      <w:pPr>
        <w:rPr>
          <w:b/>
          <w:bCs/>
        </w:rPr>
      </w:pPr>
      <w:r w:rsidRPr="00861967">
        <w:rPr>
          <w:lang w:val="fr-FR"/>
        </w:rPr>
        <w:lastRenderedPageBreak/>
        <w:t xml:space="preserve"> </w:t>
      </w:r>
      <w:r w:rsidR="00614AF4" w:rsidRPr="00614AF4">
        <w:rPr>
          <w:b/>
          <w:bCs/>
        </w:rPr>
        <w:t>Appendix E – Project Risk Assessment Matrix</w:t>
      </w:r>
    </w:p>
    <w:p w14:paraId="38452C7B" w14:textId="77777777" w:rsidR="00614AF4" w:rsidRPr="00614AF4" w:rsidRDefault="00614AF4" w:rsidP="00614AF4">
      <w:r w:rsidRPr="00614AF4">
        <w:rPr>
          <w:b/>
          <w:bCs/>
        </w:rPr>
        <w:t>Project:</w:t>
      </w:r>
      <w:r w:rsidRPr="00614AF4">
        <w:t xml:space="preserve"> Million Gallon Tank (MGT) Decommissioning Project</w:t>
      </w:r>
      <w:r w:rsidRPr="00614AF4">
        <w:br/>
      </w:r>
      <w:r w:rsidRPr="00614AF4">
        <w:rPr>
          <w:b/>
          <w:bCs/>
        </w:rPr>
        <w:t>Location:</w:t>
      </w:r>
      <w:r w:rsidRPr="00614AF4">
        <w:t xml:space="preserve"> Tata Steel Port Talbot</w:t>
      </w:r>
      <w:r w:rsidRPr="00614AF4">
        <w:br/>
      </w:r>
      <w:r w:rsidRPr="00614AF4">
        <w:rPr>
          <w:b/>
          <w:bCs/>
        </w:rPr>
        <w:t>Assessment Type:</w:t>
      </w:r>
      <w:r w:rsidRPr="00614AF4">
        <w:t xml:space="preserve"> Strategic Project Risk Assessment</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997"/>
        <w:gridCol w:w="2158"/>
        <w:gridCol w:w="973"/>
        <w:gridCol w:w="2751"/>
        <w:gridCol w:w="1147"/>
      </w:tblGrid>
      <w:tr w:rsidR="00614AF4" w:rsidRPr="00614AF4" w14:paraId="035F5BA7" w14:textId="77777777" w:rsidTr="00614AF4">
        <w:trPr>
          <w:tblCellSpacing w:w="15" w:type="dxa"/>
        </w:trPr>
        <w:tc>
          <w:tcPr>
            <w:tcW w:w="0" w:type="auto"/>
            <w:vAlign w:val="center"/>
            <w:hideMark/>
          </w:tcPr>
          <w:p w14:paraId="50C84340" w14:textId="77777777" w:rsidR="00614AF4" w:rsidRPr="00614AF4" w:rsidRDefault="00614AF4" w:rsidP="00614AF4">
            <w:pPr>
              <w:rPr>
                <w:b/>
                <w:bCs/>
              </w:rPr>
            </w:pPr>
            <w:r w:rsidRPr="00614AF4">
              <w:rPr>
                <w:b/>
                <w:bCs/>
              </w:rPr>
              <w:t>Hazard</w:t>
            </w:r>
          </w:p>
        </w:tc>
        <w:tc>
          <w:tcPr>
            <w:tcW w:w="0" w:type="auto"/>
            <w:vAlign w:val="center"/>
            <w:hideMark/>
          </w:tcPr>
          <w:p w14:paraId="2DC8BC8D" w14:textId="77777777" w:rsidR="00614AF4" w:rsidRPr="00614AF4" w:rsidRDefault="00614AF4" w:rsidP="00614AF4">
            <w:pPr>
              <w:rPr>
                <w:b/>
                <w:bCs/>
              </w:rPr>
            </w:pPr>
            <w:r w:rsidRPr="00614AF4">
              <w:rPr>
                <w:b/>
                <w:bCs/>
              </w:rPr>
              <w:t>Potential Consequence</w:t>
            </w:r>
          </w:p>
        </w:tc>
        <w:tc>
          <w:tcPr>
            <w:tcW w:w="0" w:type="auto"/>
            <w:vAlign w:val="center"/>
            <w:hideMark/>
          </w:tcPr>
          <w:p w14:paraId="08F63FF2" w14:textId="77777777" w:rsidR="00614AF4" w:rsidRPr="00614AF4" w:rsidRDefault="00614AF4" w:rsidP="00614AF4">
            <w:pPr>
              <w:rPr>
                <w:b/>
                <w:bCs/>
              </w:rPr>
            </w:pPr>
            <w:r w:rsidRPr="00614AF4">
              <w:rPr>
                <w:b/>
                <w:bCs/>
              </w:rPr>
              <w:t>Initial Risk Rating</w:t>
            </w:r>
          </w:p>
        </w:tc>
        <w:tc>
          <w:tcPr>
            <w:tcW w:w="0" w:type="auto"/>
            <w:vAlign w:val="center"/>
            <w:hideMark/>
          </w:tcPr>
          <w:p w14:paraId="69FFEEC5" w14:textId="77777777" w:rsidR="00614AF4" w:rsidRPr="00614AF4" w:rsidRDefault="00614AF4" w:rsidP="00614AF4">
            <w:pPr>
              <w:rPr>
                <w:b/>
                <w:bCs/>
              </w:rPr>
            </w:pPr>
            <w:r w:rsidRPr="00614AF4">
              <w:rPr>
                <w:b/>
                <w:bCs/>
              </w:rPr>
              <w:t>Control Measures</w:t>
            </w:r>
          </w:p>
        </w:tc>
        <w:tc>
          <w:tcPr>
            <w:tcW w:w="0" w:type="auto"/>
            <w:vAlign w:val="center"/>
            <w:hideMark/>
          </w:tcPr>
          <w:p w14:paraId="1A77DCD3" w14:textId="77777777" w:rsidR="00614AF4" w:rsidRPr="00614AF4" w:rsidRDefault="00614AF4" w:rsidP="00614AF4">
            <w:pPr>
              <w:rPr>
                <w:b/>
                <w:bCs/>
              </w:rPr>
            </w:pPr>
            <w:r w:rsidRPr="00614AF4">
              <w:rPr>
                <w:b/>
                <w:bCs/>
              </w:rPr>
              <w:t>Residual Risk Rating</w:t>
            </w:r>
          </w:p>
        </w:tc>
      </w:tr>
      <w:tr w:rsidR="00614AF4" w:rsidRPr="00614AF4" w14:paraId="66FBF686" w14:textId="77777777" w:rsidTr="00614AF4">
        <w:trPr>
          <w:tblCellSpacing w:w="15" w:type="dxa"/>
        </w:trPr>
        <w:tc>
          <w:tcPr>
            <w:tcW w:w="0" w:type="auto"/>
            <w:vAlign w:val="center"/>
            <w:hideMark/>
          </w:tcPr>
          <w:p w14:paraId="7C4BD6B4" w14:textId="77777777" w:rsidR="00614AF4" w:rsidRPr="00614AF4" w:rsidRDefault="00614AF4" w:rsidP="00614AF4">
            <w:r w:rsidRPr="00614AF4">
              <w:t>Structural failure of tank shell</w:t>
            </w:r>
          </w:p>
        </w:tc>
        <w:tc>
          <w:tcPr>
            <w:tcW w:w="0" w:type="auto"/>
            <w:vAlign w:val="center"/>
            <w:hideMark/>
          </w:tcPr>
          <w:p w14:paraId="0478AAB6" w14:textId="77777777" w:rsidR="00614AF4" w:rsidRPr="00614AF4" w:rsidRDefault="00614AF4" w:rsidP="00614AF4">
            <w:r w:rsidRPr="00614AF4">
              <w:t>Serious injury, fatality, environmental release</w:t>
            </w:r>
          </w:p>
        </w:tc>
        <w:tc>
          <w:tcPr>
            <w:tcW w:w="0" w:type="auto"/>
            <w:vAlign w:val="center"/>
            <w:hideMark/>
          </w:tcPr>
          <w:p w14:paraId="2439AA36" w14:textId="77777777" w:rsidR="00614AF4" w:rsidRPr="00614AF4" w:rsidRDefault="00614AF4" w:rsidP="00614AF4">
            <w:r w:rsidRPr="00614AF4">
              <w:t>High</w:t>
            </w:r>
          </w:p>
        </w:tc>
        <w:tc>
          <w:tcPr>
            <w:tcW w:w="0" w:type="auto"/>
            <w:vAlign w:val="center"/>
            <w:hideMark/>
          </w:tcPr>
          <w:p w14:paraId="5343A5E5" w14:textId="77777777" w:rsidR="00614AF4" w:rsidRPr="00614AF4" w:rsidRDefault="00614AF4" w:rsidP="00614AF4">
            <w:r w:rsidRPr="00614AF4">
              <w:t>Exclusion zones, structural inspections, phased dismantling, engineered demolition methods</w:t>
            </w:r>
          </w:p>
        </w:tc>
        <w:tc>
          <w:tcPr>
            <w:tcW w:w="0" w:type="auto"/>
            <w:vAlign w:val="center"/>
            <w:hideMark/>
          </w:tcPr>
          <w:p w14:paraId="65401895" w14:textId="77777777" w:rsidR="00614AF4" w:rsidRPr="00614AF4" w:rsidRDefault="00614AF4" w:rsidP="00614AF4">
            <w:r w:rsidRPr="00614AF4">
              <w:t>Medium</w:t>
            </w:r>
          </w:p>
        </w:tc>
      </w:tr>
      <w:tr w:rsidR="00614AF4" w:rsidRPr="00614AF4" w14:paraId="46A08001" w14:textId="77777777" w:rsidTr="00614AF4">
        <w:trPr>
          <w:tblCellSpacing w:w="15" w:type="dxa"/>
        </w:trPr>
        <w:tc>
          <w:tcPr>
            <w:tcW w:w="0" w:type="auto"/>
            <w:vAlign w:val="center"/>
            <w:hideMark/>
          </w:tcPr>
          <w:p w14:paraId="6B2D702F" w14:textId="77777777" w:rsidR="00614AF4" w:rsidRPr="00614AF4" w:rsidRDefault="00614AF4" w:rsidP="00614AF4">
            <w:r w:rsidRPr="00614AF4">
              <w:t>Failure of bund containment system</w:t>
            </w:r>
          </w:p>
        </w:tc>
        <w:tc>
          <w:tcPr>
            <w:tcW w:w="0" w:type="auto"/>
            <w:vAlign w:val="center"/>
            <w:hideMark/>
          </w:tcPr>
          <w:p w14:paraId="49359E6E" w14:textId="77777777" w:rsidR="00614AF4" w:rsidRPr="00614AF4" w:rsidRDefault="00614AF4" w:rsidP="00614AF4">
            <w:r w:rsidRPr="00614AF4">
              <w:t>Environmental pollution, groundwater contamination, regulatory action</w:t>
            </w:r>
          </w:p>
        </w:tc>
        <w:tc>
          <w:tcPr>
            <w:tcW w:w="0" w:type="auto"/>
            <w:vAlign w:val="center"/>
            <w:hideMark/>
          </w:tcPr>
          <w:p w14:paraId="290BB668" w14:textId="77777777" w:rsidR="00614AF4" w:rsidRPr="00614AF4" w:rsidRDefault="00614AF4" w:rsidP="00614AF4">
            <w:r w:rsidRPr="00614AF4">
              <w:t>High</w:t>
            </w:r>
          </w:p>
        </w:tc>
        <w:tc>
          <w:tcPr>
            <w:tcW w:w="0" w:type="auto"/>
            <w:vAlign w:val="center"/>
            <w:hideMark/>
          </w:tcPr>
          <w:p w14:paraId="41618275" w14:textId="77777777" w:rsidR="00614AF4" w:rsidRPr="00614AF4" w:rsidRDefault="00614AF4" w:rsidP="00614AF4">
            <w:r w:rsidRPr="00614AF4">
              <w:t>Removal of liquids at earliest opportunity, bund inspection, temporary containment measures, environmental monitoring</w:t>
            </w:r>
          </w:p>
        </w:tc>
        <w:tc>
          <w:tcPr>
            <w:tcW w:w="0" w:type="auto"/>
            <w:vAlign w:val="center"/>
            <w:hideMark/>
          </w:tcPr>
          <w:p w14:paraId="54D691B4" w14:textId="77777777" w:rsidR="00614AF4" w:rsidRPr="00614AF4" w:rsidRDefault="00614AF4" w:rsidP="00614AF4">
            <w:r w:rsidRPr="00614AF4">
              <w:t>Medium</w:t>
            </w:r>
          </w:p>
        </w:tc>
      </w:tr>
      <w:tr w:rsidR="00614AF4" w:rsidRPr="00614AF4" w14:paraId="2B183D9F" w14:textId="77777777" w:rsidTr="00614AF4">
        <w:trPr>
          <w:tblCellSpacing w:w="15" w:type="dxa"/>
        </w:trPr>
        <w:tc>
          <w:tcPr>
            <w:tcW w:w="0" w:type="auto"/>
            <w:vAlign w:val="center"/>
            <w:hideMark/>
          </w:tcPr>
          <w:p w14:paraId="165B897F" w14:textId="77777777" w:rsidR="00614AF4" w:rsidRPr="00614AF4" w:rsidRDefault="00614AF4" w:rsidP="00614AF4">
            <w:r w:rsidRPr="00614AF4">
              <w:t>Confined space entry into tanks</w:t>
            </w:r>
          </w:p>
        </w:tc>
        <w:tc>
          <w:tcPr>
            <w:tcW w:w="0" w:type="auto"/>
            <w:vAlign w:val="center"/>
            <w:hideMark/>
          </w:tcPr>
          <w:p w14:paraId="50B68C86" w14:textId="77777777" w:rsidR="00614AF4" w:rsidRPr="00614AF4" w:rsidRDefault="00614AF4" w:rsidP="00614AF4">
            <w:r w:rsidRPr="00614AF4">
              <w:t>Fatality due to toxic atmosphere, oxygen deficiency or fire</w:t>
            </w:r>
          </w:p>
        </w:tc>
        <w:tc>
          <w:tcPr>
            <w:tcW w:w="0" w:type="auto"/>
            <w:vAlign w:val="center"/>
            <w:hideMark/>
          </w:tcPr>
          <w:p w14:paraId="0639E426" w14:textId="77777777" w:rsidR="00614AF4" w:rsidRPr="00614AF4" w:rsidRDefault="00614AF4" w:rsidP="00614AF4">
            <w:r w:rsidRPr="00614AF4">
              <w:t>Very High</w:t>
            </w:r>
          </w:p>
        </w:tc>
        <w:tc>
          <w:tcPr>
            <w:tcW w:w="0" w:type="auto"/>
            <w:vAlign w:val="center"/>
            <w:hideMark/>
          </w:tcPr>
          <w:p w14:paraId="75F235C1" w14:textId="77777777" w:rsidR="00614AF4" w:rsidRPr="00614AF4" w:rsidRDefault="00614AF4" w:rsidP="00614AF4">
            <w:r w:rsidRPr="00614AF4">
              <w:t>Avoid entry where possible, mechanical excavation, atmospheric monitoring, permit to work system, rescue arrangements</w:t>
            </w:r>
          </w:p>
        </w:tc>
        <w:tc>
          <w:tcPr>
            <w:tcW w:w="0" w:type="auto"/>
            <w:vAlign w:val="center"/>
            <w:hideMark/>
          </w:tcPr>
          <w:p w14:paraId="680536E7" w14:textId="77777777" w:rsidR="00614AF4" w:rsidRPr="00614AF4" w:rsidRDefault="00614AF4" w:rsidP="00614AF4">
            <w:r w:rsidRPr="00614AF4">
              <w:t>Low</w:t>
            </w:r>
          </w:p>
        </w:tc>
      </w:tr>
      <w:tr w:rsidR="00614AF4" w:rsidRPr="00614AF4" w14:paraId="1FC41A5D" w14:textId="77777777" w:rsidTr="00614AF4">
        <w:trPr>
          <w:tblCellSpacing w:w="15" w:type="dxa"/>
        </w:trPr>
        <w:tc>
          <w:tcPr>
            <w:tcW w:w="0" w:type="auto"/>
            <w:vAlign w:val="center"/>
            <w:hideMark/>
          </w:tcPr>
          <w:p w14:paraId="5C00C058" w14:textId="77777777" w:rsidR="00614AF4" w:rsidRPr="00614AF4" w:rsidRDefault="00614AF4" w:rsidP="00614AF4">
            <w:r w:rsidRPr="00614AF4">
              <w:t>Exposure to hydrocarbons and contaminated sludge</w:t>
            </w:r>
          </w:p>
        </w:tc>
        <w:tc>
          <w:tcPr>
            <w:tcW w:w="0" w:type="auto"/>
            <w:vAlign w:val="center"/>
            <w:hideMark/>
          </w:tcPr>
          <w:p w14:paraId="23DFEA07" w14:textId="77777777" w:rsidR="00614AF4" w:rsidRPr="00614AF4" w:rsidRDefault="00614AF4" w:rsidP="00614AF4">
            <w:r w:rsidRPr="00614AF4">
              <w:t>Health effects, skin irritation, inhalation hazards</w:t>
            </w:r>
          </w:p>
        </w:tc>
        <w:tc>
          <w:tcPr>
            <w:tcW w:w="0" w:type="auto"/>
            <w:vAlign w:val="center"/>
            <w:hideMark/>
          </w:tcPr>
          <w:p w14:paraId="6021E442" w14:textId="77777777" w:rsidR="00614AF4" w:rsidRPr="00614AF4" w:rsidRDefault="00614AF4" w:rsidP="00614AF4">
            <w:r w:rsidRPr="00614AF4">
              <w:t>High</w:t>
            </w:r>
          </w:p>
        </w:tc>
        <w:tc>
          <w:tcPr>
            <w:tcW w:w="0" w:type="auto"/>
            <w:vAlign w:val="center"/>
            <w:hideMark/>
          </w:tcPr>
          <w:p w14:paraId="0F3EB064" w14:textId="77777777" w:rsidR="00614AF4" w:rsidRPr="00614AF4" w:rsidRDefault="00614AF4" w:rsidP="00614AF4">
            <w:r w:rsidRPr="00614AF4">
              <w:t>COSHH assessment, enclosed transfer systems, PPE/RPE, hygiene controls</w:t>
            </w:r>
          </w:p>
        </w:tc>
        <w:tc>
          <w:tcPr>
            <w:tcW w:w="0" w:type="auto"/>
            <w:vAlign w:val="center"/>
            <w:hideMark/>
          </w:tcPr>
          <w:p w14:paraId="73019BD4" w14:textId="77777777" w:rsidR="00614AF4" w:rsidRPr="00614AF4" w:rsidRDefault="00614AF4" w:rsidP="00614AF4">
            <w:r w:rsidRPr="00614AF4">
              <w:t>Medium</w:t>
            </w:r>
          </w:p>
        </w:tc>
      </w:tr>
      <w:tr w:rsidR="00614AF4" w:rsidRPr="00614AF4" w14:paraId="6C90111A" w14:textId="77777777" w:rsidTr="00614AF4">
        <w:trPr>
          <w:tblCellSpacing w:w="15" w:type="dxa"/>
        </w:trPr>
        <w:tc>
          <w:tcPr>
            <w:tcW w:w="0" w:type="auto"/>
            <w:vAlign w:val="center"/>
            <w:hideMark/>
          </w:tcPr>
          <w:p w14:paraId="41342F7C" w14:textId="77777777" w:rsidR="00614AF4" w:rsidRPr="00614AF4" w:rsidRDefault="00614AF4" w:rsidP="00614AF4">
            <w:r w:rsidRPr="00614AF4">
              <w:t>Fire or explosion from residual hydrocarbons</w:t>
            </w:r>
          </w:p>
        </w:tc>
        <w:tc>
          <w:tcPr>
            <w:tcW w:w="0" w:type="auto"/>
            <w:vAlign w:val="center"/>
            <w:hideMark/>
          </w:tcPr>
          <w:p w14:paraId="0A0E8FC0" w14:textId="77777777" w:rsidR="00614AF4" w:rsidRPr="00614AF4" w:rsidRDefault="00614AF4" w:rsidP="00614AF4">
            <w:r w:rsidRPr="00614AF4">
              <w:t>Multiple fatalities, major asset damage</w:t>
            </w:r>
          </w:p>
        </w:tc>
        <w:tc>
          <w:tcPr>
            <w:tcW w:w="0" w:type="auto"/>
            <w:vAlign w:val="center"/>
            <w:hideMark/>
          </w:tcPr>
          <w:p w14:paraId="6BAD7B36" w14:textId="77777777" w:rsidR="00614AF4" w:rsidRPr="00614AF4" w:rsidRDefault="00614AF4" w:rsidP="00614AF4">
            <w:r w:rsidRPr="00614AF4">
              <w:t>High</w:t>
            </w:r>
          </w:p>
        </w:tc>
        <w:tc>
          <w:tcPr>
            <w:tcW w:w="0" w:type="auto"/>
            <w:vAlign w:val="center"/>
            <w:hideMark/>
          </w:tcPr>
          <w:p w14:paraId="795CA4E0" w14:textId="77777777" w:rsidR="00614AF4" w:rsidRPr="00614AF4" w:rsidRDefault="00614AF4" w:rsidP="00614AF4">
            <w:r w:rsidRPr="00614AF4">
              <w:t xml:space="preserve">Gas testing, ignition control, hot work permit system, </w:t>
            </w:r>
            <w:proofErr w:type="spellStart"/>
            <w:r w:rsidRPr="00614AF4">
              <w:t>inerting</w:t>
            </w:r>
            <w:proofErr w:type="spellEnd"/>
            <w:r w:rsidRPr="00614AF4">
              <w:t xml:space="preserve"> where required</w:t>
            </w:r>
          </w:p>
        </w:tc>
        <w:tc>
          <w:tcPr>
            <w:tcW w:w="0" w:type="auto"/>
            <w:vAlign w:val="center"/>
            <w:hideMark/>
          </w:tcPr>
          <w:p w14:paraId="722E12B1" w14:textId="77777777" w:rsidR="00614AF4" w:rsidRPr="00614AF4" w:rsidRDefault="00614AF4" w:rsidP="00614AF4">
            <w:r w:rsidRPr="00614AF4">
              <w:t>Low</w:t>
            </w:r>
          </w:p>
        </w:tc>
      </w:tr>
      <w:tr w:rsidR="00614AF4" w:rsidRPr="00614AF4" w14:paraId="5D4BE08E" w14:textId="77777777" w:rsidTr="00614AF4">
        <w:trPr>
          <w:tblCellSpacing w:w="15" w:type="dxa"/>
        </w:trPr>
        <w:tc>
          <w:tcPr>
            <w:tcW w:w="0" w:type="auto"/>
            <w:vAlign w:val="center"/>
            <w:hideMark/>
          </w:tcPr>
          <w:p w14:paraId="6DECF593" w14:textId="77777777" w:rsidR="00614AF4" w:rsidRPr="00614AF4" w:rsidRDefault="00614AF4" w:rsidP="00614AF4">
            <w:r w:rsidRPr="00614AF4">
              <w:t>Failure of sludge removal methodology</w:t>
            </w:r>
          </w:p>
        </w:tc>
        <w:tc>
          <w:tcPr>
            <w:tcW w:w="0" w:type="auto"/>
            <w:vAlign w:val="center"/>
            <w:hideMark/>
          </w:tcPr>
          <w:p w14:paraId="3695EE3B" w14:textId="77777777" w:rsidR="00614AF4" w:rsidRPr="00614AF4" w:rsidRDefault="00614AF4" w:rsidP="00614AF4">
            <w:r w:rsidRPr="00614AF4">
              <w:t>Programme delay, cost increase, rework</w:t>
            </w:r>
          </w:p>
        </w:tc>
        <w:tc>
          <w:tcPr>
            <w:tcW w:w="0" w:type="auto"/>
            <w:vAlign w:val="center"/>
            <w:hideMark/>
          </w:tcPr>
          <w:p w14:paraId="30E12194" w14:textId="77777777" w:rsidR="00614AF4" w:rsidRPr="00614AF4" w:rsidRDefault="00614AF4" w:rsidP="00614AF4">
            <w:r w:rsidRPr="00614AF4">
              <w:t>High</w:t>
            </w:r>
          </w:p>
        </w:tc>
        <w:tc>
          <w:tcPr>
            <w:tcW w:w="0" w:type="auto"/>
            <w:vAlign w:val="center"/>
            <w:hideMark/>
          </w:tcPr>
          <w:p w14:paraId="47D203EE" w14:textId="77777777" w:rsidR="00614AF4" w:rsidRPr="00614AF4" w:rsidRDefault="00614AF4" w:rsidP="00614AF4">
            <w:r w:rsidRPr="00614AF4">
              <w:t>Phased approach, multiple removal techniques available, contingency planning</w:t>
            </w:r>
          </w:p>
        </w:tc>
        <w:tc>
          <w:tcPr>
            <w:tcW w:w="0" w:type="auto"/>
            <w:vAlign w:val="center"/>
            <w:hideMark/>
          </w:tcPr>
          <w:p w14:paraId="5EEDA125" w14:textId="77777777" w:rsidR="00614AF4" w:rsidRPr="00614AF4" w:rsidRDefault="00614AF4" w:rsidP="00614AF4">
            <w:r w:rsidRPr="00614AF4">
              <w:t>Medium</w:t>
            </w:r>
          </w:p>
        </w:tc>
      </w:tr>
      <w:tr w:rsidR="00614AF4" w:rsidRPr="00614AF4" w14:paraId="3EE7C79E" w14:textId="77777777" w:rsidTr="00614AF4">
        <w:trPr>
          <w:tblCellSpacing w:w="15" w:type="dxa"/>
        </w:trPr>
        <w:tc>
          <w:tcPr>
            <w:tcW w:w="0" w:type="auto"/>
            <w:vAlign w:val="center"/>
            <w:hideMark/>
          </w:tcPr>
          <w:p w14:paraId="42F298CD" w14:textId="77777777" w:rsidR="00614AF4" w:rsidRPr="00614AF4" w:rsidRDefault="00614AF4" w:rsidP="00614AF4">
            <w:r w:rsidRPr="00614AF4">
              <w:t>Incorrect waste classification</w:t>
            </w:r>
          </w:p>
        </w:tc>
        <w:tc>
          <w:tcPr>
            <w:tcW w:w="0" w:type="auto"/>
            <w:vAlign w:val="center"/>
            <w:hideMark/>
          </w:tcPr>
          <w:p w14:paraId="6FDCDBEB" w14:textId="77777777" w:rsidR="00614AF4" w:rsidRPr="00614AF4" w:rsidRDefault="00614AF4" w:rsidP="00614AF4">
            <w:r w:rsidRPr="00614AF4">
              <w:t>Regulatory breach, disposal rejection, increased costs</w:t>
            </w:r>
          </w:p>
        </w:tc>
        <w:tc>
          <w:tcPr>
            <w:tcW w:w="0" w:type="auto"/>
            <w:vAlign w:val="center"/>
            <w:hideMark/>
          </w:tcPr>
          <w:p w14:paraId="06EDB259" w14:textId="77777777" w:rsidR="00614AF4" w:rsidRPr="00614AF4" w:rsidRDefault="00614AF4" w:rsidP="00614AF4">
            <w:r w:rsidRPr="00614AF4">
              <w:t>Medium</w:t>
            </w:r>
          </w:p>
        </w:tc>
        <w:tc>
          <w:tcPr>
            <w:tcW w:w="0" w:type="auto"/>
            <w:vAlign w:val="center"/>
            <w:hideMark/>
          </w:tcPr>
          <w:p w14:paraId="67DFAA11" w14:textId="77777777" w:rsidR="00614AF4" w:rsidRPr="00614AF4" w:rsidRDefault="00614AF4" w:rsidP="00614AF4">
            <w:r w:rsidRPr="00614AF4">
              <w:t>Waste sampling and analysis, WM3 assessment, specialist waste contractor involvement</w:t>
            </w:r>
          </w:p>
        </w:tc>
        <w:tc>
          <w:tcPr>
            <w:tcW w:w="0" w:type="auto"/>
            <w:vAlign w:val="center"/>
            <w:hideMark/>
          </w:tcPr>
          <w:p w14:paraId="0A8C2EB0" w14:textId="77777777" w:rsidR="00614AF4" w:rsidRPr="00614AF4" w:rsidRDefault="00614AF4" w:rsidP="00614AF4">
            <w:r w:rsidRPr="00614AF4">
              <w:t>Low</w:t>
            </w:r>
          </w:p>
        </w:tc>
      </w:tr>
      <w:tr w:rsidR="00614AF4" w:rsidRPr="00614AF4" w14:paraId="363BD00A" w14:textId="77777777" w:rsidTr="00614AF4">
        <w:trPr>
          <w:tblCellSpacing w:w="15" w:type="dxa"/>
        </w:trPr>
        <w:tc>
          <w:tcPr>
            <w:tcW w:w="0" w:type="auto"/>
            <w:vAlign w:val="center"/>
            <w:hideMark/>
          </w:tcPr>
          <w:p w14:paraId="5CE1BC48" w14:textId="77777777" w:rsidR="00614AF4" w:rsidRPr="00614AF4" w:rsidRDefault="00614AF4" w:rsidP="00614AF4">
            <w:r w:rsidRPr="00614AF4">
              <w:t>Heavy plant operations during demolition</w:t>
            </w:r>
          </w:p>
        </w:tc>
        <w:tc>
          <w:tcPr>
            <w:tcW w:w="0" w:type="auto"/>
            <w:vAlign w:val="center"/>
            <w:hideMark/>
          </w:tcPr>
          <w:p w14:paraId="5B0105B9" w14:textId="77777777" w:rsidR="00614AF4" w:rsidRPr="00614AF4" w:rsidRDefault="00614AF4" w:rsidP="00614AF4">
            <w:r w:rsidRPr="00614AF4">
              <w:t>Collision, crushing injuries, asset damage</w:t>
            </w:r>
          </w:p>
        </w:tc>
        <w:tc>
          <w:tcPr>
            <w:tcW w:w="0" w:type="auto"/>
            <w:vAlign w:val="center"/>
            <w:hideMark/>
          </w:tcPr>
          <w:p w14:paraId="514575CE" w14:textId="77777777" w:rsidR="00614AF4" w:rsidRPr="00614AF4" w:rsidRDefault="00614AF4" w:rsidP="00614AF4">
            <w:r w:rsidRPr="00614AF4">
              <w:t>High</w:t>
            </w:r>
          </w:p>
        </w:tc>
        <w:tc>
          <w:tcPr>
            <w:tcW w:w="0" w:type="auto"/>
            <w:vAlign w:val="center"/>
            <w:hideMark/>
          </w:tcPr>
          <w:p w14:paraId="70C53361" w14:textId="77777777" w:rsidR="00614AF4" w:rsidRPr="00614AF4" w:rsidRDefault="00614AF4" w:rsidP="00614AF4">
            <w:r w:rsidRPr="00614AF4">
              <w:t>Competent operators, exclusion zones, lifting plans, supervision</w:t>
            </w:r>
          </w:p>
        </w:tc>
        <w:tc>
          <w:tcPr>
            <w:tcW w:w="0" w:type="auto"/>
            <w:vAlign w:val="center"/>
            <w:hideMark/>
          </w:tcPr>
          <w:p w14:paraId="5850FE62" w14:textId="77777777" w:rsidR="00614AF4" w:rsidRPr="00614AF4" w:rsidRDefault="00614AF4" w:rsidP="00614AF4">
            <w:r w:rsidRPr="00614AF4">
              <w:t>Medium</w:t>
            </w:r>
          </w:p>
        </w:tc>
      </w:tr>
      <w:tr w:rsidR="00614AF4" w:rsidRPr="00614AF4" w14:paraId="3A93FB76" w14:textId="77777777" w:rsidTr="00614AF4">
        <w:trPr>
          <w:tblCellSpacing w:w="15" w:type="dxa"/>
        </w:trPr>
        <w:tc>
          <w:tcPr>
            <w:tcW w:w="0" w:type="auto"/>
            <w:vAlign w:val="center"/>
            <w:hideMark/>
          </w:tcPr>
          <w:p w14:paraId="2FA8F2B0" w14:textId="77777777" w:rsidR="00614AF4" w:rsidRPr="00614AF4" w:rsidRDefault="00614AF4" w:rsidP="00614AF4">
            <w:r w:rsidRPr="00614AF4">
              <w:lastRenderedPageBreak/>
              <w:t>Working at height on degraded access structures</w:t>
            </w:r>
          </w:p>
        </w:tc>
        <w:tc>
          <w:tcPr>
            <w:tcW w:w="0" w:type="auto"/>
            <w:vAlign w:val="center"/>
            <w:hideMark/>
          </w:tcPr>
          <w:p w14:paraId="7F7328B8" w14:textId="77777777" w:rsidR="00614AF4" w:rsidRPr="00614AF4" w:rsidRDefault="00614AF4" w:rsidP="00614AF4">
            <w:r w:rsidRPr="00614AF4">
              <w:t>Falls from height, serious injury</w:t>
            </w:r>
          </w:p>
        </w:tc>
        <w:tc>
          <w:tcPr>
            <w:tcW w:w="0" w:type="auto"/>
            <w:vAlign w:val="center"/>
            <w:hideMark/>
          </w:tcPr>
          <w:p w14:paraId="7FEE126D" w14:textId="77777777" w:rsidR="00614AF4" w:rsidRPr="00614AF4" w:rsidRDefault="00614AF4" w:rsidP="00614AF4">
            <w:r w:rsidRPr="00614AF4">
              <w:t>High</w:t>
            </w:r>
          </w:p>
        </w:tc>
        <w:tc>
          <w:tcPr>
            <w:tcW w:w="0" w:type="auto"/>
            <w:vAlign w:val="center"/>
            <w:hideMark/>
          </w:tcPr>
          <w:p w14:paraId="6B45DBE7" w14:textId="77777777" w:rsidR="00614AF4" w:rsidRPr="00614AF4" w:rsidRDefault="00614AF4" w:rsidP="00614AF4">
            <w:r w:rsidRPr="00614AF4">
              <w:t>Temporary engineered access systems, scaffolding, inspection of access routes</w:t>
            </w:r>
          </w:p>
        </w:tc>
        <w:tc>
          <w:tcPr>
            <w:tcW w:w="0" w:type="auto"/>
            <w:vAlign w:val="center"/>
            <w:hideMark/>
          </w:tcPr>
          <w:p w14:paraId="721213F1" w14:textId="77777777" w:rsidR="00614AF4" w:rsidRPr="00614AF4" w:rsidRDefault="00614AF4" w:rsidP="00614AF4">
            <w:r w:rsidRPr="00614AF4">
              <w:t>Medium</w:t>
            </w:r>
          </w:p>
        </w:tc>
      </w:tr>
      <w:tr w:rsidR="00614AF4" w:rsidRPr="00614AF4" w14:paraId="1A37D704" w14:textId="77777777" w:rsidTr="00614AF4">
        <w:trPr>
          <w:tblCellSpacing w:w="15" w:type="dxa"/>
        </w:trPr>
        <w:tc>
          <w:tcPr>
            <w:tcW w:w="0" w:type="auto"/>
            <w:vAlign w:val="center"/>
            <w:hideMark/>
          </w:tcPr>
          <w:p w14:paraId="5A22C1E5" w14:textId="77777777" w:rsidR="00614AF4" w:rsidRPr="00614AF4" w:rsidRDefault="00614AF4" w:rsidP="00614AF4">
            <w:r w:rsidRPr="00614AF4">
              <w:t>Environmental contamination during sludge transfer</w:t>
            </w:r>
          </w:p>
        </w:tc>
        <w:tc>
          <w:tcPr>
            <w:tcW w:w="0" w:type="auto"/>
            <w:vAlign w:val="center"/>
            <w:hideMark/>
          </w:tcPr>
          <w:p w14:paraId="02755AD7" w14:textId="77777777" w:rsidR="00614AF4" w:rsidRPr="00614AF4" w:rsidRDefault="00614AF4" w:rsidP="00614AF4">
            <w:r w:rsidRPr="00614AF4">
              <w:t>Pollution event, enforcement action</w:t>
            </w:r>
          </w:p>
        </w:tc>
        <w:tc>
          <w:tcPr>
            <w:tcW w:w="0" w:type="auto"/>
            <w:vAlign w:val="center"/>
            <w:hideMark/>
          </w:tcPr>
          <w:p w14:paraId="6B2AAC1D" w14:textId="77777777" w:rsidR="00614AF4" w:rsidRPr="00614AF4" w:rsidRDefault="00614AF4" w:rsidP="00614AF4">
            <w:r w:rsidRPr="00614AF4">
              <w:t>High</w:t>
            </w:r>
          </w:p>
        </w:tc>
        <w:tc>
          <w:tcPr>
            <w:tcW w:w="0" w:type="auto"/>
            <w:vAlign w:val="center"/>
            <w:hideMark/>
          </w:tcPr>
          <w:p w14:paraId="5F19D5B6" w14:textId="77777777" w:rsidR="00614AF4" w:rsidRPr="00614AF4" w:rsidRDefault="00614AF4" w:rsidP="00614AF4">
            <w:r w:rsidRPr="00614AF4">
              <w:t>Bunded transfer areas, spill response arrangements, environmental monitoring</w:t>
            </w:r>
          </w:p>
        </w:tc>
        <w:tc>
          <w:tcPr>
            <w:tcW w:w="0" w:type="auto"/>
            <w:vAlign w:val="center"/>
            <w:hideMark/>
          </w:tcPr>
          <w:p w14:paraId="7D289DBA" w14:textId="77777777" w:rsidR="00614AF4" w:rsidRPr="00614AF4" w:rsidRDefault="00614AF4" w:rsidP="00614AF4">
            <w:r w:rsidRPr="00614AF4">
              <w:t>Low</w:t>
            </w:r>
          </w:p>
        </w:tc>
      </w:tr>
      <w:tr w:rsidR="00614AF4" w:rsidRPr="00614AF4" w14:paraId="047CA504" w14:textId="77777777" w:rsidTr="00614AF4">
        <w:trPr>
          <w:tblCellSpacing w:w="15" w:type="dxa"/>
        </w:trPr>
        <w:tc>
          <w:tcPr>
            <w:tcW w:w="0" w:type="auto"/>
            <w:vAlign w:val="center"/>
            <w:hideMark/>
          </w:tcPr>
          <w:p w14:paraId="6B408466" w14:textId="77777777" w:rsidR="00614AF4" w:rsidRPr="00614AF4" w:rsidRDefault="00614AF4" w:rsidP="00614AF4">
            <w:r w:rsidRPr="00614AF4">
              <w:t>Programme delays due to unknown sludge characteristics</w:t>
            </w:r>
          </w:p>
        </w:tc>
        <w:tc>
          <w:tcPr>
            <w:tcW w:w="0" w:type="auto"/>
            <w:vAlign w:val="center"/>
            <w:hideMark/>
          </w:tcPr>
          <w:p w14:paraId="252435FE" w14:textId="77777777" w:rsidR="00614AF4" w:rsidRPr="00614AF4" w:rsidRDefault="00614AF4" w:rsidP="00614AF4">
            <w:r w:rsidRPr="00614AF4">
              <w:t>Increased project costs and prolonged risk exposure</w:t>
            </w:r>
          </w:p>
        </w:tc>
        <w:tc>
          <w:tcPr>
            <w:tcW w:w="0" w:type="auto"/>
            <w:vAlign w:val="center"/>
            <w:hideMark/>
          </w:tcPr>
          <w:p w14:paraId="79380B57" w14:textId="77777777" w:rsidR="00614AF4" w:rsidRPr="00614AF4" w:rsidRDefault="00614AF4" w:rsidP="00614AF4">
            <w:r w:rsidRPr="00614AF4">
              <w:t>High</w:t>
            </w:r>
          </w:p>
        </w:tc>
        <w:tc>
          <w:tcPr>
            <w:tcW w:w="0" w:type="auto"/>
            <w:vAlign w:val="center"/>
            <w:hideMark/>
          </w:tcPr>
          <w:p w14:paraId="7618000A" w14:textId="77777777" w:rsidR="00614AF4" w:rsidRPr="00614AF4" w:rsidRDefault="00614AF4" w:rsidP="00614AF4">
            <w:r w:rsidRPr="00614AF4">
              <w:t>Early sampling, adaptive project planning, contingency allowances</w:t>
            </w:r>
          </w:p>
        </w:tc>
        <w:tc>
          <w:tcPr>
            <w:tcW w:w="0" w:type="auto"/>
            <w:vAlign w:val="center"/>
            <w:hideMark/>
          </w:tcPr>
          <w:p w14:paraId="11C66E28" w14:textId="77777777" w:rsidR="00614AF4" w:rsidRPr="00614AF4" w:rsidRDefault="00614AF4" w:rsidP="00614AF4">
            <w:r w:rsidRPr="00614AF4">
              <w:t>Medium</w:t>
            </w:r>
          </w:p>
        </w:tc>
      </w:tr>
      <w:tr w:rsidR="00614AF4" w:rsidRPr="00614AF4" w14:paraId="0A4D0A44" w14:textId="77777777" w:rsidTr="00614AF4">
        <w:trPr>
          <w:tblCellSpacing w:w="15" w:type="dxa"/>
        </w:trPr>
        <w:tc>
          <w:tcPr>
            <w:tcW w:w="0" w:type="auto"/>
            <w:vAlign w:val="center"/>
            <w:hideMark/>
          </w:tcPr>
          <w:p w14:paraId="3CD32B92" w14:textId="77777777" w:rsidR="00614AF4" w:rsidRPr="00614AF4" w:rsidRDefault="00614AF4" w:rsidP="00614AF4">
            <w:r w:rsidRPr="00614AF4">
              <w:t>Contractor interface and coordination failures</w:t>
            </w:r>
          </w:p>
        </w:tc>
        <w:tc>
          <w:tcPr>
            <w:tcW w:w="0" w:type="auto"/>
            <w:vAlign w:val="center"/>
            <w:hideMark/>
          </w:tcPr>
          <w:p w14:paraId="0C3B64D2" w14:textId="77777777" w:rsidR="00614AF4" w:rsidRPr="00614AF4" w:rsidRDefault="00614AF4" w:rsidP="00614AF4">
            <w:r w:rsidRPr="00614AF4">
              <w:t>Delays, unsafe operations, duplicated activities</w:t>
            </w:r>
          </w:p>
        </w:tc>
        <w:tc>
          <w:tcPr>
            <w:tcW w:w="0" w:type="auto"/>
            <w:vAlign w:val="center"/>
            <w:hideMark/>
          </w:tcPr>
          <w:p w14:paraId="5D978B87" w14:textId="77777777" w:rsidR="00614AF4" w:rsidRPr="00614AF4" w:rsidRDefault="00614AF4" w:rsidP="00614AF4">
            <w:r w:rsidRPr="00614AF4">
              <w:t>Medium</w:t>
            </w:r>
          </w:p>
        </w:tc>
        <w:tc>
          <w:tcPr>
            <w:tcW w:w="0" w:type="auto"/>
            <w:vAlign w:val="center"/>
            <w:hideMark/>
          </w:tcPr>
          <w:p w14:paraId="19D09F93" w14:textId="77777777" w:rsidR="00614AF4" w:rsidRPr="00614AF4" w:rsidRDefault="00614AF4" w:rsidP="00614AF4">
            <w:r w:rsidRPr="00614AF4">
              <w:t>Project management plan, daily coordination meetings, permit to work system</w:t>
            </w:r>
          </w:p>
        </w:tc>
        <w:tc>
          <w:tcPr>
            <w:tcW w:w="0" w:type="auto"/>
            <w:vAlign w:val="center"/>
            <w:hideMark/>
          </w:tcPr>
          <w:p w14:paraId="73868299" w14:textId="77777777" w:rsidR="00614AF4" w:rsidRPr="00614AF4" w:rsidRDefault="00614AF4" w:rsidP="00614AF4">
            <w:r w:rsidRPr="00614AF4">
              <w:t>Low</w:t>
            </w:r>
          </w:p>
        </w:tc>
      </w:tr>
    </w:tbl>
    <w:p w14:paraId="488F8EB8" w14:textId="77777777" w:rsidR="00614AF4" w:rsidRPr="00614AF4" w:rsidRDefault="00614AF4" w:rsidP="00614AF4">
      <w:pPr>
        <w:rPr>
          <w:b/>
          <w:bCs/>
        </w:rPr>
      </w:pPr>
      <w:r w:rsidRPr="00614AF4">
        <w:rPr>
          <w:b/>
          <w:bCs/>
        </w:rPr>
        <w:t>Risk Rating Definitions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041"/>
        <w:gridCol w:w="3438"/>
      </w:tblGrid>
      <w:tr w:rsidR="00614AF4" w:rsidRPr="00614AF4" w14:paraId="19B4819E" w14:textId="77777777" w:rsidTr="00614AF4">
        <w:trPr>
          <w:tblCellSpacing w:w="15" w:type="dxa"/>
        </w:trPr>
        <w:tc>
          <w:tcPr>
            <w:tcW w:w="0" w:type="auto"/>
            <w:vAlign w:val="center"/>
            <w:hideMark/>
          </w:tcPr>
          <w:p w14:paraId="466315A4" w14:textId="77777777" w:rsidR="00614AF4" w:rsidRPr="00614AF4" w:rsidRDefault="00614AF4" w:rsidP="00614AF4">
            <w:r w:rsidRPr="00614AF4">
              <w:t>Rating</w:t>
            </w:r>
          </w:p>
        </w:tc>
        <w:tc>
          <w:tcPr>
            <w:tcW w:w="0" w:type="auto"/>
            <w:vAlign w:val="center"/>
            <w:hideMark/>
          </w:tcPr>
          <w:p w14:paraId="62420486" w14:textId="77777777" w:rsidR="00614AF4" w:rsidRPr="00614AF4" w:rsidRDefault="00614AF4" w:rsidP="00614AF4">
            <w:r w:rsidRPr="00614AF4">
              <w:t>Definition</w:t>
            </w:r>
          </w:p>
        </w:tc>
      </w:tr>
      <w:tr w:rsidR="00614AF4" w:rsidRPr="00614AF4" w14:paraId="0C001459" w14:textId="77777777" w:rsidTr="00614AF4">
        <w:trPr>
          <w:tblCellSpacing w:w="15" w:type="dxa"/>
        </w:trPr>
        <w:tc>
          <w:tcPr>
            <w:tcW w:w="0" w:type="auto"/>
            <w:vAlign w:val="center"/>
            <w:hideMark/>
          </w:tcPr>
          <w:p w14:paraId="3CDD4452" w14:textId="77777777" w:rsidR="00614AF4" w:rsidRPr="00614AF4" w:rsidRDefault="00614AF4" w:rsidP="00614AF4">
            <w:r w:rsidRPr="00614AF4">
              <w:t>Very High</w:t>
            </w:r>
          </w:p>
        </w:tc>
        <w:tc>
          <w:tcPr>
            <w:tcW w:w="0" w:type="auto"/>
            <w:vAlign w:val="center"/>
            <w:hideMark/>
          </w:tcPr>
          <w:p w14:paraId="0F92C0EE" w14:textId="77777777" w:rsidR="00614AF4" w:rsidRPr="00614AF4" w:rsidRDefault="00614AF4" w:rsidP="00614AF4">
            <w:r w:rsidRPr="00614AF4">
              <w:t>Immediate action required</w:t>
            </w:r>
          </w:p>
        </w:tc>
      </w:tr>
      <w:tr w:rsidR="00614AF4" w:rsidRPr="00614AF4" w14:paraId="70393768" w14:textId="77777777" w:rsidTr="00614AF4">
        <w:trPr>
          <w:tblCellSpacing w:w="15" w:type="dxa"/>
        </w:trPr>
        <w:tc>
          <w:tcPr>
            <w:tcW w:w="0" w:type="auto"/>
            <w:vAlign w:val="center"/>
            <w:hideMark/>
          </w:tcPr>
          <w:p w14:paraId="7A196269" w14:textId="77777777" w:rsidR="00614AF4" w:rsidRPr="00614AF4" w:rsidRDefault="00614AF4" w:rsidP="00614AF4">
            <w:r w:rsidRPr="00614AF4">
              <w:t>High</w:t>
            </w:r>
          </w:p>
        </w:tc>
        <w:tc>
          <w:tcPr>
            <w:tcW w:w="0" w:type="auto"/>
            <w:vAlign w:val="center"/>
            <w:hideMark/>
          </w:tcPr>
          <w:p w14:paraId="3AE14C4F" w14:textId="77777777" w:rsidR="00614AF4" w:rsidRPr="00614AF4" w:rsidRDefault="00614AF4" w:rsidP="00614AF4">
            <w:r w:rsidRPr="00614AF4">
              <w:t>Significant controls required</w:t>
            </w:r>
          </w:p>
        </w:tc>
      </w:tr>
      <w:tr w:rsidR="00614AF4" w:rsidRPr="00614AF4" w14:paraId="36C5311E" w14:textId="77777777" w:rsidTr="00614AF4">
        <w:trPr>
          <w:tblCellSpacing w:w="15" w:type="dxa"/>
        </w:trPr>
        <w:tc>
          <w:tcPr>
            <w:tcW w:w="0" w:type="auto"/>
            <w:vAlign w:val="center"/>
            <w:hideMark/>
          </w:tcPr>
          <w:p w14:paraId="5E0F8046" w14:textId="77777777" w:rsidR="00614AF4" w:rsidRPr="00614AF4" w:rsidRDefault="00614AF4" w:rsidP="00614AF4">
            <w:r w:rsidRPr="00614AF4">
              <w:t>Medium</w:t>
            </w:r>
          </w:p>
        </w:tc>
        <w:tc>
          <w:tcPr>
            <w:tcW w:w="0" w:type="auto"/>
            <w:vAlign w:val="center"/>
            <w:hideMark/>
          </w:tcPr>
          <w:p w14:paraId="13B8E210" w14:textId="77777777" w:rsidR="00614AF4" w:rsidRPr="00614AF4" w:rsidRDefault="00614AF4" w:rsidP="00614AF4">
            <w:r w:rsidRPr="00614AF4">
              <w:t>Manage through planned controls</w:t>
            </w:r>
          </w:p>
        </w:tc>
      </w:tr>
      <w:tr w:rsidR="00614AF4" w:rsidRPr="00614AF4" w14:paraId="5671F62A" w14:textId="77777777" w:rsidTr="00614AF4">
        <w:trPr>
          <w:tblCellSpacing w:w="15" w:type="dxa"/>
        </w:trPr>
        <w:tc>
          <w:tcPr>
            <w:tcW w:w="0" w:type="auto"/>
            <w:vAlign w:val="center"/>
            <w:hideMark/>
          </w:tcPr>
          <w:p w14:paraId="45FA134E" w14:textId="77777777" w:rsidR="00614AF4" w:rsidRPr="00614AF4" w:rsidRDefault="00614AF4" w:rsidP="00614AF4">
            <w:r w:rsidRPr="00614AF4">
              <w:t>Low</w:t>
            </w:r>
          </w:p>
        </w:tc>
        <w:tc>
          <w:tcPr>
            <w:tcW w:w="0" w:type="auto"/>
            <w:vAlign w:val="center"/>
            <w:hideMark/>
          </w:tcPr>
          <w:p w14:paraId="25C37526" w14:textId="77777777" w:rsidR="00614AF4" w:rsidRPr="00614AF4" w:rsidRDefault="00614AF4" w:rsidP="00614AF4">
            <w:r w:rsidRPr="00614AF4">
              <w:t>Acceptable with routine monitoring</w:t>
            </w:r>
          </w:p>
        </w:tc>
      </w:tr>
    </w:tbl>
    <w:p w14:paraId="6CFD8E69" w14:textId="77777777" w:rsidR="00614AF4" w:rsidRPr="00614AF4" w:rsidRDefault="00614AF4" w:rsidP="00614AF4">
      <w:pPr>
        <w:rPr>
          <w:b/>
          <w:bCs/>
        </w:rPr>
      </w:pPr>
      <w:r w:rsidRPr="00614AF4">
        <w:rPr>
          <w:b/>
          <w:bCs/>
        </w:rPr>
        <w:t>Key Risk Assessment Finding</w:t>
      </w:r>
    </w:p>
    <w:p w14:paraId="564D343A" w14:textId="77777777" w:rsidR="00614AF4" w:rsidRPr="00614AF4" w:rsidRDefault="00614AF4" w:rsidP="00614AF4">
      <w:r w:rsidRPr="00614AF4">
        <w:t>The dominant project risk is uncertainty surrounding sludge composition and physical characteristics. This risk directly influences method selection, programme duration, waste disposal requirements and project cost. Consequently, a flexible phased methodology incorporating multiple removal techniques was selected as the preferred decommissioning strategy.</w:t>
      </w:r>
    </w:p>
    <w:p w14:paraId="1112F5AF" w14:textId="54A89AC6" w:rsidR="00104E70" w:rsidRPr="00614AF4" w:rsidRDefault="00104E70" w:rsidP="00E97232"/>
    <w:p w14:paraId="411E466F" w14:textId="149A3161" w:rsidR="009C7A42" w:rsidRPr="00614AF4" w:rsidRDefault="009C7A42" w:rsidP="00E97232"/>
    <w:p w14:paraId="65ACCF67" w14:textId="7A651A0C" w:rsidR="000E3AA3" w:rsidRDefault="000E3AA3" w:rsidP="00E97232"/>
    <w:p w14:paraId="77452F1A" w14:textId="77777777" w:rsidR="009C7A42" w:rsidRDefault="009C7A42" w:rsidP="00E97232"/>
    <w:p w14:paraId="73BF1C63" w14:textId="77777777" w:rsidR="00104E70" w:rsidRDefault="00104E70" w:rsidP="00E97232"/>
    <w:p w14:paraId="730EB8F8" w14:textId="77777777" w:rsidR="00104E70" w:rsidRDefault="00104E70" w:rsidP="00E97232"/>
    <w:p w14:paraId="682DEF39" w14:textId="77777777" w:rsidR="00104E70" w:rsidRDefault="00104E70" w:rsidP="00E97232"/>
    <w:p w14:paraId="28424501" w14:textId="77777777" w:rsidR="00104E70" w:rsidRDefault="00104E70" w:rsidP="00E97232"/>
    <w:p w14:paraId="5CCA5779" w14:textId="77777777" w:rsidR="00104E70" w:rsidRDefault="00104E70" w:rsidP="00E97232"/>
    <w:p w14:paraId="059D4A5D" w14:textId="77777777" w:rsidR="00104E70" w:rsidRPr="00E97232" w:rsidRDefault="00104E70" w:rsidP="00E97232"/>
    <w:sectPr w:rsidR="00104E70" w:rsidRPr="00E97232">
      <w:footerReference w:type="even" r:id="rId22"/>
      <w:footerReference w:type="default" r:id="rId23"/>
      <w:footerReference w:type="firs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33626E5" w14:textId="77777777" w:rsidR="009E3967" w:rsidRDefault="009E3967" w:rsidP="005A0E9B">
      <w:pPr>
        <w:spacing w:after="0" w:line="240" w:lineRule="auto"/>
      </w:pPr>
      <w:r>
        <w:separator/>
      </w:r>
    </w:p>
  </w:endnote>
  <w:endnote w:type="continuationSeparator" w:id="0">
    <w:p w14:paraId="46B9C758" w14:textId="77777777" w:rsidR="009E3967" w:rsidRDefault="009E3967" w:rsidP="005A0E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18984204"/>
      <w:docPartObj>
        <w:docPartGallery w:val="Page Numbers (Bottom of Page)"/>
        <w:docPartUnique/>
      </w:docPartObj>
    </w:sdtPr>
    <w:sdtEndPr>
      <w:rPr>
        <w:noProof/>
      </w:rPr>
    </w:sdtEndPr>
    <w:sdtContent>
      <w:p w14:paraId="789C125D" w14:textId="77777777" w:rsidR="00EF4FFE" w:rsidRDefault="00EF4FF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679672F" w14:textId="77777777" w:rsidR="00EF4FFE" w:rsidRDefault="00EF4FFE" w:rsidP="00962E5F">
    <w:pPr>
      <w:pStyle w:val="Footer"/>
      <w:tabs>
        <w:tab w:val="clear" w:pos="4513"/>
        <w:tab w:val="clear" w:pos="9026"/>
        <w:tab w:val="left" w:pos="5570"/>
      </w:tabs>
    </w:pP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F56E90C" w14:textId="7A969DAA" w:rsidR="005A0E9B" w:rsidRDefault="005A0E9B">
    <w:pPr>
      <w:pStyle w:val="Footer"/>
    </w:pPr>
    <w:r>
      <w:rPr>
        <w:noProof/>
      </w:rPr>
      <mc:AlternateContent>
        <mc:Choice Requires="wps">
          <w:drawing>
            <wp:anchor distT="0" distB="0" distL="0" distR="0" simplePos="0" relativeHeight="251659264" behindDoc="0" locked="0" layoutInCell="1" allowOverlap="1" wp14:anchorId="7F2B7ADD" wp14:editId="216AA959">
              <wp:simplePos x="635" y="635"/>
              <wp:positionH relativeFrom="page">
                <wp:align>left</wp:align>
              </wp:positionH>
              <wp:positionV relativeFrom="page">
                <wp:align>bottom</wp:align>
              </wp:positionV>
              <wp:extent cx="1034415" cy="324485"/>
              <wp:effectExtent l="0" t="0" r="13335" b="0"/>
              <wp:wrapNone/>
              <wp:docPr id="1209213035" name="Text Box 2"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1034415" cy="324485"/>
                      </a:xfrm>
                      <a:prstGeom prst="rect">
                        <a:avLst/>
                      </a:prstGeom>
                      <a:noFill/>
                      <a:ln>
                        <a:noFill/>
                      </a:ln>
                    </wps:spPr>
                    <wps:txbx>
                      <w:txbxContent>
                        <w:p w14:paraId="53306E44" w14:textId="040311C8" w:rsidR="005A0E9B" w:rsidRPr="005A0E9B" w:rsidRDefault="005A0E9B" w:rsidP="005A0E9B">
                          <w:pPr>
                            <w:spacing w:after="0"/>
                            <w:rPr>
                              <w:rFonts w:ascii="Calibri" w:eastAsia="Calibri" w:hAnsi="Calibri" w:cs="Calibri"/>
                              <w:noProof/>
                              <w:color w:val="000000"/>
                              <w:sz w:val="16"/>
                              <w:szCs w:val="16"/>
                            </w:rPr>
                          </w:pPr>
                          <w:r w:rsidRPr="005A0E9B">
                            <w:rPr>
                              <w:rFonts w:ascii="Calibri" w:eastAsia="Calibri" w:hAnsi="Calibri" w:cs="Calibri"/>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7F2B7ADD" id="_x0000_t202" coordsize="21600,21600" o:spt="202" path="m,l,21600r21600,l21600,xe">
              <v:stroke joinstyle="miter"/>
              <v:path gradientshapeok="t" o:connecttype="rect"/>
            </v:shapetype>
            <v:shape id="Text Box 2" o:spid="_x0000_s1026" type="#_x0000_t202" alt="Sensitivity: general" style="position:absolute;margin-left:0;margin-top:0;width:81.45pt;height:25.55pt;z-index:251659264;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zEM2DwIAABsEAAAOAAAAZHJzL2Uyb0RvYy54bWysU8Fu2zAMvQ/YPwi6L7bTZGiNOEXWIsOA&#10;oC2QDj0rshQbkERBUmJnXz9KdpKt22nYRaZJ6pF8fFrc91qRo3C+BVPRYpJTIgyHujX7in5/XX+6&#10;pcQHZmqmwIiKnoSn98uPHxadLcUUGlC1cARBjC87W9EmBFtmmeeN0MxPwAqDQQlOs4C/bp/VjnWI&#10;rlU2zfPPWQeutg648B69j0OQLhO+lIKHZym9CERVFHsL6XTp3MUzWy5YuXfMNi0f22D/0IVmrcGi&#10;F6hHFhg5uPYPKN1yBx5kmHDQGUjZcpFmwGmK/N0024ZZkWZBcry90OT/Hyx/Om7tiyOh/wI9LjAS&#10;0llfenTGeXrpdPxipwTjSOHpQpvoA+HxUn4zmxVzSjjGbqaz2e08wmTX29b58FWAJtGoqMO1JLbY&#10;cePDkHpOicUMrFul0mqU+c2BmNGTXVuMVuh3/dj3DuoTjuNg2LS3fN1izQ3z4YU5XC1OgHINz3hI&#10;BV1FYbQoacD9+Js/5iPjGKWkQ6lU1KCWKVHfDG5iOp/leZRW+kPDnY1dMoq7fB7j5qAfAFVY4IOw&#10;PJkxOaizKR3oN1TzKlbDEDMca1Z0dzYfwiBcfA1crFYpCVVkWdiYreUROpIVmXzt35izI90BF/UE&#10;ZzGx8h3rQ2686e3qEJD7tJJI7MDmyDcqMC11fC1R4r/+p6zrm17+BAAA//8DAFBLAwQUAAYACAAA&#10;ACEA1emXItkAAAAEAQAADwAAAGRycy9kb3ducmV2LnhtbEyPwU7DMBBE70j8g7VI3KiTSI0gxKmq&#10;QhFXAhIcnXgbR41309htw9/jcoHLSqMZzbwtV7MbxAkn3zMpSBcJCKSWTU+dgo/37d09CB80GT0w&#10;oYJv9LCqrq9KXRg+0xue6tCJWEK+0ApsCGMhpW8tOu0XPCJFb8eT0yHKqZNm0udY7gaZJUkune4p&#10;Llg94sZiu6+PTkH+9LK242f+ddhl/tU3vA81Pyt1ezOvH0EEnMNfGC74ER2qyNTwkYwXg4L4SPi9&#10;Fy/PHkA0CpZpCrIq5X/46gcAAP//AwBQSwECLQAUAAYACAAAACEAtoM4kv4AAADhAQAAEwAAAAAA&#10;AAAAAAAAAAAAAAAAW0NvbnRlbnRfVHlwZXNdLnhtbFBLAQItABQABgAIAAAAIQA4/SH/1gAAAJQB&#10;AAALAAAAAAAAAAAAAAAAAC8BAABfcmVscy8ucmVsc1BLAQItABQABgAIAAAAIQDrzEM2DwIAABsE&#10;AAAOAAAAAAAAAAAAAAAAAC4CAABkcnMvZTJvRG9jLnhtbFBLAQItABQABgAIAAAAIQDV6Zci2QAA&#10;AAQBAAAPAAAAAAAAAAAAAAAAAGkEAABkcnMvZG93bnJldi54bWxQSwUGAAAAAAQABADzAAAAbwUA&#10;AAAA&#10;" filled="f" stroked="f">
              <v:textbox style="mso-fit-shape-to-text:t" inset="20pt,0,0,15pt">
                <w:txbxContent>
                  <w:p w14:paraId="53306E44" w14:textId="040311C8" w:rsidR="005A0E9B" w:rsidRPr="005A0E9B" w:rsidRDefault="005A0E9B" w:rsidP="005A0E9B">
                    <w:pPr>
                      <w:spacing w:after="0"/>
                      <w:rPr>
                        <w:rFonts w:ascii="Calibri" w:eastAsia="Calibri" w:hAnsi="Calibri" w:cs="Calibri"/>
                        <w:noProof/>
                        <w:color w:val="000000"/>
                        <w:sz w:val="16"/>
                        <w:szCs w:val="16"/>
                      </w:rPr>
                    </w:pPr>
                    <w:r w:rsidRPr="005A0E9B">
                      <w:rPr>
                        <w:rFonts w:ascii="Calibri" w:eastAsia="Calibri" w:hAnsi="Calibri" w:cs="Calibri"/>
                        <w:noProof/>
                        <w:color w:val="000000"/>
                        <w:sz w:val="16"/>
                        <w:szCs w:val="16"/>
                      </w:rPr>
                      <w:t>Sensitivity: general</w:t>
                    </w:r>
                  </w:p>
                </w:txbxContent>
              </v:textbox>
              <w10:wrap anchorx="page" anchory="page"/>
            </v:shape>
          </w:pict>
        </mc:Fallback>
      </mc:AlternateConten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63254553"/>
      <w:docPartObj>
        <w:docPartGallery w:val="Page Numbers (Bottom of Page)"/>
        <w:docPartUnique/>
      </w:docPartObj>
    </w:sdtPr>
    <w:sdtEndPr>
      <w:rPr>
        <w:noProof/>
      </w:rPr>
    </w:sdtEndPr>
    <w:sdtContent>
      <w:p w14:paraId="16B3AA86" w14:textId="208E9A18" w:rsidR="000B7502" w:rsidRDefault="000B750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9272B5E" w14:textId="43971955" w:rsidR="005A0E9B" w:rsidRDefault="005A0E9B">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DE2C67C" w14:textId="305D0853" w:rsidR="005A0E9B" w:rsidRDefault="005A0E9B">
    <w:pPr>
      <w:pStyle w:val="Footer"/>
    </w:pPr>
    <w:r>
      <w:rPr>
        <w:noProof/>
      </w:rPr>
      <mc:AlternateContent>
        <mc:Choice Requires="wps">
          <w:drawing>
            <wp:anchor distT="0" distB="0" distL="0" distR="0" simplePos="0" relativeHeight="251658240" behindDoc="0" locked="0" layoutInCell="1" allowOverlap="1" wp14:anchorId="7C152DDE" wp14:editId="431A0CA8">
              <wp:simplePos x="635" y="635"/>
              <wp:positionH relativeFrom="page">
                <wp:align>left</wp:align>
              </wp:positionH>
              <wp:positionV relativeFrom="page">
                <wp:align>bottom</wp:align>
              </wp:positionV>
              <wp:extent cx="1034415" cy="324485"/>
              <wp:effectExtent l="0" t="0" r="13335" b="0"/>
              <wp:wrapNone/>
              <wp:docPr id="1708510655" name="Text Box 1"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1034415" cy="324485"/>
                      </a:xfrm>
                      <a:prstGeom prst="rect">
                        <a:avLst/>
                      </a:prstGeom>
                      <a:noFill/>
                      <a:ln>
                        <a:noFill/>
                      </a:ln>
                    </wps:spPr>
                    <wps:txbx>
                      <w:txbxContent>
                        <w:p w14:paraId="389D4A48" w14:textId="053775D1" w:rsidR="005A0E9B" w:rsidRPr="005A0E9B" w:rsidRDefault="005A0E9B" w:rsidP="005A0E9B">
                          <w:pPr>
                            <w:spacing w:after="0"/>
                            <w:rPr>
                              <w:rFonts w:ascii="Calibri" w:eastAsia="Calibri" w:hAnsi="Calibri" w:cs="Calibri"/>
                              <w:noProof/>
                              <w:color w:val="000000"/>
                              <w:sz w:val="16"/>
                              <w:szCs w:val="16"/>
                            </w:rPr>
                          </w:pPr>
                          <w:r w:rsidRPr="005A0E9B">
                            <w:rPr>
                              <w:rFonts w:ascii="Calibri" w:eastAsia="Calibri" w:hAnsi="Calibri" w:cs="Calibri"/>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7C152DDE" id="_x0000_t202" coordsize="21600,21600" o:spt="202" path="m,l,21600r21600,l21600,xe">
              <v:stroke joinstyle="miter"/>
              <v:path gradientshapeok="t" o:connecttype="rect"/>
            </v:shapetype>
            <v:shape id="Text Box 1" o:spid="_x0000_s1027" type="#_x0000_t202" alt="Sensitivity: general" style="position:absolute;margin-left:0;margin-top:0;width:81.45pt;height:25.55pt;z-index:251658240;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SHSwEgIAACIEAAAOAAAAZHJzL2Uyb0RvYy54bWysU8tu2zAQvBfoPxC815Icu0gFy4GbwEUB&#10;IwngFDlTFGkJILkESVtyv75Lyo807anohVrtLvcxM1zcDVqRg3C+A1PRYpJTIgyHpjO7iv54WX+6&#10;pcQHZhqmwIiKHoWnd8uPHxa9LcUUWlCNcASLGF/2tqJtCLbMMs9boZmfgBUGgxKcZgF/3S5rHOux&#10;ulbZNM8/Zz24xjrgwnv0PoxBukz1pRQ8PEnpRSCqojhbSKdLZx3PbLlg5c4x23b8NAb7hyk06ww2&#10;vZR6YIGRvev+KKU77sCDDBMOOgMpOy7SDrhNkb/bZtsyK9IuCI63F5j8/yvLHw9b++xIGL7CgARG&#10;QHrrS4/OuM8gnY5fnJRgHCE8XmATQyA8XspvZrNiTgnH2M10NrudxzLZ9bZ1PnwToEk0KuqQloQW&#10;O2x8GFPPKbGZgXWnVKJGmd8cWDN6suuI0QpDPZCueTN+Dc0Rt3IwEu4tX3fYesN8eGYOGcZFULXh&#10;CQ+poK8onCxKWnA//+aP+Qg8RinpUTEVNShpStR3g4RM57M8jwpLf2i4s1Eno/iSz2Pc7PU9oBgL&#10;fBeWJzMmB3U2pQP9iqJexW4YYoZjz4rWZ/M+jPrFR8HFapWSUEyWhY3ZWh5LR8wioC/DK3P2hHpA&#10;vh7hrClWvgN/zI03vV3tA1KQmIn4jmieYEchJm5PjyYq/e1/yro+7eUvAAAA//8DAFBLAwQUAAYA&#10;CAAAACEA1emXItkAAAAEAQAADwAAAGRycy9kb3ducmV2LnhtbEyPwU7DMBBE70j8g7VI3KiTSI0g&#10;xKmqQhFXAhIcnXgbR41309htw9/jcoHLSqMZzbwtV7MbxAkn3zMpSBcJCKSWTU+dgo/37d09CB80&#10;GT0woYJv9LCqrq9KXRg+0xue6tCJWEK+0ApsCGMhpW8tOu0XPCJFb8eT0yHKqZNm0udY7gaZJUku&#10;ne4pLlg94sZiu6+PTkH+9LK242f+ddhl/tU3vA81Pyt1ezOvH0EEnMNfGC74ER2qyNTwkYwXg4L4&#10;SPi9Fy/PHkA0CpZpCrIq5X/46gcAAP//AwBQSwECLQAUAAYACAAAACEAtoM4kv4AAADhAQAAEwAA&#10;AAAAAAAAAAAAAAAAAAAAW0NvbnRlbnRfVHlwZXNdLnhtbFBLAQItABQABgAIAAAAIQA4/SH/1gAA&#10;AJQBAAALAAAAAAAAAAAAAAAAAC8BAABfcmVscy8ucmVsc1BLAQItABQABgAIAAAAIQBwSHSwEgIA&#10;ACIEAAAOAAAAAAAAAAAAAAAAAC4CAABkcnMvZTJvRG9jLnhtbFBLAQItABQABgAIAAAAIQDV6Zci&#10;2QAAAAQBAAAPAAAAAAAAAAAAAAAAAGwEAABkcnMvZG93bnJldi54bWxQSwUGAAAAAAQABADzAAAA&#10;cgUAAAAA&#10;" filled="f" stroked="f">
              <v:textbox style="mso-fit-shape-to-text:t" inset="20pt,0,0,15pt">
                <w:txbxContent>
                  <w:p w14:paraId="389D4A48" w14:textId="053775D1" w:rsidR="005A0E9B" w:rsidRPr="005A0E9B" w:rsidRDefault="005A0E9B" w:rsidP="005A0E9B">
                    <w:pPr>
                      <w:spacing w:after="0"/>
                      <w:rPr>
                        <w:rFonts w:ascii="Calibri" w:eastAsia="Calibri" w:hAnsi="Calibri" w:cs="Calibri"/>
                        <w:noProof/>
                        <w:color w:val="000000"/>
                        <w:sz w:val="16"/>
                        <w:szCs w:val="16"/>
                      </w:rPr>
                    </w:pPr>
                    <w:r w:rsidRPr="005A0E9B">
                      <w:rPr>
                        <w:rFonts w:ascii="Calibri" w:eastAsia="Calibri" w:hAnsi="Calibri" w:cs="Calibri"/>
                        <w:noProof/>
                        <w:color w:val="000000"/>
                        <w:sz w:val="16"/>
                        <w:szCs w:val="16"/>
                      </w:rPr>
                      <w:t>Sensitivity: general</w:t>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2896E65" w14:textId="77777777" w:rsidR="009E3967" w:rsidRDefault="009E3967" w:rsidP="005A0E9B">
      <w:pPr>
        <w:spacing w:after="0" w:line="240" w:lineRule="auto"/>
      </w:pPr>
      <w:r>
        <w:separator/>
      </w:r>
    </w:p>
  </w:footnote>
  <w:footnote w:type="continuationSeparator" w:id="0">
    <w:p w14:paraId="17BBF913" w14:textId="77777777" w:rsidR="009E3967" w:rsidRDefault="009E3967" w:rsidP="005A0E9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AD53437" w14:textId="19EB0320" w:rsidR="00EF4FFE" w:rsidRDefault="0090719C">
    <w:pPr>
      <w:pStyle w:val="Header"/>
    </w:pPr>
    <w:r w:rsidRPr="0090719C">
      <w:t>Trystan Herdman</w:t>
    </w:r>
    <w:r w:rsidR="00EF4FFE" w:rsidRPr="0090719C">
      <w:ptab w:relativeTo="margin" w:alignment="center" w:leader="none"/>
    </w:r>
    <w:r w:rsidR="0006460B">
      <w:t xml:space="preserve">Independent Project </w:t>
    </w:r>
    <w:r w:rsidR="00EF4FFE" w:rsidRPr="0090719C">
      <w:ptab w:relativeTo="margin" w:alignment="right" w:leader="none"/>
    </w:r>
    <w:r w:rsidRPr="0090719C">
      <w:t>2219054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9968A8"/>
    <w:multiLevelType w:val="multilevel"/>
    <w:tmpl w:val="A2AC4A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4C58A8"/>
    <w:multiLevelType w:val="multilevel"/>
    <w:tmpl w:val="D99E22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B950841"/>
    <w:multiLevelType w:val="multilevel"/>
    <w:tmpl w:val="B1F803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CC93502"/>
    <w:multiLevelType w:val="multilevel"/>
    <w:tmpl w:val="9E3037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DDF5DFA"/>
    <w:multiLevelType w:val="multilevel"/>
    <w:tmpl w:val="1A5C80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A06171D"/>
    <w:multiLevelType w:val="multilevel"/>
    <w:tmpl w:val="B8D41F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A2E16B4"/>
    <w:multiLevelType w:val="multilevel"/>
    <w:tmpl w:val="479A39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C261C9F"/>
    <w:multiLevelType w:val="hybridMultilevel"/>
    <w:tmpl w:val="860297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E1A1581"/>
    <w:multiLevelType w:val="hybridMultilevel"/>
    <w:tmpl w:val="54827F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9FC5714"/>
    <w:multiLevelType w:val="multilevel"/>
    <w:tmpl w:val="A3C078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A1471EE"/>
    <w:multiLevelType w:val="hybridMultilevel"/>
    <w:tmpl w:val="0B3EA6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D6F2CEF"/>
    <w:multiLevelType w:val="multilevel"/>
    <w:tmpl w:val="02D4D8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EC15468"/>
    <w:multiLevelType w:val="multilevel"/>
    <w:tmpl w:val="BDEEC6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6034815"/>
    <w:multiLevelType w:val="multilevel"/>
    <w:tmpl w:val="19065D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9373351"/>
    <w:multiLevelType w:val="multilevel"/>
    <w:tmpl w:val="EB907B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15B792E"/>
    <w:multiLevelType w:val="multilevel"/>
    <w:tmpl w:val="6AA6E2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3ED2F34"/>
    <w:multiLevelType w:val="multilevel"/>
    <w:tmpl w:val="432C56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6AD2B6E"/>
    <w:multiLevelType w:val="multilevel"/>
    <w:tmpl w:val="B25C12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C355360"/>
    <w:multiLevelType w:val="multilevel"/>
    <w:tmpl w:val="847050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3035554"/>
    <w:multiLevelType w:val="multilevel"/>
    <w:tmpl w:val="8782E8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5130AD6"/>
    <w:multiLevelType w:val="multilevel"/>
    <w:tmpl w:val="DCA64A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6653ACD"/>
    <w:multiLevelType w:val="hybridMultilevel"/>
    <w:tmpl w:val="299222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94F7314"/>
    <w:multiLevelType w:val="multilevel"/>
    <w:tmpl w:val="1D6C09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9C47E74"/>
    <w:multiLevelType w:val="multilevel"/>
    <w:tmpl w:val="D5F487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A0A7EA2"/>
    <w:multiLevelType w:val="multilevel"/>
    <w:tmpl w:val="D84A24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F6C081F"/>
    <w:multiLevelType w:val="multilevel"/>
    <w:tmpl w:val="9C20E5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01A01E3"/>
    <w:multiLevelType w:val="multilevel"/>
    <w:tmpl w:val="FD4299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52D2CCD"/>
    <w:multiLevelType w:val="multilevel"/>
    <w:tmpl w:val="E05490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19F3B8D"/>
    <w:multiLevelType w:val="multilevel"/>
    <w:tmpl w:val="9A66C9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41F26A3"/>
    <w:multiLevelType w:val="multilevel"/>
    <w:tmpl w:val="CED2F1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8FE7E69"/>
    <w:multiLevelType w:val="multilevel"/>
    <w:tmpl w:val="BA0025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B3D1ADB"/>
    <w:multiLevelType w:val="hybridMultilevel"/>
    <w:tmpl w:val="E5244D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EA41E86"/>
    <w:multiLevelType w:val="multilevel"/>
    <w:tmpl w:val="71A895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F955560"/>
    <w:multiLevelType w:val="multilevel"/>
    <w:tmpl w:val="03A894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FDB4A9C"/>
    <w:multiLevelType w:val="multilevel"/>
    <w:tmpl w:val="0EDECE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71626998">
    <w:abstractNumId w:val="0"/>
  </w:num>
  <w:num w:numId="2" w16cid:durableId="1743866623">
    <w:abstractNumId w:val="25"/>
  </w:num>
  <w:num w:numId="3" w16cid:durableId="1088118656">
    <w:abstractNumId w:val="15"/>
  </w:num>
  <w:num w:numId="4" w16cid:durableId="896280341">
    <w:abstractNumId w:val="32"/>
  </w:num>
  <w:num w:numId="5" w16cid:durableId="882448201">
    <w:abstractNumId w:val="6"/>
  </w:num>
  <w:num w:numId="6" w16cid:durableId="634337150">
    <w:abstractNumId w:val="2"/>
  </w:num>
  <w:num w:numId="7" w16cid:durableId="271862217">
    <w:abstractNumId w:val="1"/>
  </w:num>
  <w:num w:numId="8" w16cid:durableId="699550245">
    <w:abstractNumId w:val="23"/>
  </w:num>
  <w:num w:numId="9" w16cid:durableId="1481650480">
    <w:abstractNumId w:val="4"/>
  </w:num>
  <w:num w:numId="10" w16cid:durableId="1393582997">
    <w:abstractNumId w:val="11"/>
  </w:num>
  <w:num w:numId="11" w16cid:durableId="890507599">
    <w:abstractNumId w:val="29"/>
  </w:num>
  <w:num w:numId="12" w16cid:durableId="799762074">
    <w:abstractNumId w:val="27"/>
  </w:num>
  <w:num w:numId="13" w16cid:durableId="623930717">
    <w:abstractNumId w:val="14"/>
  </w:num>
  <w:num w:numId="14" w16cid:durableId="1397819882">
    <w:abstractNumId w:val="18"/>
  </w:num>
  <w:num w:numId="15" w16cid:durableId="1710640472">
    <w:abstractNumId w:val="5"/>
  </w:num>
  <w:num w:numId="16" w16cid:durableId="172771647">
    <w:abstractNumId w:val="26"/>
  </w:num>
  <w:num w:numId="17" w16cid:durableId="1086195614">
    <w:abstractNumId w:val="13"/>
  </w:num>
  <w:num w:numId="18" w16cid:durableId="2112503813">
    <w:abstractNumId w:val="30"/>
  </w:num>
  <w:num w:numId="19" w16cid:durableId="698622168">
    <w:abstractNumId w:val="17"/>
  </w:num>
  <w:num w:numId="20" w16cid:durableId="1151486411">
    <w:abstractNumId w:val="28"/>
  </w:num>
  <w:num w:numId="21" w16cid:durableId="61103088">
    <w:abstractNumId w:val="9"/>
  </w:num>
  <w:num w:numId="22" w16cid:durableId="1927878009">
    <w:abstractNumId w:val="19"/>
  </w:num>
  <w:num w:numId="23" w16cid:durableId="914438692">
    <w:abstractNumId w:val="33"/>
  </w:num>
  <w:num w:numId="24" w16cid:durableId="1566336667">
    <w:abstractNumId w:val="12"/>
  </w:num>
  <w:num w:numId="25" w16cid:durableId="204484956">
    <w:abstractNumId w:val="16"/>
  </w:num>
  <w:num w:numId="26" w16cid:durableId="2086998041">
    <w:abstractNumId w:val="24"/>
  </w:num>
  <w:num w:numId="27" w16cid:durableId="1240139768">
    <w:abstractNumId w:val="20"/>
  </w:num>
  <w:num w:numId="28" w16cid:durableId="1475247672">
    <w:abstractNumId w:val="22"/>
  </w:num>
  <w:num w:numId="29" w16cid:durableId="962224137">
    <w:abstractNumId w:val="34"/>
  </w:num>
  <w:num w:numId="30" w16cid:durableId="1946233006">
    <w:abstractNumId w:val="3"/>
  </w:num>
  <w:num w:numId="31" w16cid:durableId="2062287752">
    <w:abstractNumId w:val="8"/>
  </w:num>
  <w:num w:numId="32" w16cid:durableId="780493328">
    <w:abstractNumId w:val="21"/>
  </w:num>
  <w:num w:numId="33" w16cid:durableId="576862388">
    <w:abstractNumId w:val="7"/>
  </w:num>
  <w:num w:numId="34" w16cid:durableId="1930963344">
    <w:abstractNumId w:val="10"/>
  </w:num>
  <w:num w:numId="35" w16cid:durableId="779300739">
    <w:abstractNumId w:val="31"/>
  </w:num>
  <w:numIdMacAtCleanup w:val="2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0E9B"/>
    <w:rsid w:val="00000961"/>
    <w:rsid w:val="0002197F"/>
    <w:rsid w:val="000278EE"/>
    <w:rsid w:val="00030DAC"/>
    <w:rsid w:val="00035074"/>
    <w:rsid w:val="000353C8"/>
    <w:rsid w:val="000405B8"/>
    <w:rsid w:val="00040D7C"/>
    <w:rsid w:val="000543CC"/>
    <w:rsid w:val="00062033"/>
    <w:rsid w:val="000639DF"/>
    <w:rsid w:val="0006460B"/>
    <w:rsid w:val="00092126"/>
    <w:rsid w:val="00094AD9"/>
    <w:rsid w:val="000A43B2"/>
    <w:rsid w:val="000A6BF2"/>
    <w:rsid w:val="000B3538"/>
    <w:rsid w:val="000B7502"/>
    <w:rsid w:val="000D11C7"/>
    <w:rsid w:val="000E1CC7"/>
    <w:rsid w:val="000E3AA3"/>
    <w:rsid w:val="000F0E67"/>
    <w:rsid w:val="000F71B1"/>
    <w:rsid w:val="00103E5C"/>
    <w:rsid w:val="00104E70"/>
    <w:rsid w:val="00117742"/>
    <w:rsid w:val="00122263"/>
    <w:rsid w:val="00125C29"/>
    <w:rsid w:val="00134C40"/>
    <w:rsid w:val="00135973"/>
    <w:rsid w:val="00146F68"/>
    <w:rsid w:val="00163386"/>
    <w:rsid w:val="00163D7E"/>
    <w:rsid w:val="00170979"/>
    <w:rsid w:val="001730A0"/>
    <w:rsid w:val="0018172A"/>
    <w:rsid w:val="00182B61"/>
    <w:rsid w:val="0018361E"/>
    <w:rsid w:val="00185081"/>
    <w:rsid w:val="00187EDF"/>
    <w:rsid w:val="00191A4C"/>
    <w:rsid w:val="001947E4"/>
    <w:rsid w:val="00194D91"/>
    <w:rsid w:val="001A367E"/>
    <w:rsid w:val="001B74B0"/>
    <w:rsid w:val="001C35A0"/>
    <w:rsid w:val="001D0E20"/>
    <w:rsid w:val="001E0D55"/>
    <w:rsid w:val="001E0E89"/>
    <w:rsid w:val="001E669B"/>
    <w:rsid w:val="001F3ACB"/>
    <w:rsid w:val="0020284E"/>
    <w:rsid w:val="00204CCC"/>
    <w:rsid w:val="00205CB3"/>
    <w:rsid w:val="00207B97"/>
    <w:rsid w:val="00223FEB"/>
    <w:rsid w:val="0022613E"/>
    <w:rsid w:val="002335BD"/>
    <w:rsid w:val="00242853"/>
    <w:rsid w:val="00244EEC"/>
    <w:rsid w:val="002503F5"/>
    <w:rsid w:val="00250B0F"/>
    <w:rsid w:val="00257F34"/>
    <w:rsid w:val="00263F39"/>
    <w:rsid w:val="00272293"/>
    <w:rsid w:val="00273BBC"/>
    <w:rsid w:val="00275350"/>
    <w:rsid w:val="00276848"/>
    <w:rsid w:val="002914BC"/>
    <w:rsid w:val="00295C26"/>
    <w:rsid w:val="00296F34"/>
    <w:rsid w:val="002A3E91"/>
    <w:rsid w:val="002B3145"/>
    <w:rsid w:val="002B45BA"/>
    <w:rsid w:val="002D775F"/>
    <w:rsid w:val="002E3E74"/>
    <w:rsid w:val="002E6728"/>
    <w:rsid w:val="002F0848"/>
    <w:rsid w:val="002F455D"/>
    <w:rsid w:val="00305969"/>
    <w:rsid w:val="003078D3"/>
    <w:rsid w:val="0031659F"/>
    <w:rsid w:val="00320DBB"/>
    <w:rsid w:val="00321D11"/>
    <w:rsid w:val="00333697"/>
    <w:rsid w:val="00337D59"/>
    <w:rsid w:val="003522D0"/>
    <w:rsid w:val="00353841"/>
    <w:rsid w:val="0037089B"/>
    <w:rsid w:val="00371A8C"/>
    <w:rsid w:val="00373307"/>
    <w:rsid w:val="00375E83"/>
    <w:rsid w:val="00390C07"/>
    <w:rsid w:val="003A6175"/>
    <w:rsid w:val="003B3266"/>
    <w:rsid w:val="003B47EC"/>
    <w:rsid w:val="003B5D89"/>
    <w:rsid w:val="003B790D"/>
    <w:rsid w:val="003C0A6E"/>
    <w:rsid w:val="003C3ED8"/>
    <w:rsid w:val="003C727E"/>
    <w:rsid w:val="003D0F09"/>
    <w:rsid w:val="003E0E16"/>
    <w:rsid w:val="003E3C57"/>
    <w:rsid w:val="003F095D"/>
    <w:rsid w:val="003F2795"/>
    <w:rsid w:val="003F2854"/>
    <w:rsid w:val="003F41BB"/>
    <w:rsid w:val="00413CBB"/>
    <w:rsid w:val="00414C2A"/>
    <w:rsid w:val="00417021"/>
    <w:rsid w:val="004261B2"/>
    <w:rsid w:val="00426CE9"/>
    <w:rsid w:val="00445A2D"/>
    <w:rsid w:val="004522D9"/>
    <w:rsid w:val="004609CD"/>
    <w:rsid w:val="004615D2"/>
    <w:rsid w:val="0047510C"/>
    <w:rsid w:val="0048526B"/>
    <w:rsid w:val="004A540B"/>
    <w:rsid w:val="004A7CD1"/>
    <w:rsid w:val="004B564C"/>
    <w:rsid w:val="004C1C20"/>
    <w:rsid w:val="004C4787"/>
    <w:rsid w:val="004E3E43"/>
    <w:rsid w:val="004F0869"/>
    <w:rsid w:val="004F1726"/>
    <w:rsid w:val="004F7D8E"/>
    <w:rsid w:val="00502397"/>
    <w:rsid w:val="00504A35"/>
    <w:rsid w:val="00504F6D"/>
    <w:rsid w:val="005132AF"/>
    <w:rsid w:val="00517A94"/>
    <w:rsid w:val="00524AA2"/>
    <w:rsid w:val="00530B26"/>
    <w:rsid w:val="00530D3E"/>
    <w:rsid w:val="00544076"/>
    <w:rsid w:val="00555B7D"/>
    <w:rsid w:val="005569CC"/>
    <w:rsid w:val="00562754"/>
    <w:rsid w:val="00564115"/>
    <w:rsid w:val="0056657A"/>
    <w:rsid w:val="00570E43"/>
    <w:rsid w:val="00584B09"/>
    <w:rsid w:val="00591355"/>
    <w:rsid w:val="00595A0D"/>
    <w:rsid w:val="005977F1"/>
    <w:rsid w:val="005A0E9B"/>
    <w:rsid w:val="005A183E"/>
    <w:rsid w:val="005A2A9E"/>
    <w:rsid w:val="005A3138"/>
    <w:rsid w:val="005A39C3"/>
    <w:rsid w:val="005B2747"/>
    <w:rsid w:val="005C2F27"/>
    <w:rsid w:val="005D3ECA"/>
    <w:rsid w:val="005E4297"/>
    <w:rsid w:val="005F4F95"/>
    <w:rsid w:val="005F5EFD"/>
    <w:rsid w:val="006024BA"/>
    <w:rsid w:val="006063DD"/>
    <w:rsid w:val="00614AF4"/>
    <w:rsid w:val="00614C13"/>
    <w:rsid w:val="006161E1"/>
    <w:rsid w:val="00624938"/>
    <w:rsid w:val="00625680"/>
    <w:rsid w:val="00632275"/>
    <w:rsid w:val="00632467"/>
    <w:rsid w:val="00635AE5"/>
    <w:rsid w:val="00637BE7"/>
    <w:rsid w:val="00646ED6"/>
    <w:rsid w:val="00647096"/>
    <w:rsid w:val="006507BF"/>
    <w:rsid w:val="00651CFD"/>
    <w:rsid w:val="00653BA4"/>
    <w:rsid w:val="00655E66"/>
    <w:rsid w:val="00656B45"/>
    <w:rsid w:val="00661B00"/>
    <w:rsid w:val="00661FE1"/>
    <w:rsid w:val="006670B4"/>
    <w:rsid w:val="00672219"/>
    <w:rsid w:val="00672340"/>
    <w:rsid w:val="00681EEF"/>
    <w:rsid w:val="0068714E"/>
    <w:rsid w:val="00693166"/>
    <w:rsid w:val="006975DD"/>
    <w:rsid w:val="006A769E"/>
    <w:rsid w:val="006B4CC6"/>
    <w:rsid w:val="006B668A"/>
    <w:rsid w:val="006C07E4"/>
    <w:rsid w:val="006C24FF"/>
    <w:rsid w:val="006D7BEC"/>
    <w:rsid w:val="006E5BFD"/>
    <w:rsid w:val="006E7A5B"/>
    <w:rsid w:val="006F130B"/>
    <w:rsid w:val="006F6430"/>
    <w:rsid w:val="00710C24"/>
    <w:rsid w:val="00711D54"/>
    <w:rsid w:val="007335DD"/>
    <w:rsid w:val="00742601"/>
    <w:rsid w:val="00744003"/>
    <w:rsid w:val="007610F5"/>
    <w:rsid w:val="00764D37"/>
    <w:rsid w:val="007A19C3"/>
    <w:rsid w:val="007A6D15"/>
    <w:rsid w:val="007C31F1"/>
    <w:rsid w:val="007C33EF"/>
    <w:rsid w:val="007D22CF"/>
    <w:rsid w:val="007E3BB0"/>
    <w:rsid w:val="007E7418"/>
    <w:rsid w:val="007F03C1"/>
    <w:rsid w:val="007F70F8"/>
    <w:rsid w:val="00804DF4"/>
    <w:rsid w:val="008062AC"/>
    <w:rsid w:val="00811C73"/>
    <w:rsid w:val="00812E2A"/>
    <w:rsid w:val="00814A88"/>
    <w:rsid w:val="0081523B"/>
    <w:rsid w:val="008210DF"/>
    <w:rsid w:val="00821F8A"/>
    <w:rsid w:val="008334B0"/>
    <w:rsid w:val="00833F3D"/>
    <w:rsid w:val="008431AD"/>
    <w:rsid w:val="0085068F"/>
    <w:rsid w:val="00851B7C"/>
    <w:rsid w:val="008548C2"/>
    <w:rsid w:val="00861967"/>
    <w:rsid w:val="0086278D"/>
    <w:rsid w:val="0086284D"/>
    <w:rsid w:val="00865222"/>
    <w:rsid w:val="008774BC"/>
    <w:rsid w:val="00892A04"/>
    <w:rsid w:val="008972CE"/>
    <w:rsid w:val="008A0E71"/>
    <w:rsid w:val="008A0FA0"/>
    <w:rsid w:val="008B1488"/>
    <w:rsid w:val="008B15CC"/>
    <w:rsid w:val="008B37CC"/>
    <w:rsid w:val="008B555C"/>
    <w:rsid w:val="008C07FF"/>
    <w:rsid w:val="008D1727"/>
    <w:rsid w:val="008E185D"/>
    <w:rsid w:val="008F4844"/>
    <w:rsid w:val="0090392A"/>
    <w:rsid w:val="0090719C"/>
    <w:rsid w:val="0091098E"/>
    <w:rsid w:val="009109B9"/>
    <w:rsid w:val="009138BC"/>
    <w:rsid w:val="00922133"/>
    <w:rsid w:val="00933387"/>
    <w:rsid w:val="00934D19"/>
    <w:rsid w:val="00953D6E"/>
    <w:rsid w:val="00955085"/>
    <w:rsid w:val="00956738"/>
    <w:rsid w:val="00960AC5"/>
    <w:rsid w:val="00971362"/>
    <w:rsid w:val="00984802"/>
    <w:rsid w:val="00986794"/>
    <w:rsid w:val="00987097"/>
    <w:rsid w:val="009B1048"/>
    <w:rsid w:val="009B45A4"/>
    <w:rsid w:val="009C23B4"/>
    <w:rsid w:val="009C7A42"/>
    <w:rsid w:val="009D5E84"/>
    <w:rsid w:val="009E2090"/>
    <w:rsid w:val="009E3967"/>
    <w:rsid w:val="00A30E25"/>
    <w:rsid w:val="00A35B89"/>
    <w:rsid w:val="00A43AE2"/>
    <w:rsid w:val="00A45078"/>
    <w:rsid w:val="00A82D98"/>
    <w:rsid w:val="00A8786E"/>
    <w:rsid w:val="00A87BB1"/>
    <w:rsid w:val="00A914A6"/>
    <w:rsid w:val="00A934D7"/>
    <w:rsid w:val="00AA6D9B"/>
    <w:rsid w:val="00AA7032"/>
    <w:rsid w:val="00AB3874"/>
    <w:rsid w:val="00AC0B56"/>
    <w:rsid w:val="00AC4B26"/>
    <w:rsid w:val="00B068EA"/>
    <w:rsid w:val="00B274BC"/>
    <w:rsid w:val="00B3198E"/>
    <w:rsid w:val="00B31E9A"/>
    <w:rsid w:val="00B40468"/>
    <w:rsid w:val="00B42891"/>
    <w:rsid w:val="00B435E3"/>
    <w:rsid w:val="00B507E8"/>
    <w:rsid w:val="00B6395D"/>
    <w:rsid w:val="00B81995"/>
    <w:rsid w:val="00B82608"/>
    <w:rsid w:val="00B93F38"/>
    <w:rsid w:val="00B964C9"/>
    <w:rsid w:val="00BB33D4"/>
    <w:rsid w:val="00BC6626"/>
    <w:rsid w:val="00BD5921"/>
    <w:rsid w:val="00BE403D"/>
    <w:rsid w:val="00BE78C8"/>
    <w:rsid w:val="00BF4CD8"/>
    <w:rsid w:val="00C04472"/>
    <w:rsid w:val="00C14C11"/>
    <w:rsid w:val="00C17B56"/>
    <w:rsid w:val="00C20BB3"/>
    <w:rsid w:val="00C232EF"/>
    <w:rsid w:val="00C23F68"/>
    <w:rsid w:val="00C2545D"/>
    <w:rsid w:val="00C27B3F"/>
    <w:rsid w:val="00C318B9"/>
    <w:rsid w:val="00C434B8"/>
    <w:rsid w:val="00C46150"/>
    <w:rsid w:val="00C5061C"/>
    <w:rsid w:val="00C5089C"/>
    <w:rsid w:val="00C51503"/>
    <w:rsid w:val="00C60294"/>
    <w:rsid w:val="00C665A0"/>
    <w:rsid w:val="00C67454"/>
    <w:rsid w:val="00C70F53"/>
    <w:rsid w:val="00C803D5"/>
    <w:rsid w:val="00C850B4"/>
    <w:rsid w:val="00C854DF"/>
    <w:rsid w:val="00C86664"/>
    <w:rsid w:val="00C90333"/>
    <w:rsid w:val="00C918E7"/>
    <w:rsid w:val="00CA15C8"/>
    <w:rsid w:val="00CA2F5D"/>
    <w:rsid w:val="00CA5319"/>
    <w:rsid w:val="00CA6FFA"/>
    <w:rsid w:val="00CB60B7"/>
    <w:rsid w:val="00CB6926"/>
    <w:rsid w:val="00CD2A03"/>
    <w:rsid w:val="00CD3AC2"/>
    <w:rsid w:val="00CD540F"/>
    <w:rsid w:val="00CE1E14"/>
    <w:rsid w:val="00CE5EBE"/>
    <w:rsid w:val="00CE6D5E"/>
    <w:rsid w:val="00CE7ED7"/>
    <w:rsid w:val="00CF78AB"/>
    <w:rsid w:val="00D01BED"/>
    <w:rsid w:val="00D046E2"/>
    <w:rsid w:val="00D050D8"/>
    <w:rsid w:val="00D23B13"/>
    <w:rsid w:val="00D31C20"/>
    <w:rsid w:val="00D47C83"/>
    <w:rsid w:val="00D47CE3"/>
    <w:rsid w:val="00D83699"/>
    <w:rsid w:val="00D91558"/>
    <w:rsid w:val="00DA06DD"/>
    <w:rsid w:val="00DB27E1"/>
    <w:rsid w:val="00DB7B83"/>
    <w:rsid w:val="00DC3368"/>
    <w:rsid w:val="00DC759A"/>
    <w:rsid w:val="00DD3935"/>
    <w:rsid w:val="00DD5A38"/>
    <w:rsid w:val="00DE6ACD"/>
    <w:rsid w:val="00DE7030"/>
    <w:rsid w:val="00DE7050"/>
    <w:rsid w:val="00DF031E"/>
    <w:rsid w:val="00DF4D25"/>
    <w:rsid w:val="00E2626A"/>
    <w:rsid w:val="00E26508"/>
    <w:rsid w:val="00E32586"/>
    <w:rsid w:val="00E52B9B"/>
    <w:rsid w:val="00E542D0"/>
    <w:rsid w:val="00E54D4C"/>
    <w:rsid w:val="00E56A72"/>
    <w:rsid w:val="00E575CC"/>
    <w:rsid w:val="00E7235F"/>
    <w:rsid w:val="00E7652D"/>
    <w:rsid w:val="00E7664C"/>
    <w:rsid w:val="00E86597"/>
    <w:rsid w:val="00E97232"/>
    <w:rsid w:val="00EA184E"/>
    <w:rsid w:val="00EB1762"/>
    <w:rsid w:val="00EB4B2F"/>
    <w:rsid w:val="00EC35AC"/>
    <w:rsid w:val="00EE2A1B"/>
    <w:rsid w:val="00EF149B"/>
    <w:rsid w:val="00EF4FFE"/>
    <w:rsid w:val="00F211C9"/>
    <w:rsid w:val="00F23253"/>
    <w:rsid w:val="00F36926"/>
    <w:rsid w:val="00F44F7C"/>
    <w:rsid w:val="00F46F1D"/>
    <w:rsid w:val="00F54C42"/>
    <w:rsid w:val="00F55493"/>
    <w:rsid w:val="00F56151"/>
    <w:rsid w:val="00F75A06"/>
    <w:rsid w:val="00FA60EB"/>
    <w:rsid w:val="00FD4FD0"/>
    <w:rsid w:val="00FE5ABE"/>
    <w:rsid w:val="00FF2F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15DC16"/>
  <w15:chartTrackingRefBased/>
  <w15:docId w15:val="{0480806A-245E-454F-ABDA-EB37AEEA3E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F130B"/>
    <w:rPr>
      <w:rFonts w:ascii="Arial" w:hAnsi="Arial"/>
    </w:rPr>
  </w:style>
  <w:style w:type="paragraph" w:styleId="Heading1">
    <w:name w:val="heading 1"/>
    <w:basedOn w:val="Normal"/>
    <w:next w:val="Normal"/>
    <w:link w:val="Heading1Char"/>
    <w:uiPriority w:val="9"/>
    <w:qFormat/>
    <w:rsid w:val="00373307"/>
    <w:pPr>
      <w:keepNext/>
      <w:keepLines/>
      <w:spacing w:before="240" w:after="0"/>
      <w:outlineLvl w:val="0"/>
    </w:pPr>
    <w:rPr>
      <w:rFonts w:eastAsiaTheme="majorEastAsia" w:cstheme="majorBidi"/>
      <w:sz w:val="32"/>
      <w:szCs w:val="32"/>
    </w:rPr>
  </w:style>
  <w:style w:type="paragraph" w:styleId="Heading2">
    <w:name w:val="heading 2"/>
    <w:basedOn w:val="Normal"/>
    <w:next w:val="Normal"/>
    <w:link w:val="Heading2Char"/>
    <w:uiPriority w:val="9"/>
    <w:unhideWhenUsed/>
    <w:qFormat/>
    <w:rsid w:val="00373307"/>
    <w:pPr>
      <w:keepNext/>
      <w:keepLines/>
      <w:spacing w:before="40" w:after="0"/>
      <w:outlineLvl w:val="1"/>
    </w:pPr>
    <w:rPr>
      <w:rFonts w:eastAsiaTheme="majorEastAsia" w:cstheme="majorBidi"/>
      <w:sz w:val="26"/>
      <w:szCs w:val="26"/>
    </w:rPr>
  </w:style>
  <w:style w:type="paragraph" w:styleId="Heading3">
    <w:name w:val="heading 3"/>
    <w:basedOn w:val="Normal"/>
    <w:next w:val="Normal"/>
    <w:link w:val="Heading3Char"/>
    <w:uiPriority w:val="9"/>
    <w:unhideWhenUsed/>
    <w:qFormat/>
    <w:rsid w:val="00373307"/>
    <w:pPr>
      <w:keepNext/>
      <w:keepLines/>
      <w:spacing w:before="40" w:after="0"/>
      <w:outlineLvl w:val="2"/>
    </w:pPr>
    <w:rPr>
      <w:rFonts w:eastAsiaTheme="majorEastAsia" w:cstheme="majorBidi"/>
      <w:color w:val="000000" w:themeColor="text1"/>
      <w:sz w:val="24"/>
      <w:szCs w:val="24"/>
    </w:rPr>
  </w:style>
  <w:style w:type="paragraph" w:styleId="Heading4">
    <w:name w:val="heading 4"/>
    <w:basedOn w:val="Normal"/>
    <w:next w:val="Normal"/>
    <w:link w:val="Heading4Char"/>
    <w:uiPriority w:val="9"/>
    <w:unhideWhenUsed/>
    <w:qFormat/>
    <w:rsid w:val="00373307"/>
    <w:pPr>
      <w:keepNext/>
      <w:keepLines/>
      <w:spacing w:before="40" w:after="0"/>
      <w:outlineLvl w:val="3"/>
    </w:pPr>
    <w:rPr>
      <w:rFonts w:eastAsiaTheme="majorEastAsia" w:cstheme="majorBidi"/>
      <w:i/>
      <w:iCs/>
      <w:color w:val="000000" w:themeColor="text1"/>
    </w:rPr>
  </w:style>
  <w:style w:type="paragraph" w:styleId="Heading5">
    <w:name w:val="heading 5"/>
    <w:basedOn w:val="Normal"/>
    <w:next w:val="Normal"/>
    <w:link w:val="Heading5Char"/>
    <w:uiPriority w:val="9"/>
    <w:semiHidden/>
    <w:unhideWhenUsed/>
    <w:qFormat/>
    <w:rsid w:val="006F130B"/>
    <w:pPr>
      <w:keepNext/>
      <w:keepLines/>
      <w:spacing w:before="40" w:after="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F130B"/>
    <w:pPr>
      <w:keepNext/>
      <w:keepLines/>
      <w:spacing w:before="40" w:after="0"/>
      <w:outlineLvl w:val="5"/>
    </w:pPr>
    <w:rPr>
      <w:rFonts w:eastAsiaTheme="majorEastAsia" w:cstheme="majorBidi"/>
      <w:color w:val="0A2F40" w:themeColor="accent1" w:themeShade="7F"/>
    </w:rPr>
  </w:style>
  <w:style w:type="paragraph" w:styleId="Heading7">
    <w:name w:val="heading 7"/>
    <w:basedOn w:val="Normal"/>
    <w:next w:val="Normal"/>
    <w:link w:val="Heading7Char"/>
    <w:uiPriority w:val="9"/>
    <w:semiHidden/>
    <w:unhideWhenUsed/>
    <w:qFormat/>
    <w:rsid w:val="006F130B"/>
    <w:pPr>
      <w:keepNext/>
      <w:keepLines/>
      <w:spacing w:before="40" w:after="0"/>
      <w:outlineLvl w:val="6"/>
    </w:pPr>
    <w:rPr>
      <w:rFonts w:eastAsiaTheme="majorEastAsia" w:cstheme="majorBidi"/>
      <w:i/>
      <w:iCs/>
      <w:color w:val="0A2F40" w:themeColor="accent1" w:themeShade="7F"/>
    </w:rPr>
  </w:style>
  <w:style w:type="paragraph" w:styleId="Heading8">
    <w:name w:val="heading 8"/>
    <w:basedOn w:val="Normal"/>
    <w:next w:val="Normal"/>
    <w:link w:val="Heading8Char"/>
    <w:uiPriority w:val="9"/>
    <w:semiHidden/>
    <w:unhideWhenUsed/>
    <w:qFormat/>
    <w:rsid w:val="006F130B"/>
    <w:pPr>
      <w:keepNext/>
      <w:keepLines/>
      <w:spacing w:before="40" w:after="0"/>
      <w:outlineLvl w:val="7"/>
    </w:pPr>
    <w:rPr>
      <w:rFonts w:eastAsiaTheme="majorEastAsia"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6F130B"/>
    <w:pPr>
      <w:keepNext/>
      <w:keepLines/>
      <w:spacing w:before="40" w:after="0"/>
      <w:outlineLvl w:val="8"/>
    </w:pPr>
    <w:rPr>
      <w:rFonts w:eastAsiaTheme="majorEastAsia"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3307"/>
    <w:rPr>
      <w:rFonts w:ascii="Arial" w:eastAsiaTheme="majorEastAsia" w:hAnsi="Arial" w:cstheme="majorBidi"/>
      <w:sz w:val="32"/>
      <w:szCs w:val="32"/>
    </w:rPr>
  </w:style>
  <w:style w:type="character" w:customStyle="1" w:styleId="Heading2Char">
    <w:name w:val="Heading 2 Char"/>
    <w:basedOn w:val="DefaultParagraphFont"/>
    <w:link w:val="Heading2"/>
    <w:uiPriority w:val="9"/>
    <w:rsid w:val="00373307"/>
    <w:rPr>
      <w:rFonts w:ascii="Arial" w:eastAsiaTheme="majorEastAsia" w:hAnsi="Arial" w:cstheme="majorBidi"/>
      <w:sz w:val="26"/>
      <w:szCs w:val="26"/>
    </w:rPr>
  </w:style>
  <w:style w:type="character" w:customStyle="1" w:styleId="Heading3Char">
    <w:name w:val="Heading 3 Char"/>
    <w:basedOn w:val="DefaultParagraphFont"/>
    <w:link w:val="Heading3"/>
    <w:uiPriority w:val="9"/>
    <w:rsid w:val="00373307"/>
    <w:rPr>
      <w:rFonts w:ascii="Arial" w:eastAsiaTheme="majorEastAsia" w:hAnsi="Arial" w:cstheme="majorBidi"/>
      <w:color w:val="000000" w:themeColor="text1"/>
      <w:sz w:val="24"/>
      <w:szCs w:val="24"/>
    </w:rPr>
  </w:style>
  <w:style w:type="character" w:customStyle="1" w:styleId="Heading4Char">
    <w:name w:val="Heading 4 Char"/>
    <w:basedOn w:val="DefaultParagraphFont"/>
    <w:link w:val="Heading4"/>
    <w:uiPriority w:val="9"/>
    <w:rsid w:val="00373307"/>
    <w:rPr>
      <w:rFonts w:ascii="Arial" w:eastAsiaTheme="majorEastAsia" w:hAnsi="Arial" w:cstheme="majorBidi"/>
      <w:i/>
      <w:iCs/>
      <w:color w:val="000000" w:themeColor="text1"/>
    </w:rPr>
  </w:style>
  <w:style w:type="character" w:customStyle="1" w:styleId="Heading5Char">
    <w:name w:val="Heading 5 Char"/>
    <w:basedOn w:val="DefaultParagraphFont"/>
    <w:link w:val="Heading5"/>
    <w:uiPriority w:val="9"/>
    <w:semiHidden/>
    <w:rsid w:val="006F130B"/>
    <w:rPr>
      <w:rFonts w:ascii="Arial" w:eastAsiaTheme="majorEastAsia" w:hAnsi="Arial" w:cstheme="majorBidi"/>
      <w:color w:val="0F4761" w:themeColor="accent1" w:themeShade="BF"/>
    </w:rPr>
  </w:style>
  <w:style w:type="character" w:customStyle="1" w:styleId="Heading6Char">
    <w:name w:val="Heading 6 Char"/>
    <w:basedOn w:val="DefaultParagraphFont"/>
    <w:link w:val="Heading6"/>
    <w:uiPriority w:val="9"/>
    <w:semiHidden/>
    <w:rsid w:val="006F130B"/>
    <w:rPr>
      <w:rFonts w:ascii="Arial" w:eastAsiaTheme="majorEastAsia" w:hAnsi="Arial" w:cstheme="majorBidi"/>
      <w:color w:val="0A2F40" w:themeColor="accent1" w:themeShade="7F"/>
    </w:rPr>
  </w:style>
  <w:style w:type="character" w:customStyle="1" w:styleId="Heading7Char">
    <w:name w:val="Heading 7 Char"/>
    <w:basedOn w:val="DefaultParagraphFont"/>
    <w:link w:val="Heading7"/>
    <w:uiPriority w:val="9"/>
    <w:semiHidden/>
    <w:rsid w:val="006F130B"/>
    <w:rPr>
      <w:rFonts w:ascii="Arial" w:eastAsiaTheme="majorEastAsia" w:hAnsi="Arial" w:cstheme="majorBidi"/>
      <w:i/>
      <w:iCs/>
      <w:color w:val="0A2F40" w:themeColor="accent1" w:themeShade="7F"/>
    </w:rPr>
  </w:style>
  <w:style w:type="character" w:customStyle="1" w:styleId="Heading8Char">
    <w:name w:val="Heading 8 Char"/>
    <w:basedOn w:val="DefaultParagraphFont"/>
    <w:link w:val="Heading8"/>
    <w:uiPriority w:val="9"/>
    <w:semiHidden/>
    <w:rsid w:val="006F130B"/>
    <w:rPr>
      <w:rFonts w:ascii="Arial" w:eastAsiaTheme="majorEastAsia" w:hAnsi="Arial"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6F130B"/>
    <w:rPr>
      <w:rFonts w:ascii="Arial" w:eastAsiaTheme="majorEastAsia" w:hAnsi="Arial" w:cstheme="majorBidi"/>
      <w:i/>
      <w:iCs/>
      <w:color w:val="272727" w:themeColor="text1" w:themeTint="D8"/>
      <w:sz w:val="21"/>
      <w:szCs w:val="21"/>
    </w:rPr>
  </w:style>
  <w:style w:type="paragraph" w:styleId="Title">
    <w:name w:val="Title"/>
    <w:basedOn w:val="Normal"/>
    <w:next w:val="Normal"/>
    <w:link w:val="TitleChar"/>
    <w:uiPriority w:val="10"/>
    <w:qFormat/>
    <w:rsid w:val="006F130B"/>
    <w:pPr>
      <w:spacing w:after="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6F130B"/>
    <w:rPr>
      <w:rFonts w:ascii="Arial" w:eastAsiaTheme="majorEastAsia" w:hAnsi="Arial" w:cstheme="majorBidi"/>
      <w:spacing w:val="-10"/>
      <w:kern w:val="28"/>
      <w:sz w:val="56"/>
      <w:szCs w:val="56"/>
    </w:rPr>
  </w:style>
  <w:style w:type="paragraph" w:styleId="Subtitle">
    <w:name w:val="Subtitle"/>
    <w:basedOn w:val="Normal"/>
    <w:next w:val="Normal"/>
    <w:link w:val="SubtitleChar"/>
    <w:uiPriority w:val="11"/>
    <w:qFormat/>
    <w:rsid w:val="00373307"/>
    <w:pPr>
      <w:numPr>
        <w:ilvl w:val="1"/>
      </w:numPr>
    </w:pPr>
    <w:rPr>
      <w:rFonts w:eastAsiaTheme="minorEastAsia"/>
      <w:color w:val="000000" w:themeColor="text1"/>
      <w:spacing w:val="15"/>
    </w:rPr>
  </w:style>
  <w:style w:type="character" w:customStyle="1" w:styleId="SubtitleChar">
    <w:name w:val="Subtitle Char"/>
    <w:basedOn w:val="DefaultParagraphFont"/>
    <w:link w:val="Subtitle"/>
    <w:uiPriority w:val="11"/>
    <w:rsid w:val="00373307"/>
    <w:rPr>
      <w:rFonts w:ascii="Arial" w:eastAsiaTheme="minorEastAsia" w:hAnsi="Arial"/>
      <w:color w:val="000000" w:themeColor="text1"/>
      <w:spacing w:val="15"/>
    </w:rPr>
  </w:style>
  <w:style w:type="table" w:styleId="TableGrid">
    <w:name w:val="Table Grid"/>
    <w:basedOn w:val="TableNormal"/>
    <w:uiPriority w:val="39"/>
    <w:rsid w:val="006F130B"/>
    <w:pPr>
      <w:spacing w:after="0" w:line="240" w:lineRule="auto"/>
    </w:pPr>
    <w:rPr>
      <w:rFonts w:ascii="Arial" w:hAnsi="Ari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6F130B"/>
    <w:pPr>
      <w:outlineLvl w:val="9"/>
    </w:pPr>
  </w:style>
  <w:style w:type="table" w:styleId="TableGridLight">
    <w:name w:val="Grid Table Light"/>
    <w:basedOn w:val="TableNormal"/>
    <w:uiPriority w:val="40"/>
    <w:rsid w:val="006F130B"/>
    <w:pPr>
      <w:spacing w:after="0" w:line="240" w:lineRule="auto"/>
    </w:pPr>
    <w:rPr>
      <w:rFonts w:ascii="Arial" w:hAnsi="Arial"/>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Spacing">
    <w:name w:val="No Spacing"/>
    <w:uiPriority w:val="1"/>
    <w:qFormat/>
    <w:rsid w:val="00373307"/>
    <w:pPr>
      <w:spacing w:after="0" w:line="240" w:lineRule="auto"/>
    </w:pPr>
    <w:rPr>
      <w:rFonts w:ascii="Arial" w:hAnsi="Arial"/>
    </w:rPr>
  </w:style>
  <w:style w:type="character" w:styleId="SubtleEmphasis">
    <w:name w:val="Subtle Emphasis"/>
    <w:basedOn w:val="DefaultParagraphFont"/>
    <w:uiPriority w:val="19"/>
    <w:qFormat/>
    <w:rsid w:val="00373307"/>
    <w:rPr>
      <w:i/>
      <w:iCs/>
      <w:color w:val="000000" w:themeColor="text1"/>
    </w:rPr>
  </w:style>
  <w:style w:type="character" w:styleId="IntenseEmphasis">
    <w:name w:val="Intense Emphasis"/>
    <w:basedOn w:val="DefaultParagraphFont"/>
    <w:uiPriority w:val="21"/>
    <w:qFormat/>
    <w:rsid w:val="00373307"/>
    <w:rPr>
      <w:i/>
      <w:iCs/>
      <w:color w:val="000000" w:themeColor="text1"/>
    </w:rPr>
  </w:style>
  <w:style w:type="paragraph" w:styleId="IntenseQuote">
    <w:name w:val="Intense Quote"/>
    <w:basedOn w:val="Normal"/>
    <w:next w:val="Normal"/>
    <w:link w:val="IntenseQuoteChar"/>
    <w:uiPriority w:val="30"/>
    <w:qFormat/>
    <w:rsid w:val="00373307"/>
    <w:pPr>
      <w:pBdr>
        <w:top w:val="single" w:sz="4" w:space="10" w:color="156082" w:themeColor="accent1"/>
        <w:bottom w:val="single" w:sz="4" w:space="10" w:color="156082" w:themeColor="accent1"/>
      </w:pBdr>
      <w:spacing w:before="360" w:after="360"/>
      <w:ind w:left="864" w:right="864"/>
      <w:jc w:val="center"/>
    </w:pPr>
    <w:rPr>
      <w:i/>
      <w:iCs/>
      <w:color w:val="000000" w:themeColor="text1"/>
    </w:rPr>
  </w:style>
  <w:style w:type="character" w:customStyle="1" w:styleId="IntenseQuoteChar">
    <w:name w:val="Intense Quote Char"/>
    <w:basedOn w:val="DefaultParagraphFont"/>
    <w:link w:val="IntenseQuote"/>
    <w:uiPriority w:val="30"/>
    <w:rsid w:val="00373307"/>
    <w:rPr>
      <w:rFonts w:ascii="Arial" w:hAnsi="Arial"/>
      <w:i/>
      <w:iCs/>
      <w:color w:val="000000" w:themeColor="text1"/>
    </w:rPr>
  </w:style>
  <w:style w:type="character" w:styleId="SubtleReference">
    <w:name w:val="Subtle Reference"/>
    <w:basedOn w:val="DefaultParagraphFont"/>
    <w:uiPriority w:val="31"/>
    <w:qFormat/>
    <w:rsid w:val="00373307"/>
    <w:rPr>
      <w:smallCaps/>
      <w:color w:val="000000" w:themeColor="text1"/>
    </w:rPr>
  </w:style>
  <w:style w:type="character" w:styleId="IntenseReference">
    <w:name w:val="Intense Reference"/>
    <w:basedOn w:val="DefaultParagraphFont"/>
    <w:uiPriority w:val="32"/>
    <w:qFormat/>
    <w:rsid w:val="00373307"/>
    <w:rPr>
      <w:b/>
      <w:bCs/>
      <w:smallCaps/>
      <w:color w:val="000000" w:themeColor="text1"/>
      <w:spacing w:val="5"/>
    </w:rPr>
  </w:style>
  <w:style w:type="character" w:styleId="BookTitle">
    <w:name w:val="Book Title"/>
    <w:basedOn w:val="DefaultParagraphFont"/>
    <w:uiPriority w:val="33"/>
    <w:qFormat/>
    <w:rsid w:val="00373307"/>
    <w:rPr>
      <w:b/>
      <w:bCs/>
      <w:i/>
      <w:iCs/>
      <w:color w:val="000000" w:themeColor="text1"/>
      <w:spacing w:val="5"/>
    </w:rPr>
  </w:style>
  <w:style w:type="paragraph" w:styleId="ListParagraph">
    <w:name w:val="List Paragraph"/>
    <w:basedOn w:val="Normal"/>
    <w:uiPriority w:val="34"/>
    <w:qFormat/>
    <w:rsid w:val="00373307"/>
    <w:pPr>
      <w:ind w:left="720"/>
      <w:contextualSpacing/>
    </w:pPr>
    <w:rPr>
      <w:color w:val="000000" w:themeColor="text1"/>
    </w:rPr>
  </w:style>
  <w:style w:type="character" w:styleId="Strong">
    <w:name w:val="Strong"/>
    <w:basedOn w:val="DefaultParagraphFont"/>
    <w:uiPriority w:val="22"/>
    <w:qFormat/>
    <w:rsid w:val="007C31F1"/>
    <w:rPr>
      <w:b/>
      <w:bCs/>
    </w:rPr>
  </w:style>
  <w:style w:type="paragraph" w:styleId="Quote">
    <w:name w:val="Quote"/>
    <w:basedOn w:val="Normal"/>
    <w:next w:val="Normal"/>
    <w:link w:val="QuoteChar"/>
    <w:uiPriority w:val="29"/>
    <w:qFormat/>
    <w:rsid w:val="005A0E9B"/>
    <w:pPr>
      <w:spacing w:before="160"/>
      <w:jc w:val="center"/>
    </w:pPr>
    <w:rPr>
      <w:i/>
      <w:iCs/>
      <w:color w:val="404040" w:themeColor="text1" w:themeTint="BF"/>
    </w:rPr>
  </w:style>
  <w:style w:type="character" w:customStyle="1" w:styleId="QuoteChar">
    <w:name w:val="Quote Char"/>
    <w:basedOn w:val="DefaultParagraphFont"/>
    <w:link w:val="Quote"/>
    <w:uiPriority w:val="29"/>
    <w:rsid w:val="005A0E9B"/>
    <w:rPr>
      <w:rFonts w:ascii="Arial" w:hAnsi="Arial"/>
      <w:i/>
      <w:iCs/>
      <w:color w:val="404040" w:themeColor="text1" w:themeTint="BF"/>
    </w:rPr>
  </w:style>
  <w:style w:type="paragraph" w:styleId="Footer">
    <w:name w:val="footer"/>
    <w:basedOn w:val="Normal"/>
    <w:link w:val="FooterChar"/>
    <w:uiPriority w:val="99"/>
    <w:unhideWhenUsed/>
    <w:rsid w:val="005A0E9B"/>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0E9B"/>
    <w:rPr>
      <w:rFonts w:ascii="Arial" w:hAnsi="Arial"/>
    </w:rPr>
  </w:style>
  <w:style w:type="character" w:styleId="PlaceholderText">
    <w:name w:val="Placeholder Text"/>
    <w:basedOn w:val="DefaultParagraphFont"/>
    <w:uiPriority w:val="99"/>
    <w:semiHidden/>
    <w:rsid w:val="009E2090"/>
    <w:rPr>
      <w:color w:val="666666"/>
    </w:rPr>
  </w:style>
  <w:style w:type="paragraph" w:styleId="Caption">
    <w:name w:val="caption"/>
    <w:basedOn w:val="Normal"/>
    <w:next w:val="Normal"/>
    <w:uiPriority w:val="35"/>
    <w:unhideWhenUsed/>
    <w:qFormat/>
    <w:rsid w:val="00B42891"/>
    <w:pPr>
      <w:spacing w:after="200" w:line="240" w:lineRule="auto"/>
    </w:pPr>
    <w:rPr>
      <w:i/>
      <w:iCs/>
      <w:color w:val="0E2841" w:themeColor="text2"/>
      <w:sz w:val="18"/>
      <w:szCs w:val="18"/>
    </w:rPr>
  </w:style>
  <w:style w:type="paragraph" w:styleId="NormalWeb">
    <w:name w:val="Normal (Web)"/>
    <w:basedOn w:val="Normal"/>
    <w:uiPriority w:val="99"/>
    <w:semiHidden/>
    <w:unhideWhenUsed/>
    <w:rsid w:val="00C90333"/>
    <w:rPr>
      <w:rFonts w:ascii="Times New Roman" w:hAnsi="Times New Roman" w:cs="Times New Roman"/>
      <w:sz w:val="24"/>
      <w:szCs w:val="24"/>
    </w:rPr>
  </w:style>
  <w:style w:type="paragraph" w:styleId="TOC1">
    <w:name w:val="toc 1"/>
    <w:basedOn w:val="Normal"/>
    <w:next w:val="Normal"/>
    <w:autoRedefine/>
    <w:uiPriority w:val="39"/>
    <w:unhideWhenUsed/>
    <w:rsid w:val="00DA06DD"/>
    <w:pPr>
      <w:spacing w:after="100"/>
    </w:pPr>
  </w:style>
  <w:style w:type="paragraph" w:styleId="TOC2">
    <w:name w:val="toc 2"/>
    <w:basedOn w:val="Normal"/>
    <w:next w:val="Normal"/>
    <w:autoRedefine/>
    <w:uiPriority w:val="39"/>
    <w:unhideWhenUsed/>
    <w:rsid w:val="00DA06DD"/>
    <w:pPr>
      <w:spacing w:after="100"/>
      <w:ind w:left="220"/>
    </w:pPr>
  </w:style>
  <w:style w:type="paragraph" w:styleId="TOC3">
    <w:name w:val="toc 3"/>
    <w:basedOn w:val="Normal"/>
    <w:next w:val="Normal"/>
    <w:autoRedefine/>
    <w:uiPriority w:val="39"/>
    <w:unhideWhenUsed/>
    <w:rsid w:val="00DA06DD"/>
    <w:pPr>
      <w:spacing w:after="100"/>
      <w:ind w:left="440"/>
    </w:pPr>
  </w:style>
  <w:style w:type="character" w:styleId="Hyperlink">
    <w:name w:val="Hyperlink"/>
    <w:basedOn w:val="DefaultParagraphFont"/>
    <w:uiPriority w:val="99"/>
    <w:unhideWhenUsed/>
    <w:rsid w:val="00DA06DD"/>
    <w:rPr>
      <w:color w:val="467886" w:themeColor="hyperlink"/>
      <w:u w:val="single"/>
    </w:rPr>
  </w:style>
  <w:style w:type="paragraph" w:styleId="Header">
    <w:name w:val="header"/>
    <w:basedOn w:val="Normal"/>
    <w:link w:val="HeaderChar"/>
    <w:uiPriority w:val="99"/>
    <w:unhideWhenUsed/>
    <w:rsid w:val="00EF4FFE"/>
    <w:pPr>
      <w:tabs>
        <w:tab w:val="center" w:pos="4513"/>
        <w:tab w:val="right" w:pos="9026"/>
      </w:tabs>
      <w:spacing w:after="0" w:line="240" w:lineRule="auto"/>
    </w:pPr>
    <w:rPr>
      <w:rFonts w:asciiTheme="minorHAnsi" w:hAnsiTheme="minorHAnsi"/>
    </w:rPr>
  </w:style>
  <w:style w:type="character" w:customStyle="1" w:styleId="HeaderChar">
    <w:name w:val="Header Char"/>
    <w:basedOn w:val="DefaultParagraphFont"/>
    <w:link w:val="Header"/>
    <w:uiPriority w:val="99"/>
    <w:rsid w:val="00EF4FFE"/>
  </w:style>
  <w:style w:type="paragraph" w:styleId="TableofFigures">
    <w:name w:val="table of figures"/>
    <w:basedOn w:val="Normal"/>
    <w:next w:val="Normal"/>
    <w:uiPriority w:val="99"/>
    <w:unhideWhenUsed/>
    <w:rsid w:val="00E56A72"/>
    <w:pPr>
      <w:spacing w:after="0"/>
    </w:pPr>
  </w:style>
  <w:style w:type="paragraph" w:customStyle="1" w:styleId="DefaultText">
    <w:name w:val="Default Text"/>
    <w:basedOn w:val="Normal"/>
    <w:rsid w:val="00EB4B2F"/>
    <w:pPr>
      <w:autoSpaceDE w:val="0"/>
      <w:autoSpaceDN w:val="0"/>
      <w:adjustRightInd w:val="0"/>
      <w:spacing w:after="0" w:line="240" w:lineRule="auto"/>
    </w:pPr>
    <w:rPr>
      <w:rFonts w:ascii="Times New Roman" w:eastAsiaTheme="minorEastAsia" w:hAnsi="Times New Roman"/>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6324646">
      <w:bodyDiv w:val="1"/>
      <w:marLeft w:val="0"/>
      <w:marRight w:val="0"/>
      <w:marTop w:val="0"/>
      <w:marBottom w:val="0"/>
      <w:divBdr>
        <w:top w:val="none" w:sz="0" w:space="0" w:color="auto"/>
        <w:left w:val="none" w:sz="0" w:space="0" w:color="auto"/>
        <w:bottom w:val="none" w:sz="0" w:space="0" w:color="auto"/>
        <w:right w:val="none" w:sz="0" w:space="0" w:color="auto"/>
      </w:divBdr>
    </w:div>
    <w:div w:id="54088245">
      <w:bodyDiv w:val="1"/>
      <w:marLeft w:val="0"/>
      <w:marRight w:val="0"/>
      <w:marTop w:val="0"/>
      <w:marBottom w:val="0"/>
      <w:divBdr>
        <w:top w:val="none" w:sz="0" w:space="0" w:color="auto"/>
        <w:left w:val="none" w:sz="0" w:space="0" w:color="auto"/>
        <w:bottom w:val="none" w:sz="0" w:space="0" w:color="auto"/>
        <w:right w:val="none" w:sz="0" w:space="0" w:color="auto"/>
      </w:divBdr>
      <w:divsChild>
        <w:div w:id="1629124880">
          <w:marLeft w:val="0"/>
          <w:marRight w:val="0"/>
          <w:marTop w:val="0"/>
          <w:marBottom w:val="0"/>
          <w:divBdr>
            <w:top w:val="none" w:sz="0" w:space="0" w:color="auto"/>
            <w:left w:val="none" w:sz="0" w:space="0" w:color="auto"/>
            <w:bottom w:val="none" w:sz="0" w:space="0" w:color="auto"/>
            <w:right w:val="none" w:sz="0" w:space="0" w:color="auto"/>
          </w:divBdr>
          <w:divsChild>
            <w:div w:id="1554540201">
              <w:marLeft w:val="0"/>
              <w:marRight w:val="0"/>
              <w:marTop w:val="0"/>
              <w:marBottom w:val="0"/>
              <w:divBdr>
                <w:top w:val="none" w:sz="0" w:space="0" w:color="auto"/>
                <w:left w:val="none" w:sz="0" w:space="0" w:color="auto"/>
                <w:bottom w:val="none" w:sz="0" w:space="0" w:color="auto"/>
                <w:right w:val="none" w:sz="0" w:space="0" w:color="auto"/>
              </w:divBdr>
            </w:div>
            <w:div w:id="59450008">
              <w:marLeft w:val="0"/>
              <w:marRight w:val="0"/>
              <w:marTop w:val="0"/>
              <w:marBottom w:val="0"/>
              <w:divBdr>
                <w:top w:val="none" w:sz="0" w:space="0" w:color="auto"/>
                <w:left w:val="none" w:sz="0" w:space="0" w:color="auto"/>
                <w:bottom w:val="none" w:sz="0" w:space="0" w:color="auto"/>
                <w:right w:val="none" w:sz="0" w:space="0" w:color="auto"/>
              </w:divBdr>
            </w:div>
            <w:div w:id="990216059">
              <w:marLeft w:val="0"/>
              <w:marRight w:val="0"/>
              <w:marTop w:val="0"/>
              <w:marBottom w:val="0"/>
              <w:divBdr>
                <w:top w:val="none" w:sz="0" w:space="0" w:color="auto"/>
                <w:left w:val="none" w:sz="0" w:space="0" w:color="auto"/>
                <w:bottom w:val="none" w:sz="0" w:space="0" w:color="auto"/>
                <w:right w:val="none" w:sz="0" w:space="0" w:color="auto"/>
              </w:divBdr>
            </w:div>
            <w:div w:id="762914324">
              <w:marLeft w:val="0"/>
              <w:marRight w:val="0"/>
              <w:marTop w:val="0"/>
              <w:marBottom w:val="0"/>
              <w:divBdr>
                <w:top w:val="none" w:sz="0" w:space="0" w:color="auto"/>
                <w:left w:val="none" w:sz="0" w:space="0" w:color="auto"/>
                <w:bottom w:val="none" w:sz="0" w:space="0" w:color="auto"/>
                <w:right w:val="none" w:sz="0" w:space="0" w:color="auto"/>
              </w:divBdr>
            </w:div>
            <w:div w:id="1703096460">
              <w:marLeft w:val="0"/>
              <w:marRight w:val="0"/>
              <w:marTop w:val="0"/>
              <w:marBottom w:val="0"/>
              <w:divBdr>
                <w:top w:val="none" w:sz="0" w:space="0" w:color="auto"/>
                <w:left w:val="none" w:sz="0" w:space="0" w:color="auto"/>
                <w:bottom w:val="none" w:sz="0" w:space="0" w:color="auto"/>
                <w:right w:val="none" w:sz="0" w:space="0" w:color="auto"/>
              </w:divBdr>
            </w:div>
            <w:div w:id="255097198">
              <w:marLeft w:val="0"/>
              <w:marRight w:val="0"/>
              <w:marTop w:val="0"/>
              <w:marBottom w:val="0"/>
              <w:divBdr>
                <w:top w:val="none" w:sz="0" w:space="0" w:color="auto"/>
                <w:left w:val="none" w:sz="0" w:space="0" w:color="auto"/>
                <w:bottom w:val="none" w:sz="0" w:space="0" w:color="auto"/>
                <w:right w:val="none" w:sz="0" w:space="0" w:color="auto"/>
              </w:divBdr>
            </w:div>
            <w:div w:id="287320063">
              <w:marLeft w:val="0"/>
              <w:marRight w:val="0"/>
              <w:marTop w:val="0"/>
              <w:marBottom w:val="0"/>
              <w:divBdr>
                <w:top w:val="none" w:sz="0" w:space="0" w:color="auto"/>
                <w:left w:val="none" w:sz="0" w:space="0" w:color="auto"/>
                <w:bottom w:val="none" w:sz="0" w:space="0" w:color="auto"/>
                <w:right w:val="none" w:sz="0" w:space="0" w:color="auto"/>
              </w:divBdr>
            </w:div>
            <w:div w:id="102577949">
              <w:marLeft w:val="0"/>
              <w:marRight w:val="0"/>
              <w:marTop w:val="0"/>
              <w:marBottom w:val="0"/>
              <w:divBdr>
                <w:top w:val="none" w:sz="0" w:space="0" w:color="auto"/>
                <w:left w:val="none" w:sz="0" w:space="0" w:color="auto"/>
                <w:bottom w:val="none" w:sz="0" w:space="0" w:color="auto"/>
                <w:right w:val="none" w:sz="0" w:space="0" w:color="auto"/>
              </w:divBdr>
            </w:div>
            <w:div w:id="1496608585">
              <w:marLeft w:val="0"/>
              <w:marRight w:val="0"/>
              <w:marTop w:val="0"/>
              <w:marBottom w:val="0"/>
              <w:divBdr>
                <w:top w:val="none" w:sz="0" w:space="0" w:color="auto"/>
                <w:left w:val="none" w:sz="0" w:space="0" w:color="auto"/>
                <w:bottom w:val="none" w:sz="0" w:space="0" w:color="auto"/>
                <w:right w:val="none" w:sz="0" w:space="0" w:color="auto"/>
              </w:divBdr>
            </w:div>
            <w:div w:id="2057121320">
              <w:marLeft w:val="0"/>
              <w:marRight w:val="0"/>
              <w:marTop w:val="0"/>
              <w:marBottom w:val="0"/>
              <w:divBdr>
                <w:top w:val="none" w:sz="0" w:space="0" w:color="auto"/>
                <w:left w:val="none" w:sz="0" w:space="0" w:color="auto"/>
                <w:bottom w:val="none" w:sz="0" w:space="0" w:color="auto"/>
                <w:right w:val="none" w:sz="0" w:space="0" w:color="auto"/>
              </w:divBdr>
            </w:div>
            <w:div w:id="1467317351">
              <w:marLeft w:val="0"/>
              <w:marRight w:val="0"/>
              <w:marTop w:val="0"/>
              <w:marBottom w:val="0"/>
              <w:divBdr>
                <w:top w:val="none" w:sz="0" w:space="0" w:color="auto"/>
                <w:left w:val="none" w:sz="0" w:space="0" w:color="auto"/>
                <w:bottom w:val="none" w:sz="0" w:space="0" w:color="auto"/>
                <w:right w:val="none" w:sz="0" w:space="0" w:color="auto"/>
              </w:divBdr>
            </w:div>
            <w:div w:id="842667266">
              <w:marLeft w:val="0"/>
              <w:marRight w:val="0"/>
              <w:marTop w:val="0"/>
              <w:marBottom w:val="0"/>
              <w:divBdr>
                <w:top w:val="none" w:sz="0" w:space="0" w:color="auto"/>
                <w:left w:val="none" w:sz="0" w:space="0" w:color="auto"/>
                <w:bottom w:val="none" w:sz="0" w:space="0" w:color="auto"/>
                <w:right w:val="none" w:sz="0" w:space="0" w:color="auto"/>
              </w:divBdr>
            </w:div>
            <w:div w:id="2005625727">
              <w:marLeft w:val="0"/>
              <w:marRight w:val="0"/>
              <w:marTop w:val="0"/>
              <w:marBottom w:val="0"/>
              <w:divBdr>
                <w:top w:val="none" w:sz="0" w:space="0" w:color="auto"/>
                <w:left w:val="none" w:sz="0" w:space="0" w:color="auto"/>
                <w:bottom w:val="none" w:sz="0" w:space="0" w:color="auto"/>
                <w:right w:val="none" w:sz="0" w:space="0" w:color="auto"/>
              </w:divBdr>
            </w:div>
            <w:div w:id="137770550">
              <w:marLeft w:val="0"/>
              <w:marRight w:val="0"/>
              <w:marTop w:val="0"/>
              <w:marBottom w:val="0"/>
              <w:divBdr>
                <w:top w:val="none" w:sz="0" w:space="0" w:color="auto"/>
                <w:left w:val="none" w:sz="0" w:space="0" w:color="auto"/>
                <w:bottom w:val="none" w:sz="0" w:space="0" w:color="auto"/>
                <w:right w:val="none" w:sz="0" w:space="0" w:color="auto"/>
              </w:divBdr>
            </w:div>
            <w:div w:id="1282034651">
              <w:marLeft w:val="0"/>
              <w:marRight w:val="0"/>
              <w:marTop w:val="0"/>
              <w:marBottom w:val="0"/>
              <w:divBdr>
                <w:top w:val="none" w:sz="0" w:space="0" w:color="auto"/>
                <w:left w:val="none" w:sz="0" w:space="0" w:color="auto"/>
                <w:bottom w:val="none" w:sz="0" w:space="0" w:color="auto"/>
                <w:right w:val="none" w:sz="0" w:space="0" w:color="auto"/>
              </w:divBdr>
            </w:div>
            <w:div w:id="785583741">
              <w:marLeft w:val="0"/>
              <w:marRight w:val="0"/>
              <w:marTop w:val="0"/>
              <w:marBottom w:val="0"/>
              <w:divBdr>
                <w:top w:val="none" w:sz="0" w:space="0" w:color="auto"/>
                <w:left w:val="none" w:sz="0" w:space="0" w:color="auto"/>
                <w:bottom w:val="none" w:sz="0" w:space="0" w:color="auto"/>
                <w:right w:val="none" w:sz="0" w:space="0" w:color="auto"/>
              </w:divBdr>
            </w:div>
            <w:div w:id="1567767402">
              <w:marLeft w:val="0"/>
              <w:marRight w:val="0"/>
              <w:marTop w:val="0"/>
              <w:marBottom w:val="0"/>
              <w:divBdr>
                <w:top w:val="none" w:sz="0" w:space="0" w:color="auto"/>
                <w:left w:val="none" w:sz="0" w:space="0" w:color="auto"/>
                <w:bottom w:val="none" w:sz="0" w:space="0" w:color="auto"/>
                <w:right w:val="none" w:sz="0" w:space="0" w:color="auto"/>
              </w:divBdr>
            </w:div>
            <w:div w:id="1819150418">
              <w:marLeft w:val="0"/>
              <w:marRight w:val="0"/>
              <w:marTop w:val="0"/>
              <w:marBottom w:val="0"/>
              <w:divBdr>
                <w:top w:val="none" w:sz="0" w:space="0" w:color="auto"/>
                <w:left w:val="none" w:sz="0" w:space="0" w:color="auto"/>
                <w:bottom w:val="none" w:sz="0" w:space="0" w:color="auto"/>
                <w:right w:val="none" w:sz="0" w:space="0" w:color="auto"/>
              </w:divBdr>
            </w:div>
            <w:div w:id="997809007">
              <w:marLeft w:val="0"/>
              <w:marRight w:val="0"/>
              <w:marTop w:val="0"/>
              <w:marBottom w:val="0"/>
              <w:divBdr>
                <w:top w:val="none" w:sz="0" w:space="0" w:color="auto"/>
                <w:left w:val="none" w:sz="0" w:space="0" w:color="auto"/>
                <w:bottom w:val="none" w:sz="0" w:space="0" w:color="auto"/>
                <w:right w:val="none" w:sz="0" w:space="0" w:color="auto"/>
              </w:divBdr>
            </w:div>
            <w:div w:id="1444961748">
              <w:marLeft w:val="0"/>
              <w:marRight w:val="0"/>
              <w:marTop w:val="0"/>
              <w:marBottom w:val="0"/>
              <w:divBdr>
                <w:top w:val="none" w:sz="0" w:space="0" w:color="auto"/>
                <w:left w:val="none" w:sz="0" w:space="0" w:color="auto"/>
                <w:bottom w:val="none" w:sz="0" w:space="0" w:color="auto"/>
                <w:right w:val="none" w:sz="0" w:space="0" w:color="auto"/>
              </w:divBdr>
            </w:div>
            <w:div w:id="1144079067">
              <w:marLeft w:val="0"/>
              <w:marRight w:val="0"/>
              <w:marTop w:val="0"/>
              <w:marBottom w:val="0"/>
              <w:divBdr>
                <w:top w:val="none" w:sz="0" w:space="0" w:color="auto"/>
                <w:left w:val="none" w:sz="0" w:space="0" w:color="auto"/>
                <w:bottom w:val="none" w:sz="0" w:space="0" w:color="auto"/>
                <w:right w:val="none" w:sz="0" w:space="0" w:color="auto"/>
              </w:divBdr>
            </w:div>
            <w:div w:id="1426414897">
              <w:marLeft w:val="0"/>
              <w:marRight w:val="0"/>
              <w:marTop w:val="0"/>
              <w:marBottom w:val="0"/>
              <w:divBdr>
                <w:top w:val="none" w:sz="0" w:space="0" w:color="auto"/>
                <w:left w:val="none" w:sz="0" w:space="0" w:color="auto"/>
                <w:bottom w:val="none" w:sz="0" w:space="0" w:color="auto"/>
                <w:right w:val="none" w:sz="0" w:space="0" w:color="auto"/>
              </w:divBdr>
            </w:div>
            <w:div w:id="1339040952">
              <w:marLeft w:val="0"/>
              <w:marRight w:val="0"/>
              <w:marTop w:val="0"/>
              <w:marBottom w:val="0"/>
              <w:divBdr>
                <w:top w:val="none" w:sz="0" w:space="0" w:color="auto"/>
                <w:left w:val="none" w:sz="0" w:space="0" w:color="auto"/>
                <w:bottom w:val="none" w:sz="0" w:space="0" w:color="auto"/>
                <w:right w:val="none" w:sz="0" w:space="0" w:color="auto"/>
              </w:divBdr>
            </w:div>
            <w:div w:id="1000891285">
              <w:marLeft w:val="0"/>
              <w:marRight w:val="0"/>
              <w:marTop w:val="0"/>
              <w:marBottom w:val="0"/>
              <w:divBdr>
                <w:top w:val="none" w:sz="0" w:space="0" w:color="auto"/>
                <w:left w:val="none" w:sz="0" w:space="0" w:color="auto"/>
                <w:bottom w:val="none" w:sz="0" w:space="0" w:color="auto"/>
                <w:right w:val="none" w:sz="0" w:space="0" w:color="auto"/>
              </w:divBdr>
            </w:div>
            <w:div w:id="65760689">
              <w:marLeft w:val="0"/>
              <w:marRight w:val="0"/>
              <w:marTop w:val="0"/>
              <w:marBottom w:val="0"/>
              <w:divBdr>
                <w:top w:val="none" w:sz="0" w:space="0" w:color="auto"/>
                <w:left w:val="none" w:sz="0" w:space="0" w:color="auto"/>
                <w:bottom w:val="none" w:sz="0" w:space="0" w:color="auto"/>
                <w:right w:val="none" w:sz="0" w:space="0" w:color="auto"/>
              </w:divBdr>
            </w:div>
            <w:div w:id="926428874">
              <w:marLeft w:val="0"/>
              <w:marRight w:val="0"/>
              <w:marTop w:val="0"/>
              <w:marBottom w:val="0"/>
              <w:divBdr>
                <w:top w:val="none" w:sz="0" w:space="0" w:color="auto"/>
                <w:left w:val="none" w:sz="0" w:space="0" w:color="auto"/>
                <w:bottom w:val="none" w:sz="0" w:space="0" w:color="auto"/>
                <w:right w:val="none" w:sz="0" w:space="0" w:color="auto"/>
              </w:divBdr>
            </w:div>
            <w:div w:id="218135263">
              <w:marLeft w:val="0"/>
              <w:marRight w:val="0"/>
              <w:marTop w:val="0"/>
              <w:marBottom w:val="0"/>
              <w:divBdr>
                <w:top w:val="none" w:sz="0" w:space="0" w:color="auto"/>
                <w:left w:val="none" w:sz="0" w:space="0" w:color="auto"/>
                <w:bottom w:val="none" w:sz="0" w:space="0" w:color="auto"/>
                <w:right w:val="none" w:sz="0" w:space="0" w:color="auto"/>
              </w:divBdr>
            </w:div>
            <w:div w:id="1812016714">
              <w:marLeft w:val="0"/>
              <w:marRight w:val="0"/>
              <w:marTop w:val="0"/>
              <w:marBottom w:val="0"/>
              <w:divBdr>
                <w:top w:val="none" w:sz="0" w:space="0" w:color="auto"/>
                <w:left w:val="none" w:sz="0" w:space="0" w:color="auto"/>
                <w:bottom w:val="none" w:sz="0" w:space="0" w:color="auto"/>
                <w:right w:val="none" w:sz="0" w:space="0" w:color="auto"/>
              </w:divBdr>
            </w:div>
            <w:div w:id="1958217473">
              <w:marLeft w:val="0"/>
              <w:marRight w:val="0"/>
              <w:marTop w:val="0"/>
              <w:marBottom w:val="0"/>
              <w:divBdr>
                <w:top w:val="none" w:sz="0" w:space="0" w:color="auto"/>
                <w:left w:val="none" w:sz="0" w:space="0" w:color="auto"/>
                <w:bottom w:val="none" w:sz="0" w:space="0" w:color="auto"/>
                <w:right w:val="none" w:sz="0" w:space="0" w:color="auto"/>
              </w:divBdr>
            </w:div>
            <w:div w:id="986472866">
              <w:marLeft w:val="0"/>
              <w:marRight w:val="0"/>
              <w:marTop w:val="0"/>
              <w:marBottom w:val="0"/>
              <w:divBdr>
                <w:top w:val="none" w:sz="0" w:space="0" w:color="auto"/>
                <w:left w:val="none" w:sz="0" w:space="0" w:color="auto"/>
                <w:bottom w:val="none" w:sz="0" w:space="0" w:color="auto"/>
                <w:right w:val="none" w:sz="0" w:space="0" w:color="auto"/>
              </w:divBdr>
            </w:div>
            <w:div w:id="712000721">
              <w:marLeft w:val="0"/>
              <w:marRight w:val="0"/>
              <w:marTop w:val="0"/>
              <w:marBottom w:val="0"/>
              <w:divBdr>
                <w:top w:val="none" w:sz="0" w:space="0" w:color="auto"/>
                <w:left w:val="none" w:sz="0" w:space="0" w:color="auto"/>
                <w:bottom w:val="none" w:sz="0" w:space="0" w:color="auto"/>
                <w:right w:val="none" w:sz="0" w:space="0" w:color="auto"/>
              </w:divBdr>
            </w:div>
            <w:div w:id="617878168">
              <w:marLeft w:val="0"/>
              <w:marRight w:val="0"/>
              <w:marTop w:val="0"/>
              <w:marBottom w:val="0"/>
              <w:divBdr>
                <w:top w:val="none" w:sz="0" w:space="0" w:color="auto"/>
                <w:left w:val="none" w:sz="0" w:space="0" w:color="auto"/>
                <w:bottom w:val="none" w:sz="0" w:space="0" w:color="auto"/>
                <w:right w:val="none" w:sz="0" w:space="0" w:color="auto"/>
              </w:divBdr>
            </w:div>
            <w:div w:id="1757242727">
              <w:marLeft w:val="0"/>
              <w:marRight w:val="0"/>
              <w:marTop w:val="0"/>
              <w:marBottom w:val="0"/>
              <w:divBdr>
                <w:top w:val="none" w:sz="0" w:space="0" w:color="auto"/>
                <w:left w:val="none" w:sz="0" w:space="0" w:color="auto"/>
                <w:bottom w:val="none" w:sz="0" w:space="0" w:color="auto"/>
                <w:right w:val="none" w:sz="0" w:space="0" w:color="auto"/>
              </w:divBdr>
            </w:div>
            <w:div w:id="1008600049">
              <w:marLeft w:val="0"/>
              <w:marRight w:val="0"/>
              <w:marTop w:val="0"/>
              <w:marBottom w:val="0"/>
              <w:divBdr>
                <w:top w:val="none" w:sz="0" w:space="0" w:color="auto"/>
                <w:left w:val="none" w:sz="0" w:space="0" w:color="auto"/>
                <w:bottom w:val="none" w:sz="0" w:space="0" w:color="auto"/>
                <w:right w:val="none" w:sz="0" w:space="0" w:color="auto"/>
              </w:divBdr>
            </w:div>
            <w:div w:id="1173422692">
              <w:marLeft w:val="0"/>
              <w:marRight w:val="0"/>
              <w:marTop w:val="0"/>
              <w:marBottom w:val="0"/>
              <w:divBdr>
                <w:top w:val="none" w:sz="0" w:space="0" w:color="auto"/>
                <w:left w:val="none" w:sz="0" w:space="0" w:color="auto"/>
                <w:bottom w:val="none" w:sz="0" w:space="0" w:color="auto"/>
                <w:right w:val="none" w:sz="0" w:space="0" w:color="auto"/>
              </w:divBdr>
            </w:div>
            <w:div w:id="846792688">
              <w:marLeft w:val="0"/>
              <w:marRight w:val="0"/>
              <w:marTop w:val="0"/>
              <w:marBottom w:val="0"/>
              <w:divBdr>
                <w:top w:val="none" w:sz="0" w:space="0" w:color="auto"/>
                <w:left w:val="none" w:sz="0" w:space="0" w:color="auto"/>
                <w:bottom w:val="none" w:sz="0" w:space="0" w:color="auto"/>
                <w:right w:val="none" w:sz="0" w:space="0" w:color="auto"/>
              </w:divBdr>
            </w:div>
            <w:div w:id="301539316">
              <w:marLeft w:val="0"/>
              <w:marRight w:val="0"/>
              <w:marTop w:val="0"/>
              <w:marBottom w:val="0"/>
              <w:divBdr>
                <w:top w:val="none" w:sz="0" w:space="0" w:color="auto"/>
                <w:left w:val="none" w:sz="0" w:space="0" w:color="auto"/>
                <w:bottom w:val="none" w:sz="0" w:space="0" w:color="auto"/>
                <w:right w:val="none" w:sz="0" w:space="0" w:color="auto"/>
              </w:divBdr>
            </w:div>
            <w:div w:id="1807771158">
              <w:marLeft w:val="0"/>
              <w:marRight w:val="0"/>
              <w:marTop w:val="0"/>
              <w:marBottom w:val="0"/>
              <w:divBdr>
                <w:top w:val="none" w:sz="0" w:space="0" w:color="auto"/>
                <w:left w:val="none" w:sz="0" w:space="0" w:color="auto"/>
                <w:bottom w:val="none" w:sz="0" w:space="0" w:color="auto"/>
                <w:right w:val="none" w:sz="0" w:space="0" w:color="auto"/>
              </w:divBdr>
            </w:div>
            <w:div w:id="2085760131">
              <w:marLeft w:val="0"/>
              <w:marRight w:val="0"/>
              <w:marTop w:val="0"/>
              <w:marBottom w:val="0"/>
              <w:divBdr>
                <w:top w:val="none" w:sz="0" w:space="0" w:color="auto"/>
                <w:left w:val="none" w:sz="0" w:space="0" w:color="auto"/>
                <w:bottom w:val="none" w:sz="0" w:space="0" w:color="auto"/>
                <w:right w:val="none" w:sz="0" w:space="0" w:color="auto"/>
              </w:divBdr>
            </w:div>
            <w:div w:id="724332624">
              <w:marLeft w:val="0"/>
              <w:marRight w:val="0"/>
              <w:marTop w:val="0"/>
              <w:marBottom w:val="0"/>
              <w:divBdr>
                <w:top w:val="none" w:sz="0" w:space="0" w:color="auto"/>
                <w:left w:val="none" w:sz="0" w:space="0" w:color="auto"/>
                <w:bottom w:val="none" w:sz="0" w:space="0" w:color="auto"/>
                <w:right w:val="none" w:sz="0" w:space="0" w:color="auto"/>
              </w:divBdr>
            </w:div>
            <w:div w:id="1520314644">
              <w:marLeft w:val="0"/>
              <w:marRight w:val="0"/>
              <w:marTop w:val="0"/>
              <w:marBottom w:val="0"/>
              <w:divBdr>
                <w:top w:val="none" w:sz="0" w:space="0" w:color="auto"/>
                <w:left w:val="none" w:sz="0" w:space="0" w:color="auto"/>
                <w:bottom w:val="none" w:sz="0" w:space="0" w:color="auto"/>
                <w:right w:val="none" w:sz="0" w:space="0" w:color="auto"/>
              </w:divBdr>
            </w:div>
            <w:div w:id="133641229">
              <w:marLeft w:val="0"/>
              <w:marRight w:val="0"/>
              <w:marTop w:val="0"/>
              <w:marBottom w:val="0"/>
              <w:divBdr>
                <w:top w:val="none" w:sz="0" w:space="0" w:color="auto"/>
                <w:left w:val="none" w:sz="0" w:space="0" w:color="auto"/>
                <w:bottom w:val="none" w:sz="0" w:space="0" w:color="auto"/>
                <w:right w:val="none" w:sz="0" w:space="0" w:color="auto"/>
              </w:divBdr>
            </w:div>
            <w:div w:id="1697776941">
              <w:marLeft w:val="0"/>
              <w:marRight w:val="0"/>
              <w:marTop w:val="0"/>
              <w:marBottom w:val="0"/>
              <w:divBdr>
                <w:top w:val="none" w:sz="0" w:space="0" w:color="auto"/>
                <w:left w:val="none" w:sz="0" w:space="0" w:color="auto"/>
                <w:bottom w:val="none" w:sz="0" w:space="0" w:color="auto"/>
                <w:right w:val="none" w:sz="0" w:space="0" w:color="auto"/>
              </w:divBdr>
            </w:div>
            <w:div w:id="254480277">
              <w:marLeft w:val="0"/>
              <w:marRight w:val="0"/>
              <w:marTop w:val="0"/>
              <w:marBottom w:val="0"/>
              <w:divBdr>
                <w:top w:val="none" w:sz="0" w:space="0" w:color="auto"/>
                <w:left w:val="none" w:sz="0" w:space="0" w:color="auto"/>
                <w:bottom w:val="none" w:sz="0" w:space="0" w:color="auto"/>
                <w:right w:val="none" w:sz="0" w:space="0" w:color="auto"/>
              </w:divBdr>
            </w:div>
            <w:div w:id="1122990740">
              <w:marLeft w:val="0"/>
              <w:marRight w:val="0"/>
              <w:marTop w:val="0"/>
              <w:marBottom w:val="0"/>
              <w:divBdr>
                <w:top w:val="none" w:sz="0" w:space="0" w:color="auto"/>
                <w:left w:val="none" w:sz="0" w:space="0" w:color="auto"/>
                <w:bottom w:val="none" w:sz="0" w:space="0" w:color="auto"/>
                <w:right w:val="none" w:sz="0" w:space="0" w:color="auto"/>
              </w:divBdr>
            </w:div>
            <w:div w:id="477502669">
              <w:marLeft w:val="0"/>
              <w:marRight w:val="0"/>
              <w:marTop w:val="0"/>
              <w:marBottom w:val="0"/>
              <w:divBdr>
                <w:top w:val="none" w:sz="0" w:space="0" w:color="auto"/>
                <w:left w:val="none" w:sz="0" w:space="0" w:color="auto"/>
                <w:bottom w:val="none" w:sz="0" w:space="0" w:color="auto"/>
                <w:right w:val="none" w:sz="0" w:space="0" w:color="auto"/>
              </w:divBdr>
            </w:div>
            <w:div w:id="52780986">
              <w:marLeft w:val="0"/>
              <w:marRight w:val="0"/>
              <w:marTop w:val="0"/>
              <w:marBottom w:val="0"/>
              <w:divBdr>
                <w:top w:val="none" w:sz="0" w:space="0" w:color="auto"/>
                <w:left w:val="none" w:sz="0" w:space="0" w:color="auto"/>
                <w:bottom w:val="none" w:sz="0" w:space="0" w:color="auto"/>
                <w:right w:val="none" w:sz="0" w:space="0" w:color="auto"/>
              </w:divBdr>
            </w:div>
            <w:div w:id="410542861">
              <w:marLeft w:val="0"/>
              <w:marRight w:val="0"/>
              <w:marTop w:val="0"/>
              <w:marBottom w:val="0"/>
              <w:divBdr>
                <w:top w:val="none" w:sz="0" w:space="0" w:color="auto"/>
                <w:left w:val="none" w:sz="0" w:space="0" w:color="auto"/>
                <w:bottom w:val="none" w:sz="0" w:space="0" w:color="auto"/>
                <w:right w:val="none" w:sz="0" w:space="0" w:color="auto"/>
              </w:divBdr>
            </w:div>
            <w:div w:id="333532003">
              <w:marLeft w:val="0"/>
              <w:marRight w:val="0"/>
              <w:marTop w:val="0"/>
              <w:marBottom w:val="0"/>
              <w:divBdr>
                <w:top w:val="none" w:sz="0" w:space="0" w:color="auto"/>
                <w:left w:val="none" w:sz="0" w:space="0" w:color="auto"/>
                <w:bottom w:val="none" w:sz="0" w:space="0" w:color="auto"/>
                <w:right w:val="none" w:sz="0" w:space="0" w:color="auto"/>
              </w:divBdr>
            </w:div>
            <w:div w:id="578559183">
              <w:marLeft w:val="0"/>
              <w:marRight w:val="0"/>
              <w:marTop w:val="0"/>
              <w:marBottom w:val="0"/>
              <w:divBdr>
                <w:top w:val="none" w:sz="0" w:space="0" w:color="auto"/>
                <w:left w:val="none" w:sz="0" w:space="0" w:color="auto"/>
                <w:bottom w:val="none" w:sz="0" w:space="0" w:color="auto"/>
                <w:right w:val="none" w:sz="0" w:space="0" w:color="auto"/>
              </w:divBdr>
            </w:div>
            <w:div w:id="1033925387">
              <w:marLeft w:val="0"/>
              <w:marRight w:val="0"/>
              <w:marTop w:val="0"/>
              <w:marBottom w:val="0"/>
              <w:divBdr>
                <w:top w:val="none" w:sz="0" w:space="0" w:color="auto"/>
                <w:left w:val="none" w:sz="0" w:space="0" w:color="auto"/>
                <w:bottom w:val="none" w:sz="0" w:space="0" w:color="auto"/>
                <w:right w:val="none" w:sz="0" w:space="0" w:color="auto"/>
              </w:divBdr>
            </w:div>
            <w:div w:id="206332266">
              <w:marLeft w:val="0"/>
              <w:marRight w:val="0"/>
              <w:marTop w:val="0"/>
              <w:marBottom w:val="0"/>
              <w:divBdr>
                <w:top w:val="none" w:sz="0" w:space="0" w:color="auto"/>
                <w:left w:val="none" w:sz="0" w:space="0" w:color="auto"/>
                <w:bottom w:val="none" w:sz="0" w:space="0" w:color="auto"/>
                <w:right w:val="none" w:sz="0" w:space="0" w:color="auto"/>
              </w:divBdr>
            </w:div>
            <w:div w:id="935089484">
              <w:marLeft w:val="0"/>
              <w:marRight w:val="0"/>
              <w:marTop w:val="0"/>
              <w:marBottom w:val="0"/>
              <w:divBdr>
                <w:top w:val="none" w:sz="0" w:space="0" w:color="auto"/>
                <w:left w:val="none" w:sz="0" w:space="0" w:color="auto"/>
                <w:bottom w:val="none" w:sz="0" w:space="0" w:color="auto"/>
                <w:right w:val="none" w:sz="0" w:space="0" w:color="auto"/>
              </w:divBdr>
            </w:div>
            <w:div w:id="1785030922">
              <w:marLeft w:val="0"/>
              <w:marRight w:val="0"/>
              <w:marTop w:val="0"/>
              <w:marBottom w:val="0"/>
              <w:divBdr>
                <w:top w:val="none" w:sz="0" w:space="0" w:color="auto"/>
                <w:left w:val="none" w:sz="0" w:space="0" w:color="auto"/>
                <w:bottom w:val="none" w:sz="0" w:space="0" w:color="auto"/>
                <w:right w:val="none" w:sz="0" w:space="0" w:color="auto"/>
              </w:divBdr>
            </w:div>
            <w:div w:id="1129394524">
              <w:marLeft w:val="0"/>
              <w:marRight w:val="0"/>
              <w:marTop w:val="0"/>
              <w:marBottom w:val="0"/>
              <w:divBdr>
                <w:top w:val="none" w:sz="0" w:space="0" w:color="auto"/>
                <w:left w:val="none" w:sz="0" w:space="0" w:color="auto"/>
                <w:bottom w:val="none" w:sz="0" w:space="0" w:color="auto"/>
                <w:right w:val="none" w:sz="0" w:space="0" w:color="auto"/>
              </w:divBdr>
            </w:div>
            <w:div w:id="1028026020">
              <w:marLeft w:val="0"/>
              <w:marRight w:val="0"/>
              <w:marTop w:val="0"/>
              <w:marBottom w:val="0"/>
              <w:divBdr>
                <w:top w:val="none" w:sz="0" w:space="0" w:color="auto"/>
                <w:left w:val="none" w:sz="0" w:space="0" w:color="auto"/>
                <w:bottom w:val="none" w:sz="0" w:space="0" w:color="auto"/>
                <w:right w:val="none" w:sz="0" w:space="0" w:color="auto"/>
              </w:divBdr>
            </w:div>
            <w:div w:id="758795074">
              <w:marLeft w:val="0"/>
              <w:marRight w:val="0"/>
              <w:marTop w:val="0"/>
              <w:marBottom w:val="0"/>
              <w:divBdr>
                <w:top w:val="none" w:sz="0" w:space="0" w:color="auto"/>
                <w:left w:val="none" w:sz="0" w:space="0" w:color="auto"/>
                <w:bottom w:val="none" w:sz="0" w:space="0" w:color="auto"/>
                <w:right w:val="none" w:sz="0" w:space="0" w:color="auto"/>
              </w:divBdr>
            </w:div>
            <w:div w:id="787701199">
              <w:marLeft w:val="0"/>
              <w:marRight w:val="0"/>
              <w:marTop w:val="0"/>
              <w:marBottom w:val="0"/>
              <w:divBdr>
                <w:top w:val="none" w:sz="0" w:space="0" w:color="auto"/>
                <w:left w:val="none" w:sz="0" w:space="0" w:color="auto"/>
                <w:bottom w:val="none" w:sz="0" w:space="0" w:color="auto"/>
                <w:right w:val="none" w:sz="0" w:space="0" w:color="auto"/>
              </w:divBdr>
            </w:div>
            <w:div w:id="2105805059">
              <w:marLeft w:val="0"/>
              <w:marRight w:val="0"/>
              <w:marTop w:val="0"/>
              <w:marBottom w:val="0"/>
              <w:divBdr>
                <w:top w:val="none" w:sz="0" w:space="0" w:color="auto"/>
                <w:left w:val="none" w:sz="0" w:space="0" w:color="auto"/>
                <w:bottom w:val="none" w:sz="0" w:space="0" w:color="auto"/>
                <w:right w:val="none" w:sz="0" w:space="0" w:color="auto"/>
              </w:divBdr>
            </w:div>
            <w:div w:id="931090073">
              <w:marLeft w:val="0"/>
              <w:marRight w:val="0"/>
              <w:marTop w:val="0"/>
              <w:marBottom w:val="0"/>
              <w:divBdr>
                <w:top w:val="none" w:sz="0" w:space="0" w:color="auto"/>
                <w:left w:val="none" w:sz="0" w:space="0" w:color="auto"/>
                <w:bottom w:val="none" w:sz="0" w:space="0" w:color="auto"/>
                <w:right w:val="none" w:sz="0" w:space="0" w:color="auto"/>
              </w:divBdr>
            </w:div>
            <w:div w:id="1461336787">
              <w:marLeft w:val="0"/>
              <w:marRight w:val="0"/>
              <w:marTop w:val="0"/>
              <w:marBottom w:val="0"/>
              <w:divBdr>
                <w:top w:val="none" w:sz="0" w:space="0" w:color="auto"/>
                <w:left w:val="none" w:sz="0" w:space="0" w:color="auto"/>
                <w:bottom w:val="none" w:sz="0" w:space="0" w:color="auto"/>
                <w:right w:val="none" w:sz="0" w:space="0" w:color="auto"/>
              </w:divBdr>
            </w:div>
            <w:div w:id="1381006662">
              <w:marLeft w:val="0"/>
              <w:marRight w:val="0"/>
              <w:marTop w:val="0"/>
              <w:marBottom w:val="0"/>
              <w:divBdr>
                <w:top w:val="none" w:sz="0" w:space="0" w:color="auto"/>
                <w:left w:val="none" w:sz="0" w:space="0" w:color="auto"/>
                <w:bottom w:val="none" w:sz="0" w:space="0" w:color="auto"/>
                <w:right w:val="none" w:sz="0" w:space="0" w:color="auto"/>
              </w:divBdr>
            </w:div>
            <w:div w:id="29261741">
              <w:marLeft w:val="0"/>
              <w:marRight w:val="0"/>
              <w:marTop w:val="0"/>
              <w:marBottom w:val="0"/>
              <w:divBdr>
                <w:top w:val="none" w:sz="0" w:space="0" w:color="auto"/>
                <w:left w:val="none" w:sz="0" w:space="0" w:color="auto"/>
                <w:bottom w:val="none" w:sz="0" w:space="0" w:color="auto"/>
                <w:right w:val="none" w:sz="0" w:space="0" w:color="auto"/>
              </w:divBdr>
            </w:div>
            <w:div w:id="761222706">
              <w:marLeft w:val="0"/>
              <w:marRight w:val="0"/>
              <w:marTop w:val="0"/>
              <w:marBottom w:val="0"/>
              <w:divBdr>
                <w:top w:val="none" w:sz="0" w:space="0" w:color="auto"/>
                <w:left w:val="none" w:sz="0" w:space="0" w:color="auto"/>
                <w:bottom w:val="none" w:sz="0" w:space="0" w:color="auto"/>
                <w:right w:val="none" w:sz="0" w:space="0" w:color="auto"/>
              </w:divBdr>
            </w:div>
            <w:div w:id="1675453027">
              <w:marLeft w:val="0"/>
              <w:marRight w:val="0"/>
              <w:marTop w:val="0"/>
              <w:marBottom w:val="0"/>
              <w:divBdr>
                <w:top w:val="none" w:sz="0" w:space="0" w:color="auto"/>
                <w:left w:val="none" w:sz="0" w:space="0" w:color="auto"/>
                <w:bottom w:val="none" w:sz="0" w:space="0" w:color="auto"/>
                <w:right w:val="none" w:sz="0" w:space="0" w:color="auto"/>
              </w:divBdr>
            </w:div>
            <w:div w:id="643774204">
              <w:marLeft w:val="0"/>
              <w:marRight w:val="0"/>
              <w:marTop w:val="0"/>
              <w:marBottom w:val="0"/>
              <w:divBdr>
                <w:top w:val="none" w:sz="0" w:space="0" w:color="auto"/>
                <w:left w:val="none" w:sz="0" w:space="0" w:color="auto"/>
                <w:bottom w:val="none" w:sz="0" w:space="0" w:color="auto"/>
                <w:right w:val="none" w:sz="0" w:space="0" w:color="auto"/>
              </w:divBdr>
            </w:div>
            <w:div w:id="1806464918">
              <w:marLeft w:val="0"/>
              <w:marRight w:val="0"/>
              <w:marTop w:val="0"/>
              <w:marBottom w:val="0"/>
              <w:divBdr>
                <w:top w:val="none" w:sz="0" w:space="0" w:color="auto"/>
                <w:left w:val="none" w:sz="0" w:space="0" w:color="auto"/>
                <w:bottom w:val="none" w:sz="0" w:space="0" w:color="auto"/>
                <w:right w:val="none" w:sz="0" w:space="0" w:color="auto"/>
              </w:divBdr>
            </w:div>
            <w:div w:id="1672216789">
              <w:marLeft w:val="0"/>
              <w:marRight w:val="0"/>
              <w:marTop w:val="0"/>
              <w:marBottom w:val="0"/>
              <w:divBdr>
                <w:top w:val="none" w:sz="0" w:space="0" w:color="auto"/>
                <w:left w:val="none" w:sz="0" w:space="0" w:color="auto"/>
                <w:bottom w:val="none" w:sz="0" w:space="0" w:color="auto"/>
                <w:right w:val="none" w:sz="0" w:space="0" w:color="auto"/>
              </w:divBdr>
            </w:div>
            <w:div w:id="12072849">
              <w:marLeft w:val="0"/>
              <w:marRight w:val="0"/>
              <w:marTop w:val="0"/>
              <w:marBottom w:val="0"/>
              <w:divBdr>
                <w:top w:val="none" w:sz="0" w:space="0" w:color="auto"/>
                <w:left w:val="none" w:sz="0" w:space="0" w:color="auto"/>
                <w:bottom w:val="none" w:sz="0" w:space="0" w:color="auto"/>
                <w:right w:val="none" w:sz="0" w:space="0" w:color="auto"/>
              </w:divBdr>
            </w:div>
            <w:div w:id="1327241671">
              <w:marLeft w:val="0"/>
              <w:marRight w:val="0"/>
              <w:marTop w:val="0"/>
              <w:marBottom w:val="0"/>
              <w:divBdr>
                <w:top w:val="none" w:sz="0" w:space="0" w:color="auto"/>
                <w:left w:val="none" w:sz="0" w:space="0" w:color="auto"/>
                <w:bottom w:val="none" w:sz="0" w:space="0" w:color="auto"/>
                <w:right w:val="none" w:sz="0" w:space="0" w:color="auto"/>
              </w:divBdr>
            </w:div>
            <w:div w:id="1783261197">
              <w:marLeft w:val="0"/>
              <w:marRight w:val="0"/>
              <w:marTop w:val="0"/>
              <w:marBottom w:val="0"/>
              <w:divBdr>
                <w:top w:val="none" w:sz="0" w:space="0" w:color="auto"/>
                <w:left w:val="none" w:sz="0" w:space="0" w:color="auto"/>
                <w:bottom w:val="none" w:sz="0" w:space="0" w:color="auto"/>
                <w:right w:val="none" w:sz="0" w:space="0" w:color="auto"/>
              </w:divBdr>
            </w:div>
            <w:div w:id="1565944450">
              <w:marLeft w:val="0"/>
              <w:marRight w:val="0"/>
              <w:marTop w:val="0"/>
              <w:marBottom w:val="0"/>
              <w:divBdr>
                <w:top w:val="none" w:sz="0" w:space="0" w:color="auto"/>
                <w:left w:val="none" w:sz="0" w:space="0" w:color="auto"/>
                <w:bottom w:val="none" w:sz="0" w:space="0" w:color="auto"/>
                <w:right w:val="none" w:sz="0" w:space="0" w:color="auto"/>
              </w:divBdr>
            </w:div>
            <w:div w:id="730076704">
              <w:marLeft w:val="0"/>
              <w:marRight w:val="0"/>
              <w:marTop w:val="0"/>
              <w:marBottom w:val="0"/>
              <w:divBdr>
                <w:top w:val="none" w:sz="0" w:space="0" w:color="auto"/>
                <w:left w:val="none" w:sz="0" w:space="0" w:color="auto"/>
                <w:bottom w:val="none" w:sz="0" w:space="0" w:color="auto"/>
                <w:right w:val="none" w:sz="0" w:space="0" w:color="auto"/>
              </w:divBdr>
            </w:div>
            <w:div w:id="1644388838">
              <w:marLeft w:val="0"/>
              <w:marRight w:val="0"/>
              <w:marTop w:val="0"/>
              <w:marBottom w:val="0"/>
              <w:divBdr>
                <w:top w:val="none" w:sz="0" w:space="0" w:color="auto"/>
                <w:left w:val="none" w:sz="0" w:space="0" w:color="auto"/>
                <w:bottom w:val="none" w:sz="0" w:space="0" w:color="auto"/>
                <w:right w:val="none" w:sz="0" w:space="0" w:color="auto"/>
              </w:divBdr>
            </w:div>
            <w:div w:id="1749377749">
              <w:marLeft w:val="0"/>
              <w:marRight w:val="0"/>
              <w:marTop w:val="0"/>
              <w:marBottom w:val="0"/>
              <w:divBdr>
                <w:top w:val="none" w:sz="0" w:space="0" w:color="auto"/>
                <w:left w:val="none" w:sz="0" w:space="0" w:color="auto"/>
                <w:bottom w:val="none" w:sz="0" w:space="0" w:color="auto"/>
                <w:right w:val="none" w:sz="0" w:space="0" w:color="auto"/>
              </w:divBdr>
            </w:div>
            <w:div w:id="606238770">
              <w:marLeft w:val="0"/>
              <w:marRight w:val="0"/>
              <w:marTop w:val="0"/>
              <w:marBottom w:val="0"/>
              <w:divBdr>
                <w:top w:val="none" w:sz="0" w:space="0" w:color="auto"/>
                <w:left w:val="none" w:sz="0" w:space="0" w:color="auto"/>
                <w:bottom w:val="none" w:sz="0" w:space="0" w:color="auto"/>
                <w:right w:val="none" w:sz="0" w:space="0" w:color="auto"/>
              </w:divBdr>
            </w:div>
            <w:div w:id="937710902">
              <w:marLeft w:val="0"/>
              <w:marRight w:val="0"/>
              <w:marTop w:val="0"/>
              <w:marBottom w:val="0"/>
              <w:divBdr>
                <w:top w:val="none" w:sz="0" w:space="0" w:color="auto"/>
                <w:left w:val="none" w:sz="0" w:space="0" w:color="auto"/>
                <w:bottom w:val="none" w:sz="0" w:space="0" w:color="auto"/>
                <w:right w:val="none" w:sz="0" w:space="0" w:color="auto"/>
              </w:divBdr>
            </w:div>
            <w:div w:id="151336049">
              <w:marLeft w:val="0"/>
              <w:marRight w:val="0"/>
              <w:marTop w:val="0"/>
              <w:marBottom w:val="0"/>
              <w:divBdr>
                <w:top w:val="none" w:sz="0" w:space="0" w:color="auto"/>
                <w:left w:val="none" w:sz="0" w:space="0" w:color="auto"/>
                <w:bottom w:val="none" w:sz="0" w:space="0" w:color="auto"/>
                <w:right w:val="none" w:sz="0" w:space="0" w:color="auto"/>
              </w:divBdr>
            </w:div>
            <w:div w:id="1606114124">
              <w:marLeft w:val="0"/>
              <w:marRight w:val="0"/>
              <w:marTop w:val="0"/>
              <w:marBottom w:val="0"/>
              <w:divBdr>
                <w:top w:val="none" w:sz="0" w:space="0" w:color="auto"/>
                <w:left w:val="none" w:sz="0" w:space="0" w:color="auto"/>
                <w:bottom w:val="none" w:sz="0" w:space="0" w:color="auto"/>
                <w:right w:val="none" w:sz="0" w:space="0" w:color="auto"/>
              </w:divBdr>
            </w:div>
            <w:div w:id="670646308">
              <w:marLeft w:val="0"/>
              <w:marRight w:val="0"/>
              <w:marTop w:val="0"/>
              <w:marBottom w:val="0"/>
              <w:divBdr>
                <w:top w:val="none" w:sz="0" w:space="0" w:color="auto"/>
                <w:left w:val="none" w:sz="0" w:space="0" w:color="auto"/>
                <w:bottom w:val="none" w:sz="0" w:space="0" w:color="auto"/>
                <w:right w:val="none" w:sz="0" w:space="0" w:color="auto"/>
              </w:divBdr>
            </w:div>
            <w:div w:id="953826368">
              <w:marLeft w:val="0"/>
              <w:marRight w:val="0"/>
              <w:marTop w:val="0"/>
              <w:marBottom w:val="0"/>
              <w:divBdr>
                <w:top w:val="none" w:sz="0" w:space="0" w:color="auto"/>
                <w:left w:val="none" w:sz="0" w:space="0" w:color="auto"/>
                <w:bottom w:val="none" w:sz="0" w:space="0" w:color="auto"/>
                <w:right w:val="none" w:sz="0" w:space="0" w:color="auto"/>
              </w:divBdr>
            </w:div>
            <w:div w:id="2065640976">
              <w:marLeft w:val="0"/>
              <w:marRight w:val="0"/>
              <w:marTop w:val="0"/>
              <w:marBottom w:val="0"/>
              <w:divBdr>
                <w:top w:val="none" w:sz="0" w:space="0" w:color="auto"/>
                <w:left w:val="none" w:sz="0" w:space="0" w:color="auto"/>
                <w:bottom w:val="none" w:sz="0" w:space="0" w:color="auto"/>
                <w:right w:val="none" w:sz="0" w:space="0" w:color="auto"/>
              </w:divBdr>
            </w:div>
            <w:div w:id="679044723">
              <w:marLeft w:val="0"/>
              <w:marRight w:val="0"/>
              <w:marTop w:val="0"/>
              <w:marBottom w:val="0"/>
              <w:divBdr>
                <w:top w:val="none" w:sz="0" w:space="0" w:color="auto"/>
                <w:left w:val="none" w:sz="0" w:space="0" w:color="auto"/>
                <w:bottom w:val="none" w:sz="0" w:space="0" w:color="auto"/>
                <w:right w:val="none" w:sz="0" w:space="0" w:color="auto"/>
              </w:divBdr>
            </w:div>
            <w:div w:id="1804228052">
              <w:marLeft w:val="0"/>
              <w:marRight w:val="0"/>
              <w:marTop w:val="0"/>
              <w:marBottom w:val="0"/>
              <w:divBdr>
                <w:top w:val="none" w:sz="0" w:space="0" w:color="auto"/>
                <w:left w:val="none" w:sz="0" w:space="0" w:color="auto"/>
                <w:bottom w:val="none" w:sz="0" w:space="0" w:color="auto"/>
                <w:right w:val="none" w:sz="0" w:space="0" w:color="auto"/>
              </w:divBdr>
            </w:div>
            <w:div w:id="1445077679">
              <w:marLeft w:val="0"/>
              <w:marRight w:val="0"/>
              <w:marTop w:val="0"/>
              <w:marBottom w:val="0"/>
              <w:divBdr>
                <w:top w:val="none" w:sz="0" w:space="0" w:color="auto"/>
                <w:left w:val="none" w:sz="0" w:space="0" w:color="auto"/>
                <w:bottom w:val="none" w:sz="0" w:space="0" w:color="auto"/>
                <w:right w:val="none" w:sz="0" w:space="0" w:color="auto"/>
              </w:divBdr>
            </w:div>
            <w:div w:id="848447678">
              <w:marLeft w:val="0"/>
              <w:marRight w:val="0"/>
              <w:marTop w:val="0"/>
              <w:marBottom w:val="0"/>
              <w:divBdr>
                <w:top w:val="none" w:sz="0" w:space="0" w:color="auto"/>
                <w:left w:val="none" w:sz="0" w:space="0" w:color="auto"/>
                <w:bottom w:val="none" w:sz="0" w:space="0" w:color="auto"/>
                <w:right w:val="none" w:sz="0" w:space="0" w:color="auto"/>
              </w:divBdr>
            </w:div>
            <w:div w:id="1360887001">
              <w:marLeft w:val="0"/>
              <w:marRight w:val="0"/>
              <w:marTop w:val="0"/>
              <w:marBottom w:val="0"/>
              <w:divBdr>
                <w:top w:val="none" w:sz="0" w:space="0" w:color="auto"/>
                <w:left w:val="none" w:sz="0" w:space="0" w:color="auto"/>
                <w:bottom w:val="none" w:sz="0" w:space="0" w:color="auto"/>
                <w:right w:val="none" w:sz="0" w:space="0" w:color="auto"/>
              </w:divBdr>
            </w:div>
            <w:div w:id="1141965930">
              <w:marLeft w:val="0"/>
              <w:marRight w:val="0"/>
              <w:marTop w:val="0"/>
              <w:marBottom w:val="0"/>
              <w:divBdr>
                <w:top w:val="none" w:sz="0" w:space="0" w:color="auto"/>
                <w:left w:val="none" w:sz="0" w:space="0" w:color="auto"/>
                <w:bottom w:val="none" w:sz="0" w:space="0" w:color="auto"/>
                <w:right w:val="none" w:sz="0" w:space="0" w:color="auto"/>
              </w:divBdr>
            </w:div>
            <w:div w:id="1501701822">
              <w:marLeft w:val="0"/>
              <w:marRight w:val="0"/>
              <w:marTop w:val="0"/>
              <w:marBottom w:val="0"/>
              <w:divBdr>
                <w:top w:val="none" w:sz="0" w:space="0" w:color="auto"/>
                <w:left w:val="none" w:sz="0" w:space="0" w:color="auto"/>
                <w:bottom w:val="none" w:sz="0" w:space="0" w:color="auto"/>
                <w:right w:val="none" w:sz="0" w:space="0" w:color="auto"/>
              </w:divBdr>
            </w:div>
            <w:div w:id="1816264997">
              <w:marLeft w:val="0"/>
              <w:marRight w:val="0"/>
              <w:marTop w:val="0"/>
              <w:marBottom w:val="0"/>
              <w:divBdr>
                <w:top w:val="none" w:sz="0" w:space="0" w:color="auto"/>
                <w:left w:val="none" w:sz="0" w:space="0" w:color="auto"/>
                <w:bottom w:val="none" w:sz="0" w:space="0" w:color="auto"/>
                <w:right w:val="none" w:sz="0" w:space="0" w:color="auto"/>
              </w:divBdr>
            </w:div>
            <w:div w:id="2900544">
              <w:marLeft w:val="0"/>
              <w:marRight w:val="0"/>
              <w:marTop w:val="0"/>
              <w:marBottom w:val="0"/>
              <w:divBdr>
                <w:top w:val="none" w:sz="0" w:space="0" w:color="auto"/>
                <w:left w:val="none" w:sz="0" w:space="0" w:color="auto"/>
                <w:bottom w:val="none" w:sz="0" w:space="0" w:color="auto"/>
                <w:right w:val="none" w:sz="0" w:space="0" w:color="auto"/>
              </w:divBdr>
            </w:div>
            <w:div w:id="598025654">
              <w:marLeft w:val="0"/>
              <w:marRight w:val="0"/>
              <w:marTop w:val="0"/>
              <w:marBottom w:val="0"/>
              <w:divBdr>
                <w:top w:val="none" w:sz="0" w:space="0" w:color="auto"/>
                <w:left w:val="none" w:sz="0" w:space="0" w:color="auto"/>
                <w:bottom w:val="none" w:sz="0" w:space="0" w:color="auto"/>
                <w:right w:val="none" w:sz="0" w:space="0" w:color="auto"/>
              </w:divBdr>
            </w:div>
            <w:div w:id="1375497935">
              <w:marLeft w:val="0"/>
              <w:marRight w:val="0"/>
              <w:marTop w:val="0"/>
              <w:marBottom w:val="0"/>
              <w:divBdr>
                <w:top w:val="none" w:sz="0" w:space="0" w:color="auto"/>
                <w:left w:val="none" w:sz="0" w:space="0" w:color="auto"/>
                <w:bottom w:val="none" w:sz="0" w:space="0" w:color="auto"/>
                <w:right w:val="none" w:sz="0" w:space="0" w:color="auto"/>
              </w:divBdr>
            </w:div>
            <w:div w:id="389691462">
              <w:marLeft w:val="0"/>
              <w:marRight w:val="0"/>
              <w:marTop w:val="0"/>
              <w:marBottom w:val="0"/>
              <w:divBdr>
                <w:top w:val="none" w:sz="0" w:space="0" w:color="auto"/>
                <w:left w:val="none" w:sz="0" w:space="0" w:color="auto"/>
                <w:bottom w:val="none" w:sz="0" w:space="0" w:color="auto"/>
                <w:right w:val="none" w:sz="0" w:space="0" w:color="auto"/>
              </w:divBdr>
            </w:div>
            <w:div w:id="1866404271">
              <w:marLeft w:val="0"/>
              <w:marRight w:val="0"/>
              <w:marTop w:val="0"/>
              <w:marBottom w:val="0"/>
              <w:divBdr>
                <w:top w:val="none" w:sz="0" w:space="0" w:color="auto"/>
                <w:left w:val="none" w:sz="0" w:space="0" w:color="auto"/>
                <w:bottom w:val="none" w:sz="0" w:space="0" w:color="auto"/>
                <w:right w:val="none" w:sz="0" w:space="0" w:color="auto"/>
              </w:divBdr>
            </w:div>
            <w:div w:id="2090541555">
              <w:marLeft w:val="0"/>
              <w:marRight w:val="0"/>
              <w:marTop w:val="0"/>
              <w:marBottom w:val="0"/>
              <w:divBdr>
                <w:top w:val="none" w:sz="0" w:space="0" w:color="auto"/>
                <w:left w:val="none" w:sz="0" w:space="0" w:color="auto"/>
                <w:bottom w:val="none" w:sz="0" w:space="0" w:color="auto"/>
                <w:right w:val="none" w:sz="0" w:space="0" w:color="auto"/>
              </w:divBdr>
            </w:div>
            <w:div w:id="1775175860">
              <w:marLeft w:val="0"/>
              <w:marRight w:val="0"/>
              <w:marTop w:val="0"/>
              <w:marBottom w:val="0"/>
              <w:divBdr>
                <w:top w:val="none" w:sz="0" w:space="0" w:color="auto"/>
                <w:left w:val="none" w:sz="0" w:space="0" w:color="auto"/>
                <w:bottom w:val="none" w:sz="0" w:space="0" w:color="auto"/>
                <w:right w:val="none" w:sz="0" w:space="0" w:color="auto"/>
              </w:divBdr>
            </w:div>
            <w:div w:id="1541170129">
              <w:marLeft w:val="0"/>
              <w:marRight w:val="0"/>
              <w:marTop w:val="0"/>
              <w:marBottom w:val="0"/>
              <w:divBdr>
                <w:top w:val="none" w:sz="0" w:space="0" w:color="auto"/>
                <w:left w:val="none" w:sz="0" w:space="0" w:color="auto"/>
                <w:bottom w:val="none" w:sz="0" w:space="0" w:color="auto"/>
                <w:right w:val="none" w:sz="0" w:space="0" w:color="auto"/>
              </w:divBdr>
            </w:div>
            <w:div w:id="1952319969">
              <w:marLeft w:val="0"/>
              <w:marRight w:val="0"/>
              <w:marTop w:val="0"/>
              <w:marBottom w:val="0"/>
              <w:divBdr>
                <w:top w:val="none" w:sz="0" w:space="0" w:color="auto"/>
                <w:left w:val="none" w:sz="0" w:space="0" w:color="auto"/>
                <w:bottom w:val="none" w:sz="0" w:space="0" w:color="auto"/>
                <w:right w:val="none" w:sz="0" w:space="0" w:color="auto"/>
              </w:divBdr>
            </w:div>
            <w:div w:id="377510819">
              <w:marLeft w:val="0"/>
              <w:marRight w:val="0"/>
              <w:marTop w:val="0"/>
              <w:marBottom w:val="0"/>
              <w:divBdr>
                <w:top w:val="none" w:sz="0" w:space="0" w:color="auto"/>
                <w:left w:val="none" w:sz="0" w:space="0" w:color="auto"/>
                <w:bottom w:val="none" w:sz="0" w:space="0" w:color="auto"/>
                <w:right w:val="none" w:sz="0" w:space="0" w:color="auto"/>
              </w:divBdr>
            </w:div>
            <w:div w:id="253637814">
              <w:marLeft w:val="0"/>
              <w:marRight w:val="0"/>
              <w:marTop w:val="0"/>
              <w:marBottom w:val="0"/>
              <w:divBdr>
                <w:top w:val="none" w:sz="0" w:space="0" w:color="auto"/>
                <w:left w:val="none" w:sz="0" w:space="0" w:color="auto"/>
                <w:bottom w:val="none" w:sz="0" w:space="0" w:color="auto"/>
                <w:right w:val="none" w:sz="0" w:space="0" w:color="auto"/>
              </w:divBdr>
            </w:div>
            <w:div w:id="838807481">
              <w:marLeft w:val="0"/>
              <w:marRight w:val="0"/>
              <w:marTop w:val="0"/>
              <w:marBottom w:val="0"/>
              <w:divBdr>
                <w:top w:val="none" w:sz="0" w:space="0" w:color="auto"/>
                <w:left w:val="none" w:sz="0" w:space="0" w:color="auto"/>
                <w:bottom w:val="none" w:sz="0" w:space="0" w:color="auto"/>
                <w:right w:val="none" w:sz="0" w:space="0" w:color="auto"/>
              </w:divBdr>
            </w:div>
            <w:div w:id="1752579279">
              <w:marLeft w:val="0"/>
              <w:marRight w:val="0"/>
              <w:marTop w:val="0"/>
              <w:marBottom w:val="0"/>
              <w:divBdr>
                <w:top w:val="none" w:sz="0" w:space="0" w:color="auto"/>
                <w:left w:val="none" w:sz="0" w:space="0" w:color="auto"/>
                <w:bottom w:val="none" w:sz="0" w:space="0" w:color="auto"/>
                <w:right w:val="none" w:sz="0" w:space="0" w:color="auto"/>
              </w:divBdr>
            </w:div>
            <w:div w:id="1704549009">
              <w:marLeft w:val="0"/>
              <w:marRight w:val="0"/>
              <w:marTop w:val="0"/>
              <w:marBottom w:val="0"/>
              <w:divBdr>
                <w:top w:val="none" w:sz="0" w:space="0" w:color="auto"/>
                <w:left w:val="none" w:sz="0" w:space="0" w:color="auto"/>
                <w:bottom w:val="none" w:sz="0" w:space="0" w:color="auto"/>
                <w:right w:val="none" w:sz="0" w:space="0" w:color="auto"/>
              </w:divBdr>
            </w:div>
            <w:div w:id="130370807">
              <w:marLeft w:val="0"/>
              <w:marRight w:val="0"/>
              <w:marTop w:val="0"/>
              <w:marBottom w:val="0"/>
              <w:divBdr>
                <w:top w:val="none" w:sz="0" w:space="0" w:color="auto"/>
                <w:left w:val="none" w:sz="0" w:space="0" w:color="auto"/>
                <w:bottom w:val="none" w:sz="0" w:space="0" w:color="auto"/>
                <w:right w:val="none" w:sz="0" w:space="0" w:color="auto"/>
              </w:divBdr>
            </w:div>
            <w:div w:id="1228493244">
              <w:marLeft w:val="0"/>
              <w:marRight w:val="0"/>
              <w:marTop w:val="0"/>
              <w:marBottom w:val="0"/>
              <w:divBdr>
                <w:top w:val="none" w:sz="0" w:space="0" w:color="auto"/>
                <w:left w:val="none" w:sz="0" w:space="0" w:color="auto"/>
                <w:bottom w:val="none" w:sz="0" w:space="0" w:color="auto"/>
                <w:right w:val="none" w:sz="0" w:space="0" w:color="auto"/>
              </w:divBdr>
            </w:div>
            <w:div w:id="784689686">
              <w:marLeft w:val="0"/>
              <w:marRight w:val="0"/>
              <w:marTop w:val="0"/>
              <w:marBottom w:val="0"/>
              <w:divBdr>
                <w:top w:val="none" w:sz="0" w:space="0" w:color="auto"/>
                <w:left w:val="none" w:sz="0" w:space="0" w:color="auto"/>
                <w:bottom w:val="none" w:sz="0" w:space="0" w:color="auto"/>
                <w:right w:val="none" w:sz="0" w:space="0" w:color="auto"/>
              </w:divBdr>
            </w:div>
            <w:div w:id="1896310075">
              <w:marLeft w:val="0"/>
              <w:marRight w:val="0"/>
              <w:marTop w:val="0"/>
              <w:marBottom w:val="0"/>
              <w:divBdr>
                <w:top w:val="none" w:sz="0" w:space="0" w:color="auto"/>
                <w:left w:val="none" w:sz="0" w:space="0" w:color="auto"/>
                <w:bottom w:val="none" w:sz="0" w:space="0" w:color="auto"/>
                <w:right w:val="none" w:sz="0" w:space="0" w:color="auto"/>
              </w:divBdr>
            </w:div>
            <w:div w:id="589042456">
              <w:marLeft w:val="0"/>
              <w:marRight w:val="0"/>
              <w:marTop w:val="0"/>
              <w:marBottom w:val="0"/>
              <w:divBdr>
                <w:top w:val="none" w:sz="0" w:space="0" w:color="auto"/>
                <w:left w:val="none" w:sz="0" w:space="0" w:color="auto"/>
                <w:bottom w:val="none" w:sz="0" w:space="0" w:color="auto"/>
                <w:right w:val="none" w:sz="0" w:space="0" w:color="auto"/>
              </w:divBdr>
            </w:div>
            <w:div w:id="217017878">
              <w:marLeft w:val="0"/>
              <w:marRight w:val="0"/>
              <w:marTop w:val="0"/>
              <w:marBottom w:val="0"/>
              <w:divBdr>
                <w:top w:val="none" w:sz="0" w:space="0" w:color="auto"/>
                <w:left w:val="none" w:sz="0" w:space="0" w:color="auto"/>
                <w:bottom w:val="none" w:sz="0" w:space="0" w:color="auto"/>
                <w:right w:val="none" w:sz="0" w:space="0" w:color="auto"/>
              </w:divBdr>
            </w:div>
            <w:div w:id="1637638853">
              <w:marLeft w:val="0"/>
              <w:marRight w:val="0"/>
              <w:marTop w:val="0"/>
              <w:marBottom w:val="0"/>
              <w:divBdr>
                <w:top w:val="none" w:sz="0" w:space="0" w:color="auto"/>
                <w:left w:val="none" w:sz="0" w:space="0" w:color="auto"/>
                <w:bottom w:val="none" w:sz="0" w:space="0" w:color="auto"/>
                <w:right w:val="none" w:sz="0" w:space="0" w:color="auto"/>
              </w:divBdr>
            </w:div>
            <w:div w:id="1326321806">
              <w:marLeft w:val="0"/>
              <w:marRight w:val="0"/>
              <w:marTop w:val="0"/>
              <w:marBottom w:val="0"/>
              <w:divBdr>
                <w:top w:val="none" w:sz="0" w:space="0" w:color="auto"/>
                <w:left w:val="none" w:sz="0" w:space="0" w:color="auto"/>
                <w:bottom w:val="none" w:sz="0" w:space="0" w:color="auto"/>
                <w:right w:val="none" w:sz="0" w:space="0" w:color="auto"/>
              </w:divBdr>
            </w:div>
            <w:div w:id="828250299">
              <w:marLeft w:val="0"/>
              <w:marRight w:val="0"/>
              <w:marTop w:val="0"/>
              <w:marBottom w:val="0"/>
              <w:divBdr>
                <w:top w:val="none" w:sz="0" w:space="0" w:color="auto"/>
                <w:left w:val="none" w:sz="0" w:space="0" w:color="auto"/>
                <w:bottom w:val="none" w:sz="0" w:space="0" w:color="auto"/>
                <w:right w:val="none" w:sz="0" w:space="0" w:color="auto"/>
              </w:divBdr>
            </w:div>
            <w:div w:id="1327250810">
              <w:marLeft w:val="0"/>
              <w:marRight w:val="0"/>
              <w:marTop w:val="0"/>
              <w:marBottom w:val="0"/>
              <w:divBdr>
                <w:top w:val="none" w:sz="0" w:space="0" w:color="auto"/>
                <w:left w:val="none" w:sz="0" w:space="0" w:color="auto"/>
                <w:bottom w:val="none" w:sz="0" w:space="0" w:color="auto"/>
                <w:right w:val="none" w:sz="0" w:space="0" w:color="auto"/>
              </w:divBdr>
            </w:div>
            <w:div w:id="399408090">
              <w:marLeft w:val="0"/>
              <w:marRight w:val="0"/>
              <w:marTop w:val="0"/>
              <w:marBottom w:val="0"/>
              <w:divBdr>
                <w:top w:val="none" w:sz="0" w:space="0" w:color="auto"/>
                <w:left w:val="none" w:sz="0" w:space="0" w:color="auto"/>
                <w:bottom w:val="none" w:sz="0" w:space="0" w:color="auto"/>
                <w:right w:val="none" w:sz="0" w:space="0" w:color="auto"/>
              </w:divBdr>
            </w:div>
            <w:div w:id="299963338">
              <w:marLeft w:val="0"/>
              <w:marRight w:val="0"/>
              <w:marTop w:val="0"/>
              <w:marBottom w:val="0"/>
              <w:divBdr>
                <w:top w:val="none" w:sz="0" w:space="0" w:color="auto"/>
                <w:left w:val="none" w:sz="0" w:space="0" w:color="auto"/>
                <w:bottom w:val="none" w:sz="0" w:space="0" w:color="auto"/>
                <w:right w:val="none" w:sz="0" w:space="0" w:color="auto"/>
              </w:divBdr>
            </w:div>
            <w:div w:id="1065184813">
              <w:marLeft w:val="0"/>
              <w:marRight w:val="0"/>
              <w:marTop w:val="0"/>
              <w:marBottom w:val="0"/>
              <w:divBdr>
                <w:top w:val="none" w:sz="0" w:space="0" w:color="auto"/>
                <w:left w:val="none" w:sz="0" w:space="0" w:color="auto"/>
                <w:bottom w:val="none" w:sz="0" w:space="0" w:color="auto"/>
                <w:right w:val="none" w:sz="0" w:space="0" w:color="auto"/>
              </w:divBdr>
            </w:div>
            <w:div w:id="1358197938">
              <w:marLeft w:val="0"/>
              <w:marRight w:val="0"/>
              <w:marTop w:val="0"/>
              <w:marBottom w:val="0"/>
              <w:divBdr>
                <w:top w:val="none" w:sz="0" w:space="0" w:color="auto"/>
                <w:left w:val="none" w:sz="0" w:space="0" w:color="auto"/>
                <w:bottom w:val="none" w:sz="0" w:space="0" w:color="auto"/>
                <w:right w:val="none" w:sz="0" w:space="0" w:color="auto"/>
              </w:divBdr>
            </w:div>
            <w:div w:id="1792358034">
              <w:marLeft w:val="0"/>
              <w:marRight w:val="0"/>
              <w:marTop w:val="0"/>
              <w:marBottom w:val="0"/>
              <w:divBdr>
                <w:top w:val="none" w:sz="0" w:space="0" w:color="auto"/>
                <w:left w:val="none" w:sz="0" w:space="0" w:color="auto"/>
                <w:bottom w:val="none" w:sz="0" w:space="0" w:color="auto"/>
                <w:right w:val="none" w:sz="0" w:space="0" w:color="auto"/>
              </w:divBdr>
            </w:div>
            <w:div w:id="590479371">
              <w:marLeft w:val="0"/>
              <w:marRight w:val="0"/>
              <w:marTop w:val="0"/>
              <w:marBottom w:val="0"/>
              <w:divBdr>
                <w:top w:val="none" w:sz="0" w:space="0" w:color="auto"/>
                <w:left w:val="none" w:sz="0" w:space="0" w:color="auto"/>
                <w:bottom w:val="none" w:sz="0" w:space="0" w:color="auto"/>
                <w:right w:val="none" w:sz="0" w:space="0" w:color="auto"/>
              </w:divBdr>
            </w:div>
            <w:div w:id="554584010">
              <w:marLeft w:val="0"/>
              <w:marRight w:val="0"/>
              <w:marTop w:val="0"/>
              <w:marBottom w:val="0"/>
              <w:divBdr>
                <w:top w:val="none" w:sz="0" w:space="0" w:color="auto"/>
                <w:left w:val="none" w:sz="0" w:space="0" w:color="auto"/>
                <w:bottom w:val="none" w:sz="0" w:space="0" w:color="auto"/>
                <w:right w:val="none" w:sz="0" w:space="0" w:color="auto"/>
              </w:divBdr>
            </w:div>
            <w:div w:id="886600555">
              <w:marLeft w:val="0"/>
              <w:marRight w:val="0"/>
              <w:marTop w:val="0"/>
              <w:marBottom w:val="0"/>
              <w:divBdr>
                <w:top w:val="none" w:sz="0" w:space="0" w:color="auto"/>
                <w:left w:val="none" w:sz="0" w:space="0" w:color="auto"/>
                <w:bottom w:val="none" w:sz="0" w:space="0" w:color="auto"/>
                <w:right w:val="none" w:sz="0" w:space="0" w:color="auto"/>
              </w:divBdr>
            </w:div>
            <w:div w:id="2086563337">
              <w:marLeft w:val="0"/>
              <w:marRight w:val="0"/>
              <w:marTop w:val="0"/>
              <w:marBottom w:val="0"/>
              <w:divBdr>
                <w:top w:val="none" w:sz="0" w:space="0" w:color="auto"/>
                <w:left w:val="none" w:sz="0" w:space="0" w:color="auto"/>
                <w:bottom w:val="none" w:sz="0" w:space="0" w:color="auto"/>
                <w:right w:val="none" w:sz="0" w:space="0" w:color="auto"/>
              </w:divBdr>
            </w:div>
            <w:div w:id="35854708">
              <w:marLeft w:val="0"/>
              <w:marRight w:val="0"/>
              <w:marTop w:val="0"/>
              <w:marBottom w:val="0"/>
              <w:divBdr>
                <w:top w:val="none" w:sz="0" w:space="0" w:color="auto"/>
                <w:left w:val="none" w:sz="0" w:space="0" w:color="auto"/>
                <w:bottom w:val="none" w:sz="0" w:space="0" w:color="auto"/>
                <w:right w:val="none" w:sz="0" w:space="0" w:color="auto"/>
              </w:divBdr>
            </w:div>
            <w:div w:id="2107576559">
              <w:marLeft w:val="0"/>
              <w:marRight w:val="0"/>
              <w:marTop w:val="0"/>
              <w:marBottom w:val="0"/>
              <w:divBdr>
                <w:top w:val="none" w:sz="0" w:space="0" w:color="auto"/>
                <w:left w:val="none" w:sz="0" w:space="0" w:color="auto"/>
                <w:bottom w:val="none" w:sz="0" w:space="0" w:color="auto"/>
                <w:right w:val="none" w:sz="0" w:space="0" w:color="auto"/>
              </w:divBdr>
            </w:div>
            <w:div w:id="907422751">
              <w:marLeft w:val="0"/>
              <w:marRight w:val="0"/>
              <w:marTop w:val="0"/>
              <w:marBottom w:val="0"/>
              <w:divBdr>
                <w:top w:val="none" w:sz="0" w:space="0" w:color="auto"/>
                <w:left w:val="none" w:sz="0" w:space="0" w:color="auto"/>
                <w:bottom w:val="none" w:sz="0" w:space="0" w:color="auto"/>
                <w:right w:val="none" w:sz="0" w:space="0" w:color="auto"/>
              </w:divBdr>
            </w:div>
            <w:div w:id="1191844688">
              <w:marLeft w:val="0"/>
              <w:marRight w:val="0"/>
              <w:marTop w:val="0"/>
              <w:marBottom w:val="0"/>
              <w:divBdr>
                <w:top w:val="none" w:sz="0" w:space="0" w:color="auto"/>
                <w:left w:val="none" w:sz="0" w:space="0" w:color="auto"/>
                <w:bottom w:val="none" w:sz="0" w:space="0" w:color="auto"/>
                <w:right w:val="none" w:sz="0" w:space="0" w:color="auto"/>
              </w:divBdr>
            </w:div>
            <w:div w:id="1644238343">
              <w:marLeft w:val="0"/>
              <w:marRight w:val="0"/>
              <w:marTop w:val="0"/>
              <w:marBottom w:val="0"/>
              <w:divBdr>
                <w:top w:val="none" w:sz="0" w:space="0" w:color="auto"/>
                <w:left w:val="none" w:sz="0" w:space="0" w:color="auto"/>
                <w:bottom w:val="none" w:sz="0" w:space="0" w:color="auto"/>
                <w:right w:val="none" w:sz="0" w:space="0" w:color="auto"/>
              </w:divBdr>
            </w:div>
            <w:div w:id="358968922">
              <w:marLeft w:val="0"/>
              <w:marRight w:val="0"/>
              <w:marTop w:val="0"/>
              <w:marBottom w:val="0"/>
              <w:divBdr>
                <w:top w:val="none" w:sz="0" w:space="0" w:color="auto"/>
                <w:left w:val="none" w:sz="0" w:space="0" w:color="auto"/>
                <w:bottom w:val="none" w:sz="0" w:space="0" w:color="auto"/>
                <w:right w:val="none" w:sz="0" w:space="0" w:color="auto"/>
              </w:divBdr>
            </w:div>
            <w:div w:id="464347593">
              <w:marLeft w:val="0"/>
              <w:marRight w:val="0"/>
              <w:marTop w:val="0"/>
              <w:marBottom w:val="0"/>
              <w:divBdr>
                <w:top w:val="none" w:sz="0" w:space="0" w:color="auto"/>
                <w:left w:val="none" w:sz="0" w:space="0" w:color="auto"/>
                <w:bottom w:val="none" w:sz="0" w:space="0" w:color="auto"/>
                <w:right w:val="none" w:sz="0" w:space="0" w:color="auto"/>
              </w:divBdr>
            </w:div>
            <w:div w:id="316081171">
              <w:marLeft w:val="0"/>
              <w:marRight w:val="0"/>
              <w:marTop w:val="0"/>
              <w:marBottom w:val="0"/>
              <w:divBdr>
                <w:top w:val="none" w:sz="0" w:space="0" w:color="auto"/>
                <w:left w:val="none" w:sz="0" w:space="0" w:color="auto"/>
                <w:bottom w:val="none" w:sz="0" w:space="0" w:color="auto"/>
                <w:right w:val="none" w:sz="0" w:space="0" w:color="auto"/>
              </w:divBdr>
            </w:div>
            <w:div w:id="1349022690">
              <w:marLeft w:val="0"/>
              <w:marRight w:val="0"/>
              <w:marTop w:val="0"/>
              <w:marBottom w:val="0"/>
              <w:divBdr>
                <w:top w:val="none" w:sz="0" w:space="0" w:color="auto"/>
                <w:left w:val="none" w:sz="0" w:space="0" w:color="auto"/>
                <w:bottom w:val="none" w:sz="0" w:space="0" w:color="auto"/>
                <w:right w:val="none" w:sz="0" w:space="0" w:color="auto"/>
              </w:divBdr>
            </w:div>
            <w:div w:id="1070348852">
              <w:marLeft w:val="0"/>
              <w:marRight w:val="0"/>
              <w:marTop w:val="0"/>
              <w:marBottom w:val="0"/>
              <w:divBdr>
                <w:top w:val="none" w:sz="0" w:space="0" w:color="auto"/>
                <w:left w:val="none" w:sz="0" w:space="0" w:color="auto"/>
                <w:bottom w:val="none" w:sz="0" w:space="0" w:color="auto"/>
                <w:right w:val="none" w:sz="0" w:space="0" w:color="auto"/>
              </w:divBdr>
            </w:div>
            <w:div w:id="1955869900">
              <w:marLeft w:val="0"/>
              <w:marRight w:val="0"/>
              <w:marTop w:val="0"/>
              <w:marBottom w:val="0"/>
              <w:divBdr>
                <w:top w:val="none" w:sz="0" w:space="0" w:color="auto"/>
                <w:left w:val="none" w:sz="0" w:space="0" w:color="auto"/>
                <w:bottom w:val="none" w:sz="0" w:space="0" w:color="auto"/>
                <w:right w:val="none" w:sz="0" w:space="0" w:color="auto"/>
              </w:divBdr>
            </w:div>
            <w:div w:id="340276476">
              <w:marLeft w:val="0"/>
              <w:marRight w:val="0"/>
              <w:marTop w:val="0"/>
              <w:marBottom w:val="0"/>
              <w:divBdr>
                <w:top w:val="none" w:sz="0" w:space="0" w:color="auto"/>
                <w:left w:val="none" w:sz="0" w:space="0" w:color="auto"/>
                <w:bottom w:val="none" w:sz="0" w:space="0" w:color="auto"/>
                <w:right w:val="none" w:sz="0" w:space="0" w:color="auto"/>
              </w:divBdr>
            </w:div>
            <w:div w:id="1286351355">
              <w:marLeft w:val="0"/>
              <w:marRight w:val="0"/>
              <w:marTop w:val="0"/>
              <w:marBottom w:val="0"/>
              <w:divBdr>
                <w:top w:val="none" w:sz="0" w:space="0" w:color="auto"/>
                <w:left w:val="none" w:sz="0" w:space="0" w:color="auto"/>
                <w:bottom w:val="none" w:sz="0" w:space="0" w:color="auto"/>
                <w:right w:val="none" w:sz="0" w:space="0" w:color="auto"/>
              </w:divBdr>
            </w:div>
            <w:div w:id="665086151">
              <w:marLeft w:val="0"/>
              <w:marRight w:val="0"/>
              <w:marTop w:val="0"/>
              <w:marBottom w:val="0"/>
              <w:divBdr>
                <w:top w:val="none" w:sz="0" w:space="0" w:color="auto"/>
                <w:left w:val="none" w:sz="0" w:space="0" w:color="auto"/>
                <w:bottom w:val="none" w:sz="0" w:space="0" w:color="auto"/>
                <w:right w:val="none" w:sz="0" w:space="0" w:color="auto"/>
              </w:divBdr>
            </w:div>
            <w:div w:id="1300190565">
              <w:marLeft w:val="0"/>
              <w:marRight w:val="0"/>
              <w:marTop w:val="0"/>
              <w:marBottom w:val="0"/>
              <w:divBdr>
                <w:top w:val="none" w:sz="0" w:space="0" w:color="auto"/>
                <w:left w:val="none" w:sz="0" w:space="0" w:color="auto"/>
                <w:bottom w:val="none" w:sz="0" w:space="0" w:color="auto"/>
                <w:right w:val="none" w:sz="0" w:space="0" w:color="auto"/>
              </w:divBdr>
            </w:div>
            <w:div w:id="329144122">
              <w:marLeft w:val="0"/>
              <w:marRight w:val="0"/>
              <w:marTop w:val="0"/>
              <w:marBottom w:val="0"/>
              <w:divBdr>
                <w:top w:val="none" w:sz="0" w:space="0" w:color="auto"/>
                <w:left w:val="none" w:sz="0" w:space="0" w:color="auto"/>
                <w:bottom w:val="none" w:sz="0" w:space="0" w:color="auto"/>
                <w:right w:val="none" w:sz="0" w:space="0" w:color="auto"/>
              </w:divBdr>
            </w:div>
            <w:div w:id="1542088803">
              <w:marLeft w:val="0"/>
              <w:marRight w:val="0"/>
              <w:marTop w:val="0"/>
              <w:marBottom w:val="0"/>
              <w:divBdr>
                <w:top w:val="none" w:sz="0" w:space="0" w:color="auto"/>
                <w:left w:val="none" w:sz="0" w:space="0" w:color="auto"/>
                <w:bottom w:val="none" w:sz="0" w:space="0" w:color="auto"/>
                <w:right w:val="none" w:sz="0" w:space="0" w:color="auto"/>
              </w:divBdr>
            </w:div>
            <w:div w:id="1248731021">
              <w:marLeft w:val="0"/>
              <w:marRight w:val="0"/>
              <w:marTop w:val="0"/>
              <w:marBottom w:val="0"/>
              <w:divBdr>
                <w:top w:val="none" w:sz="0" w:space="0" w:color="auto"/>
                <w:left w:val="none" w:sz="0" w:space="0" w:color="auto"/>
                <w:bottom w:val="none" w:sz="0" w:space="0" w:color="auto"/>
                <w:right w:val="none" w:sz="0" w:space="0" w:color="auto"/>
              </w:divBdr>
            </w:div>
            <w:div w:id="79134295">
              <w:marLeft w:val="0"/>
              <w:marRight w:val="0"/>
              <w:marTop w:val="0"/>
              <w:marBottom w:val="0"/>
              <w:divBdr>
                <w:top w:val="none" w:sz="0" w:space="0" w:color="auto"/>
                <w:left w:val="none" w:sz="0" w:space="0" w:color="auto"/>
                <w:bottom w:val="none" w:sz="0" w:space="0" w:color="auto"/>
                <w:right w:val="none" w:sz="0" w:space="0" w:color="auto"/>
              </w:divBdr>
            </w:div>
            <w:div w:id="76292160">
              <w:marLeft w:val="0"/>
              <w:marRight w:val="0"/>
              <w:marTop w:val="0"/>
              <w:marBottom w:val="0"/>
              <w:divBdr>
                <w:top w:val="none" w:sz="0" w:space="0" w:color="auto"/>
                <w:left w:val="none" w:sz="0" w:space="0" w:color="auto"/>
                <w:bottom w:val="none" w:sz="0" w:space="0" w:color="auto"/>
                <w:right w:val="none" w:sz="0" w:space="0" w:color="auto"/>
              </w:divBdr>
            </w:div>
            <w:div w:id="1355694593">
              <w:marLeft w:val="0"/>
              <w:marRight w:val="0"/>
              <w:marTop w:val="0"/>
              <w:marBottom w:val="0"/>
              <w:divBdr>
                <w:top w:val="none" w:sz="0" w:space="0" w:color="auto"/>
                <w:left w:val="none" w:sz="0" w:space="0" w:color="auto"/>
                <w:bottom w:val="none" w:sz="0" w:space="0" w:color="auto"/>
                <w:right w:val="none" w:sz="0" w:space="0" w:color="auto"/>
              </w:divBdr>
            </w:div>
            <w:div w:id="687416611">
              <w:marLeft w:val="0"/>
              <w:marRight w:val="0"/>
              <w:marTop w:val="0"/>
              <w:marBottom w:val="0"/>
              <w:divBdr>
                <w:top w:val="none" w:sz="0" w:space="0" w:color="auto"/>
                <w:left w:val="none" w:sz="0" w:space="0" w:color="auto"/>
                <w:bottom w:val="none" w:sz="0" w:space="0" w:color="auto"/>
                <w:right w:val="none" w:sz="0" w:space="0" w:color="auto"/>
              </w:divBdr>
            </w:div>
            <w:div w:id="1208568559">
              <w:marLeft w:val="0"/>
              <w:marRight w:val="0"/>
              <w:marTop w:val="0"/>
              <w:marBottom w:val="0"/>
              <w:divBdr>
                <w:top w:val="none" w:sz="0" w:space="0" w:color="auto"/>
                <w:left w:val="none" w:sz="0" w:space="0" w:color="auto"/>
                <w:bottom w:val="none" w:sz="0" w:space="0" w:color="auto"/>
                <w:right w:val="none" w:sz="0" w:space="0" w:color="auto"/>
              </w:divBdr>
            </w:div>
            <w:div w:id="1217283608">
              <w:marLeft w:val="0"/>
              <w:marRight w:val="0"/>
              <w:marTop w:val="0"/>
              <w:marBottom w:val="0"/>
              <w:divBdr>
                <w:top w:val="none" w:sz="0" w:space="0" w:color="auto"/>
                <w:left w:val="none" w:sz="0" w:space="0" w:color="auto"/>
                <w:bottom w:val="none" w:sz="0" w:space="0" w:color="auto"/>
                <w:right w:val="none" w:sz="0" w:space="0" w:color="auto"/>
              </w:divBdr>
            </w:div>
            <w:div w:id="803625340">
              <w:marLeft w:val="0"/>
              <w:marRight w:val="0"/>
              <w:marTop w:val="0"/>
              <w:marBottom w:val="0"/>
              <w:divBdr>
                <w:top w:val="none" w:sz="0" w:space="0" w:color="auto"/>
                <w:left w:val="none" w:sz="0" w:space="0" w:color="auto"/>
                <w:bottom w:val="none" w:sz="0" w:space="0" w:color="auto"/>
                <w:right w:val="none" w:sz="0" w:space="0" w:color="auto"/>
              </w:divBdr>
            </w:div>
            <w:div w:id="2058357708">
              <w:marLeft w:val="0"/>
              <w:marRight w:val="0"/>
              <w:marTop w:val="0"/>
              <w:marBottom w:val="0"/>
              <w:divBdr>
                <w:top w:val="none" w:sz="0" w:space="0" w:color="auto"/>
                <w:left w:val="none" w:sz="0" w:space="0" w:color="auto"/>
                <w:bottom w:val="none" w:sz="0" w:space="0" w:color="auto"/>
                <w:right w:val="none" w:sz="0" w:space="0" w:color="auto"/>
              </w:divBdr>
            </w:div>
            <w:div w:id="541097286">
              <w:marLeft w:val="0"/>
              <w:marRight w:val="0"/>
              <w:marTop w:val="0"/>
              <w:marBottom w:val="0"/>
              <w:divBdr>
                <w:top w:val="none" w:sz="0" w:space="0" w:color="auto"/>
                <w:left w:val="none" w:sz="0" w:space="0" w:color="auto"/>
                <w:bottom w:val="none" w:sz="0" w:space="0" w:color="auto"/>
                <w:right w:val="none" w:sz="0" w:space="0" w:color="auto"/>
              </w:divBdr>
            </w:div>
            <w:div w:id="17895671">
              <w:marLeft w:val="0"/>
              <w:marRight w:val="0"/>
              <w:marTop w:val="0"/>
              <w:marBottom w:val="0"/>
              <w:divBdr>
                <w:top w:val="none" w:sz="0" w:space="0" w:color="auto"/>
                <w:left w:val="none" w:sz="0" w:space="0" w:color="auto"/>
                <w:bottom w:val="none" w:sz="0" w:space="0" w:color="auto"/>
                <w:right w:val="none" w:sz="0" w:space="0" w:color="auto"/>
              </w:divBdr>
            </w:div>
            <w:div w:id="1533955292">
              <w:marLeft w:val="0"/>
              <w:marRight w:val="0"/>
              <w:marTop w:val="0"/>
              <w:marBottom w:val="0"/>
              <w:divBdr>
                <w:top w:val="none" w:sz="0" w:space="0" w:color="auto"/>
                <w:left w:val="none" w:sz="0" w:space="0" w:color="auto"/>
                <w:bottom w:val="none" w:sz="0" w:space="0" w:color="auto"/>
                <w:right w:val="none" w:sz="0" w:space="0" w:color="auto"/>
              </w:divBdr>
            </w:div>
            <w:div w:id="862590441">
              <w:marLeft w:val="0"/>
              <w:marRight w:val="0"/>
              <w:marTop w:val="0"/>
              <w:marBottom w:val="0"/>
              <w:divBdr>
                <w:top w:val="none" w:sz="0" w:space="0" w:color="auto"/>
                <w:left w:val="none" w:sz="0" w:space="0" w:color="auto"/>
                <w:bottom w:val="none" w:sz="0" w:space="0" w:color="auto"/>
                <w:right w:val="none" w:sz="0" w:space="0" w:color="auto"/>
              </w:divBdr>
            </w:div>
            <w:div w:id="166874028">
              <w:marLeft w:val="0"/>
              <w:marRight w:val="0"/>
              <w:marTop w:val="0"/>
              <w:marBottom w:val="0"/>
              <w:divBdr>
                <w:top w:val="none" w:sz="0" w:space="0" w:color="auto"/>
                <w:left w:val="none" w:sz="0" w:space="0" w:color="auto"/>
                <w:bottom w:val="none" w:sz="0" w:space="0" w:color="auto"/>
                <w:right w:val="none" w:sz="0" w:space="0" w:color="auto"/>
              </w:divBdr>
            </w:div>
            <w:div w:id="402264945">
              <w:marLeft w:val="0"/>
              <w:marRight w:val="0"/>
              <w:marTop w:val="0"/>
              <w:marBottom w:val="0"/>
              <w:divBdr>
                <w:top w:val="none" w:sz="0" w:space="0" w:color="auto"/>
                <w:left w:val="none" w:sz="0" w:space="0" w:color="auto"/>
                <w:bottom w:val="none" w:sz="0" w:space="0" w:color="auto"/>
                <w:right w:val="none" w:sz="0" w:space="0" w:color="auto"/>
              </w:divBdr>
            </w:div>
            <w:div w:id="1838425758">
              <w:marLeft w:val="0"/>
              <w:marRight w:val="0"/>
              <w:marTop w:val="0"/>
              <w:marBottom w:val="0"/>
              <w:divBdr>
                <w:top w:val="none" w:sz="0" w:space="0" w:color="auto"/>
                <w:left w:val="none" w:sz="0" w:space="0" w:color="auto"/>
                <w:bottom w:val="none" w:sz="0" w:space="0" w:color="auto"/>
                <w:right w:val="none" w:sz="0" w:space="0" w:color="auto"/>
              </w:divBdr>
            </w:div>
            <w:div w:id="48579698">
              <w:marLeft w:val="0"/>
              <w:marRight w:val="0"/>
              <w:marTop w:val="0"/>
              <w:marBottom w:val="0"/>
              <w:divBdr>
                <w:top w:val="none" w:sz="0" w:space="0" w:color="auto"/>
                <w:left w:val="none" w:sz="0" w:space="0" w:color="auto"/>
                <w:bottom w:val="none" w:sz="0" w:space="0" w:color="auto"/>
                <w:right w:val="none" w:sz="0" w:space="0" w:color="auto"/>
              </w:divBdr>
            </w:div>
            <w:div w:id="1902054236">
              <w:marLeft w:val="0"/>
              <w:marRight w:val="0"/>
              <w:marTop w:val="0"/>
              <w:marBottom w:val="0"/>
              <w:divBdr>
                <w:top w:val="none" w:sz="0" w:space="0" w:color="auto"/>
                <w:left w:val="none" w:sz="0" w:space="0" w:color="auto"/>
                <w:bottom w:val="none" w:sz="0" w:space="0" w:color="auto"/>
                <w:right w:val="none" w:sz="0" w:space="0" w:color="auto"/>
              </w:divBdr>
            </w:div>
            <w:div w:id="1520003015">
              <w:marLeft w:val="0"/>
              <w:marRight w:val="0"/>
              <w:marTop w:val="0"/>
              <w:marBottom w:val="0"/>
              <w:divBdr>
                <w:top w:val="none" w:sz="0" w:space="0" w:color="auto"/>
                <w:left w:val="none" w:sz="0" w:space="0" w:color="auto"/>
                <w:bottom w:val="none" w:sz="0" w:space="0" w:color="auto"/>
                <w:right w:val="none" w:sz="0" w:space="0" w:color="auto"/>
              </w:divBdr>
            </w:div>
            <w:div w:id="1670718883">
              <w:marLeft w:val="0"/>
              <w:marRight w:val="0"/>
              <w:marTop w:val="0"/>
              <w:marBottom w:val="0"/>
              <w:divBdr>
                <w:top w:val="none" w:sz="0" w:space="0" w:color="auto"/>
                <w:left w:val="none" w:sz="0" w:space="0" w:color="auto"/>
                <w:bottom w:val="none" w:sz="0" w:space="0" w:color="auto"/>
                <w:right w:val="none" w:sz="0" w:space="0" w:color="auto"/>
              </w:divBdr>
            </w:div>
            <w:div w:id="2079087254">
              <w:marLeft w:val="0"/>
              <w:marRight w:val="0"/>
              <w:marTop w:val="0"/>
              <w:marBottom w:val="0"/>
              <w:divBdr>
                <w:top w:val="none" w:sz="0" w:space="0" w:color="auto"/>
                <w:left w:val="none" w:sz="0" w:space="0" w:color="auto"/>
                <w:bottom w:val="none" w:sz="0" w:space="0" w:color="auto"/>
                <w:right w:val="none" w:sz="0" w:space="0" w:color="auto"/>
              </w:divBdr>
            </w:div>
            <w:div w:id="1457984227">
              <w:marLeft w:val="0"/>
              <w:marRight w:val="0"/>
              <w:marTop w:val="0"/>
              <w:marBottom w:val="0"/>
              <w:divBdr>
                <w:top w:val="none" w:sz="0" w:space="0" w:color="auto"/>
                <w:left w:val="none" w:sz="0" w:space="0" w:color="auto"/>
                <w:bottom w:val="none" w:sz="0" w:space="0" w:color="auto"/>
                <w:right w:val="none" w:sz="0" w:space="0" w:color="auto"/>
              </w:divBdr>
            </w:div>
            <w:div w:id="209534999">
              <w:marLeft w:val="0"/>
              <w:marRight w:val="0"/>
              <w:marTop w:val="0"/>
              <w:marBottom w:val="0"/>
              <w:divBdr>
                <w:top w:val="none" w:sz="0" w:space="0" w:color="auto"/>
                <w:left w:val="none" w:sz="0" w:space="0" w:color="auto"/>
                <w:bottom w:val="none" w:sz="0" w:space="0" w:color="auto"/>
                <w:right w:val="none" w:sz="0" w:space="0" w:color="auto"/>
              </w:divBdr>
            </w:div>
            <w:div w:id="1376392666">
              <w:marLeft w:val="0"/>
              <w:marRight w:val="0"/>
              <w:marTop w:val="0"/>
              <w:marBottom w:val="0"/>
              <w:divBdr>
                <w:top w:val="none" w:sz="0" w:space="0" w:color="auto"/>
                <w:left w:val="none" w:sz="0" w:space="0" w:color="auto"/>
                <w:bottom w:val="none" w:sz="0" w:space="0" w:color="auto"/>
                <w:right w:val="none" w:sz="0" w:space="0" w:color="auto"/>
              </w:divBdr>
            </w:div>
            <w:div w:id="1326935875">
              <w:marLeft w:val="0"/>
              <w:marRight w:val="0"/>
              <w:marTop w:val="0"/>
              <w:marBottom w:val="0"/>
              <w:divBdr>
                <w:top w:val="none" w:sz="0" w:space="0" w:color="auto"/>
                <w:left w:val="none" w:sz="0" w:space="0" w:color="auto"/>
                <w:bottom w:val="none" w:sz="0" w:space="0" w:color="auto"/>
                <w:right w:val="none" w:sz="0" w:space="0" w:color="auto"/>
              </w:divBdr>
            </w:div>
            <w:div w:id="393503436">
              <w:marLeft w:val="0"/>
              <w:marRight w:val="0"/>
              <w:marTop w:val="0"/>
              <w:marBottom w:val="0"/>
              <w:divBdr>
                <w:top w:val="none" w:sz="0" w:space="0" w:color="auto"/>
                <w:left w:val="none" w:sz="0" w:space="0" w:color="auto"/>
                <w:bottom w:val="none" w:sz="0" w:space="0" w:color="auto"/>
                <w:right w:val="none" w:sz="0" w:space="0" w:color="auto"/>
              </w:divBdr>
            </w:div>
            <w:div w:id="1529223839">
              <w:marLeft w:val="0"/>
              <w:marRight w:val="0"/>
              <w:marTop w:val="0"/>
              <w:marBottom w:val="0"/>
              <w:divBdr>
                <w:top w:val="none" w:sz="0" w:space="0" w:color="auto"/>
                <w:left w:val="none" w:sz="0" w:space="0" w:color="auto"/>
                <w:bottom w:val="none" w:sz="0" w:space="0" w:color="auto"/>
                <w:right w:val="none" w:sz="0" w:space="0" w:color="auto"/>
              </w:divBdr>
            </w:div>
            <w:div w:id="1299841135">
              <w:marLeft w:val="0"/>
              <w:marRight w:val="0"/>
              <w:marTop w:val="0"/>
              <w:marBottom w:val="0"/>
              <w:divBdr>
                <w:top w:val="none" w:sz="0" w:space="0" w:color="auto"/>
                <w:left w:val="none" w:sz="0" w:space="0" w:color="auto"/>
                <w:bottom w:val="none" w:sz="0" w:space="0" w:color="auto"/>
                <w:right w:val="none" w:sz="0" w:space="0" w:color="auto"/>
              </w:divBdr>
            </w:div>
            <w:div w:id="413355706">
              <w:marLeft w:val="0"/>
              <w:marRight w:val="0"/>
              <w:marTop w:val="0"/>
              <w:marBottom w:val="0"/>
              <w:divBdr>
                <w:top w:val="none" w:sz="0" w:space="0" w:color="auto"/>
                <w:left w:val="none" w:sz="0" w:space="0" w:color="auto"/>
                <w:bottom w:val="none" w:sz="0" w:space="0" w:color="auto"/>
                <w:right w:val="none" w:sz="0" w:space="0" w:color="auto"/>
              </w:divBdr>
            </w:div>
            <w:div w:id="1399669669">
              <w:marLeft w:val="0"/>
              <w:marRight w:val="0"/>
              <w:marTop w:val="0"/>
              <w:marBottom w:val="0"/>
              <w:divBdr>
                <w:top w:val="none" w:sz="0" w:space="0" w:color="auto"/>
                <w:left w:val="none" w:sz="0" w:space="0" w:color="auto"/>
                <w:bottom w:val="none" w:sz="0" w:space="0" w:color="auto"/>
                <w:right w:val="none" w:sz="0" w:space="0" w:color="auto"/>
              </w:divBdr>
            </w:div>
            <w:div w:id="452410289">
              <w:marLeft w:val="0"/>
              <w:marRight w:val="0"/>
              <w:marTop w:val="0"/>
              <w:marBottom w:val="0"/>
              <w:divBdr>
                <w:top w:val="none" w:sz="0" w:space="0" w:color="auto"/>
                <w:left w:val="none" w:sz="0" w:space="0" w:color="auto"/>
                <w:bottom w:val="none" w:sz="0" w:space="0" w:color="auto"/>
                <w:right w:val="none" w:sz="0" w:space="0" w:color="auto"/>
              </w:divBdr>
            </w:div>
            <w:div w:id="303855574">
              <w:marLeft w:val="0"/>
              <w:marRight w:val="0"/>
              <w:marTop w:val="0"/>
              <w:marBottom w:val="0"/>
              <w:divBdr>
                <w:top w:val="none" w:sz="0" w:space="0" w:color="auto"/>
                <w:left w:val="none" w:sz="0" w:space="0" w:color="auto"/>
                <w:bottom w:val="none" w:sz="0" w:space="0" w:color="auto"/>
                <w:right w:val="none" w:sz="0" w:space="0" w:color="auto"/>
              </w:divBdr>
            </w:div>
            <w:div w:id="1707638270">
              <w:marLeft w:val="0"/>
              <w:marRight w:val="0"/>
              <w:marTop w:val="0"/>
              <w:marBottom w:val="0"/>
              <w:divBdr>
                <w:top w:val="none" w:sz="0" w:space="0" w:color="auto"/>
                <w:left w:val="none" w:sz="0" w:space="0" w:color="auto"/>
                <w:bottom w:val="none" w:sz="0" w:space="0" w:color="auto"/>
                <w:right w:val="none" w:sz="0" w:space="0" w:color="auto"/>
              </w:divBdr>
            </w:div>
            <w:div w:id="452595968">
              <w:marLeft w:val="0"/>
              <w:marRight w:val="0"/>
              <w:marTop w:val="0"/>
              <w:marBottom w:val="0"/>
              <w:divBdr>
                <w:top w:val="none" w:sz="0" w:space="0" w:color="auto"/>
                <w:left w:val="none" w:sz="0" w:space="0" w:color="auto"/>
                <w:bottom w:val="none" w:sz="0" w:space="0" w:color="auto"/>
                <w:right w:val="none" w:sz="0" w:space="0" w:color="auto"/>
              </w:divBdr>
            </w:div>
            <w:div w:id="1226258587">
              <w:marLeft w:val="0"/>
              <w:marRight w:val="0"/>
              <w:marTop w:val="0"/>
              <w:marBottom w:val="0"/>
              <w:divBdr>
                <w:top w:val="none" w:sz="0" w:space="0" w:color="auto"/>
                <w:left w:val="none" w:sz="0" w:space="0" w:color="auto"/>
                <w:bottom w:val="none" w:sz="0" w:space="0" w:color="auto"/>
                <w:right w:val="none" w:sz="0" w:space="0" w:color="auto"/>
              </w:divBdr>
            </w:div>
            <w:div w:id="699547813">
              <w:marLeft w:val="0"/>
              <w:marRight w:val="0"/>
              <w:marTop w:val="0"/>
              <w:marBottom w:val="0"/>
              <w:divBdr>
                <w:top w:val="none" w:sz="0" w:space="0" w:color="auto"/>
                <w:left w:val="none" w:sz="0" w:space="0" w:color="auto"/>
                <w:bottom w:val="none" w:sz="0" w:space="0" w:color="auto"/>
                <w:right w:val="none" w:sz="0" w:space="0" w:color="auto"/>
              </w:divBdr>
            </w:div>
            <w:div w:id="78599384">
              <w:marLeft w:val="0"/>
              <w:marRight w:val="0"/>
              <w:marTop w:val="0"/>
              <w:marBottom w:val="0"/>
              <w:divBdr>
                <w:top w:val="none" w:sz="0" w:space="0" w:color="auto"/>
                <w:left w:val="none" w:sz="0" w:space="0" w:color="auto"/>
                <w:bottom w:val="none" w:sz="0" w:space="0" w:color="auto"/>
                <w:right w:val="none" w:sz="0" w:space="0" w:color="auto"/>
              </w:divBdr>
            </w:div>
            <w:div w:id="1924751906">
              <w:marLeft w:val="0"/>
              <w:marRight w:val="0"/>
              <w:marTop w:val="0"/>
              <w:marBottom w:val="0"/>
              <w:divBdr>
                <w:top w:val="none" w:sz="0" w:space="0" w:color="auto"/>
                <w:left w:val="none" w:sz="0" w:space="0" w:color="auto"/>
                <w:bottom w:val="none" w:sz="0" w:space="0" w:color="auto"/>
                <w:right w:val="none" w:sz="0" w:space="0" w:color="auto"/>
              </w:divBdr>
            </w:div>
            <w:div w:id="1314531434">
              <w:marLeft w:val="0"/>
              <w:marRight w:val="0"/>
              <w:marTop w:val="0"/>
              <w:marBottom w:val="0"/>
              <w:divBdr>
                <w:top w:val="none" w:sz="0" w:space="0" w:color="auto"/>
                <w:left w:val="none" w:sz="0" w:space="0" w:color="auto"/>
                <w:bottom w:val="none" w:sz="0" w:space="0" w:color="auto"/>
                <w:right w:val="none" w:sz="0" w:space="0" w:color="auto"/>
              </w:divBdr>
            </w:div>
            <w:div w:id="1955284131">
              <w:marLeft w:val="0"/>
              <w:marRight w:val="0"/>
              <w:marTop w:val="0"/>
              <w:marBottom w:val="0"/>
              <w:divBdr>
                <w:top w:val="none" w:sz="0" w:space="0" w:color="auto"/>
                <w:left w:val="none" w:sz="0" w:space="0" w:color="auto"/>
                <w:bottom w:val="none" w:sz="0" w:space="0" w:color="auto"/>
                <w:right w:val="none" w:sz="0" w:space="0" w:color="auto"/>
              </w:divBdr>
            </w:div>
            <w:div w:id="747119395">
              <w:marLeft w:val="0"/>
              <w:marRight w:val="0"/>
              <w:marTop w:val="0"/>
              <w:marBottom w:val="0"/>
              <w:divBdr>
                <w:top w:val="none" w:sz="0" w:space="0" w:color="auto"/>
                <w:left w:val="none" w:sz="0" w:space="0" w:color="auto"/>
                <w:bottom w:val="none" w:sz="0" w:space="0" w:color="auto"/>
                <w:right w:val="none" w:sz="0" w:space="0" w:color="auto"/>
              </w:divBdr>
            </w:div>
            <w:div w:id="2108112738">
              <w:marLeft w:val="0"/>
              <w:marRight w:val="0"/>
              <w:marTop w:val="0"/>
              <w:marBottom w:val="0"/>
              <w:divBdr>
                <w:top w:val="none" w:sz="0" w:space="0" w:color="auto"/>
                <w:left w:val="none" w:sz="0" w:space="0" w:color="auto"/>
                <w:bottom w:val="none" w:sz="0" w:space="0" w:color="auto"/>
                <w:right w:val="none" w:sz="0" w:space="0" w:color="auto"/>
              </w:divBdr>
            </w:div>
            <w:div w:id="629825518">
              <w:marLeft w:val="0"/>
              <w:marRight w:val="0"/>
              <w:marTop w:val="0"/>
              <w:marBottom w:val="0"/>
              <w:divBdr>
                <w:top w:val="none" w:sz="0" w:space="0" w:color="auto"/>
                <w:left w:val="none" w:sz="0" w:space="0" w:color="auto"/>
                <w:bottom w:val="none" w:sz="0" w:space="0" w:color="auto"/>
                <w:right w:val="none" w:sz="0" w:space="0" w:color="auto"/>
              </w:divBdr>
            </w:div>
            <w:div w:id="1092243081">
              <w:marLeft w:val="0"/>
              <w:marRight w:val="0"/>
              <w:marTop w:val="0"/>
              <w:marBottom w:val="0"/>
              <w:divBdr>
                <w:top w:val="none" w:sz="0" w:space="0" w:color="auto"/>
                <w:left w:val="none" w:sz="0" w:space="0" w:color="auto"/>
                <w:bottom w:val="none" w:sz="0" w:space="0" w:color="auto"/>
                <w:right w:val="none" w:sz="0" w:space="0" w:color="auto"/>
              </w:divBdr>
            </w:div>
            <w:div w:id="117452264">
              <w:marLeft w:val="0"/>
              <w:marRight w:val="0"/>
              <w:marTop w:val="0"/>
              <w:marBottom w:val="0"/>
              <w:divBdr>
                <w:top w:val="none" w:sz="0" w:space="0" w:color="auto"/>
                <w:left w:val="none" w:sz="0" w:space="0" w:color="auto"/>
                <w:bottom w:val="none" w:sz="0" w:space="0" w:color="auto"/>
                <w:right w:val="none" w:sz="0" w:space="0" w:color="auto"/>
              </w:divBdr>
            </w:div>
            <w:div w:id="556669840">
              <w:marLeft w:val="0"/>
              <w:marRight w:val="0"/>
              <w:marTop w:val="0"/>
              <w:marBottom w:val="0"/>
              <w:divBdr>
                <w:top w:val="none" w:sz="0" w:space="0" w:color="auto"/>
                <w:left w:val="none" w:sz="0" w:space="0" w:color="auto"/>
                <w:bottom w:val="none" w:sz="0" w:space="0" w:color="auto"/>
                <w:right w:val="none" w:sz="0" w:space="0" w:color="auto"/>
              </w:divBdr>
            </w:div>
            <w:div w:id="1766918238">
              <w:marLeft w:val="0"/>
              <w:marRight w:val="0"/>
              <w:marTop w:val="0"/>
              <w:marBottom w:val="0"/>
              <w:divBdr>
                <w:top w:val="none" w:sz="0" w:space="0" w:color="auto"/>
                <w:left w:val="none" w:sz="0" w:space="0" w:color="auto"/>
                <w:bottom w:val="none" w:sz="0" w:space="0" w:color="auto"/>
                <w:right w:val="none" w:sz="0" w:space="0" w:color="auto"/>
              </w:divBdr>
            </w:div>
            <w:div w:id="175581526">
              <w:marLeft w:val="0"/>
              <w:marRight w:val="0"/>
              <w:marTop w:val="0"/>
              <w:marBottom w:val="0"/>
              <w:divBdr>
                <w:top w:val="none" w:sz="0" w:space="0" w:color="auto"/>
                <w:left w:val="none" w:sz="0" w:space="0" w:color="auto"/>
                <w:bottom w:val="none" w:sz="0" w:space="0" w:color="auto"/>
                <w:right w:val="none" w:sz="0" w:space="0" w:color="auto"/>
              </w:divBdr>
            </w:div>
            <w:div w:id="1524174102">
              <w:marLeft w:val="0"/>
              <w:marRight w:val="0"/>
              <w:marTop w:val="0"/>
              <w:marBottom w:val="0"/>
              <w:divBdr>
                <w:top w:val="none" w:sz="0" w:space="0" w:color="auto"/>
                <w:left w:val="none" w:sz="0" w:space="0" w:color="auto"/>
                <w:bottom w:val="none" w:sz="0" w:space="0" w:color="auto"/>
                <w:right w:val="none" w:sz="0" w:space="0" w:color="auto"/>
              </w:divBdr>
            </w:div>
            <w:div w:id="570502461">
              <w:marLeft w:val="0"/>
              <w:marRight w:val="0"/>
              <w:marTop w:val="0"/>
              <w:marBottom w:val="0"/>
              <w:divBdr>
                <w:top w:val="none" w:sz="0" w:space="0" w:color="auto"/>
                <w:left w:val="none" w:sz="0" w:space="0" w:color="auto"/>
                <w:bottom w:val="none" w:sz="0" w:space="0" w:color="auto"/>
                <w:right w:val="none" w:sz="0" w:space="0" w:color="auto"/>
              </w:divBdr>
            </w:div>
            <w:div w:id="156072699">
              <w:marLeft w:val="0"/>
              <w:marRight w:val="0"/>
              <w:marTop w:val="0"/>
              <w:marBottom w:val="0"/>
              <w:divBdr>
                <w:top w:val="none" w:sz="0" w:space="0" w:color="auto"/>
                <w:left w:val="none" w:sz="0" w:space="0" w:color="auto"/>
                <w:bottom w:val="none" w:sz="0" w:space="0" w:color="auto"/>
                <w:right w:val="none" w:sz="0" w:space="0" w:color="auto"/>
              </w:divBdr>
            </w:div>
            <w:div w:id="155000955">
              <w:marLeft w:val="0"/>
              <w:marRight w:val="0"/>
              <w:marTop w:val="0"/>
              <w:marBottom w:val="0"/>
              <w:divBdr>
                <w:top w:val="none" w:sz="0" w:space="0" w:color="auto"/>
                <w:left w:val="none" w:sz="0" w:space="0" w:color="auto"/>
                <w:bottom w:val="none" w:sz="0" w:space="0" w:color="auto"/>
                <w:right w:val="none" w:sz="0" w:space="0" w:color="auto"/>
              </w:divBdr>
            </w:div>
            <w:div w:id="841815258">
              <w:marLeft w:val="0"/>
              <w:marRight w:val="0"/>
              <w:marTop w:val="0"/>
              <w:marBottom w:val="0"/>
              <w:divBdr>
                <w:top w:val="none" w:sz="0" w:space="0" w:color="auto"/>
                <w:left w:val="none" w:sz="0" w:space="0" w:color="auto"/>
                <w:bottom w:val="none" w:sz="0" w:space="0" w:color="auto"/>
                <w:right w:val="none" w:sz="0" w:space="0" w:color="auto"/>
              </w:divBdr>
            </w:div>
            <w:div w:id="60443729">
              <w:marLeft w:val="0"/>
              <w:marRight w:val="0"/>
              <w:marTop w:val="0"/>
              <w:marBottom w:val="0"/>
              <w:divBdr>
                <w:top w:val="none" w:sz="0" w:space="0" w:color="auto"/>
                <w:left w:val="none" w:sz="0" w:space="0" w:color="auto"/>
                <w:bottom w:val="none" w:sz="0" w:space="0" w:color="auto"/>
                <w:right w:val="none" w:sz="0" w:space="0" w:color="auto"/>
              </w:divBdr>
            </w:div>
            <w:div w:id="1435245149">
              <w:marLeft w:val="0"/>
              <w:marRight w:val="0"/>
              <w:marTop w:val="0"/>
              <w:marBottom w:val="0"/>
              <w:divBdr>
                <w:top w:val="none" w:sz="0" w:space="0" w:color="auto"/>
                <w:left w:val="none" w:sz="0" w:space="0" w:color="auto"/>
                <w:bottom w:val="none" w:sz="0" w:space="0" w:color="auto"/>
                <w:right w:val="none" w:sz="0" w:space="0" w:color="auto"/>
              </w:divBdr>
            </w:div>
            <w:div w:id="1836190104">
              <w:marLeft w:val="0"/>
              <w:marRight w:val="0"/>
              <w:marTop w:val="0"/>
              <w:marBottom w:val="0"/>
              <w:divBdr>
                <w:top w:val="none" w:sz="0" w:space="0" w:color="auto"/>
                <w:left w:val="none" w:sz="0" w:space="0" w:color="auto"/>
                <w:bottom w:val="none" w:sz="0" w:space="0" w:color="auto"/>
                <w:right w:val="none" w:sz="0" w:space="0" w:color="auto"/>
              </w:divBdr>
            </w:div>
            <w:div w:id="191768396">
              <w:marLeft w:val="0"/>
              <w:marRight w:val="0"/>
              <w:marTop w:val="0"/>
              <w:marBottom w:val="0"/>
              <w:divBdr>
                <w:top w:val="none" w:sz="0" w:space="0" w:color="auto"/>
                <w:left w:val="none" w:sz="0" w:space="0" w:color="auto"/>
                <w:bottom w:val="none" w:sz="0" w:space="0" w:color="auto"/>
                <w:right w:val="none" w:sz="0" w:space="0" w:color="auto"/>
              </w:divBdr>
            </w:div>
            <w:div w:id="540482284">
              <w:marLeft w:val="0"/>
              <w:marRight w:val="0"/>
              <w:marTop w:val="0"/>
              <w:marBottom w:val="0"/>
              <w:divBdr>
                <w:top w:val="none" w:sz="0" w:space="0" w:color="auto"/>
                <w:left w:val="none" w:sz="0" w:space="0" w:color="auto"/>
                <w:bottom w:val="none" w:sz="0" w:space="0" w:color="auto"/>
                <w:right w:val="none" w:sz="0" w:space="0" w:color="auto"/>
              </w:divBdr>
            </w:div>
            <w:div w:id="1820338444">
              <w:marLeft w:val="0"/>
              <w:marRight w:val="0"/>
              <w:marTop w:val="0"/>
              <w:marBottom w:val="0"/>
              <w:divBdr>
                <w:top w:val="none" w:sz="0" w:space="0" w:color="auto"/>
                <w:left w:val="none" w:sz="0" w:space="0" w:color="auto"/>
                <w:bottom w:val="none" w:sz="0" w:space="0" w:color="auto"/>
                <w:right w:val="none" w:sz="0" w:space="0" w:color="auto"/>
              </w:divBdr>
            </w:div>
            <w:div w:id="994842964">
              <w:marLeft w:val="0"/>
              <w:marRight w:val="0"/>
              <w:marTop w:val="0"/>
              <w:marBottom w:val="0"/>
              <w:divBdr>
                <w:top w:val="none" w:sz="0" w:space="0" w:color="auto"/>
                <w:left w:val="none" w:sz="0" w:space="0" w:color="auto"/>
                <w:bottom w:val="none" w:sz="0" w:space="0" w:color="auto"/>
                <w:right w:val="none" w:sz="0" w:space="0" w:color="auto"/>
              </w:divBdr>
            </w:div>
            <w:div w:id="690762061">
              <w:marLeft w:val="0"/>
              <w:marRight w:val="0"/>
              <w:marTop w:val="0"/>
              <w:marBottom w:val="0"/>
              <w:divBdr>
                <w:top w:val="none" w:sz="0" w:space="0" w:color="auto"/>
                <w:left w:val="none" w:sz="0" w:space="0" w:color="auto"/>
                <w:bottom w:val="none" w:sz="0" w:space="0" w:color="auto"/>
                <w:right w:val="none" w:sz="0" w:space="0" w:color="auto"/>
              </w:divBdr>
            </w:div>
            <w:div w:id="2132285062">
              <w:marLeft w:val="0"/>
              <w:marRight w:val="0"/>
              <w:marTop w:val="0"/>
              <w:marBottom w:val="0"/>
              <w:divBdr>
                <w:top w:val="none" w:sz="0" w:space="0" w:color="auto"/>
                <w:left w:val="none" w:sz="0" w:space="0" w:color="auto"/>
                <w:bottom w:val="none" w:sz="0" w:space="0" w:color="auto"/>
                <w:right w:val="none" w:sz="0" w:space="0" w:color="auto"/>
              </w:divBdr>
            </w:div>
            <w:div w:id="808549401">
              <w:marLeft w:val="0"/>
              <w:marRight w:val="0"/>
              <w:marTop w:val="0"/>
              <w:marBottom w:val="0"/>
              <w:divBdr>
                <w:top w:val="none" w:sz="0" w:space="0" w:color="auto"/>
                <w:left w:val="none" w:sz="0" w:space="0" w:color="auto"/>
                <w:bottom w:val="none" w:sz="0" w:space="0" w:color="auto"/>
                <w:right w:val="none" w:sz="0" w:space="0" w:color="auto"/>
              </w:divBdr>
            </w:div>
            <w:div w:id="1777821828">
              <w:marLeft w:val="0"/>
              <w:marRight w:val="0"/>
              <w:marTop w:val="0"/>
              <w:marBottom w:val="0"/>
              <w:divBdr>
                <w:top w:val="none" w:sz="0" w:space="0" w:color="auto"/>
                <w:left w:val="none" w:sz="0" w:space="0" w:color="auto"/>
                <w:bottom w:val="none" w:sz="0" w:space="0" w:color="auto"/>
                <w:right w:val="none" w:sz="0" w:space="0" w:color="auto"/>
              </w:divBdr>
            </w:div>
            <w:div w:id="1049065442">
              <w:marLeft w:val="0"/>
              <w:marRight w:val="0"/>
              <w:marTop w:val="0"/>
              <w:marBottom w:val="0"/>
              <w:divBdr>
                <w:top w:val="none" w:sz="0" w:space="0" w:color="auto"/>
                <w:left w:val="none" w:sz="0" w:space="0" w:color="auto"/>
                <w:bottom w:val="none" w:sz="0" w:space="0" w:color="auto"/>
                <w:right w:val="none" w:sz="0" w:space="0" w:color="auto"/>
              </w:divBdr>
            </w:div>
            <w:div w:id="1333794190">
              <w:marLeft w:val="0"/>
              <w:marRight w:val="0"/>
              <w:marTop w:val="0"/>
              <w:marBottom w:val="0"/>
              <w:divBdr>
                <w:top w:val="none" w:sz="0" w:space="0" w:color="auto"/>
                <w:left w:val="none" w:sz="0" w:space="0" w:color="auto"/>
                <w:bottom w:val="none" w:sz="0" w:space="0" w:color="auto"/>
                <w:right w:val="none" w:sz="0" w:space="0" w:color="auto"/>
              </w:divBdr>
            </w:div>
            <w:div w:id="1835410465">
              <w:marLeft w:val="0"/>
              <w:marRight w:val="0"/>
              <w:marTop w:val="0"/>
              <w:marBottom w:val="0"/>
              <w:divBdr>
                <w:top w:val="none" w:sz="0" w:space="0" w:color="auto"/>
                <w:left w:val="none" w:sz="0" w:space="0" w:color="auto"/>
                <w:bottom w:val="none" w:sz="0" w:space="0" w:color="auto"/>
                <w:right w:val="none" w:sz="0" w:space="0" w:color="auto"/>
              </w:divBdr>
            </w:div>
            <w:div w:id="601574304">
              <w:marLeft w:val="0"/>
              <w:marRight w:val="0"/>
              <w:marTop w:val="0"/>
              <w:marBottom w:val="0"/>
              <w:divBdr>
                <w:top w:val="none" w:sz="0" w:space="0" w:color="auto"/>
                <w:left w:val="none" w:sz="0" w:space="0" w:color="auto"/>
                <w:bottom w:val="none" w:sz="0" w:space="0" w:color="auto"/>
                <w:right w:val="none" w:sz="0" w:space="0" w:color="auto"/>
              </w:divBdr>
            </w:div>
            <w:div w:id="1489328449">
              <w:marLeft w:val="0"/>
              <w:marRight w:val="0"/>
              <w:marTop w:val="0"/>
              <w:marBottom w:val="0"/>
              <w:divBdr>
                <w:top w:val="none" w:sz="0" w:space="0" w:color="auto"/>
                <w:left w:val="none" w:sz="0" w:space="0" w:color="auto"/>
                <w:bottom w:val="none" w:sz="0" w:space="0" w:color="auto"/>
                <w:right w:val="none" w:sz="0" w:space="0" w:color="auto"/>
              </w:divBdr>
            </w:div>
            <w:div w:id="1045565197">
              <w:marLeft w:val="0"/>
              <w:marRight w:val="0"/>
              <w:marTop w:val="0"/>
              <w:marBottom w:val="0"/>
              <w:divBdr>
                <w:top w:val="none" w:sz="0" w:space="0" w:color="auto"/>
                <w:left w:val="none" w:sz="0" w:space="0" w:color="auto"/>
                <w:bottom w:val="none" w:sz="0" w:space="0" w:color="auto"/>
                <w:right w:val="none" w:sz="0" w:space="0" w:color="auto"/>
              </w:divBdr>
            </w:div>
            <w:div w:id="1896352189">
              <w:marLeft w:val="0"/>
              <w:marRight w:val="0"/>
              <w:marTop w:val="0"/>
              <w:marBottom w:val="0"/>
              <w:divBdr>
                <w:top w:val="none" w:sz="0" w:space="0" w:color="auto"/>
                <w:left w:val="none" w:sz="0" w:space="0" w:color="auto"/>
                <w:bottom w:val="none" w:sz="0" w:space="0" w:color="auto"/>
                <w:right w:val="none" w:sz="0" w:space="0" w:color="auto"/>
              </w:divBdr>
            </w:div>
            <w:div w:id="380522967">
              <w:marLeft w:val="0"/>
              <w:marRight w:val="0"/>
              <w:marTop w:val="0"/>
              <w:marBottom w:val="0"/>
              <w:divBdr>
                <w:top w:val="none" w:sz="0" w:space="0" w:color="auto"/>
                <w:left w:val="none" w:sz="0" w:space="0" w:color="auto"/>
                <w:bottom w:val="none" w:sz="0" w:space="0" w:color="auto"/>
                <w:right w:val="none" w:sz="0" w:space="0" w:color="auto"/>
              </w:divBdr>
            </w:div>
            <w:div w:id="1182208814">
              <w:marLeft w:val="0"/>
              <w:marRight w:val="0"/>
              <w:marTop w:val="0"/>
              <w:marBottom w:val="0"/>
              <w:divBdr>
                <w:top w:val="none" w:sz="0" w:space="0" w:color="auto"/>
                <w:left w:val="none" w:sz="0" w:space="0" w:color="auto"/>
                <w:bottom w:val="none" w:sz="0" w:space="0" w:color="auto"/>
                <w:right w:val="none" w:sz="0" w:space="0" w:color="auto"/>
              </w:divBdr>
            </w:div>
            <w:div w:id="1724326899">
              <w:marLeft w:val="0"/>
              <w:marRight w:val="0"/>
              <w:marTop w:val="0"/>
              <w:marBottom w:val="0"/>
              <w:divBdr>
                <w:top w:val="none" w:sz="0" w:space="0" w:color="auto"/>
                <w:left w:val="none" w:sz="0" w:space="0" w:color="auto"/>
                <w:bottom w:val="none" w:sz="0" w:space="0" w:color="auto"/>
                <w:right w:val="none" w:sz="0" w:space="0" w:color="auto"/>
              </w:divBdr>
            </w:div>
            <w:div w:id="936208934">
              <w:marLeft w:val="0"/>
              <w:marRight w:val="0"/>
              <w:marTop w:val="0"/>
              <w:marBottom w:val="0"/>
              <w:divBdr>
                <w:top w:val="none" w:sz="0" w:space="0" w:color="auto"/>
                <w:left w:val="none" w:sz="0" w:space="0" w:color="auto"/>
                <w:bottom w:val="none" w:sz="0" w:space="0" w:color="auto"/>
                <w:right w:val="none" w:sz="0" w:space="0" w:color="auto"/>
              </w:divBdr>
            </w:div>
            <w:div w:id="1675952646">
              <w:marLeft w:val="0"/>
              <w:marRight w:val="0"/>
              <w:marTop w:val="0"/>
              <w:marBottom w:val="0"/>
              <w:divBdr>
                <w:top w:val="none" w:sz="0" w:space="0" w:color="auto"/>
                <w:left w:val="none" w:sz="0" w:space="0" w:color="auto"/>
                <w:bottom w:val="none" w:sz="0" w:space="0" w:color="auto"/>
                <w:right w:val="none" w:sz="0" w:space="0" w:color="auto"/>
              </w:divBdr>
            </w:div>
            <w:div w:id="683017496">
              <w:marLeft w:val="0"/>
              <w:marRight w:val="0"/>
              <w:marTop w:val="0"/>
              <w:marBottom w:val="0"/>
              <w:divBdr>
                <w:top w:val="none" w:sz="0" w:space="0" w:color="auto"/>
                <w:left w:val="none" w:sz="0" w:space="0" w:color="auto"/>
                <w:bottom w:val="none" w:sz="0" w:space="0" w:color="auto"/>
                <w:right w:val="none" w:sz="0" w:space="0" w:color="auto"/>
              </w:divBdr>
            </w:div>
            <w:div w:id="1938053261">
              <w:marLeft w:val="0"/>
              <w:marRight w:val="0"/>
              <w:marTop w:val="0"/>
              <w:marBottom w:val="0"/>
              <w:divBdr>
                <w:top w:val="none" w:sz="0" w:space="0" w:color="auto"/>
                <w:left w:val="none" w:sz="0" w:space="0" w:color="auto"/>
                <w:bottom w:val="none" w:sz="0" w:space="0" w:color="auto"/>
                <w:right w:val="none" w:sz="0" w:space="0" w:color="auto"/>
              </w:divBdr>
            </w:div>
            <w:div w:id="790126378">
              <w:marLeft w:val="0"/>
              <w:marRight w:val="0"/>
              <w:marTop w:val="0"/>
              <w:marBottom w:val="0"/>
              <w:divBdr>
                <w:top w:val="none" w:sz="0" w:space="0" w:color="auto"/>
                <w:left w:val="none" w:sz="0" w:space="0" w:color="auto"/>
                <w:bottom w:val="none" w:sz="0" w:space="0" w:color="auto"/>
                <w:right w:val="none" w:sz="0" w:space="0" w:color="auto"/>
              </w:divBdr>
            </w:div>
            <w:div w:id="2046716177">
              <w:marLeft w:val="0"/>
              <w:marRight w:val="0"/>
              <w:marTop w:val="0"/>
              <w:marBottom w:val="0"/>
              <w:divBdr>
                <w:top w:val="none" w:sz="0" w:space="0" w:color="auto"/>
                <w:left w:val="none" w:sz="0" w:space="0" w:color="auto"/>
                <w:bottom w:val="none" w:sz="0" w:space="0" w:color="auto"/>
                <w:right w:val="none" w:sz="0" w:space="0" w:color="auto"/>
              </w:divBdr>
            </w:div>
            <w:div w:id="1673995603">
              <w:marLeft w:val="0"/>
              <w:marRight w:val="0"/>
              <w:marTop w:val="0"/>
              <w:marBottom w:val="0"/>
              <w:divBdr>
                <w:top w:val="none" w:sz="0" w:space="0" w:color="auto"/>
                <w:left w:val="none" w:sz="0" w:space="0" w:color="auto"/>
                <w:bottom w:val="none" w:sz="0" w:space="0" w:color="auto"/>
                <w:right w:val="none" w:sz="0" w:space="0" w:color="auto"/>
              </w:divBdr>
            </w:div>
            <w:div w:id="41562484">
              <w:marLeft w:val="0"/>
              <w:marRight w:val="0"/>
              <w:marTop w:val="0"/>
              <w:marBottom w:val="0"/>
              <w:divBdr>
                <w:top w:val="none" w:sz="0" w:space="0" w:color="auto"/>
                <w:left w:val="none" w:sz="0" w:space="0" w:color="auto"/>
                <w:bottom w:val="none" w:sz="0" w:space="0" w:color="auto"/>
                <w:right w:val="none" w:sz="0" w:space="0" w:color="auto"/>
              </w:divBdr>
            </w:div>
            <w:div w:id="1251697306">
              <w:marLeft w:val="0"/>
              <w:marRight w:val="0"/>
              <w:marTop w:val="0"/>
              <w:marBottom w:val="0"/>
              <w:divBdr>
                <w:top w:val="none" w:sz="0" w:space="0" w:color="auto"/>
                <w:left w:val="none" w:sz="0" w:space="0" w:color="auto"/>
                <w:bottom w:val="none" w:sz="0" w:space="0" w:color="auto"/>
                <w:right w:val="none" w:sz="0" w:space="0" w:color="auto"/>
              </w:divBdr>
            </w:div>
            <w:div w:id="1097024803">
              <w:marLeft w:val="0"/>
              <w:marRight w:val="0"/>
              <w:marTop w:val="0"/>
              <w:marBottom w:val="0"/>
              <w:divBdr>
                <w:top w:val="none" w:sz="0" w:space="0" w:color="auto"/>
                <w:left w:val="none" w:sz="0" w:space="0" w:color="auto"/>
                <w:bottom w:val="none" w:sz="0" w:space="0" w:color="auto"/>
                <w:right w:val="none" w:sz="0" w:space="0" w:color="auto"/>
              </w:divBdr>
            </w:div>
            <w:div w:id="1949970451">
              <w:marLeft w:val="0"/>
              <w:marRight w:val="0"/>
              <w:marTop w:val="0"/>
              <w:marBottom w:val="0"/>
              <w:divBdr>
                <w:top w:val="none" w:sz="0" w:space="0" w:color="auto"/>
                <w:left w:val="none" w:sz="0" w:space="0" w:color="auto"/>
                <w:bottom w:val="none" w:sz="0" w:space="0" w:color="auto"/>
                <w:right w:val="none" w:sz="0" w:space="0" w:color="auto"/>
              </w:divBdr>
            </w:div>
            <w:div w:id="1676806770">
              <w:marLeft w:val="0"/>
              <w:marRight w:val="0"/>
              <w:marTop w:val="0"/>
              <w:marBottom w:val="0"/>
              <w:divBdr>
                <w:top w:val="none" w:sz="0" w:space="0" w:color="auto"/>
                <w:left w:val="none" w:sz="0" w:space="0" w:color="auto"/>
                <w:bottom w:val="none" w:sz="0" w:space="0" w:color="auto"/>
                <w:right w:val="none" w:sz="0" w:space="0" w:color="auto"/>
              </w:divBdr>
            </w:div>
            <w:div w:id="1353722489">
              <w:marLeft w:val="0"/>
              <w:marRight w:val="0"/>
              <w:marTop w:val="0"/>
              <w:marBottom w:val="0"/>
              <w:divBdr>
                <w:top w:val="none" w:sz="0" w:space="0" w:color="auto"/>
                <w:left w:val="none" w:sz="0" w:space="0" w:color="auto"/>
                <w:bottom w:val="none" w:sz="0" w:space="0" w:color="auto"/>
                <w:right w:val="none" w:sz="0" w:space="0" w:color="auto"/>
              </w:divBdr>
            </w:div>
            <w:div w:id="1824620061">
              <w:marLeft w:val="0"/>
              <w:marRight w:val="0"/>
              <w:marTop w:val="0"/>
              <w:marBottom w:val="0"/>
              <w:divBdr>
                <w:top w:val="none" w:sz="0" w:space="0" w:color="auto"/>
                <w:left w:val="none" w:sz="0" w:space="0" w:color="auto"/>
                <w:bottom w:val="none" w:sz="0" w:space="0" w:color="auto"/>
                <w:right w:val="none" w:sz="0" w:space="0" w:color="auto"/>
              </w:divBdr>
            </w:div>
            <w:div w:id="1150639266">
              <w:marLeft w:val="0"/>
              <w:marRight w:val="0"/>
              <w:marTop w:val="0"/>
              <w:marBottom w:val="0"/>
              <w:divBdr>
                <w:top w:val="none" w:sz="0" w:space="0" w:color="auto"/>
                <w:left w:val="none" w:sz="0" w:space="0" w:color="auto"/>
                <w:bottom w:val="none" w:sz="0" w:space="0" w:color="auto"/>
                <w:right w:val="none" w:sz="0" w:space="0" w:color="auto"/>
              </w:divBdr>
            </w:div>
            <w:div w:id="1211380127">
              <w:marLeft w:val="0"/>
              <w:marRight w:val="0"/>
              <w:marTop w:val="0"/>
              <w:marBottom w:val="0"/>
              <w:divBdr>
                <w:top w:val="none" w:sz="0" w:space="0" w:color="auto"/>
                <w:left w:val="none" w:sz="0" w:space="0" w:color="auto"/>
                <w:bottom w:val="none" w:sz="0" w:space="0" w:color="auto"/>
                <w:right w:val="none" w:sz="0" w:space="0" w:color="auto"/>
              </w:divBdr>
            </w:div>
            <w:div w:id="913205587">
              <w:marLeft w:val="0"/>
              <w:marRight w:val="0"/>
              <w:marTop w:val="0"/>
              <w:marBottom w:val="0"/>
              <w:divBdr>
                <w:top w:val="none" w:sz="0" w:space="0" w:color="auto"/>
                <w:left w:val="none" w:sz="0" w:space="0" w:color="auto"/>
                <w:bottom w:val="none" w:sz="0" w:space="0" w:color="auto"/>
                <w:right w:val="none" w:sz="0" w:space="0" w:color="auto"/>
              </w:divBdr>
            </w:div>
            <w:div w:id="844629942">
              <w:marLeft w:val="0"/>
              <w:marRight w:val="0"/>
              <w:marTop w:val="0"/>
              <w:marBottom w:val="0"/>
              <w:divBdr>
                <w:top w:val="none" w:sz="0" w:space="0" w:color="auto"/>
                <w:left w:val="none" w:sz="0" w:space="0" w:color="auto"/>
                <w:bottom w:val="none" w:sz="0" w:space="0" w:color="auto"/>
                <w:right w:val="none" w:sz="0" w:space="0" w:color="auto"/>
              </w:divBdr>
            </w:div>
            <w:div w:id="1847859235">
              <w:marLeft w:val="0"/>
              <w:marRight w:val="0"/>
              <w:marTop w:val="0"/>
              <w:marBottom w:val="0"/>
              <w:divBdr>
                <w:top w:val="none" w:sz="0" w:space="0" w:color="auto"/>
                <w:left w:val="none" w:sz="0" w:space="0" w:color="auto"/>
                <w:bottom w:val="none" w:sz="0" w:space="0" w:color="auto"/>
                <w:right w:val="none" w:sz="0" w:space="0" w:color="auto"/>
              </w:divBdr>
            </w:div>
            <w:div w:id="2014451121">
              <w:marLeft w:val="0"/>
              <w:marRight w:val="0"/>
              <w:marTop w:val="0"/>
              <w:marBottom w:val="0"/>
              <w:divBdr>
                <w:top w:val="none" w:sz="0" w:space="0" w:color="auto"/>
                <w:left w:val="none" w:sz="0" w:space="0" w:color="auto"/>
                <w:bottom w:val="none" w:sz="0" w:space="0" w:color="auto"/>
                <w:right w:val="none" w:sz="0" w:space="0" w:color="auto"/>
              </w:divBdr>
            </w:div>
            <w:div w:id="8209990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132683">
      <w:bodyDiv w:val="1"/>
      <w:marLeft w:val="0"/>
      <w:marRight w:val="0"/>
      <w:marTop w:val="0"/>
      <w:marBottom w:val="0"/>
      <w:divBdr>
        <w:top w:val="none" w:sz="0" w:space="0" w:color="auto"/>
        <w:left w:val="none" w:sz="0" w:space="0" w:color="auto"/>
        <w:bottom w:val="none" w:sz="0" w:space="0" w:color="auto"/>
        <w:right w:val="none" w:sz="0" w:space="0" w:color="auto"/>
      </w:divBdr>
    </w:div>
    <w:div w:id="113597887">
      <w:bodyDiv w:val="1"/>
      <w:marLeft w:val="0"/>
      <w:marRight w:val="0"/>
      <w:marTop w:val="0"/>
      <w:marBottom w:val="0"/>
      <w:divBdr>
        <w:top w:val="none" w:sz="0" w:space="0" w:color="auto"/>
        <w:left w:val="none" w:sz="0" w:space="0" w:color="auto"/>
        <w:bottom w:val="none" w:sz="0" w:space="0" w:color="auto"/>
        <w:right w:val="none" w:sz="0" w:space="0" w:color="auto"/>
      </w:divBdr>
    </w:div>
    <w:div w:id="115880435">
      <w:bodyDiv w:val="1"/>
      <w:marLeft w:val="0"/>
      <w:marRight w:val="0"/>
      <w:marTop w:val="0"/>
      <w:marBottom w:val="0"/>
      <w:divBdr>
        <w:top w:val="none" w:sz="0" w:space="0" w:color="auto"/>
        <w:left w:val="none" w:sz="0" w:space="0" w:color="auto"/>
        <w:bottom w:val="none" w:sz="0" w:space="0" w:color="auto"/>
        <w:right w:val="none" w:sz="0" w:space="0" w:color="auto"/>
      </w:divBdr>
    </w:div>
    <w:div w:id="211507048">
      <w:bodyDiv w:val="1"/>
      <w:marLeft w:val="0"/>
      <w:marRight w:val="0"/>
      <w:marTop w:val="0"/>
      <w:marBottom w:val="0"/>
      <w:divBdr>
        <w:top w:val="none" w:sz="0" w:space="0" w:color="auto"/>
        <w:left w:val="none" w:sz="0" w:space="0" w:color="auto"/>
        <w:bottom w:val="none" w:sz="0" w:space="0" w:color="auto"/>
        <w:right w:val="none" w:sz="0" w:space="0" w:color="auto"/>
      </w:divBdr>
    </w:div>
    <w:div w:id="230164647">
      <w:bodyDiv w:val="1"/>
      <w:marLeft w:val="0"/>
      <w:marRight w:val="0"/>
      <w:marTop w:val="0"/>
      <w:marBottom w:val="0"/>
      <w:divBdr>
        <w:top w:val="none" w:sz="0" w:space="0" w:color="auto"/>
        <w:left w:val="none" w:sz="0" w:space="0" w:color="auto"/>
        <w:bottom w:val="none" w:sz="0" w:space="0" w:color="auto"/>
        <w:right w:val="none" w:sz="0" w:space="0" w:color="auto"/>
      </w:divBdr>
    </w:div>
    <w:div w:id="231425050">
      <w:bodyDiv w:val="1"/>
      <w:marLeft w:val="0"/>
      <w:marRight w:val="0"/>
      <w:marTop w:val="0"/>
      <w:marBottom w:val="0"/>
      <w:divBdr>
        <w:top w:val="none" w:sz="0" w:space="0" w:color="auto"/>
        <w:left w:val="none" w:sz="0" w:space="0" w:color="auto"/>
        <w:bottom w:val="none" w:sz="0" w:space="0" w:color="auto"/>
        <w:right w:val="none" w:sz="0" w:space="0" w:color="auto"/>
      </w:divBdr>
    </w:div>
    <w:div w:id="252670722">
      <w:bodyDiv w:val="1"/>
      <w:marLeft w:val="0"/>
      <w:marRight w:val="0"/>
      <w:marTop w:val="0"/>
      <w:marBottom w:val="0"/>
      <w:divBdr>
        <w:top w:val="none" w:sz="0" w:space="0" w:color="auto"/>
        <w:left w:val="none" w:sz="0" w:space="0" w:color="auto"/>
        <w:bottom w:val="none" w:sz="0" w:space="0" w:color="auto"/>
        <w:right w:val="none" w:sz="0" w:space="0" w:color="auto"/>
      </w:divBdr>
      <w:divsChild>
        <w:div w:id="107258423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58567350">
      <w:bodyDiv w:val="1"/>
      <w:marLeft w:val="0"/>
      <w:marRight w:val="0"/>
      <w:marTop w:val="0"/>
      <w:marBottom w:val="0"/>
      <w:divBdr>
        <w:top w:val="none" w:sz="0" w:space="0" w:color="auto"/>
        <w:left w:val="none" w:sz="0" w:space="0" w:color="auto"/>
        <w:bottom w:val="none" w:sz="0" w:space="0" w:color="auto"/>
        <w:right w:val="none" w:sz="0" w:space="0" w:color="auto"/>
      </w:divBdr>
    </w:div>
    <w:div w:id="272058470">
      <w:bodyDiv w:val="1"/>
      <w:marLeft w:val="0"/>
      <w:marRight w:val="0"/>
      <w:marTop w:val="0"/>
      <w:marBottom w:val="0"/>
      <w:divBdr>
        <w:top w:val="none" w:sz="0" w:space="0" w:color="auto"/>
        <w:left w:val="none" w:sz="0" w:space="0" w:color="auto"/>
        <w:bottom w:val="none" w:sz="0" w:space="0" w:color="auto"/>
        <w:right w:val="none" w:sz="0" w:space="0" w:color="auto"/>
      </w:divBdr>
    </w:div>
    <w:div w:id="301810469">
      <w:bodyDiv w:val="1"/>
      <w:marLeft w:val="0"/>
      <w:marRight w:val="0"/>
      <w:marTop w:val="0"/>
      <w:marBottom w:val="0"/>
      <w:divBdr>
        <w:top w:val="none" w:sz="0" w:space="0" w:color="auto"/>
        <w:left w:val="none" w:sz="0" w:space="0" w:color="auto"/>
        <w:bottom w:val="none" w:sz="0" w:space="0" w:color="auto"/>
        <w:right w:val="none" w:sz="0" w:space="0" w:color="auto"/>
      </w:divBdr>
      <w:divsChild>
        <w:div w:id="1665469655">
          <w:marLeft w:val="0"/>
          <w:marRight w:val="0"/>
          <w:marTop w:val="0"/>
          <w:marBottom w:val="0"/>
          <w:divBdr>
            <w:top w:val="none" w:sz="0" w:space="0" w:color="auto"/>
            <w:left w:val="none" w:sz="0" w:space="0" w:color="auto"/>
            <w:bottom w:val="none" w:sz="0" w:space="0" w:color="auto"/>
            <w:right w:val="none" w:sz="0" w:space="0" w:color="auto"/>
          </w:divBdr>
          <w:divsChild>
            <w:div w:id="514002333">
              <w:marLeft w:val="0"/>
              <w:marRight w:val="0"/>
              <w:marTop w:val="0"/>
              <w:marBottom w:val="0"/>
              <w:divBdr>
                <w:top w:val="none" w:sz="0" w:space="0" w:color="auto"/>
                <w:left w:val="none" w:sz="0" w:space="0" w:color="auto"/>
                <w:bottom w:val="none" w:sz="0" w:space="0" w:color="auto"/>
                <w:right w:val="none" w:sz="0" w:space="0" w:color="auto"/>
              </w:divBdr>
            </w:div>
            <w:div w:id="1382828445">
              <w:marLeft w:val="0"/>
              <w:marRight w:val="0"/>
              <w:marTop w:val="0"/>
              <w:marBottom w:val="0"/>
              <w:divBdr>
                <w:top w:val="none" w:sz="0" w:space="0" w:color="auto"/>
                <w:left w:val="none" w:sz="0" w:space="0" w:color="auto"/>
                <w:bottom w:val="none" w:sz="0" w:space="0" w:color="auto"/>
                <w:right w:val="none" w:sz="0" w:space="0" w:color="auto"/>
              </w:divBdr>
            </w:div>
            <w:div w:id="395931149">
              <w:marLeft w:val="0"/>
              <w:marRight w:val="0"/>
              <w:marTop w:val="0"/>
              <w:marBottom w:val="0"/>
              <w:divBdr>
                <w:top w:val="none" w:sz="0" w:space="0" w:color="auto"/>
                <w:left w:val="none" w:sz="0" w:space="0" w:color="auto"/>
                <w:bottom w:val="none" w:sz="0" w:space="0" w:color="auto"/>
                <w:right w:val="none" w:sz="0" w:space="0" w:color="auto"/>
              </w:divBdr>
            </w:div>
            <w:div w:id="443379870">
              <w:marLeft w:val="0"/>
              <w:marRight w:val="0"/>
              <w:marTop w:val="0"/>
              <w:marBottom w:val="0"/>
              <w:divBdr>
                <w:top w:val="none" w:sz="0" w:space="0" w:color="auto"/>
                <w:left w:val="none" w:sz="0" w:space="0" w:color="auto"/>
                <w:bottom w:val="none" w:sz="0" w:space="0" w:color="auto"/>
                <w:right w:val="none" w:sz="0" w:space="0" w:color="auto"/>
              </w:divBdr>
            </w:div>
            <w:div w:id="235676435">
              <w:marLeft w:val="0"/>
              <w:marRight w:val="0"/>
              <w:marTop w:val="0"/>
              <w:marBottom w:val="0"/>
              <w:divBdr>
                <w:top w:val="none" w:sz="0" w:space="0" w:color="auto"/>
                <w:left w:val="none" w:sz="0" w:space="0" w:color="auto"/>
                <w:bottom w:val="none" w:sz="0" w:space="0" w:color="auto"/>
                <w:right w:val="none" w:sz="0" w:space="0" w:color="auto"/>
              </w:divBdr>
            </w:div>
            <w:div w:id="730807467">
              <w:marLeft w:val="0"/>
              <w:marRight w:val="0"/>
              <w:marTop w:val="0"/>
              <w:marBottom w:val="0"/>
              <w:divBdr>
                <w:top w:val="none" w:sz="0" w:space="0" w:color="auto"/>
                <w:left w:val="none" w:sz="0" w:space="0" w:color="auto"/>
                <w:bottom w:val="none" w:sz="0" w:space="0" w:color="auto"/>
                <w:right w:val="none" w:sz="0" w:space="0" w:color="auto"/>
              </w:divBdr>
            </w:div>
            <w:div w:id="2125344241">
              <w:marLeft w:val="0"/>
              <w:marRight w:val="0"/>
              <w:marTop w:val="0"/>
              <w:marBottom w:val="0"/>
              <w:divBdr>
                <w:top w:val="none" w:sz="0" w:space="0" w:color="auto"/>
                <w:left w:val="none" w:sz="0" w:space="0" w:color="auto"/>
                <w:bottom w:val="none" w:sz="0" w:space="0" w:color="auto"/>
                <w:right w:val="none" w:sz="0" w:space="0" w:color="auto"/>
              </w:divBdr>
            </w:div>
            <w:div w:id="106509657">
              <w:marLeft w:val="0"/>
              <w:marRight w:val="0"/>
              <w:marTop w:val="0"/>
              <w:marBottom w:val="0"/>
              <w:divBdr>
                <w:top w:val="none" w:sz="0" w:space="0" w:color="auto"/>
                <w:left w:val="none" w:sz="0" w:space="0" w:color="auto"/>
                <w:bottom w:val="none" w:sz="0" w:space="0" w:color="auto"/>
                <w:right w:val="none" w:sz="0" w:space="0" w:color="auto"/>
              </w:divBdr>
            </w:div>
            <w:div w:id="985008604">
              <w:marLeft w:val="0"/>
              <w:marRight w:val="0"/>
              <w:marTop w:val="0"/>
              <w:marBottom w:val="0"/>
              <w:divBdr>
                <w:top w:val="none" w:sz="0" w:space="0" w:color="auto"/>
                <w:left w:val="none" w:sz="0" w:space="0" w:color="auto"/>
                <w:bottom w:val="none" w:sz="0" w:space="0" w:color="auto"/>
                <w:right w:val="none" w:sz="0" w:space="0" w:color="auto"/>
              </w:divBdr>
            </w:div>
            <w:div w:id="1166945676">
              <w:marLeft w:val="0"/>
              <w:marRight w:val="0"/>
              <w:marTop w:val="0"/>
              <w:marBottom w:val="0"/>
              <w:divBdr>
                <w:top w:val="none" w:sz="0" w:space="0" w:color="auto"/>
                <w:left w:val="none" w:sz="0" w:space="0" w:color="auto"/>
                <w:bottom w:val="none" w:sz="0" w:space="0" w:color="auto"/>
                <w:right w:val="none" w:sz="0" w:space="0" w:color="auto"/>
              </w:divBdr>
            </w:div>
            <w:div w:id="1587424115">
              <w:marLeft w:val="0"/>
              <w:marRight w:val="0"/>
              <w:marTop w:val="0"/>
              <w:marBottom w:val="0"/>
              <w:divBdr>
                <w:top w:val="none" w:sz="0" w:space="0" w:color="auto"/>
                <w:left w:val="none" w:sz="0" w:space="0" w:color="auto"/>
                <w:bottom w:val="none" w:sz="0" w:space="0" w:color="auto"/>
                <w:right w:val="none" w:sz="0" w:space="0" w:color="auto"/>
              </w:divBdr>
            </w:div>
            <w:div w:id="2134328776">
              <w:marLeft w:val="0"/>
              <w:marRight w:val="0"/>
              <w:marTop w:val="0"/>
              <w:marBottom w:val="0"/>
              <w:divBdr>
                <w:top w:val="none" w:sz="0" w:space="0" w:color="auto"/>
                <w:left w:val="none" w:sz="0" w:space="0" w:color="auto"/>
                <w:bottom w:val="none" w:sz="0" w:space="0" w:color="auto"/>
                <w:right w:val="none" w:sz="0" w:space="0" w:color="auto"/>
              </w:divBdr>
            </w:div>
            <w:div w:id="440806817">
              <w:marLeft w:val="0"/>
              <w:marRight w:val="0"/>
              <w:marTop w:val="0"/>
              <w:marBottom w:val="0"/>
              <w:divBdr>
                <w:top w:val="none" w:sz="0" w:space="0" w:color="auto"/>
                <w:left w:val="none" w:sz="0" w:space="0" w:color="auto"/>
                <w:bottom w:val="none" w:sz="0" w:space="0" w:color="auto"/>
                <w:right w:val="none" w:sz="0" w:space="0" w:color="auto"/>
              </w:divBdr>
            </w:div>
            <w:div w:id="128984337">
              <w:marLeft w:val="0"/>
              <w:marRight w:val="0"/>
              <w:marTop w:val="0"/>
              <w:marBottom w:val="0"/>
              <w:divBdr>
                <w:top w:val="none" w:sz="0" w:space="0" w:color="auto"/>
                <w:left w:val="none" w:sz="0" w:space="0" w:color="auto"/>
                <w:bottom w:val="none" w:sz="0" w:space="0" w:color="auto"/>
                <w:right w:val="none" w:sz="0" w:space="0" w:color="auto"/>
              </w:divBdr>
            </w:div>
            <w:div w:id="399520851">
              <w:marLeft w:val="0"/>
              <w:marRight w:val="0"/>
              <w:marTop w:val="0"/>
              <w:marBottom w:val="0"/>
              <w:divBdr>
                <w:top w:val="none" w:sz="0" w:space="0" w:color="auto"/>
                <w:left w:val="none" w:sz="0" w:space="0" w:color="auto"/>
                <w:bottom w:val="none" w:sz="0" w:space="0" w:color="auto"/>
                <w:right w:val="none" w:sz="0" w:space="0" w:color="auto"/>
              </w:divBdr>
            </w:div>
            <w:div w:id="1689674471">
              <w:marLeft w:val="0"/>
              <w:marRight w:val="0"/>
              <w:marTop w:val="0"/>
              <w:marBottom w:val="0"/>
              <w:divBdr>
                <w:top w:val="none" w:sz="0" w:space="0" w:color="auto"/>
                <w:left w:val="none" w:sz="0" w:space="0" w:color="auto"/>
                <w:bottom w:val="none" w:sz="0" w:space="0" w:color="auto"/>
                <w:right w:val="none" w:sz="0" w:space="0" w:color="auto"/>
              </w:divBdr>
            </w:div>
            <w:div w:id="1603417956">
              <w:marLeft w:val="0"/>
              <w:marRight w:val="0"/>
              <w:marTop w:val="0"/>
              <w:marBottom w:val="0"/>
              <w:divBdr>
                <w:top w:val="none" w:sz="0" w:space="0" w:color="auto"/>
                <w:left w:val="none" w:sz="0" w:space="0" w:color="auto"/>
                <w:bottom w:val="none" w:sz="0" w:space="0" w:color="auto"/>
                <w:right w:val="none" w:sz="0" w:space="0" w:color="auto"/>
              </w:divBdr>
            </w:div>
            <w:div w:id="2146197694">
              <w:marLeft w:val="0"/>
              <w:marRight w:val="0"/>
              <w:marTop w:val="0"/>
              <w:marBottom w:val="0"/>
              <w:divBdr>
                <w:top w:val="none" w:sz="0" w:space="0" w:color="auto"/>
                <w:left w:val="none" w:sz="0" w:space="0" w:color="auto"/>
                <w:bottom w:val="none" w:sz="0" w:space="0" w:color="auto"/>
                <w:right w:val="none" w:sz="0" w:space="0" w:color="auto"/>
              </w:divBdr>
            </w:div>
            <w:div w:id="2004161016">
              <w:marLeft w:val="0"/>
              <w:marRight w:val="0"/>
              <w:marTop w:val="0"/>
              <w:marBottom w:val="0"/>
              <w:divBdr>
                <w:top w:val="none" w:sz="0" w:space="0" w:color="auto"/>
                <w:left w:val="none" w:sz="0" w:space="0" w:color="auto"/>
                <w:bottom w:val="none" w:sz="0" w:space="0" w:color="auto"/>
                <w:right w:val="none" w:sz="0" w:space="0" w:color="auto"/>
              </w:divBdr>
            </w:div>
            <w:div w:id="1649672514">
              <w:marLeft w:val="0"/>
              <w:marRight w:val="0"/>
              <w:marTop w:val="0"/>
              <w:marBottom w:val="0"/>
              <w:divBdr>
                <w:top w:val="none" w:sz="0" w:space="0" w:color="auto"/>
                <w:left w:val="none" w:sz="0" w:space="0" w:color="auto"/>
                <w:bottom w:val="none" w:sz="0" w:space="0" w:color="auto"/>
                <w:right w:val="none" w:sz="0" w:space="0" w:color="auto"/>
              </w:divBdr>
            </w:div>
            <w:div w:id="1062755564">
              <w:marLeft w:val="0"/>
              <w:marRight w:val="0"/>
              <w:marTop w:val="0"/>
              <w:marBottom w:val="0"/>
              <w:divBdr>
                <w:top w:val="none" w:sz="0" w:space="0" w:color="auto"/>
                <w:left w:val="none" w:sz="0" w:space="0" w:color="auto"/>
                <w:bottom w:val="none" w:sz="0" w:space="0" w:color="auto"/>
                <w:right w:val="none" w:sz="0" w:space="0" w:color="auto"/>
              </w:divBdr>
            </w:div>
            <w:div w:id="1521160724">
              <w:marLeft w:val="0"/>
              <w:marRight w:val="0"/>
              <w:marTop w:val="0"/>
              <w:marBottom w:val="0"/>
              <w:divBdr>
                <w:top w:val="none" w:sz="0" w:space="0" w:color="auto"/>
                <w:left w:val="none" w:sz="0" w:space="0" w:color="auto"/>
                <w:bottom w:val="none" w:sz="0" w:space="0" w:color="auto"/>
                <w:right w:val="none" w:sz="0" w:space="0" w:color="auto"/>
              </w:divBdr>
            </w:div>
            <w:div w:id="65692752">
              <w:marLeft w:val="0"/>
              <w:marRight w:val="0"/>
              <w:marTop w:val="0"/>
              <w:marBottom w:val="0"/>
              <w:divBdr>
                <w:top w:val="none" w:sz="0" w:space="0" w:color="auto"/>
                <w:left w:val="none" w:sz="0" w:space="0" w:color="auto"/>
                <w:bottom w:val="none" w:sz="0" w:space="0" w:color="auto"/>
                <w:right w:val="none" w:sz="0" w:space="0" w:color="auto"/>
              </w:divBdr>
            </w:div>
            <w:div w:id="1731998022">
              <w:marLeft w:val="0"/>
              <w:marRight w:val="0"/>
              <w:marTop w:val="0"/>
              <w:marBottom w:val="0"/>
              <w:divBdr>
                <w:top w:val="none" w:sz="0" w:space="0" w:color="auto"/>
                <w:left w:val="none" w:sz="0" w:space="0" w:color="auto"/>
                <w:bottom w:val="none" w:sz="0" w:space="0" w:color="auto"/>
                <w:right w:val="none" w:sz="0" w:space="0" w:color="auto"/>
              </w:divBdr>
            </w:div>
            <w:div w:id="1517380311">
              <w:marLeft w:val="0"/>
              <w:marRight w:val="0"/>
              <w:marTop w:val="0"/>
              <w:marBottom w:val="0"/>
              <w:divBdr>
                <w:top w:val="none" w:sz="0" w:space="0" w:color="auto"/>
                <w:left w:val="none" w:sz="0" w:space="0" w:color="auto"/>
                <w:bottom w:val="none" w:sz="0" w:space="0" w:color="auto"/>
                <w:right w:val="none" w:sz="0" w:space="0" w:color="auto"/>
              </w:divBdr>
            </w:div>
            <w:div w:id="107094080">
              <w:marLeft w:val="0"/>
              <w:marRight w:val="0"/>
              <w:marTop w:val="0"/>
              <w:marBottom w:val="0"/>
              <w:divBdr>
                <w:top w:val="none" w:sz="0" w:space="0" w:color="auto"/>
                <w:left w:val="none" w:sz="0" w:space="0" w:color="auto"/>
                <w:bottom w:val="none" w:sz="0" w:space="0" w:color="auto"/>
                <w:right w:val="none" w:sz="0" w:space="0" w:color="auto"/>
              </w:divBdr>
            </w:div>
            <w:div w:id="1527862545">
              <w:marLeft w:val="0"/>
              <w:marRight w:val="0"/>
              <w:marTop w:val="0"/>
              <w:marBottom w:val="0"/>
              <w:divBdr>
                <w:top w:val="none" w:sz="0" w:space="0" w:color="auto"/>
                <w:left w:val="none" w:sz="0" w:space="0" w:color="auto"/>
                <w:bottom w:val="none" w:sz="0" w:space="0" w:color="auto"/>
                <w:right w:val="none" w:sz="0" w:space="0" w:color="auto"/>
              </w:divBdr>
            </w:div>
            <w:div w:id="2103254718">
              <w:marLeft w:val="0"/>
              <w:marRight w:val="0"/>
              <w:marTop w:val="0"/>
              <w:marBottom w:val="0"/>
              <w:divBdr>
                <w:top w:val="none" w:sz="0" w:space="0" w:color="auto"/>
                <w:left w:val="none" w:sz="0" w:space="0" w:color="auto"/>
                <w:bottom w:val="none" w:sz="0" w:space="0" w:color="auto"/>
                <w:right w:val="none" w:sz="0" w:space="0" w:color="auto"/>
              </w:divBdr>
            </w:div>
            <w:div w:id="2080444002">
              <w:marLeft w:val="0"/>
              <w:marRight w:val="0"/>
              <w:marTop w:val="0"/>
              <w:marBottom w:val="0"/>
              <w:divBdr>
                <w:top w:val="none" w:sz="0" w:space="0" w:color="auto"/>
                <w:left w:val="none" w:sz="0" w:space="0" w:color="auto"/>
                <w:bottom w:val="none" w:sz="0" w:space="0" w:color="auto"/>
                <w:right w:val="none" w:sz="0" w:space="0" w:color="auto"/>
              </w:divBdr>
            </w:div>
            <w:div w:id="1652519665">
              <w:marLeft w:val="0"/>
              <w:marRight w:val="0"/>
              <w:marTop w:val="0"/>
              <w:marBottom w:val="0"/>
              <w:divBdr>
                <w:top w:val="none" w:sz="0" w:space="0" w:color="auto"/>
                <w:left w:val="none" w:sz="0" w:space="0" w:color="auto"/>
                <w:bottom w:val="none" w:sz="0" w:space="0" w:color="auto"/>
                <w:right w:val="none" w:sz="0" w:space="0" w:color="auto"/>
              </w:divBdr>
            </w:div>
            <w:div w:id="596334442">
              <w:marLeft w:val="0"/>
              <w:marRight w:val="0"/>
              <w:marTop w:val="0"/>
              <w:marBottom w:val="0"/>
              <w:divBdr>
                <w:top w:val="none" w:sz="0" w:space="0" w:color="auto"/>
                <w:left w:val="none" w:sz="0" w:space="0" w:color="auto"/>
                <w:bottom w:val="none" w:sz="0" w:space="0" w:color="auto"/>
                <w:right w:val="none" w:sz="0" w:space="0" w:color="auto"/>
              </w:divBdr>
            </w:div>
            <w:div w:id="218787265">
              <w:marLeft w:val="0"/>
              <w:marRight w:val="0"/>
              <w:marTop w:val="0"/>
              <w:marBottom w:val="0"/>
              <w:divBdr>
                <w:top w:val="none" w:sz="0" w:space="0" w:color="auto"/>
                <w:left w:val="none" w:sz="0" w:space="0" w:color="auto"/>
                <w:bottom w:val="none" w:sz="0" w:space="0" w:color="auto"/>
                <w:right w:val="none" w:sz="0" w:space="0" w:color="auto"/>
              </w:divBdr>
            </w:div>
            <w:div w:id="1038362561">
              <w:marLeft w:val="0"/>
              <w:marRight w:val="0"/>
              <w:marTop w:val="0"/>
              <w:marBottom w:val="0"/>
              <w:divBdr>
                <w:top w:val="none" w:sz="0" w:space="0" w:color="auto"/>
                <w:left w:val="none" w:sz="0" w:space="0" w:color="auto"/>
                <w:bottom w:val="none" w:sz="0" w:space="0" w:color="auto"/>
                <w:right w:val="none" w:sz="0" w:space="0" w:color="auto"/>
              </w:divBdr>
            </w:div>
            <w:div w:id="426728279">
              <w:marLeft w:val="0"/>
              <w:marRight w:val="0"/>
              <w:marTop w:val="0"/>
              <w:marBottom w:val="0"/>
              <w:divBdr>
                <w:top w:val="none" w:sz="0" w:space="0" w:color="auto"/>
                <w:left w:val="none" w:sz="0" w:space="0" w:color="auto"/>
                <w:bottom w:val="none" w:sz="0" w:space="0" w:color="auto"/>
                <w:right w:val="none" w:sz="0" w:space="0" w:color="auto"/>
              </w:divBdr>
            </w:div>
            <w:div w:id="937951531">
              <w:marLeft w:val="0"/>
              <w:marRight w:val="0"/>
              <w:marTop w:val="0"/>
              <w:marBottom w:val="0"/>
              <w:divBdr>
                <w:top w:val="none" w:sz="0" w:space="0" w:color="auto"/>
                <w:left w:val="none" w:sz="0" w:space="0" w:color="auto"/>
                <w:bottom w:val="none" w:sz="0" w:space="0" w:color="auto"/>
                <w:right w:val="none" w:sz="0" w:space="0" w:color="auto"/>
              </w:divBdr>
            </w:div>
            <w:div w:id="1359507389">
              <w:marLeft w:val="0"/>
              <w:marRight w:val="0"/>
              <w:marTop w:val="0"/>
              <w:marBottom w:val="0"/>
              <w:divBdr>
                <w:top w:val="none" w:sz="0" w:space="0" w:color="auto"/>
                <w:left w:val="none" w:sz="0" w:space="0" w:color="auto"/>
                <w:bottom w:val="none" w:sz="0" w:space="0" w:color="auto"/>
                <w:right w:val="none" w:sz="0" w:space="0" w:color="auto"/>
              </w:divBdr>
            </w:div>
            <w:div w:id="1048072398">
              <w:marLeft w:val="0"/>
              <w:marRight w:val="0"/>
              <w:marTop w:val="0"/>
              <w:marBottom w:val="0"/>
              <w:divBdr>
                <w:top w:val="none" w:sz="0" w:space="0" w:color="auto"/>
                <w:left w:val="none" w:sz="0" w:space="0" w:color="auto"/>
                <w:bottom w:val="none" w:sz="0" w:space="0" w:color="auto"/>
                <w:right w:val="none" w:sz="0" w:space="0" w:color="auto"/>
              </w:divBdr>
            </w:div>
            <w:div w:id="2144536295">
              <w:marLeft w:val="0"/>
              <w:marRight w:val="0"/>
              <w:marTop w:val="0"/>
              <w:marBottom w:val="0"/>
              <w:divBdr>
                <w:top w:val="none" w:sz="0" w:space="0" w:color="auto"/>
                <w:left w:val="none" w:sz="0" w:space="0" w:color="auto"/>
                <w:bottom w:val="none" w:sz="0" w:space="0" w:color="auto"/>
                <w:right w:val="none" w:sz="0" w:space="0" w:color="auto"/>
              </w:divBdr>
            </w:div>
            <w:div w:id="1568685362">
              <w:marLeft w:val="0"/>
              <w:marRight w:val="0"/>
              <w:marTop w:val="0"/>
              <w:marBottom w:val="0"/>
              <w:divBdr>
                <w:top w:val="none" w:sz="0" w:space="0" w:color="auto"/>
                <w:left w:val="none" w:sz="0" w:space="0" w:color="auto"/>
                <w:bottom w:val="none" w:sz="0" w:space="0" w:color="auto"/>
                <w:right w:val="none" w:sz="0" w:space="0" w:color="auto"/>
              </w:divBdr>
            </w:div>
            <w:div w:id="1115292949">
              <w:marLeft w:val="0"/>
              <w:marRight w:val="0"/>
              <w:marTop w:val="0"/>
              <w:marBottom w:val="0"/>
              <w:divBdr>
                <w:top w:val="none" w:sz="0" w:space="0" w:color="auto"/>
                <w:left w:val="none" w:sz="0" w:space="0" w:color="auto"/>
                <w:bottom w:val="none" w:sz="0" w:space="0" w:color="auto"/>
                <w:right w:val="none" w:sz="0" w:space="0" w:color="auto"/>
              </w:divBdr>
            </w:div>
            <w:div w:id="2080201252">
              <w:marLeft w:val="0"/>
              <w:marRight w:val="0"/>
              <w:marTop w:val="0"/>
              <w:marBottom w:val="0"/>
              <w:divBdr>
                <w:top w:val="none" w:sz="0" w:space="0" w:color="auto"/>
                <w:left w:val="none" w:sz="0" w:space="0" w:color="auto"/>
                <w:bottom w:val="none" w:sz="0" w:space="0" w:color="auto"/>
                <w:right w:val="none" w:sz="0" w:space="0" w:color="auto"/>
              </w:divBdr>
            </w:div>
            <w:div w:id="1064372814">
              <w:marLeft w:val="0"/>
              <w:marRight w:val="0"/>
              <w:marTop w:val="0"/>
              <w:marBottom w:val="0"/>
              <w:divBdr>
                <w:top w:val="none" w:sz="0" w:space="0" w:color="auto"/>
                <w:left w:val="none" w:sz="0" w:space="0" w:color="auto"/>
                <w:bottom w:val="none" w:sz="0" w:space="0" w:color="auto"/>
                <w:right w:val="none" w:sz="0" w:space="0" w:color="auto"/>
              </w:divBdr>
            </w:div>
            <w:div w:id="1582250323">
              <w:marLeft w:val="0"/>
              <w:marRight w:val="0"/>
              <w:marTop w:val="0"/>
              <w:marBottom w:val="0"/>
              <w:divBdr>
                <w:top w:val="none" w:sz="0" w:space="0" w:color="auto"/>
                <w:left w:val="none" w:sz="0" w:space="0" w:color="auto"/>
                <w:bottom w:val="none" w:sz="0" w:space="0" w:color="auto"/>
                <w:right w:val="none" w:sz="0" w:space="0" w:color="auto"/>
              </w:divBdr>
            </w:div>
            <w:div w:id="880364201">
              <w:marLeft w:val="0"/>
              <w:marRight w:val="0"/>
              <w:marTop w:val="0"/>
              <w:marBottom w:val="0"/>
              <w:divBdr>
                <w:top w:val="none" w:sz="0" w:space="0" w:color="auto"/>
                <w:left w:val="none" w:sz="0" w:space="0" w:color="auto"/>
                <w:bottom w:val="none" w:sz="0" w:space="0" w:color="auto"/>
                <w:right w:val="none" w:sz="0" w:space="0" w:color="auto"/>
              </w:divBdr>
            </w:div>
            <w:div w:id="1287081575">
              <w:marLeft w:val="0"/>
              <w:marRight w:val="0"/>
              <w:marTop w:val="0"/>
              <w:marBottom w:val="0"/>
              <w:divBdr>
                <w:top w:val="none" w:sz="0" w:space="0" w:color="auto"/>
                <w:left w:val="none" w:sz="0" w:space="0" w:color="auto"/>
                <w:bottom w:val="none" w:sz="0" w:space="0" w:color="auto"/>
                <w:right w:val="none" w:sz="0" w:space="0" w:color="auto"/>
              </w:divBdr>
            </w:div>
            <w:div w:id="1463696925">
              <w:marLeft w:val="0"/>
              <w:marRight w:val="0"/>
              <w:marTop w:val="0"/>
              <w:marBottom w:val="0"/>
              <w:divBdr>
                <w:top w:val="none" w:sz="0" w:space="0" w:color="auto"/>
                <w:left w:val="none" w:sz="0" w:space="0" w:color="auto"/>
                <w:bottom w:val="none" w:sz="0" w:space="0" w:color="auto"/>
                <w:right w:val="none" w:sz="0" w:space="0" w:color="auto"/>
              </w:divBdr>
            </w:div>
            <w:div w:id="2133204032">
              <w:marLeft w:val="0"/>
              <w:marRight w:val="0"/>
              <w:marTop w:val="0"/>
              <w:marBottom w:val="0"/>
              <w:divBdr>
                <w:top w:val="none" w:sz="0" w:space="0" w:color="auto"/>
                <w:left w:val="none" w:sz="0" w:space="0" w:color="auto"/>
                <w:bottom w:val="none" w:sz="0" w:space="0" w:color="auto"/>
                <w:right w:val="none" w:sz="0" w:space="0" w:color="auto"/>
              </w:divBdr>
            </w:div>
            <w:div w:id="1613053646">
              <w:marLeft w:val="0"/>
              <w:marRight w:val="0"/>
              <w:marTop w:val="0"/>
              <w:marBottom w:val="0"/>
              <w:divBdr>
                <w:top w:val="none" w:sz="0" w:space="0" w:color="auto"/>
                <w:left w:val="none" w:sz="0" w:space="0" w:color="auto"/>
                <w:bottom w:val="none" w:sz="0" w:space="0" w:color="auto"/>
                <w:right w:val="none" w:sz="0" w:space="0" w:color="auto"/>
              </w:divBdr>
            </w:div>
            <w:div w:id="261647263">
              <w:marLeft w:val="0"/>
              <w:marRight w:val="0"/>
              <w:marTop w:val="0"/>
              <w:marBottom w:val="0"/>
              <w:divBdr>
                <w:top w:val="none" w:sz="0" w:space="0" w:color="auto"/>
                <w:left w:val="none" w:sz="0" w:space="0" w:color="auto"/>
                <w:bottom w:val="none" w:sz="0" w:space="0" w:color="auto"/>
                <w:right w:val="none" w:sz="0" w:space="0" w:color="auto"/>
              </w:divBdr>
            </w:div>
            <w:div w:id="1389114685">
              <w:marLeft w:val="0"/>
              <w:marRight w:val="0"/>
              <w:marTop w:val="0"/>
              <w:marBottom w:val="0"/>
              <w:divBdr>
                <w:top w:val="none" w:sz="0" w:space="0" w:color="auto"/>
                <w:left w:val="none" w:sz="0" w:space="0" w:color="auto"/>
                <w:bottom w:val="none" w:sz="0" w:space="0" w:color="auto"/>
                <w:right w:val="none" w:sz="0" w:space="0" w:color="auto"/>
              </w:divBdr>
            </w:div>
            <w:div w:id="2118939130">
              <w:marLeft w:val="0"/>
              <w:marRight w:val="0"/>
              <w:marTop w:val="0"/>
              <w:marBottom w:val="0"/>
              <w:divBdr>
                <w:top w:val="none" w:sz="0" w:space="0" w:color="auto"/>
                <w:left w:val="none" w:sz="0" w:space="0" w:color="auto"/>
                <w:bottom w:val="none" w:sz="0" w:space="0" w:color="auto"/>
                <w:right w:val="none" w:sz="0" w:space="0" w:color="auto"/>
              </w:divBdr>
            </w:div>
            <w:div w:id="477193257">
              <w:marLeft w:val="0"/>
              <w:marRight w:val="0"/>
              <w:marTop w:val="0"/>
              <w:marBottom w:val="0"/>
              <w:divBdr>
                <w:top w:val="none" w:sz="0" w:space="0" w:color="auto"/>
                <w:left w:val="none" w:sz="0" w:space="0" w:color="auto"/>
                <w:bottom w:val="none" w:sz="0" w:space="0" w:color="auto"/>
                <w:right w:val="none" w:sz="0" w:space="0" w:color="auto"/>
              </w:divBdr>
            </w:div>
            <w:div w:id="566302855">
              <w:marLeft w:val="0"/>
              <w:marRight w:val="0"/>
              <w:marTop w:val="0"/>
              <w:marBottom w:val="0"/>
              <w:divBdr>
                <w:top w:val="none" w:sz="0" w:space="0" w:color="auto"/>
                <w:left w:val="none" w:sz="0" w:space="0" w:color="auto"/>
                <w:bottom w:val="none" w:sz="0" w:space="0" w:color="auto"/>
                <w:right w:val="none" w:sz="0" w:space="0" w:color="auto"/>
              </w:divBdr>
            </w:div>
            <w:div w:id="29451841">
              <w:marLeft w:val="0"/>
              <w:marRight w:val="0"/>
              <w:marTop w:val="0"/>
              <w:marBottom w:val="0"/>
              <w:divBdr>
                <w:top w:val="none" w:sz="0" w:space="0" w:color="auto"/>
                <w:left w:val="none" w:sz="0" w:space="0" w:color="auto"/>
                <w:bottom w:val="none" w:sz="0" w:space="0" w:color="auto"/>
                <w:right w:val="none" w:sz="0" w:space="0" w:color="auto"/>
              </w:divBdr>
            </w:div>
            <w:div w:id="1762947833">
              <w:marLeft w:val="0"/>
              <w:marRight w:val="0"/>
              <w:marTop w:val="0"/>
              <w:marBottom w:val="0"/>
              <w:divBdr>
                <w:top w:val="none" w:sz="0" w:space="0" w:color="auto"/>
                <w:left w:val="none" w:sz="0" w:space="0" w:color="auto"/>
                <w:bottom w:val="none" w:sz="0" w:space="0" w:color="auto"/>
                <w:right w:val="none" w:sz="0" w:space="0" w:color="auto"/>
              </w:divBdr>
            </w:div>
            <w:div w:id="1813255681">
              <w:marLeft w:val="0"/>
              <w:marRight w:val="0"/>
              <w:marTop w:val="0"/>
              <w:marBottom w:val="0"/>
              <w:divBdr>
                <w:top w:val="none" w:sz="0" w:space="0" w:color="auto"/>
                <w:left w:val="none" w:sz="0" w:space="0" w:color="auto"/>
                <w:bottom w:val="none" w:sz="0" w:space="0" w:color="auto"/>
                <w:right w:val="none" w:sz="0" w:space="0" w:color="auto"/>
              </w:divBdr>
            </w:div>
            <w:div w:id="868834860">
              <w:marLeft w:val="0"/>
              <w:marRight w:val="0"/>
              <w:marTop w:val="0"/>
              <w:marBottom w:val="0"/>
              <w:divBdr>
                <w:top w:val="none" w:sz="0" w:space="0" w:color="auto"/>
                <w:left w:val="none" w:sz="0" w:space="0" w:color="auto"/>
                <w:bottom w:val="none" w:sz="0" w:space="0" w:color="auto"/>
                <w:right w:val="none" w:sz="0" w:space="0" w:color="auto"/>
              </w:divBdr>
            </w:div>
            <w:div w:id="1713505253">
              <w:marLeft w:val="0"/>
              <w:marRight w:val="0"/>
              <w:marTop w:val="0"/>
              <w:marBottom w:val="0"/>
              <w:divBdr>
                <w:top w:val="none" w:sz="0" w:space="0" w:color="auto"/>
                <w:left w:val="none" w:sz="0" w:space="0" w:color="auto"/>
                <w:bottom w:val="none" w:sz="0" w:space="0" w:color="auto"/>
                <w:right w:val="none" w:sz="0" w:space="0" w:color="auto"/>
              </w:divBdr>
            </w:div>
            <w:div w:id="2111117620">
              <w:marLeft w:val="0"/>
              <w:marRight w:val="0"/>
              <w:marTop w:val="0"/>
              <w:marBottom w:val="0"/>
              <w:divBdr>
                <w:top w:val="none" w:sz="0" w:space="0" w:color="auto"/>
                <w:left w:val="none" w:sz="0" w:space="0" w:color="auto"/>
                <w:bottom w:val="none" w:sz="0" w:space="0" w:color="auto"/>
                <w:right w:val="none" w:sz="0" w:space="0" w:color="auto"/>
              </w:divBdr>
            </w:div>
            <w:div w:id="1732388509">
              <w:marLeft w:val="0"/>
              <w:marRight w:val="0"/>
              <w:marTop w:val="0"/>
              <w:marBottom w:val="0"/>
              <w:divBdr>
                <w:top w:val="none" w:sz="0" w:space="0" w:color="auto"/>
                <w:left w:val="none" w:sz="0" w:space="0" w:color="auto"/>
                <w:bottom w:val="none" w:sz="0" w:space="0" w:color="auto"/>
                <w:right w:val="none" w:sz="0" w:space="0" w:color="auto"/>
              </w:divBdr>
            </w:div>
            <w:div w:id="1994604654">
              <w:marLeft w:val="0"/>
              <w:marRight w:val="0"/>
              <w:marTop w:val="0"/>
              <w:marBottom w:val="0"/>
              <w:divBdr>
                <w:top w:val="none" w:sz="0" w:space="0" w:color="auto"/>
                <w:left w:val="none" w:sz="0" w:space="0" w:color="auto"/>
                <w:bottom w:val="none" w:sz="0" w:space="0" w:color="auto"/>
                <w:right w:val="none" w:sz="0" w:space="0" w:color="auto"/>
              </w:divBdr>
            </w:div>
            <w:div w:id="1713648838">
              <w:marLeft w:val="0"/>
              <w:marRight w:val="0"/>
              <w:marTop w:val="0"/>
              <w:marBottom w:val="0"/>
              <w:divBdr>
                <w:top w:val="none" w:sz="0" w:space="0" w:color="auto"/>
                <w:left w:val="none" w:sz="0" w:space="0" w:color="auto"/>
                <w:bottom w:val="none" w:sz="0" w:space="0" w:color="auto"/>
                <w:right w:val="none" w:sz="0" w:space="0" w:color="auto"/>
              </w:divBdr>
            </w:div>
            <w:div w:id="460005289">
              <w:marLeft w:val="0"/>
              <w:marRight w:val="0"/>
              <w:marTop w:val="0"/>
              <w:marBottom w:val="0"/>
              <w:divBdr>
                <w:top w:val="none" w:sz="0" w:space="0" w:color="auto"/>
                <w:left w:val="none" w:sz="0" w:space="0" w:color="auto"/>
                <w:bottom w:val="none" w:sz="0" w:space="0" w:color="auto"/>
                <w:right w:val="none" w:sz="0" w:space="0" w:color="auto"/>
              </w:divBdr>
            </w:div>
            <w:div w:id="968129279">
              <w:marLeft w:val="0"/>
              <w:marRight w:val="0"/>
              <w:marTop w:val="0"/>
              <w:marBottom w:val="0"/>
              <w:divBdr>
                <w:top w:val="none" w:sz="0" w:space="0" w:color="auto"/>
                <w:left w:val="none" w:sz="0" w:space="0" w:color="auto"/>
                <w:bottom w:val="none" w:sz="0" w:space="0" w:color="auto"/>
                <w:right w:val="none" w:sz="0" w:space="0" w:color="auto"/>
              </w:divBdr>
            </w:div>
            <w:div w:id="1003630446">
              <w:marLeft w:val="0"/>
              <w:marRight w:val="0"/>
              <w:marTop w:val="0"/>
              <w:marBottom w:val="0"/>
              <w:divBdr>
                <w:top w:val="none" w:sz="0" w:space="0" w:color="auto"/>
                <w:left w:val="none" w:sz="0" w:space="0" w:color="auto"/>
                <w:bottom w:val="none" w:sz="0" w:space="0" w:color="auto"/>
                <w:right w:val="none" w:sz="0" w:space="0" w:color="auto"/>
              </w:divBdr>
            </w:div>
            <w:div w:id="792015142">
              <w:marLeft w:val="0"/>
              <w:marRight w:val="0"/>
              <w:marTop w:val="0"/>
              <w:marBottom w:val="0"/>
              <w:divBdr>
                <w:top w:val="none" w:sz="0" w:space="0" w:color="auto"/>
                <w:left w:val="none" w:sz="0" w:space="0" w:color="auto"/>
                <w:bottom w:val="none" w:sz="0" w:space="0" w:color="auto"/>
                <w:right w:val="none" w:sz="0" w:space="0" w:color="auto"/>
              </w:divBdr>
            </w:div>
            <w:div w:id="505368453">
              <w:marLeft w:val="0"/>
              <w:marRight w:val="0"/>
              <w:marTop w:val="0"/>
              <w:marBottom w:val="0"/>
              <w:divBdr>
                <w:top w:val="none" w:sz="0" w:space="0" w:color="auto"/>
                <w:left w:val="none" w:sz="0" w:space="0" w:color="auto"/>
                <w:bottom w:val="none" w:sz="0" w:space="0" w:color="auto"/>
                <w:right w:val="none" w:sz="0" w:space="0" w:color="auto"/>
              </w:divBdr>
            </w:div>
            <w:div w:id="1396969920">
              <w:marLeft w:val="0"/>
              <w:marRight w:val="0"/>
              <w:marTop w:val="0"/>
              <w:marBottom w:val="0"/>
              <w:divBdr>
                <w:top w:val="none" w:sz="0" w:space="0" w:color="auto"/>
                <w:left w:val="none" w:sz="0" w:space="0" w:color="auto"/>
                <w:bottom w:val="none" w:sz="0" w:space="0" w:color="auto"/>
                <w:right w:val="none" w:sz="0" w:space="0" w:color="auto"/>
              </w:divBdr>
            </w:div>
            <w:div w:id="108476412">
              <w:marLeft w:val="0"/>
              <w:marRight w:val="0"/>
              <w:marTop w:val="0"/>
              <w:marBottom w:val="0"/>
              <w:divBdr>
                <w:top w:val="none" w:sz="0" w:space="0" w:color="auto"/>
                <w:left w:val="none" w:sz="0" w:space="0" w:color="auto"/>
                <w:bottom w:val="none" w:sz="0" w:space="0" w:color="auto"/>
                <w:right w:val="none" w:sz="0" w:space="0" w:color="auto"/>
              </w:divBdr>
            </w:div>
            <w:div w:id="1503617787">
              <w:marLeft w:val="0"/>
              <w:marRight w:val="0"/>
              <w:marTop w:val="0"/>
              <w:marBottom w:val="0"/>
              <w:divBdr>
                <w:top w:val="none" w:sz="0" w:space="0" w:color="auto"/>
                <w:left w:val="none" w:sz="0" w:space="0" w:color="auto"/>
                <w:bottom w:val="none" w:sz="0" w:space="0" w:color="auto"/>
                <w:right w:val="none" w:sz="0" w:space="0" w:color="auto"/>
              </w:divBdr>
            </w:div>
            <w:div w:id="1849101782">
              <w:marLeft w:val="0"/>
              <w:marRight w:val="0"/>
              <w:marTop w:val="0"/>
              <w:marBottom w:val="0"/>
              <w:divBdr>
                <w:top w:val="none" w:sz="0" w:space="0" w:color="auto"/>
                <w:left w:val="none" w:sz="0" w:space="0" w:color="auto"/>
                <w:bottom w:val="none" w:sz="0" w:space="0" w:color="auto"/>
                <w:right w:val="none" w:sz="0" w:space="0" w:color="auto"/>
              </w:divBdr>
            </w:div>
            <w:div w:id="1777097754">
              <w:marLeft w:val="0"/>
              <w:marRight w:val="0"/>
              <w:marTop w:val="0"/>
              <w:marBottom w:val="0"/>
              <w:divBdr>
                <w:top w:val="none" w:sz="0" w:space="0" w:color="auto"/>
                <w:left w:val="none" w:sz="0" w:space="0" w:color="auto"/>
                <w:bottom w:val="none" w:sz="0" w:space="0" w:color="auto"/>
                <w:right w:val="none" w:sz="0" w:space="0" w:color="auto"/>
              </w:divBdr>
            </w:div>
            <w:div w:id="111751145">
              <w:marLeft w:val="0"/>
              <w:marRight w:val="0"/>
              <w:marTop w:val="0"/>
              <w:marBottom w:val="0"/>
              <w:divBdr>
                <w:top w:val="none" w:sz="0" w:space="0" w:color="auto"/>
                <w:left w:val="none" w:sz="0" w:space="0" w:color="auto"/>
                <w:bottom w:val="none" w:sz="0" w:space="0" w:color="auto"/>
                <w:right w:val="none" w:sz="0" w:space="0" w:color="auto"/>
              </w:divBdr>
            </w:div>
            <w:div w:id="427504773">
              <w:marLeft w:val="0"/>
              <w:marRight w:val="0"/>
              <w:marTop w:val="0"/>
              <w:marBottom w:val="0"/>
              <w:divBdr>
                <w:top w:val="none" w:sz="0" w:space="0" w:color="auto"/>
                <w:left w:val="none" w:sz="0" w:space="0" w:color="auto"/>
                <w:bottom w:val="none" w:sz="0" w:space="0" w:color="auto"/>
                <w:right w:val="none" w:sz="0" w:space="0" w:color="auto"/>
              </w:divBdr>
            </w:div>
            <w:div w:id="1485852560">
              <w:marLeft w:val="0"/>
              <w:marRight w:val="0"/>
              <w:marTop w:val="0"/>
              <w:marBottom w:val="0"/>
              <w:divBdr>
                <w:top w:val="none" w:sz="0" w:space="0" w:color="auto"/>
                <w:left w:val="none" w:sz="0" w:space="0" w:color="auto"/>
                <w:bottom w:val="none" w:sz="0" w:space="0" w:color="auto"/>
                <w:right w:val="none" w:sz="0" w:space="0" w:color="auto"/>
              </w:divBdr>
            </w:div>
            <w:div w:id="1621455427">
              <w:marLeft w:val="0"/>
              <w:marRight w:val="0"/>
              <w:marTop w:val="0"/>
              <w:marBottom w:val="0"/>
              <w:divBdr>
                <w:top w:val="none" w:sz="0" w:space="0" w:color="auto"/>
                <w:left w:val="none" w:sz="0" w:space="0" w:color="auto"/>
                <w:bottom w:val="none" w:sz="0" w:space="0" w:color="auto"/>
                <w:right w:val="none" w:sz="0" w:space="0" w:color="auto"/>
              </w:divBdr>
            </w:div>
            <w:div w:id="608463802">
              <w:marLeft w:val="0"/>
              <w:marRight w:val="0"/>
              <w:marTop w:val="0"/>
              <w:marBottom w:val="0"/>
              <w:divBdr>
                <w:top w:val="none" w:sz="0" w:space="0" w:color="auto"/>
                <w:left w:val="none" w:sz="0" w:space="0" w:color="auto"/>
                <w:bottom w:val="none" w:sz="0" w:space="0" w:color="auto"/>
                <w:right w:val="none" w:sz="0" w:space="0" w:color="auto"/>
              </w:divBdr>
            </w:div>
            <w:div w:id="1732343409">
              <w:marLeft w:val="0"/>
              <w:marRight w:val="0"/>
              <w:marTop w:val="0"/>
              <w:marBottom w:val="0"/>
              <w:divBdr>
                <w:top w:val="none" w:sz="0" w:space="0" w:color="auto"/>
                <w:left w:val="none" w:sz="0" w:space="0" w:color="auto"/>
                <w:bottom w:val="none" w:sz="0" w:space="0" w:color="auto"/>
                <w:right w:val="none" w:sz="0" w:space="0" w:color="auto"/>
              </w:divBdr>
            </w:div>
            <w:div w:id="69037296">
              <w:marLeft w:val="0"/>
              <w:marRight w:val="0"/>
              <w:marTop w:val="0"/>
              <w:marBottom w:val="0"/>
              <w:divBdr>
                <w:top w:val="none" w:sz="0" w:space="0" w:color="auto"/>
                <w:left w:val="none" w:sz="0" w:space="0" w:color="auto"/>
                <w:bottom w:val="none" w:sz="0" w:space="0" w:color="auto"/>
                <w:right w:val="none" w:sz="0" w:space="0" w:color="auto"/>
              </w:divBdr>
            </w:div>
            <w:div w:id="1238781067">
              <w:marLeft w:val="0"/>
              <w:marRight w:val="0"/>
              <w:marTop w:val="0"/>
              <w:marBottom w:val="0"/>
              <w:divBdr>
                <w:top w:val="none" w:sz="0" w:space="0" w:color="auto"/>
                <w:left w:val="none" w:sz="0" w:space="0" w:color="auto"/>
                <w:bottom w:val="none" w:sz="0" w:space="0" w:color="auto"/>
                <w:right w:val="none" w:sz="0" w:space="0" w:color="auto"/>
              </w:divBdr>
            </w:div>
            <w:div w:id="21055311">
              <w:marLeft w:val="0"/>
              <w:marRight w:val="0"/>
              <w:marTop w:val="0"/>
              <w:marBottom w:val="0"/>
              <w:divBdr>
                <w:top w:val="none" w:sz="0" w:space="0" w:color="auto"/>
                <w:left w:val="none" w:sz="0" w:space="0" w:color="auto"/>
                <w:bottom w:val="none" w:sz="0" w:space="0" w:color="auto"/>
                <w:right w:val="none" w:sz="0" w:space="0" w:color="auto"/>
              </w:divBdr>
            </w:div>
            <w:div w:id="1303389462">
              <w:marLeft w:val="0"/>
              <w:marRight w:val="0"/>
              <w:marTop w:val="0"/>
              <w:marBottom w:val="0"/>
              <w:divBdr>
                <w:top w:val="none" w:sz="0" w:space="0" w:color="auto"/>
                <w:left w:val="none" w:sz="0" w:space="0" w:color="auto"/>
                <w:bottom w:val="none" w:sz="0" w:space="0" w:color="auto"/>
                <w:right w:val="none" w:sz="0" w:space="0" w:color="auto"/>
              </w:divBdr>
            </w:div>
            <w:div w:id="1417898823">
              <w:marLeft w:val="0"/>
              <w:marRight w:val="0"/>
              <w:marTop w:val="0"/>
              <w:marBottom w:val="0"/>
              <w:divBdr>
                <w:top w:val="none" w:sz="0" w:space="0" w:color="auto"/>
                <w:left w:val="none" w:sz="0" w:space="0" w:color="auto"/>
                <w:bottom w:val="none" w:sz="0" w:space="0" w:color="auto"/>
                <w:right w:val="none" w:sz="0" w:space="0" w:color="auto"/>
              </w:divBdr>
            </w:div>
            <w:div w:id="818807466">
              <w:marLeft w:val="0"/>
              <w:marRight w:val="0"/>
              <w:marTop w:val="0"/>
              <w:marBottom w:val="0"/>
              <w:divBdr>
                <w:top w:val="none" w:sz="0" w:space="0" w:color="auto"/>
                <w:left w:val="none" w:sz="0" w:space="0" w:color="auto"/>
                <w:bottom w:val="none" w:sz="0" w:space="0" w:color="auto"/>
                <w:right w:val="none" w:sz="0" w:space="0" w:color="auto"/>
              </w:divBdr>
            </w:div>
            <w:div w:id="1172331318">
              <w:marLeft w:val="0"/>
              <w:marRight w:val="0"/>
              <w:marTop w:val="0"/>
              <w:marBottom w:val="0"/>
              <w:divBdr>
                <w:top w:val="none" w:sz="0" w:space="0" w:color="auto"/>
                <w:left w:val="none" w:sz="0" w:space="0" w:color="auto"/>
                <w:bottom w:val="none" w:sz="0" w:space="0" w:color="auto"/>
                <w:right w:val="none" w:sz="0" w:space="0" w:color="auto"/>
              </w:divBdr>
            </w:div>
            <w:div w:id="1101074867">
              <w:marLeft w:val="0"/>
              <w:marRight w:val="0"/>
              <w:marTop w:val="0"/>
              <w:marBottom w:val="0"/>
              <w:divBdr>
                <w:top w:val="none" w:sz="0" w:space="0" w:color="auto"/>
                <w:left w:val="none" w:sz="0" w:space="0" w:color="auto"/>
                <w:bottom w:val="none" w:sz="0" w:space="0" w:color="auto"/>
                <w:right w:val="none" w:sz="0" w:space="0" w:color="auto"/>
              </w:divBdr>
            </w:div>
            <w:div w:id="487207787">
              <w:marLeft w:val="0"/>
              <w:marRight w:val="0"/>
              <w:marTop w:val="0"/>
              <w:marBottom w:val="0"/>
              <w:divBdr>
                <w:top w:val="none" w:sz="0" w:space="0" w:color="auto"/>
                <w:left w:val="none" w:sz="0" w:space="0" w:color="auto"/>
                <w:bottom w:val="none" w:sz="0" w:space="0" w:color="auto"/>
                <w:right w:val="none" w:sz="0" w:space="0" w:color="auto"/>
              </w:divBdr>
            </w:div>
            <w:div w:id="691340470">
              <w:marLeft w:val="0"/>
              <w:marRight w:val="0"/>
              <w:marTop w:val="0"/>
              <w:marBottom w:val="0"/>
              <w:divBdr>
                <w:top w:val="none" w:sz="0" w:space="0" w:color="auto"/>
                <w:left w:val="none" w:sz="0" w:space="0" w:color="auto"/>
                <w:bottom w:val="none" w:sz="0" w:space="0" w:color="auto"/>
                <w:right w:val="none" w:sz="0" w:space="0" w:color="auto"/>
              </w:divBdr>
            </w:div>
            <w:div w:id="1236863364">
              <w:marLeft w:val="0"/>
              <w:marRight w:val="0"/>
              <w:marTop w:val="0"/>
              <w:marBottom w:val="0"/>
              <w:divBdr>
                <w:top w:val="none" w:sz="0" w:space="0" w:color="auto"/>
                <w:left w:val="none" w:sz="0" w:space="0" w:color="auto"/>
                <w:bottom w:val="none" w:sz="0" w:space="0" w:color="auto"/>
                <w:right w:val="none" w:sz="0" w:space="0" w:color="auto"/>
              </w:divBdr>
            </w:div>
            <w:div w:id="418872300">
              <w:marLeft w:val="0"/>
              <w:marRight w:val="0"/>
              <w:marTop w:val="0"/>
              <w:marBottom w:val="0"/>
              <w:divBdr>
                <w:top w:val="none" w:sz="0" w:space="0" w:color="auto"/>
                <w:left w:val="none" w:sz="0" w:space="0" w:color="auto"/>
                <w:bottom w:val="none" w:sz="0" w:space="0" w:color="auto"/>
                <w:right w:val="none" w:sz="0" w:space="0" w:color="auto"/>
              </w:divBdr>
            </w:div>
            <w:div w:id="1165435747">
              <w:marLeft w:val="0"/>
              <w:marRight w:val="0"/>
              <w:marTop w:val="0"/>
              <w:marBottom w:val="0"/>
              <w:divBdr>
                <w:top w:val="none" w:sz="0" w:space="0" w:color="auto"/>
                <w:left w:val="none" w:sz="0" w:space="0" w:color="auto"/>
                <w:bottom w:val="none" w:sz="0" w:space="0" w:color="auto"/>
                <w:right w:val="none" w:sz="0" w:space="0" w:color="auto"/>
              </w:divBdr>
            </w:div>
            <w:div w:id="327907295">
              <w:marLeft w:val="0"/>
              <w:marRight w:val="0"/>
              <w:marTop w:val="0"/>
              <w:marBottom w:val="0"/>
              <w:divBdr>
                <w:top w:val="none" w:sz="0" w:space="0" w:color="auto"/>
                <w:left w:val="none" w:sz="0" w:space="0" w:color="auto"/>
                <w:bottom w:val="none" w:sz="0" w:space="0" w:color="auto"/>
                <w:right w:val="none" w:sz="0" w:space="0" w:color="auto"/>
              </w:divBdr>
            </w:div>
            <w:div w:id="1529172285">
              <w:marLeft w:val="0"/>
              <w:marRight w:val="0"/>
              <w:marTop w:val="0"/>
              <w:marBottom w:val="0"/>
              <w:divBdr>
                <w:top w:val="none" w:sz="0" w:space="0" w:color="auto"/>
                <w:left w:val="none" w:sz="0" w:space="0" w:color="auto"/>
                <w:bottom w:val="none" w:sz="0" w:space="0" w:color="auto"/>
                <w:right w:val="none" w:sz="0" w:space="0" w:color="auto"/>
              </w:divBdr>
            </w:div>
            <w:div w:id="914704910">
              <w:marLeft w:val="0"/>
              <w:marRight w:val="0"/>
              <w:marTop w:val="0"/>
              <w:marBottom w:val="0"/>
              <w:divBdr>
                <w:top w:val="none" w:sz="0" w:space="0" w:color="auto"/>
                <w:left w:val="none" w:sz="0" w:space="0" w:color="auto"/>
                <w:bottom w:val="none" w:sz="0" w:space="0" w:color="auto"/>
                <w:right w:val="none" w:sz="0" w:space="0" w:color="auto"/>
              </w:divBdr>
            </w:div>
            <w:div w:id="548761564">
              <w:marLeft w:val="0"/>
              <w:marRight w:val="0"/>
              <w:marTop w:val="0"/>
              <w:marBottom w:val="0"/>
              <w:divBdr>
                <w:top w:val="none" w:sz="0" w:space="0" w:color="auto"/>
                <w:left w:val="none" w:sz="0" w:space="0" w:color="auto"/>
                <w:bottom w:val="none" w:sz="0" w:space="0" w:color="auto"/>
                <w:right w:val="none" w:sz="0" w:space="0" w:color="auto"/>
              </w:divBdr>
            </w:div>
            <w:div w:id="1708991485">
              <w:marLeft w:val="0"/>
              <w:marRight w:val="0"/>
              <w:marTop w:val="0"/>
              <w:marBottom w:val="0"/>
              <w:divBdr>
                <w:top w:val="none" w:sz="0" w:space="0" w:color="auto"/>
                <w:left w:val="none" w:sz="0" w:space="0" w:color="auto"/>
                <w:bottom w:val="none" w:sz="0" w:space="0" w:color="auto"/>
                <w:right w:val="none" w:sz="0" w:space="0" w:color="auto"/>
              </w:divBdr>
            </w:div>
            <w:div w:id="988248276">
              <w:marLeft w:val="0"/>
              <w:marRight w:val="0"/>
              <w:marTop w:val="0"/>
              <w:marBottom w:val="0"/>
              <w:divBdr>
                <w:top w:val="none" w:sz="0" w:space="0" w:color="auto"/>
                <w:left w:val="none" w:sz="0" w:space="0" w:color="auto"/>
                <w:bottom w:val="none" w:sz="0" w:space="0" w:color="auto"/>
                <w:right w:val="none" w:sz="0" w:space="0" w:color="auto"/>
              </w:divBdr>
            </w:div>
            <w:div w:id="136730998">
              <w:marLeft w:val="0"/>
              <w:marRight w:val="0"/>
              <w:marTop w:val="0"/>
              <w:marBottom w:val="0"/>
              <w:divBdr>
                <w:top w:val="none" w:sz="0" w:space="0" w:color="auto"/>
                <w:left w:val="none" w:sz="0" w:space="0" w:color="auto"/>
                <w:bottom w:val="none" w:sz="0" w:space="0" w:color="auto"/>
                <w:right w:val="none" w:sz="0" w:space="0" w:color="auto"/>
              </w:divBdr>
            </w:div>
            <w:div w:id="466121738">
              <w:marLeft w:val="0"/>
              <w:marRight w:val="0"/>
              <w:marTop w:val="0"/>
              <w:marBottom w:val="0"/>
              <w:divBdr>
                <w:top w:val="none" w:sz="0" w:space="0" w:color="auto"/>
                <w:left w:val="none" w:sz="0" w:space="0" w:color="auto"/>
                <w:bottom w:val="none" w:sz="0" w:space="0" w:color="auto"/>
                <w:right w:val="none" w:sz="0" w:space="0" w:color="auto"/>
              </w:divBdr>
            </w:div>
            <w:div w:id="1329794346">
              <w:marLeft w:val="0"/>
              <w:marRight w:val="0"/>
              <w:marTop w:val="0"/>
              <w:marBottom w:val="0"/>
              <w:divBdr>
                <w:top w:val="none" w:sz="0" w:space="0" w:color="auto"/>
                <w:left w:val="none" w:sz="0" w:space="0" w:color="auto"/>
                <w:bottom w:val="none" w:sz="0" w:space="0" w:color="auto"/>
                <w:right w:val="none" w:sz="0" w:space="0" w:color="auto"/>
              </w:divBdr>
            </w:div>
            <w:div w:id="196702679">
              <w:marLeft w:val="0"/>
              <w:marRight w:val="0"/>
              <w:marTop w:val="0"/>
              <w:marBottom w:val="0"/>
              <w:divBdr>
                <w:top w:val="none" w:sz="0" w:space="0" w:color="auto"/>
                <w:left w:val="none" w:sz="0" w:space="0" w:color="auto"/>
                <w:bottom w:val="none" w:sz="0" w:space="0" w:color="auto"/>
                <w:right w:val="none" w:sz="0" w:space="0" w:color="auto"/>
              </w:divBdr>
            </w:div>
            <w:div w:id="1936549083">
              <w:marLeft w:val="0"/>
              <w:marRight w:val="0"/>
              <w:marTop w:val="0"/>
              <w:marBottom w:val="0"/>
              <w:divBdr>
                <w:top w:val="none" w:sz="0" w:space="0" w:color="auto"/>
                <w:left w:val="none" w:sz="0" w:space="0" w:color="auto"/>
                <w:bottom w:val="none" w:sz="0" w:space="0" w:color="auto"/>
                <w:right w:val="none" w:sz="0" w:space="0" w:color="auto"/>
              </w:divBdr>
            </w:div>
            <w:div w:id="1160543281">
              <w:marLeft w:val="0"/>
              <w:marRight w:val="0"/>
              <w:marTop w:val="0"/>
              <w:marBottom w:val="0"/>
              <w:divBdr>
                <w:top w:val="none" w:sz="0" w:space="0" w:color="auto"/>
                <w:left w:val="none" w:sz="0" w:space="0" w:color="auto"/>
                <w:bottom w:val="none" w:sz="0" w:space="0" w:color="auto"/>
                <w:right w:val="none" w:sz="0" w:space="0" w:color="auto"/>
              </w:divBdr>
            </w:div>
            <w:div w:id="382142520">
              <w:marLeft w:val="0"/>
              <w:marRight w:val="0"/>
              <w:marTop w:val="0"/>
              <w:marBottom w:val="0"/>
              <w:divBdr>
                <w:top w:val="none" w:sz="0" w:space="0" w:color="auto"/>
                <w:left w:val="none" w:sz="0" w:space="0" w:color="auto"/>
                <w:bottom w:val="none" w:sz="0" w:space="0" w:color="auto"/>
                <w:right w:val="none" w:sz="0" w:space="0" w:color="auto"/>
              </w:divBdr>
            </w:div>
            <w:div w:id="1633438409">
              <w:marLeft w:val="0"/>
              <w:marRight w:val="0"/>
              <w:marTop w:val="0"/>
              <w:marBottom w:val="0"/>
              <w:divBdr>
                <w:top w:val="none" w:sz="0" w:space="0" w:color="auto"/>
                <w:left w:val="none" w:sz="0" w:space="0" w:color="auto"/>
                <w:bottom w:val="none" w:sz="0" w:space="0" w:color="auto"/>
                <w:right w:val="none" w:sz="0" w:space="0" w:color="auto"/>
              </w:divBdr>
            </w:div>
            <w:div w:id="337075880">
              <w:marLeft w:val="0"/>
              <w:marRight w:val="0"/>
              <w:marTop w:val="0"/>
              <w:marBottom w:val="0"/>
              <w:divBdr>
                <w:top w:val="none" w:sz="0" w:space="0" w:color="auto"/>
                <w:left w:val="none" w:sz="0" w:space="0" w:color="auto"/>
                <w:bottom w:val="none" w:sz="0" w:space="0" w:color="auto"/>
                <w:right w:val="none" w:sz="0" w:space="0" w:color="auto"/>
              </w:divBdr>
            </w:div>
            <w:div w:id="2072118739">
              <w:marLeft w:val="0"/>
              <w:marRight w:val="0"/>
              <w:marTop w:val="0"/>
              <w:marBottom w:val="0"/>
              <w:divBdr>
                <w:top w:val="none" w:sz="0" w:space="0" w:color="auto"/>
                <w:left w:val="none" w:sz="0" w:space="0" w:color="auto"/>
                <w:bottom w:val="none" w:sz="0" w:space="0" w:color="auto"/>
                <w:right w:val="none" w:sz="0" w:space="0" w:color="auto"/>
              </w:divBdr>
            </w:div>
            <w:div w:id="1900940913">
              <w:marLeft w:val="0"/>
              <w:marRight w:val="0"/>
              <w:marTop w:val="0"/>
              <w:marBottom w:val="0"/>
              <w:divBdr>
                <w:top w:val="none" w:sz="0" w:space="0" w:color="auto"/>
                <w:left w:val="none" w:sz="0" w:space="0" w:color="auto"/>
                <w:bottom w:val="none" w:sz="0" w:space="0" w:color="auto"/>
                <w:right w:val="none" w:sz="0" w:space="0" w:color="auto"/>
              </w:divBdr>
            </w:div>
            <w:div w:id="604465947">
              <w:marLeft w:val="0"/>
              <w:marRight w:val="0"/>
              <w:marTop w:val="0"/>
              <w:marBottom w:val="0"/>
              <w:divBdr>
                <w:top w:val="none" w:sz="0" w:space="0" w:color="auto"/>
                <w:left w:val="none" w:sz="0" w:space="0" w:color="auto"/>
                <w:bottom w:val="none" w:sz="0" w:space="0" w:color="auto"/>
                <w:right w:val="none" w:sz="0" w:space="0" w:color="auto"/>
              </w:divBdr>
            </w:div>
            <w:div w:id="1781539">
              <w:marLeft w:val="0"/>
              <w:marRight w:val="0"/>
              <w:marTop w:val="0"/>
              <w:marBottom w:val="0"/>
              <w:divBdr>
                <w:top w:val="none" w:sz="0" w:space="0" w:color="auto"/>
                <w:left w:val="none" w:sz="0" w:space="0" w:color="auto"/>
                <w:bottom w:val="none" w:sz="0" w:space="0" w:color="auto"/>
                <w:right w:val="none" w:sz="0" w:space="0" w:color="auto"/>
              </w:divBdr>
            </w:div>
            <w:div w:id="1426926097">
              <w:marLeft w:val="0"/>
              <w:marRight w:val="0"/>
              <w:marTop w:val="0"/>
              <w:marBottom w:val="0"/>
              <w:divBdr>
                <w:top w:val="none" w:sz="0" w:space="0" w:color="auto"/>
                <w:left w:val="none" w:sz="0" w:space="0" w:color="auto"/>
                <w:bottom w:val="none" w:sz="0" w:space="0" w:color="auto"/>
                <w:right w:val="none" w:sz="0" w:space="0" w:color="auto"/>
              </w:divBdr>
            </w:div>
            <w:div w:id="1375421182">
              <w:marLeft w:val="0"/>
              <w:marRight w:val="0"/>
              <w:marTop w:val="0"/>
              <w:marBottom w:val="0"/>
              <w:divBdr>
                <w:top w:val="none" w:sz="0" w:space="0" w:color="auto"/>
                <w:left w:val="none" w:sz="0" w:space="0" w:color="auto"/>
                <w:bottom w:val="none" w:sz="0" w:space="0" w:color="auto"/>
                <w:right w:val="none" w:sz="0" w:space="0" w:color="auto"/>
              </w:divBdr>
            </w:div>
            <w:div w:id="817384604">
              <w:marLeft w:val="0"/>
              <w:marRight w:val="0"/>
              <w:marTop w:val="0"/>
              <w:marBottom w:val="0"/>
              <w:divBdr>
                <w:top w:val="none" w:sz="0" w:space="0" w:color="auto"/>
                <w:left w:val="none" w:sz="0" w:space="0" w:color="auto"/>
                <w:bottom w:val="none" w:sz="0" w:space="0" w:color="auto"/>
                <w:right w:val="none" w:sz="0" w:space="0" w:color="auto"/>
              </w:divBdr>
            </w:div>
            <w:div w:id="499542374">
              <w:marLeft w:val="0"/>
              <w:marRight w:val="0"/>
              <w:marTop w:val="0"/>
              <w:marBottom w:val="0"/>
              <w:divBdr>
                <w:top w:val="none" w:sz="0" w:space="0" w:color="auto"/>
                <w:left w:val="none" w:sz="0" w:space="0" w:color="auto"/>
                <w:bottom w:val="none" w:sz="0" w:space="0" w:color="auto"/>
                <w:right w:val="none" w:sz="0" w:space="0" w:color="auto"/>
              </w:divBdr>
            </w:div>
            <w:div w:id="170491711">
              <w:marLeft w:val="0"/>
              <w:marRight w:val="0"/>
              <w:marTop w:val="0"/>
              <w:marBottom w:val="0"/>
              <w:divBdr>
                <w:top w:val="none" w:sz="0" w:space="0" w:color="auto"/>
                <w:left w:val="none" w:sz="0" w:space="0" w:color="auto"/>
                <w:bottom w:val="none" w:sz="0" w:space="0" w:color="auto"/>
                <w:right w:val="none" w:sz="0" w:space="0" w:color="auto"/>
              </w:divBdr>
            </w:div>
            <w:div w:id="884560292">
              <w:marLeft w:val="0"/>
              <w:marRight w:val="0"/>
              <w:marTop w:val="0"/>
              <w:marBottom w:val="0"/>
              <w:divBdr>
                <w:top w:val="none" w:sz="0" w:space="0" w:color="auto"/>
                <w:left w:val="none" w:sz="0" w:space="0" w:color="auto"/>
                <w:bottom w:val="none" w:sz="0" w:space="0" w:color="auto"/>
                <w:right w:val="none" w:sz="0" w:space="0" w:color="auto"/>
              </w:divBdr>
            </w:div>
            <w:div w:id="397482492">
              <w:marLeft w:val="0"/>
              <w:marRight w:val="0"/>
              <w:marTop w:val="0"/>
              <w:marBottom w:val="0"/>
              <w:divBdr>
                <w:top w:val="none" w:sz="0" w:space="0" w:color="auto"/>
                <w:left w:val="none" w:sz="0" w:space="0" w:color="auto"/>
                <w:bottom w:val="none" w:sz="0" w:space="0" w:color="auto"/>
                <w:right w:val="none" w:sz="0" w:space="0" w:color="auto"/>
              </w:divBdr>
            </w:div>
            <w:div w:id="1429690840">
              <w:marLeft w:val="0"/>
              <w:marRight w:val="0"/>
              <w:marTop w:val="0"/>
              <w:marBottom w:val="0"/>
              <w:divBdr>
                <w:top w:val="none" w:sz="0" w:space="0" w:color="auto"/>
                <w:left w:val="none" w:sz="0" w:space="0" w:color="auto"/>
                <w:bottom w:val="none" w:sz="0" w:space="0" w:color="auto"/>
                <w:right w:val="none" w:sz="0" w:space="0" w:color="auto"/>
              </w:divBdr>
            </w:div>
            <w:div w:id="1219591647">
              <w:marLeft w:val="0"/>
              <w:marRight w:val="0"/>
              <w:marTop w:val="0"/>
              <w:marBottom w:val="0"/>
              <w:divBdr>
                <w:top w:val="none" w:sz="0" w:space="0" w:color="auto"/>
                <w:left w:val="none" w:sz="0" w:space="0" w:color="auto"/>
                <w:bottom w:val="none" w:sz="0" w:space="0" w:color="auto"/>
                <w:right w:val="none" w:sz="0" w:space="0" w:color="auto"/>
              </w:divBdr>
            </w:div>
            <w:div w:id="1901863300">
              <w:marLeft w:val="0"/>
              <w:marRight w:val="0"/>
              <w:marTop w:val="0"/>
              <w:marBottom w:val="0"/>
              <w:divBdr>
                <w:top w:val="none" w:sz="0" w:space="0" w:color="auto"/>
                <w:left w:val="none" w:sz="0" w:space="0" w:color="auto"/>
                <w:bottom w:val="none" w:sz="0" w:space="0" w:color="auto"/>
                <w:right w:val="none" w:sz="0" w:space="0" w:color="auto"/>
              </w:divBdr>
            </w:div>
            <w:div w:id="1572735756">
              <w:marLeft w:val="0"/>
              <w:marRight w:val="0"/>
              <w:marTop w:val="0"/>
              <w:marBottom w:val="0"/>
              <w:divBdr>
                <w:top w:val="none" w:sz="0" w:space="0" w:color="auto"/>
                <w:left w:val="none" w:sz="0" w:space="0" w:color="auto"/>
                <w:bottom w:val="none" w:sz="0" w:space="0" w:color="auto"/>
                <w:right w:val="none" w:sz="0" w:space="0" w:color="auto"/>
              </w:divBdr>
            </w:div>
            <w:div w:id="1651056235">
              <w:marLeft w:val="0"/>
              <w:marRight w:val="0"/>
              <w:marTop w:val="0"/>
              <w:marBottom w:val="0"/>
              <w:divBdr>
                <w:top w:val="none" w:sz="0" w:space="0" w:color="auto"/>
                <w:left w:val="none" w:sz="0" w:space="0" w:color="auto"/>
                <w:bottom w:val="none" w:sz="0" w:space="0" w:color="auto"/>
                <w:right w:val="none" w:sz="0" w:space="0" w:color="auto"/>
              </w:divBdr>
            </w:div>
            <w:div w:id="3944177">
              <w:marLeft w:val="0"/>
              <w:marRight w:val="0"/>
              <w:marTop w:val="0"/>
              <w:marBottom w:val="0"/>
              <w:divBdr>
                <w:top w:val="none" w:sz="0" w:space="0" w:color="auto"/>
                <w:left w:val="none" w:sz="0" w:space="0" w:color="auto"/>
                <w:bottom w:val="none" w:sz="0" w:space="0" w:color="auto"/>
                <w:right w:val="none" w:sz="0" w:space="0" w:color="auto"/>
              </w:divBdr>
            </w:div>
            <w:div w:id="1589923605">
              <w:marLeft w:val="0"/>
              <w:marRight w:val="0"/>
              <w:marTop w:val="0"/>
              <w:marBottom w:val="0"/>
              <w:divBdr>
                <w:top w:val="none" w:sz="0" w:space="0" w:color="auto"/>
                <w:left w:val="none" w:sz="0" w:space="0" w:color="auto"/>
                <w:bottom w:val="none" w:sz="0" w:space="0" w:color="auto"/>
                <w:right w:val="none" w:sz="0" w:space="0" w:color="auto"/>
              </w:divBdr>
            </w:div>
            <w:div w:id="1938977652">
              <w:marLeft w:val="0"/>
              <w:marRight w:val="0"/>
              <w:marTop w:val="0"/>
              <w:marBottom w:val="0"/>
              <w:divBdr>
                <w:top w:val="none" w:sz="0" w:space="0" w:color="auto"/>
                <w:left w:val="none" w:sz="0" w:space="0" w:color="auto"/>
                <w:bottom w:val="none" w:sz="0" w:space="0" w:color="auto"/>
                <w:right w:val="none" w:sz="0" w:space="0" w:color="auto"/>
              </w:divBdr>
            </w:div>
            <w:div w:id="1636180303">
              <w:marLeft w:val="0"/>
              <w:marRight w:val="0"/>
              <w:marTop w:val="0"/>
              <w:marBottom w:val="0"/>
              <w:divBdr>
                <w:top w:val="none" w:sz="0" w:space="0" w:color="auto"/>
                <w:left w:val="none" w:sz="0" w:space="0" w:color="auto"/>
                <w:bottom w:val="none" w:sz="0" w:space="0" w:color="auto"/>
                <w:right w:val="none" w:sz="0" w:space="0" w:color="auto"/>
              </w:divBdr>
            </w:div>
            <w:div w:id="2018147146">
              <w:marLeft w:val="0"/>
              <w:marRight w:val="0"/>
              <w:marTop w:val="0"/>
              <w:marBottom w:val="0"/>
              <w:divBdr>
                <w:top w:val="none" w:sz="0" w:space="0" w:color="auto"/>
                <w:left w:val="none" w:sz="0" w:space="0" w:color="auto"/>
                <w:bottom w:val="none" w:sz="0" w:space="0" w:color="auto"/>
                <w:right w:val="none" w:sz="0" w:space="0" w:color="auto"/>
              </w:divBdr>
            </w:div>
            <w:div w:id="1714230407">
              <w:marLeft w:val="0"/>
              <w:marRight w:val="0"/>
              <w:marTop w:val="0"/>
              <w:marBottom w:val="0"/>
              <w:divBdr>
                <w:top w:val="none" w:sz="0" w:space="0" w:color="auto"/>
                <w:left w:val="none" w:sz="0" w:space="0" w:color="auto"/>
                <w:bottom w:val="none" w:sz="0" w:space="0" w:color="auto"/>
                <w:right w:val="none" w:sz="0" w:space="0" w:color="auto"/>
              </w:divBdr>
            </w:div>
            <w:div w:id="146289034">
              <w:marLeft w:val="0"/>
              <w:marRight w:val="0"/>
              <w:marTop w:val="0"/>
              <w:marBottom w:val="0"/>
              <w:divBdr>
                <w:top w:val="none" w:sz="0" w:space="0" w:color="auto"/>
                <w:left w:val="none" w:sz="0" w:space="0" w:color="auto"/>
                <w:bottom w:val="none" w:sz="0" w:space="0" w:color="auto"/>
                <w:right w:val="none" w:sz="0" w:space="0" w:color="auto"/>
              </w:divBdr>
            </w:div>
            <w:div w:id="353725681">
              <w:marLeft w:val="0"/>
              <w:marRight w:val="0"/>
              <w:marTop w:val="0"/>
              <w:marBottom w:val="0"/>
              <w:divBdr>
                <w:top w:val="none" w:sz="0" w:space="0" w:color="auto"/>
                <w:left w:val="none" w:sz="0" w:space="0" w:color="auto"/>
                <w:bottom w:val="none" w:sz="0" w:space="0" w:color="auto"/>
                <w:right w:val="none" w:sz="0" w:space="0" w:color="auto"/>
              </w:divBdr>
            </w:div>
            <w:div w:id="1931625135">
              <w:marLeft w:val="0"/>
              <w:marRight w:val="0"/>
              <w:marTop w:val="0"/>
              <w:marBottom w:val="0"/>
              <w:divBdr>
                <w:top w:val="none" w:sz="0" w:space="0" w:color="auto"/>
                <w:left w:val="none" w:sz="0" w:space="0" w:color="auto"/>
                <w:bottom w:val="none" w:sz="0" w:space="0" w:color="auto"/>
                <w:right w:val="none" w:sz="0" w:space="0" w:color="auto"/>
              </w:divBdr>
            </w:div>
            <w:div w:id="1454252863">
              <w:marLeft w:val="0"/>
              <w:marRight w:val="0"/>
              <w:marTop w:val="0"/>
              <w:marBottom w:val="0"/>
              <w:divBdr>
                <w:top w:val="none" w:sz="0" w:space="0" w:color="auto"/>
                <w:left w:val="none" w:sz="0" w:space="0" w:color="auto"/>
                <w:bottom w:val="none" w:sz="0" w:space="0" w:color="auto"/>
                <w:right w:val="none" w:sz="0" w:space="0" w:color="auto"/>
              </w:divBdr>
            </w:div>
            <w:div w:id="889195567">
              <w:marLeft w:val="0"/>
              <w:marRight w:val="0"/>
              <w:marTop w:val="0"/>
              <w:marBottom w:val="0"/>
              <w:divBdr>
                <w:top w:val="none" w:sz="0" w:space="0" w:color="auto"/>
                <w:left w:val="none" w:sz="0" w:space="0" w:color="auto"/>
                <w:bottom w:val="none" w:sz="0" w:space="0" w:color="auto"/>
                <w:right w:val="none" w:sz="0" w:space="0" w:color="auto"/>
              </w:divBdr>
            </w:div>
            <w:div w:id="66926187">
              <w:marLeft w:val="0"/>
              <w:marRight w:val="0"/>
              <w:marTop w:val="0"/>
              <w:marBottom w:val="0"/>
              <w:divBdr>
                <w:top w:val="none" w:sz="0" w:space="0" w:color="auto"/>
                <w:left w:val="none" w:sz="0" w:space="0" w:color="auto"/>
                <w:bottom w:val="none" w:sz="0" w:space="0" w:color="auto"/>
                <w:right w:val="none" w:sz="0" w:space="0" w:color="auto"/>
              </w:divBdr>
            </w:div>
            <w:div w:id="1184975493">
              <w:marLeft w:val="0"/>
              <w:marRight w:val="0"/>
              <w:marTop w:val="0"/>
              <w:marBottom w:val="0"/>
              <w:divBdr>
                <w:top w:val="none" w:sz="0" w:space="0" w:color="auto"/>
                <w:left w:val="none" w:sz="0" w:space="0" w:color="auto"/>
                <w:bottom w:val="none" w:sz="0" w:space="0" w:color="auto"/>
                <w:right w:val="none" w:sz="0" w:space="0" w:color="auto"/>
              </w:divBdr>
            </w:div>
            <w:div w:id="1836455262">
              <w:marLeft w:val="0"/>
              <w:marRight w:val="0"/>
              <w:marTop w:val="0"/>
              <w:marBottom w:val="0"/>
              <w:divBdr>
                <w:top w:val="none" w:sz="0" w:space="0" w:color="auto"/>
                <w:left w:val="none" w:sz="0" w:space="0" w:color="auto"/>
                <w:bottom w:val="none" w:sz="0" w:space="0" w:color="auto"/>
                <w:right w:val="none" w:sz="0" w:space="0" w:color="auto"/>
              </w:divBdr>
            </w:div>
            <w:div w:id="1192184895">
              <w:marLeft w:val="0"/>
              <w:marRight w:val="0"/>
              <w:marTop w:val="0"/>
              <w:marBottom w:val="0"/>
              <w:divBdr>
                <w:top w:val="none" w:sz="0" w:space="0" w:color="auto"/>
                <w:left w:val="none" w:sz="0" w:space="0" w:color="auto"/>
                <w:bottom w:val="none" w:sz="0" w:space="0" w:color="auto"/>
                <w:right w:val="none" w:sz="0" w:space="0" w:color="auto"/>
              </w:divBdr>
            </w:div>
            <w:div w:id="932713071">
              <w:marLeft w:val="0"/>
              <w:marRight w:val="0"/>
              <w:marTop w:val="0"/>
              <w:marBottom w:val="0"/>
              <w:divBdr>
                <w:top w:val="none" w:sz="0" w:space="0" w:color="auto"/>
                <w:left w:val="none" w:sz="0" w:space="0" w:color="auto"/>
                <w:bottom w:val="none" w:sz="0" w:space="0" w:color="auto"/>
                <w:right w:val="none" w:sz="0" w:space="0" w:color="auto"/>
              </w:divBdr>
            </w:div>
            <w:div w:id="670910238">
              <w:marLeft w:val="0"/>
              <w:marRight w:val="0"/>
              <w:marTop w:val="0"/>
              <w:marBottom w:val="0"/>
              <w:divBdr>
                <w:top w:val="none" w:sz="0" w:space="0" w:color="auto"/>
                <w:left w:val="none" w:sz="0" w:space="0" w:color="auto"/>
                <w:bottom w:val="none" w:sz="0" w:space="0" w:color="auto"/>
                <w:right w:val="none" w:sz="0" w:space="0" w:color="auto"/>
              </w:divBdr>
            </w:div>
            <w:div w:id="1978948993">
              <w:marLeft w:val="0"/>
              <w:marRight w:val="0"/>
              <w:marTop w:val="0"/>
              <w:marBottom w:val="0"/>
              <w:divBdr>
                <w:top w:val="none" w:sz="0" w:space="0" w:color="auto"/>
                <w:left w:val="none" w:sz="0" w:space="0" w:color="auto"/>
                <w:bottom w:val="none" w:sz="0" w:space="0" w:color="auto"/>
                <w:right w:val="none" w:sz="0" w:space="0" w:color="auto"/>
              </w:divBdr>
            </w:div>
            <w:div w:id="1218124266">
              <w:marLeft w:val="0"/>
              <w:marRight w:val="0"/>
              <w:marTop w:val="0"/>
              <w:marBottom w:val="0"/>
              <w:divBdr>
                <w:top w:val="none" w:sz="0" w:space="0" w:color="auto"/>
                <w:left w:val="none" w:sz="0" w:space="0" w:color="auto"/>
                <w:bottom w:val="none" w:sz="0" w:space="0" w:color="auto"/>
                <w:right w:val="none" w:sz="0" w:space="0" w:color="auto"/>
              </w:divBdr>
            </w:div>
            <w:div w:id="1094670107">
              <w:marLeft w:val="0"/>
              <w:marRight w:val="0"/>
              <w:marTop w:val="0"/>
              <w:marBottom w:val="0"/>
              <w:divBdr>
                <w:top w:val="none" w:sz="0" w:space="0" w:color="auto"/>
                <w:left w:val="none" w:sz="0" w:space="0" w:color="auto"/>
                <w:bottom w:val="none" w:sz="0" w:space="0" w:color="auto"/>
                <w:right w:val="none" w:sz="0" w:space="0" w:color="auto"/>
              </w:divBdr>
            </w:div>
            <w:div w:id="1386753199">
              <w:marLeft w:val="0"/>
              <w:marRight w:val="0"/>
              <w:marTop w:val="0"/>
              <w:marBottom w:val="0"/>
              <w:divBdr>
                <w:top w:val="none" w:sz="0" w:space="0" w:color="auto"/>
                <w:left w:val="none" w:sz="0" w:space="0" w:color="auto"/>
                <w:bottom w:val="none" w:sz="0" w:space="0" w:color="auto"/>
                <w:right w:val="none" w:sz="0" w:space="0" w:color="auto"/>
              </w:divBdr>
            </w:div>
            <w:div w:id="1440224025">
              <w:marLeft w:val="0"/>
              <w:marRight w:val="0"/>
              <w:marTop w:val="0"/>
              <w:marBottom w:val="0"/>
              <w:divBdr>
                <w:top w:val="none" w:sz="0" w:space="0" w:color="auto"/>
                <w:left w:val="none" w:sz="0" w:space="0" w:color="auto"/>
                <w:bottom w:val="none" w:sz="0" w:space="0" w:color="auto"/>
                <w:right w:val="none" w:sz="0" w:space="0" w:color="auto"/>
              </w:divBdr>
            </w:div>
            <w:div w:id="698630850">
              <w:marLeft w:val="0"/>
              <w:marRight w:val="0"/>
              <w:marTop w:val="0"/>
              <w:marBottom w:val="0"/>
              <w:divBdr>
                <w:top w:val="none" w:sz="0" w:space="0" w:color="auto"/>
                <w:left w:val="none" w:sz="0" w:space="0" w:color="auto"/>
                <w:bottom w:val="none" w:sz="0" w:space="0" w:color="auto"/>
                <w:right w:val="none" w:sz="0" w:space="0" w:color="auto"/>
              </w:divBdr>
            </w:div>
            <w:div w:id="423961530">
              <w:marLeft w:val="0"/>
              <w:marRight w:val="0"/>
              <w:marTop w:val="0"/>
              <w:marBottom w:val="0"/>
              <w:divBdr>
                <w:top w:val="none" w:sz="0" w:space="0" w:color="auto"/>
                <w:left w:val="none" w:sz="0" w:space="0" w:color="auto"/>
                <w:bottom w:val="none" w:sz="0" w:space="0" w:color="auto"/>
                <w:right w:val="none" w:sz="0" w:space="0" w:color="auto"/>
              </w:divBdr>
            </w:div>
            <w:div w:id="805855057">
              <w:marLeft w:val="0"/>
              <w:marRight w:val="0"/>
              <w:marTop w:val="0"/>
              <w:marBottom w:val="0"/>
              <w:divBdr>
                <w:top w:val="none" w:sz="0" w:space="0" w:color="auto"/>
                <w:left w:val="none" w:sz="0" w:space="0" w:color="auto"/>
                <w:bottom w:val="none" w:sz="0" w:space="0" w:color="auto"/>
                <w:right w:val="none" w:sz="0" w:space="0" w:color="auto"/>
              </w:divBdr>
            </w:div>
            <w:div w:id="1157762813">
              <w:marLeft w:val="0"/>
              <w:marRight w:val="0"/>
              <w:marTop w:val="0"/>
              <w:marBottom w:val="0"/>
              <w:divBdr>
                <w:top w:val="none" w:sz="0" w:space="0" w:color="auto"/>
                <w:left w:val="none" w:sz="0" w:space="0" w:color="auto"/>
                <w:bottom w:val="none" w:sz="0" w:space="0" w:color="auto"/>
                <w:right w:val="none" w:sz="0" w:space="0" w:color="auto"/>
              </w:divBdr>
            </w:div>
            <w:div w:id="171646299">
              <w:marLeft w:val="0"/>
              <w:marRight w:val="0"/>
              <w:marTop w:val="0"/>
              <w:marBottom w:val="0"/>
              <w:divBdr>
                <w:top w:val="none" w:sz="0" w:space="0" w:color="auto"/>
                <w:left w:val="none" w:sz="0" w:space="0" w:color="auto"/>
                <w:bottom w:val="none" w:sz="0" w:space="0" w:color="auto"/>
                <w:right w:val="none" w:sz="0" w:space="0" w:color="auto"/>
              </w:divBdr>
            </w:div>
            <w:div w:id="968825286">
              <w:marLeft w:val="0"/>
              <w:marRight w:val="0"/>
              <w:marTop w:val="0"/>
              <w:marBottom w:val="0"/>
              <w:divBdr>
                <w:top w:val="none" w:sz="0" w:space="0" w:color="auto"/>
                <w:left w:val="none" w:sz="0" w:space="0" w:color="auto"/>
                <w:bottom w:val="none" w:sz="0" w:space="0" w:color="auto"/>
                <w:right w:val="none" w:sz="0" w:space="0" w:color="auto"/>
              </w:divBdr>
            </w:div>
            <w:div w:id="1599830681">
              <w:marLeft w:val="0"/>
              <w:marRight w:val="0"/>
              <w:marTop w:val="0"/>
              <w:marBottom w:val="0"/>
              <w:divBdr>
                <w:top w:val="none" w:sz="0" w:space="0" w:color="auto"/>
                <w:left w:val="none" w:sz="0" w:space="0" w:color="auto"/>
                <w:bottom w:val="none" w:sz="0" w:space="0" w:color="auto"/>
                <w:right w:val="none" w:sz="0" w:space="0" w:color="auto"/>
              </w:divBdr>
            </w:div>
            <w:div w:id="1692023072">
              <w:marLeft w:val="0"/>
              <w:marRight w:val="0"/>
              <w:marTop w:val="0"/>
              <w:marBottom w:val="0"/>
              <w:divBdr>
                <w:top w:val="none" w:sz="0" w:space="0" w:color="auto"/>
                <w:left w:val="none" w:sz="0" w:space="0" w:color="auto"/>
                <w:bottom w:val="none" w:sz="0" w:space="0" w:color="auto"/>
                <w:right w:val="none" w:sz="0" w:space="0" w:color="auto"/>
              </w:divBdr>
            </w:div>
            <w:div w:id="638149885">
              <w:marLeft w:val="0"/>
              <w:marRight w:val="0"/>
              <w:marTop w:val="0"/>
              <w:marBottom w:val="0"/>
              <w:divBdr>
                <w:top w:val="none" w:sz="0" w:space="0" w:color="auto"/>
                <w:left w:val="none" w:sz="0" w:space="0" w:color="auto"/>
                <w:bottom w:val="none" w:sz="0" w:space="0" w:color="auto"/>
                <w:right w:val="none" w:sz="0" w:space="0" w:color="auto"/>
              </w:divBdr>
            </w:div>
            <w:div w:id="1549485809">
              <w:marLeft w:val="0"/>
              <w:marRight w:val="0"/>
              <w:marTop w:val="0"/>
              <w:marBottom w:val="0"/>
              <w:divBdr>
                <w:top w:val="none" w:sz="0" w:space="0" w:color="auto"/>
                <w:left w:val="none" w:sz="0" w:space="0" w:color="auto"/>
                <w:bottom w:val="none" w:sz="0" w:space="0" w:color="auto"/>
                <w:right w:val="none" w:sz="0" w:space="0" w:color="auto"/>
              </w:divBdr>
            </w:div>
            <w:div w:id="1002010291">
              <w:marLeft w:val="0"/>
              <w:marRight w:val="0"/>
              <w:marTop w:val="0"/>
              <w:marBottom w:val="0"/>
              <w:divBdr>
                <w:top w:val="none" w:sz="0" w:space="0" w:color="auto"/>
                <w:left w:val="none" w:sz="0" w:space="0" w:color="auto"/>
                <w:bottom w:val="none" w:sz="0" w:space="0" w:color="auto"/>
                <w:right w:val="none" w:sz="0" w:space="0" w:color="auto"/>
              </w:divBdr>
            </w:div>
            <w:div w:id="1737556894">
              <w:marLeft w:val="0"/>
              <w:marRight w:val="0"/>
              <w:marTop w:val="0"/>
              <w:marBottom w:val="0"/>
              <w:divBdr>
                <w:top w:val="none" w:sz="0" w:space="0" w:color="auto"/>
                <w:left w:val="none" w:sz="0" w:space="0" w:color="auto"/>
                <w:bottom w:val="none" w:sz="0" w:space="0" w:color="auto"/>
                <w:right w:val="none" w:sz="0" w:space="0" w:color="auto"/>
              </w:divBdr>
            </w:div>
            <w:div w:id="1215196473">
              <w:marLeft w:val="0"/>
              <w:marRight w:val="0"/>
              <w:marTop w:val="0"/>
              <w:marBottom w:val="0"/>
              <w:divBdr>
                <w:top w:val="none" w:sz="0" w:space="0" w:color="auto"/>
                <w:left w:val="none" w:sz="0" w:space="0" w:color="auto"/>
                <w:bottom w:val="none" w:sz="0" w:space="0" w:color="auto"/>
                <w:right w:val="none" w:sz="0" w:space="0" w:color="auto"/>
              </w:divBdr>
            </w:div>
            <w:div w:id="1020165271">
              <w:marLeft w:val="0"/>
              <w:marRight w:val="0"/>
              <w:marTop w:val="0"/>
              <w:marBottom w:val="0"/>
              <w:divBdr>
                <w:top w:val="none" w:sz="0" w:space="0" w:color="auto"/>
                <w:left w:val="none" w:sz="0" w:space="0" w:color="auto"/>
                <w:bottom w:val="none" w:sz="0" w:space="0" w:color="auto"/>
                <w:right w:val="none" w:sz="0" w:space="0" w:color="auto"/>
              </w:divBdr>
            </w:div>
            <w:div w:id="1222055745">
              <w:marLeft w:val="0"/>
              <w:marRight w:val="0"/>
              <w:marTop w:val="0"/>
              <w:marBottom w:val="0"/>
              <w:divBdr>
                <w:top w:val="none" w:sz="0" w:space="0" w:color="auto"/>
                <w:left w:val="none" w:sz="0" w:space="0" w:color="auto"/>
                <w:bottom w:val="none" w:sz="0" w:space="0" w:color="auto"/>
                <w:right w:val="none" w:sz="0" w:space="0" w:color="auto"/>
              </w:divBdr>
            </w:div>
            <w:div w:id="520169770">
              <w:marLeft w:val="0"/>
              <w:marRight w:val="0"/>
              <w:marTop w:val="0"/>
              <w:marBottom w:val="0"/>
              <w:divBdr>
                <w:top w:val="none" w:sz="0" w:space="0" w:color="auto"/>
                <w:left w:val="none" w:sz="0" w:space="0" w:color="auto"/>
                <w:bottom w:val="none" w:sz="0" w:space="0" w:color="auto"/>
                <w:right w:val="none" w:sz="0" w:space="0" w:color="auto"/>
              </w:divBdr>
            </w:div>
            <w:div w:id="1182161688">
              <w:marLeft w:val="0"/>
              <w:marRight w:val="0"/>
              <w:marTop w:val="0"/>
              <w:marBottom w:val="0"/>
              <w:divBdr>
                <w:top w:val="none" w:sz="0" w:space="0" w:color="auto"/>
                <w:left w:val="none" w:sz="0" w:space="0" w:color="auto"/>
                <w:bottom w:val="none" w:sz="0" w:space="0" w:color="auto"/>
                <w:right w:val="none" w:sz="0" w:space="0" w:color="auto"/>
              </w:divBdr>
            </w:div>
            <w:div w:id="1033580183">
              <w:marLeft w:val="0"/>
              <w:marRight w:val="0"/>
              <w:marTop w:val="0"/>
              <w:marBottom w:val="0"/>
              <w:divBdr>
                <w:top w:val="none" w:sz="0" w:space="0" w:color="auto"/>
                <w:left w:val="none" w:sz="0" w:space="0" w:color="auto"/>
                <w:bottom w:val="none" w:sz="0" w:space="0" w:color="auto"/>
                <w:right w:val="none" w:sz="0" w:space="0" w:color="auto"/>
              </w:divBdr>
            </w:div>
            <w:div w:id="1803965243">
              <w:marLeft w:val="0"/>
              <w:marRight w:val="0"/>
              <w:marTop w:val="0"/>
              <w:marBottom w:val="0"/>
              <w:divBdr>
                <w:top w:val="none" w:sz="0" w:space="0" w:color="auto"/>
                <w:left w:val="none" w:sz="0" w:space="0" w:color="auto"/>
                <w:bottom w:val="none" w:sz="0" w:space="0" w:color="auto"/>
                <w:right w:val="none" w:sz="0" w:space="0" w:color="auto"/>
              </w:divBdr>
            </w:div>
            <w:div w:id="544874480">
              <w:marLeft w:val="0"/>
              <w:marRight w:val="0"/>
              <w:marTop w:val="0"/>
              <w:marBottom w:val="0"/>
              <w:divBdr>
                <w:top w:val="none" w:sz="0" w:space="0" w:color="auto"/>
                <w:left w:val="none" w:sz="0" w:space="0" w:color="auto"/>
                <w:bottom w:val="none" w:sz="0" w:space="0" w:color="auto"/>
                <w:right w:val="none" w:sz="0" w:space="0" w:color="auto"/>
              </w:divBdr>
            </w:div>
            <w:div w:id="1298728287">
              <w:marLeft w:val="0"/>
              <w:marRight w:val="0"/>
              <w:marTop w:val="0"/>
              <w:marBottom w:val="0"/>
              <w:divBdr>
                <w:top w:val="none" w:sz="0" w:space="0" w:color="auto"/>
                <w:left w:val="none" w:sz="0" w:space="0" w:color="auto"/>
                <w:bottom w:val="none" w:sz="0" w:space="0" w:color="auto"/>
                <w:right w:val="none" w:sz="0" w:space="0" w:color="auto"/>
              </w:divBdr>
            </w:div>
            <w:div w:id="593637753">
              <w:marLeft w:val="0"/>
              <w:marRight w:val="0"/>
              <w:marTop w:val="0"/>
              <w:marBottom w:val="0"/>
              <w:divBdr>
                <w:top w:val="none" w:sz="0" w:space="0" w:color="auto"/>
                <w:left w:val="none" w:sz="0" w:space="0" w:color="auto"/>
                <w:bottom w:val="none" w:sz="0" w:space="0" w:color="auto"/>
                <w:right w:val="none" w:sz="0" w:space="0" w:color="auto"/>
              </w:divBdr>
            </w:div>
            <w:div w:id="2077974105">
              <w:marLeft w:val="0"/>
              <w:marRight w:val="0"/>
              <w:marTop w:val="0"/>
              <w:marBottom w:val="0"/>
              <w:divBdr>
                <w:top w:val="none" w:sz="0" w:space="0" w:color="auto"/>
                <w:left w:val="none" w:sz="0" w:space="0" w:color="auto"/>
                <w:bottom w:val="none" w:sz="0" w:space="0" w:color="auto"/>
                <w:right w:val="none" w:sz="0" w:space="0" w:color="auto"/>
              </w:divBdr>
            </w:div>
            <w:div w:id="483202837">
              <w:marLeft w:val="0"/>
              <w:marRight w:val="0"/>
              <w:marTop w:val="0"/>
              <w:marBottom w:val="0"/>
              <w:divBdr>
                <w:top w:val="none" w:sz="0" w:space="0" w:color="auto"/>
                <w:left w:val="none" w:sz="0" w:space="0" w:color="auto"/>
                <w:bottom w:val="none" w:sz="0" w:space="0" w:color="auto"/>
                <w:right w:val="none" w:sz="0" w:space="0" w:color="auto"/>
              </w:divBdr>
            </w:div>
            <w:div w:id="205335721">
              <w:marLeft w:val="0"/>
              <w:marRight w:val="0"/>
              <w:marTop w:val="0"/>
              <w:marBottom w:val="0"/>
              <w:divBdr>
                <w:top w:val="none" w:sz="0" w:space="0" w:color="auto"/>
                <w:left w:val="none" w:sz="0" w:space="0" w:color="auto"/>
                <w:bottom w:val="none" w:sz="0" w:space="0" w:color="auto"/>
                <w:right w:val="none" w:sz="0" w:space="0" w:color="auto"/>
              </w:divBdr>
            </w:div>
            <w:div w:id="1423719155">
              <w:marLeft w:val="0"/>
              <w:marRight w:val="0"/>
              <w:marTop w:val="0"/>
              <w:marBottom w:val="0"/>
              <w:divBdr>
                <w:top w:val="none" w:sz="0" w:space="0" w:color="auto"/>
                <w:left w:val="none" w:sz="0" w:space="0" w:color="auto"/>
                <w:bottom w:val="none" w:sz="0" w:space="0" w:color="auto"/>
                <w:right w:val="none" w:sz="0" w:space="0" w:color="auto"/>
              </w:divBdr>
            </w:div>
            <w:div w:id="612979379">
              <w:marLeft w:val="0"/>
              <w:marRight w:val="0"/>
              <w:marTop w:val="0"/>
              <w:marBottom w:val="0"/>
              <w:divBdr>
                <w:top w:val="none" w:sz="0" w:space="0" w:color="auto"/>
                <w:left w:val="none" w:sz="0" w:space="0" w:color="auto"/>
                <w:bottom w:val="none" w:sz="0" w:space="0" w:color="auto"/>
                <w:right w:val="none" w:sz="0" w:space="0" w:color="auto"/>
              </w:divBdr>
            </w:div>
            <w:div w:id="952636193">
              <w:marLeft w:val="0"/>
              <w:marRight w:val="0"/>
              <w:marTop w:val="0"/>
              <w:marBottom w:val="0"/>
              <w:divBdr>
                <w:top w:val="none" w:sz="0" w:space="0" w:color="auto"/>
                <w:left w:val="none" w:sz="0" w:space="0" w:color="auto"/>
                <w:bottom w:val="none" w:sz="0" w:space="0" w:color="auto"/>
                <w:right w:val="none" w:sz="0" w:space="0" w:color="auto"/>
              </w:divBdr>
            </w:div>
            <w:div w:id="1406295680">
              <w:marLeft w:val="0"/>
              <w:marRight w:val="0"/>
              <w:marTop w:val="0"/>
              <w:marBottom w:val="0"/>
              <w:divBdr>
                <w:top w:val="none" w:sz="0" w:space="0" w:color="auto"/>
                <w:left w:val="none" w:sz="0" w:space="0" w:color="auto"/>
                <w:bottom w:val="none" w:sz="0" w:space="0" w:color="auto"/>
                <w:right w:val="none" w:sz="0" w:space="0" w:color="auto"/>
              </w:divBdr>
            </w:div>
            <w:div w:id="1707632332">
              <w:marLeft w:val="0"/>
              <w:marRight w:val="0"/>
              <w:marTop w:val="0"/>
              <w:marBottom w:val="0"/>
              <w:divBdr>
                <w:top w:val="none" w:sz="0" w:space="0" w:color="auto"/>
                <w:left w:val="none" w:sz="0" w:space="0" w:color="auto"/>
                <w:bottom w:val="none" w:sz="0" w:space="0" w:color="auto"/>
                <w:right w:val="none" w:sz="0" w:space="0" w:color="auto"/>
              </w:divBdr>
            </w:div>
            <w:div w:id="1181318554">
              <w:marLeft w:val="0"/>
              <w:marRight w:val="0"/>
              <w:marTop w:val="0"/>
              <w:marBottom w:val="0"/>
              <w:divBdr>
                <w:top w:val="none" w:sz="0" w:space="0" w:color="auto"/>
                <w:left w:val="none" w:sz="0" w:space="0" w:color="auto"/>
                <w:bottom w:val="none" w:sz="0" w:space="0" w:color="auto"/>
                <w:right w:val="none" w:sz="0" w:space="0" w:color="auto"/>
              </w:divBdr>
            </w:div>
            <w:div w:id="697632506">
              <w:marLeft w:val="0"/>
              <w:marRight w:val="0"/>
              <w:marTop w:val="0"/>
              <w:marBottom w:val="0"/>
              <w:divBdr>
                <w:top w:val="none" w:sz="0" w:space="0" w:color="auto"/>
                <w:left w:val="none" w:sz="0" w:space="0" w:color="auto"/>
                <w:bottom w:val="none" w:sz="0" w:space="0" w:color="auto"/>
                <w:right w:val="none" w:sz="0" w:space="0" w:color="auto"/>
              </w:divBdr>
            </w:div>
            <w:div w:id="1005136957">
              <w:marLeft w:val="0"/>
              <w:marRight w:val="0"/>
              <w:marTop w:val="0"/>
              <w:marBottom w:val="0"/>
              <w:divBdr>
                <w:top w:val="none" w:sz="0" w:space="0" w:color="auto"/>
                <w:left w:val="none" w:sz="0" w:space="0" w:color="auto"/>
                <w:bottom w:val="none" w:sz="0" w:space="0" w:color="auto"/>
                <w:right w:val="none" w:sz="0" w:space="0" w:color="auto"/>
              </w:divBdr>
            </w:div>
            <w:div w:id="606085131">
              <w:marLeft w:val="0"/>
              <w:marRight w:val="0"/>
              <w:marTop w:val="0"/>
              <w:marBottom w:val="0"/>
              <w:divBdr>
                <w:top w:val="none" w:sz="0" w:space="0" w:color="auto"/>
                <w:left w:val="none" w:sz="0" w:space="0" w:color="auto"/>
                <w:bottom w:val="none" w:sz="0" w:space="0" w:color="auto"/>
                <w:right w:val="none" w:sz="0" w:space="0" w:color="auto"/>
              </w:divBdr>
            </w:div>
            <w:div w:id="1267150931">
              <w:marLeft w:val="0"/>
              <w:marRight w:val="0"/>
              <w:marTop w:val="0"/>
              <w:marBottom w:val="0"/>
              <w:divBdr>
                <w:top w:val="none" w:sz="0" w:space="0" w:color="auto"/>
                <w:left w:val="none" w:sz="0" w:space="0" w:color="auto"/>
                <w:bottom w:val="none" w:sz="0" w:space="0" w:color="auto"/>
                <w:right w:val="none" w:sz="0" w:space="0" w:color="auto"/>
              </w:divBdr>
            </w:div>
            <w:div w:id="1758671530">
              <w:marLeft w:val="0"/>
              <w:marRight w:val="0"/>
              <w:marTop w:val="0"/>
              <w:marBottom w:val="0"/>
              <w:divBdr>
                <w:top w:val="none" w:sz="0" w:space="0" w:color="auto"/>
                <w:left w:val="none" w:sz="0" w:space="0" w:color="auto"/>
                <w:bottom w:val="none" w:sz="0" w:space="0" w:color="auto"/>
                <w:right w:val="none" w:sz="0" w:space="0" w:color="auto"/>
              </w:divBdr>
            </w:div>
            <w:div w:id="791828956">
              <w:marLeft w:val="0"/>
              <w:marRight w:val="0"/>
              <w:marTop w:val="0"/>
              <w:marBottom w:val="0"/>
              <w:divBdr>
                <w:top w:val="none" w:sz="0" w:space="0" w:color="auto"/>
                <w:left w:val="none" w:sz="0" w:space="0" w:color="auto"/>
                <w:bottom w:val="none" w:sz="0" w:space="0" w:color="auto"/>
                <w:right w:val="none" w:sz="0" w:space="0" w:color="auto"/>
              </w:divBdr>
            </w:div>
            <w:div w:id="2058047726">
              <w:marLeft w:val="0"/>
              <w:marRight w:val="0"/>
              <w:marTop w:val="0"/>
              <w:marBottom w:val="0"/>
              <w:divBdr>
                <w:top w:val="none" w:sz="0" w:space="0" w:color="auto"/>
                <w:left w:val="none" w:sz="0" w:space="0" w:color="auto"/>
                <w:bottom w:val="none" w:sz="0" w:space="0" w:color="auto"/>
                <w:right w:val="none" w:sz="0" w:space="0" w:color="auto"/>
              </w:divBdr>
            </w:div>
            <w:div w:id="1322538168">
              <w:marLeft w:val="0"/>
              <w:marRight w:val="0"/>
              <w:marTop w:val="0"/>
              <w:marBottom w:val="0"/>
              <w:divBdr>
                <w:top w:val="none" w:sz="0" w:space="0" w:color="auto"/>
                <w:left w:val="none" w:sz="0" w:space="0" w:color="auto"/>
                <w:bottom w:val="none" w:sz="0" w:space="0" w:color="auto"/>
                <w:right w:val="none" w:sz="0" w:space="0" w:color="auto"/>
              </w:divBdr>
            </w:div>
            <w:div w:id="780301011">
              <w:marLeft w:val="0"/>
              <w:marRight w:val="0"/>
              <w:marTop w:val="0"/>
              <w:marBottom w:val="0"/>
              <w:divBdr>
                <w:top w:val="none" w:sz="0" w:space="0" w:color="auto"/>
                <w:left w:val="none" w:sz="0" w:space="0" w:color="auto"/>
                <w:bottom w:val="none" w:sz="0" w:space="0" w:color="auto"/>
                <w:right w:val="none" w:sz="0" w:space="0" w:color="auto"/>
              </w:divBdr>
            </w:div>
            <w:div w:id="963510599">
              <w:marLeft w:val="0"/>
              <w:marRight w:val="0"/>
              <w:marTop w:val="0"/>
              <w:marBottom w:val="0"/>
              <w:divBdr>
                <w:top w:val="none" w:sz="0" w:space="0" w:color="auto"/>
                <w:left w:val="none" w:sz="0" w:space="0" w:color="auto"/>
                <w:bottom w:val="none" w:sz="0" w:space="0" w:color="auto"/>
                <w:right w:val="none" w:sz="0" w:space="0" w:color="auto"/>
              </w:divBdr>
            </w:div>
            <w:div w:id="2119524803">
              <w:marLeft w:val="0"/>
              <w:marRight w:val="0"/>
              <w:marTop w:val="0"/>
              <w:marBottom w:val="0"/>
              <w:divBdr>
                <w:top w:val="none" w:sz="0" w:space="0" w:color="auto"/>
                <w:left w:val="none" w:sz="0" w:space="0" w:color="auto"/>
                <w:bottom w:val="none" w:sz="0" w:space="0" w:color="auto"/>
                <w:right w:val="none" w:sz="0" w:space="0" w:color="auto"/>
              </w:divBdr>
            </w:div>
            <w:div w:id="657002807">
              <w:marLeft w:val="0"/>
              <w:marRight w:val="0"/>
              <w:marTop w:val="0"/>
              <w:marBottom w:val="0"/>
              <w:divBdr>
                <w:top w:val="none" w:sz="0" w:space="0" w:color="auto"/>
                <w:left w:val="none" w:sz="0" w:space="0" w:color="auto"/>
                <w:bottom w:val="none" w:sz="0" w:space="0" w:color="auto"/>
                <w:right w:val="none" w:sz="0" w:space="0" w:color="auto"/>
              </w:divBdr>
            </w:div>
            <w:div w:id="1921594540">
              <w:marLeft w:val="0"/>
              <w:marRight w:val="0"/>
              <w:marTop w:val="0"/>
              <w:marBottom w:val="0"/>
              <w:divBdr>
                <w:top w:val="none" w:sz="0" w:space="0" w:color="auto"/>
                <w:left w:val="none" w:sz="0" w:space="0" w:color="auto"/>
                <w:bottom w:val="none" w:sz="0" w:space="0" w:color="auto"/>
                <w:right w:val="none" w:sz="0" w:space="0" w:color="auto"/>
              </w:divBdr>
            </w:div>
            <w:div w:id="852914841">
              <w:marLeft w:val="0"/>
              <w:marRight w:val="0"/>
              <w:marTop w:val="0"/>
              <w:marBottom w:val="0"/>
              <w:divBdr>
                <w:top w:val="none" w:sz="0" w:space="0" w:color="auto"/>
                <w:left w:val="none" w:sz="0" w:space="0" w:color="auto"/>
                <w:bottom w:val="none" w:sz="0" w:space="0" w:color="auto"/>
                <w:right w:val="none" w:sz="0" w:space="0" w:color="auto"/>
              </w:divBdr>
            </w:div>
            <w:div w:id="227152191">
              <w:marLeft w:val="0"/>
              <w:marRight w:val="0"/>
              <w:marTop w:val="0"/>
              <w:marBottom w:val="0"/>
              <w:divBdr>
                <w:top w:val="none" w:sz="0" w:space="0" w:color="auto"/>
                <w:left w:val="none" w:sz="0" w:space="0" w:color="auto"/>
                <w:bottom w:val="none" w:sz="0" w:space="0" w:color="auto"/>
                <w:right w:val="none" w:sz="0" w:space="0" w:color="auto"/>
              </w:divBdr>
            </w:div>
            <w:div w:id="974338726">
              <w:marLeft w:val="0"/>
              <w:marRight w:val="0"/>
              <w:marTop w:val="0"/>
              <w:marBottom w:val="0"/>
              <w:divBdr>
                <w:top w:val="none" w:sz="0" w:space="0" w:color="auto"/>
                <w:left w:val="none" w:sz="0" w:space="0" w:color="auto"/>
                <w:bottom w:val="none" w:sz="0" w:space="0" w:color="auto"/>
                <w:right w:val="none" w:sz="0" w:space="0" w:color="auto"/>
              </w:divBdr>
            </w:div>
            <w:div w:id="129128968">
              <w:marLeft w:val="0"/>
              <w:marRight w:val="0"/>
              <w:marTop w:val="0"/>
              <w:marBottom w:val="0"/>
              <w:divBdr>
                <w:top w:val="none" w:sz="0" w:space="0" w:color="auto"/>
                <w:left w:val="none" w:sz="0" w:space="0" w:color="auto"/>
                <w:bottom w:val="none" w:sz="0" w:space="0" w:color="auto"/>
                <w:right w:val="none" w:sz="0" w:space="0" w:color="auto"/>
              </w:divBdr>
            </w:div>
            <w:div w:id="2066835055">
              <w:marLeft w:val="0"/>
              <w:marRight w:val="0"/>
              <w:marTop w:val="0"/>
              <w:marBottom w:val="0"/>
              <w:divBdr>
                <w:top w:val="none" w:sz="0" w:space="0" w:color="auto"/>
                <w:left w:val="none" w:sz="0" w:space="0" w:color="auto"/>
                <w:bottom w:val="none" w:sz="0" w:space="0" w:color="auto"/>
                <w:right w:val="none" w:sz="0" w:space="0" w:color="auto"/>
              </w:divBdr>
            </w:div>
            <w:div w:id="1661277434">
              <w:marLeft w:val="0"/>
              <w:marRight w:val="0"/>
              <w:marTop w:val="0"/>
              <w:marBottom w:val="0"/>
              <w:divBdr>
                <w:top w:val="none" w:sz="0" w:space="0" w:color="auto"/>
                <w:left w:val="none" w:sz="0" w:space="0" w:color="auto"/>
                <w:bottom w:val="none" w:sz="0" w:space="0" w:color="auto"/>
                <w:right w:val="none" w:sz="0" w:space="0" w:color="auto"/>
              </w:divBdr>
            </w:div>
            <w:div w:id="1533228375">
              <w:marLeft w:val="0"/>
              <w:marRight w:val="0"/>
              <w:marTop w:val="0"/>
              <w:marBottom w:val="0"/>
              <w:divBdr>
                <w:top w:val="none" w:sz="0" w:space="0" w:color="auto"/>
                <w:left w:val="none" w:sz="0" w:space="0" w:color="auto"/>
                <w:bottom w:val="none" w:sz="0" w:space="0" w:color="auto"/>
                <w:right w:val="none" w:sz="0" w:space="0" w:color="auto"/>
              </w:divBdr>
            </w:div>
            <w:div w:id="1614290808">
              <w:marLeft w:val="0"/>
              <w:marRight w:val="0"/>
              <w:marTop w:val="0"/>
              <w:marBottom w:val="0"/>
              <w:divBdr>
                <w:top w:val="none" w:sz="0" w:space="0" w:color="auto"/>
                <w:left w:val="none" w:sz="0" w:space="0" w:color="auto"/>
                <w:bottom w:val="none" w:sz="0" w:space="0" w:color="auto"/>
                <w:right w:val="none" w:sz="0" w:space="0" w:color="auto"/>
              </w:divBdr>
            </w:div>
            <w:div w:id="1385257824">
              <w:marLeft w:val="0"/>
              <w:marRight w:val="0"/>
              <w:marTop w:val="0"/>
              <w:marBottom w:val="0"/>
              <w:divBdr>
                <w:top w:val="none" w:sz="0" w:space="0" w:color="auto"/>
                <w:left w:val="none" w:sz="0" w:space="0" w:color="auto"/>
                <w:bottom w:val="none" w:sz="0" w:space="0" w:color="auto"/>
                <w:right w:val="none" w:sz="0" w:space="0" w:color="auto"/>
              </w:divBdr>
            </w:div>
            <w:div w:id="656223345">
              <w:marLeft w:val="0"/>
              <w:marRight w:val="0"/>
              <w:marTop w:val="0"/>
              <w:marBottom w:val="0"/>
              <w:divBdr>
                <w:top w:val="none" w:sz="0" w:space="0" w:color="auto"/>
                <w:left w:val="none" w:sz="0" w:space="0" w:color="auto"/>
                <w:bottom w:val="none" w:sz="0" w:space="0" w:color="auto"/>
                <w:right w:val="none" w:sz="0" w:space="0" w:color="auto"/>
              </w:divBdr>
            </w:div>
            <w:div w:id="48918692">
              <w:marLeft w:val="0"/>
              <w:marRight w:val="0"/>
              <w:marTop w:val="0"/>
              <w:marBottom w:val="0"/>
              <w:divBdr>
                <w:top w:val="none" w:sz="0" w:space="0" w:color="auto"/>
                <w:left w:val="none" w:sz="0" w:space="0" w:color="auto"/>
                <w:bottom w:val="none" w:sz="0" w:space="0" w:color="auto"/>
                <w:right w:val="none" w:sz="0" w:space="0" w:color="auto"/>
              </w:divBdr>
            </w:div>
            <w:div w:id="1779913361">
              <w:marLeft w:val="0"/>
              <w:marRight w:val="0"/>
              <w:marTop w:val="0"/>
              <w:marBottom w:val="0"/>
              <w:divBdr>
                <w:top w:val="none" w:sz="0" w:space="0" w:color="auto"/>
                <w:left w:val="none" w:sz="0" w:space="0" w:color="auto"/>
                <w:bottom w:val="none" w:sz="0" w:space="0" w:color="auto"/>
                <w:right w:val="none" w:sz="0" w:space="0" w:color="auto"/>
              </w:divBdr>
            </w:div>
            <w:div w:id="603616352">
              <w:marLeft w:val="0"/>
              <w:marRight w:val="0"/>
              <w:marTop w:val="0"/>
              <w:marBottom w:val="0"/>
              <w:divBdr>
                <w:top w:val="none" w:sz="0" w:space="0" w:color="auto"/>
                <w:left w:val="none" w:sz="0" w:space="0" w:color="auto"/>
                <w:bottom w:val="none" w:sz="0" w:space="0" w:color="auto"/>
                <w:right w:val="none" w:sz="0" w:space="0" w:color="auto"/>
              </w:divBdr>
            </w:div>
            <w:div w:id="664238105">
              <w:marLeft w:val="0"/>
              <w:marRight w:val="0"/>
              <w:marTop w:val="0"/>
              <w:marBottom w:val="0"/>
              <w:divBdr>
                <w:top w:val="none" w:sz="0" w:space="0" w:color="auto"/>
                <w:left w:val="none" w:sz="0" w:space="0" w:color="auto"/>
                <w:bottom w:val="none" w:sz="0" w:space="0" w:color="auto"/>
                <w:right w:val="none" w:sz="0" w:space="0" w:color="auto"/>
              </w:divBdr>
            </w:div>
            <w:div w:id="2089686650">
              <w:marLeft w:val="0"/>
              <w:marRight w:val="0"/>
              <w:marTop w:val="0"/>
              <w:marBottom w:val="0"/>
              <w:divBdr>
                <w:top w:val="none" w:sz="0" w:space="0" w:color="auto"/>
                <w:left w:val="none" w:sz="0" w:space="0" w:color="auto"/>
                <w:bottom w:val="none" w:sz="0" w:space="0" w:color="auto"/>
                <w:right w:val="none" w:sz="0" w:space="0" w:color="auto"/>
              </w:divBdr>
            </w:div>
            <w:div w:id="1305702088">
              <w:marLeft w:val="0"/>
              <w:marRight w:val="0"/>
              <w:marTop w:val="0"/>
              <w:marBottom w:val="0"/>
              <w:divBdr>
                <w:top w:val="none" w:sz="0" w:space="0" w:color="auto"/>
                <w:left w:val="none" w:sz="0" w:space="0" w:color="auto"/>
                <w:bottom w:val="none" w:sz="0" w:space="0" w:color="auto"/>
                <w:right w:val="none" w:sz="0" w:space="0" w:color="auto"/>
              </w:divBdr>
            </w:div>
            <w:div w:id="671494686">
              <w:marLeft w:val="0"/>
              <w:marRight w:val="0"/>
              <w:marTop w:val="0"/>
              <w:marBottom w:val="0"/>
              <w:divBdr>
                <w:top w:val="none" w:sz="0" w:space="0" w:color="auto"/>
                <w:left w:val="none" w:sz="0" w:space="0" w:color="auto"/>
                <w:bottom w:val="none" w:sz="0" w:space="0" w:color="auto"/>
                <w:right w:val="none" w:sz="0" w:space="0" w:color="auto"/>
              </w:divBdr>
            </w:div>
            <w:div w:id="1187595403">
              <w:marLeft w:val="0"/>
              <w:marRight w:val="0"/>
              <w:marTop w:val="0"/>
              <w:marBottom w:val="0"/>
              <w:divBdr>
                <w:top w:val="none" w:sz="0" w:space="0" w:color="auto"/>
                <w:left w:val="none" w:sz="0" w:space="0" w:color="auto"/>
                <w:bottom w:val="none" w:sz="0" w:space="0" w:color="auto"/>
                <w:right w:val="none" w:sz="0" w:space="0" w:color="auto"/>
              </w:divBdr>
            </w:div>
            <w:div w:id="682780360">
              <w:marLeft w:val="0"/>
              <w:marRight w:val="0"/>
              <w:marTop w:val="0"/>
              <w:marBottom w:val="0"/>
              <w:divBdr>
                <w:top w:val="none" w:sz="0" w:space="0" w:color="auto"/>
                <w:left w:val="none" w:sz="0" w:space="0" w:color="auto"/>
                <w:bottom w:val="none" w:sz="0" w:space="0" w:color="auto"/>
                <w:right w:val="none" w:sz="0" w:space="0" w:color="auto"/>
              </w:divBdr>
            </w:div>
            <w:div w:id="783155728">
              <w:marLeft w:val="0"/>
              <w:marRight w:val="0"/>
              <w:marTop w:val="0"/>
              <w:marBottom w:val="0"/>
              <w:divBdr>
                <w:top w:val="none" w:sz="0" w:space="0" w:color="auto"/>
                <w:left w:val="none" w:sz="0" w:space="0" w:color="auto"/>
                <w:bottom w:val="none" w:sz="0" w:space="0" w:color="auto"/>
                <w:right w:val="none" w:sz="0" w:space="0" w:color="auto"/>
              </w:divBdr>
            </w:div>
            <w:div w:id="740835823">
              <w:marLeft w:val="0"/>
              <w:marRight w:val="0"/>
              <w:marTop w:val="0"/>
              <w:marBottom w:val="0"/>
              <w:divBdr>
                <w:top w:val="none" w:sz="0" w:space="0" w:color="auto"/>
                <w:left w:val="none" w:sz="0" w:space="0" w:color="auto"/>
                <w:bottom w:val="none" w:sz="0" w:space="0" w:color="auto"/>
                <w:right w:val="none" w:sz="0" w:space="0" w:color="auto"/>
              </w:divBdr>
            </w:div>
            <w:div w:id="222762670">
              <w:marLeft w:val="0"/>
              <w:marRight w:val="0"/>
              <w:marTop w:val="0"/>
              <w:marBottom w:val="0"/>
              <w:divBdr>
                <w:top w:val="none" w:sz="0" w:space="0" w:color="auto"/>
                <w:left w:val="none" w:sz="0" w:space="0" w:color="auto"/>
                <w:bottom w:val="none" w:sz="0" w:space="0" w:color="auto"/>
                <w:right w:val="none" w:sz="0" w:space="0" w:color="auto"/>
              </w:divBdr>
            </w:div>
            <w:div w:id="439374683">
              <w:marLeft w:val="0"/>
              <w:marRight w:val="0"/>
              <w:marTop w:val="0"/>
              <w:marBottom w:val="0"/>
              <w:divBdr>
                <w:top w:val="none" w:sz="0" w:space="0" w:color="auto"/>
                <w:left w:val="none" w:sz="0" w:space="0" w:color="auto"/>
                <w:bottom w:val="none" w:sz="0" w:space="0" w:color="auto"/>
                <w:right w:val="none" w:sz="0" w:space="0" w:color="auto"/>
              </w:divBdr>
            </w:div>
            <w:div w:id="1763449383">
              <w:marLeft w:val="0"/>
              <w:marRight w:val="0"/>
              <w:marTop w:val="0"/>
              <w:marBottom w:val="0"/>
              <w:divBdr>
                <w:top w:val="none" w:sz="0" w:space="0" w:color="auto"/>
                <w:left w:val="none" w:sz="0" w:space="0" w:color="auto"/>
                <w:bottom w:val="none" w:sz="0" w:space="0" w:color="auto"/>
                <w:right w:val="none" w:sz="0" w:space="0" w:color="auto"/>
              </w:divBdr>
            </w:div>
            <w:div w:id="1310209546">
              <w:marLeft w:val="0"/>
              <w:marRight w:val="0"/>
              <w:marTop w:val="0"/>
              <w:marBottom w:val="0"/>
              <w:divBdr>
                <w:top w:val="none" w:sz="0" w:space="0" w:color="auto"/>
                <w:left w:val="none" w:sz="0" w:space="0" w:color="auto"/>
                <w:bottom w:val="none" w:sz="0" w:space="0" w:color="auto"/>
                <w:right w:val="none" w:sz="0" w:space="0" w:color="auto"/>
              </w:divBdr>
            </w:div>
            <w:div w:id="1120490457">
              <w:marLeft w:val="0"/>
              <w:marRight w:val="0"/>
              <w:marTop w:val="0"/>
              <w:marBottom w:val="0"/>
              <w:divBdr>
                <w:top w:val="none" w:sz="0" w:space="0" w:color="auto"/>
                <w:left w:val="none" w:sz="0" w:space="0" w:color="auto"/>
                <w:bottom w:val="none" w:sz="0" w:space="0" w:color="auto"/>
                <w:right w:val="none" w:sz="0" w:space="0" w:color="auto"/>
              </w:divBdr>
            </w:div>
            <w:div w:id="1356037192">
              <w:marLeft w:val="0"/>
              <w:marRight w:val="0"/>
              <w:marTop w:val="0"/>
              <w:marBottom w:val="0"/>
              <w:divBdr>
                <w:top w:val="none" w:sz="0" w:space="0" w:color="auto"/>
                <w:left w:val="none" w:sz="0" w:space="0" w:color="auto"/>
                <w:bottom w:val="none" w:sz="0" w:space="0" w:color="auto"/>
                <w:right w:val="none" w:sz="0" w:space="0" w:color="auto"/>
              </w:divBdr>
            </w:div>
            <w:div w:id="349798046">
              <w:marLeft w:val="0"/>
              <w:marRight w:val="0"/>
              <w:marTop w:val="0"/>
              <w:marBottom w:val="0"/>
              <w:divBdr>
                <w:top w:val="none" w:sz="0" w:space="0" w:color="auto"/>
                <w:left w:val="none" w:sz="0" w:space="0" w:color="auto"/>
                <w:bottom w:val="none" w:sz="0" w:space="0" w:color="auto"/>
                <w:right w:val="none" w:sz="0" w:space="0" w:color="auto"/>
              </w:divBdr>
            </w:div>
            <w:div w:id="518545067">
              <w:marLeft w:val="0"/>
              <w:marRight w:val="0"/>
              <w:marTop w:val="0"/>
              <w:marBottom w:val="0"/>
              <w:divBdr>
                <w:top w:val="none" w:sz="0" w:space="0" w:color="auto"/>
                <w:left w:val="none" w:sz="0" w:space="0" w:color="auto"/>
                <w:bottom w:val="none" w:sz="0" w:space="0" w:color="auto"/>
                <w:right w:val="none" w:sz="0" w:space="0" w:color="auto"/>
              </w:divBdr>
            </w:div>
            <w:div w:id="1617591764">
              <w:marLeft w:val="0"/>
              <w:marRight w:val="0"/>
              <w:marTop w:val="0"/>
              <w:marBottom w:val="0"/>
              <w:divBdr>
                <w:top w:val="none" w:sz="0" w:space="0" w:color="auto"/>
                <w:left w:val="none" w:sz="0" w:space="0" w:color="auto"/>
                <w:bottom w:val="none" w:sz="0" w:space="0" w:color="auto"/>
                <w:right w:val="none" w:sz="0" w:space="0" w:color="auto"/>
              </w:divBdr>
            </w:div>
            <w:div w:id="1630696973">
              <w:marLeft w:val="0"/>
              <w:marRight w:val="0"/>
              <w:marTop w:val="0"/>
              <w:marBottom w:val="0"/>
              <w:divBdr>
                <w:top w:val="none" w:sz="0" w:space="0" w:color="auto"/>
                <w:left w:val="none" w:sz="0" w:space="0" w:color="auto"/>
                <w:bottom w:val="none" w:sz="0" w:space="0" w:color="auto"/>
                <w:right w:val="none" w:sz="0" w:space="0" w:color="auto"/>
              </w:divBdr>
            </w:div>
            <w:div w:id="1861160041">
              <w:marLeft w:val="0"/>
              <w:marRight w:val="0"/>
              <w:marTop w:val="0"/>
              <w:marBottom w:val="0"/>
              <w:divBdr>
                <w:top w:val="none" w:sz="0" w:space="0" w:color="auto"/>
                <w:left w:val="none" w:sz="0" w:space="0" w:color="auto"/>
                <w:bottom w:val="none" w:sz="0" w:space="0" w:color="auto"/>
                <w:right w:val="none" w:sz="0" w:space="0" w:color="auto"/>
              </w:divBdr>
            </w:div>
            <w:div w:id="533620722">
              <w:marLeft w:val="0"/>
              <w:marRight w:val="0"/>
              <w:marTop w:val="0"/>
              <w:marBottom w:val="0"/>
              <w:divBdr>
                <w:top w:val="none" w:sz="0" w:space="0" w:color="auto"/>
                <w:left w:val="none" w:sz="0" w:space="0" w:color="auto"/>
                <w:bottom w:val="none" w:sz="0" w:space="0" w:color="auto"/>
                <w:right w:val="none" w:sz="0" w:space="0" w:color="auto"/>
              </w:divBdr>
            </w:div>
            <w:div w:id="1251428018">
              <w:marLeft w:val="0"/>
              <w:marRight w:val="0"/>
              <w:marTop w:val="0"/>
              <w:marBottom w:val="0"/>
              <w:divBdr>
                <w:top w:val="none" w:sz="0" w:space="0" w:color="auto"/>
                <w:left w:val="none" w:sz="0" w:space="0" w:color="auto"/>
                <w:bottom w:val="none" w:sz="0" w:space="0" w:color="auto"/>
                <w:right w:val="none" w:sz="0" w:space="0" w:color="auto"/>
              </w:divBdr>
            </w:div>
            <w:div w:id="816532637">
              <w:marLeft w:val="0"/>
              <w:marRight w:val="0"/>
              <w:marTop w:val="0"/>
              <w:marBottom w:val="0"/>
              <w:divBdr>
                <w:top w:val="none" w:sz="0" w:space="0" w:color="auto"/>
                <w:left w:val="none" w:sz="0" w:space="0" w:color="auto"/>
                <w:bottom w:val="none" w:sz="0" w:space="0" w:color="auto"/>
                <w:right w:val="none" w:sz="0" w:space="0" w:color="auto"/>
              </w:divBdr>
            </w:div>
            <w:div w:id="1102260965">
              <w:marLeft w:val="0"/>
              <w:marRight w:val="0"/>
              <w:marTop w:val="0"/>
              <w:marBottom w:val="0"/>
              <w:divBdr>
                <w:top w:val="none" w:sz="0" w:space="0" w:color="auto"/>
                <w:left w:val="none" w:sz="0" w:space="0" w:color="auto"/>
                <w:bottom w:val="none" w:sz="0" w:space="0" w:color="auto"/>
                <w:right w:val="none" w:sz="0" w:space="0" w:color="auto"/>
              </w:divBdr>
            </w:div>
            <w:div w:id="380521361">
              <w:marLeft w:val="0"/>
              <w:marRight w:val="0"/>
              <w:marTop w:val="0"/>
              <w:marBottom w:val="0"/>
              <w:divBdr>
                <w:top w:val="none" w:sz="0" w:space="0" w:color="auto"/>
                <w:left w:val="none" w:sz="0" w:space="0" w:color="auto"/>
                <w:bottom w:val="none" w:sz="0" w:space="0" w:color="auto"/>
                <w:right w:val="none" w:sz="0" w:space="0" w:color="auto"/>
              </w:divBdr>
            </w:div>
            <w:div w:id="288632954">
              <w:marLeft w:val="0"/>
              <w:marRight w:val="0"/>
              <w:marTop w:val="0"/>
              <w:marBottom w:val="0"/>
              <w:divBdr>
                <w:top w:val="none" w:sz="0" w:space="0" w:color="auto"/>
                <w:left w:val="none" w:sz="0" w:space="0" w:color="auto"/>
                <w:bottom w:val="none" w:sz="0" w:space="0" w:color="auto"/>
                <w:right w:val="none" w:sz="0" w:space="0" w:color="auto"/>
              </w:divBdr>
            </w:div>
            <w:div w:id="1000892700">
              <w:marLeft w:val="0"/>
              <w:marRight w:val="0"/>
              <w:marTop w:val="0"/>
              <w:marBottom w:val="0"/>
              <w:divBdr>
                <w:top w:val="none" w:sz="0" w:space="0" w:color="auto"/>
                <w:left w:val="none" w:sz="0" w:space="0" w:color="auto"/>
                <w:bottom w:val="none" w:sz="0" w:space="0" w:color="auto"/>
                <w:right w:val="none" w:sz="0" w:space="0" w:color="auto"/>
              </w:divBdr>
            </w:div>
            <w:div w:id="1838810696">
              <w:marLeft w:val="0"/>
              <w:marRight w:val="0"/>
              <w:marTop w:val="0"/>
              <w:marBottom w:val="0"/>
              <w:divBdr>
                <w:top w:val="none" w:sz="0" w:space="0" w:color="auto"/>
                <w:left w:val="none" w:sz="0" w:space="0" w:color="auto"/>
                <w:bottom w:val="none" w:sz="0" w:space="0" w:color="auto"/>
                <w:right w:val="none" w:sz="0" w:space="0" w:color="auto"/>
              </w:divBdr>
            </w:div>
            <w:div w:id="2091996140">
              <w:marLeft w:val="0"/>
              <w:marRight w:val="0"/>
              <w:marTop w:val="0"/>
              <w:marBottom w:val="0"/>
              <w:divBdr>
                <w:top w:val="none" w:sz="0" w:space="0" w:color="auto"/>
                <w:left w:val="none" w:sz="0" w:space="0" w:color="auto"/>
                <w:bottom w:val="none" w:sz="0" w:space="0" w:color="auto"/>
                <w:right w:val="none" w:sz="0" w:space="0" w:color="auto"/>
              </w:divBdr>
            </w:div>
            <w:div w:id="542602254">
              <w:marLeft w:val="0"/>
              <w:marRight w:val="0"/>
              <w:marTop w:val="0"/>
              <w:marBottom w:val="0"/>
              <w:divBdr>
                <w:top w:val="none" w:sz="0" w:space="0" w:color="auto"/>
                <w:left w:val="none" w:sz="0" w:space="0" w:color="auto"/>
                <w:bottom w:val="none" w:sz="0" w:space="0" w:color="auto"/>
                <w:right w:val="none" w:sz="0" w:space="0" w:color="auto"/>
              </w:divBdr>
            </w:div>
            <w:div w:id="1728991876">
              <w:marLeft w:val="0"/>
              <w:marRight w:val="0"/>
              <w:marTop w:val="0"/>
              <w:marBottom w:val="0"/>
              <w:divBdr>
                <w:top w:val="none" w:sz="0" w:space="0" w:color="auto"/>
                <w:left w:val="none" w:sz="0" w:space="0" w:color="auto"/>
                <w:bottom w:val="none" w:sz="0" w:space="0" w:color="auto"/>
                <w:right w:val="none" w:sz="0" w:space="0" w:color="auto"/>
              </w:divBdr>
            </w:div>
            <w:div w:id="1060981138">
              <w:marLeft w:val="0"/>
              <w:marRight w:val="0"/>
              <w:marTop w:val="0"/>
              <w:marBottom w:val="0"/>
              <w:divBdr>
                <w:top w:val="none" w:sz="0" w:space="0" w:color="auto"/>
                <w:left w:val="none" w:sz="0" w:space="0" w:color="auto"/>
                <w:bottom w:val="none" w:sz="0" w:space="0" w:color="auto"/>
                <w:right w:val="none" w:sz="0" w:space="0" w:color="auto"/>
              </w:divBdr>
            </w:div>
            <w:div w:id="2018270914">
              <w:marLeft w:val="0"/>
              <w:marRight w:val="0"/>
              <w:marTop w:val="0"/>
              <w:marBottom w:val="0"/>
              <w:divBdr>
                <w:top w:val="none" w:sz="0" w:space="0" w:color="auto"/>
                <w:left w:val="none" w:sz="0" w:space="0" w:color="auto"/>
                <w:bottom w:val="none" w:sz="0" w:space="0" w:color="auto"/>
                <w:right w:val="none" w:sz="0" w:space="0" w:color="auto"/>
              </w:divBdr>
            </w:div>
            <w:div w:id="1536192630">
              <w:marLeft w:val="0"/>
              <w:marRight w:val="0"/>
              <w:marTop w:val="0"/>
              <w:marBottom w:val="0"/>
              <w:divBdr>
                <w:top w:val="none" w:sz="0" w:space="0" w:color="auto"/>
                <w:left w:val="none" w:sz="0" w:space="0" w:color="auto"/>
                <w:bottom w:val="none" w:sz="0" w:space="0" w:color="auto"/>
                <w:right w:val="none" w:sz="0" w:space="0" w:color="auto"/>
              </w:divBdr>
            </w:div>
            <w:div w:id="502283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3336510">
      <w:bodyDiv w:val="1"/>
      <w:marLeft w:val="0"/>
      <w:marRight w:val="0"/>
      <w:marTop w:val="0"/>
      <w:marBottom w:val="0"/>
      <w:divBdr>
        <w:top w:val="none" w:sz="0" w:space="0" w:color="auto"/>
        <w:left w:val="none" w:sz="0" w:space="0" w:color="auto"/>
        <w:bottom w:val="none" w:sz="0" w:space="0" w:color="auto"/>
        <w:right w:val="none" w:sz="0" w:space="0" w:color="auto"/>
      </w:divBdr>
    </w:div>
    <w:div w:id="330301983">
      <w:bodyDiv w:val="1"/>
      <w:marLeft w:val="0"/>
      <w:marRight w:val="0"/>
      <w:marTop w:val="0"/>
      <w:marBottom w:val="0"/>
      <w:divBdr>
        <w:top w:val="none" w:sz="0" w:space="0" w:color="auto"/>
        <w:left w:val="none" w:sz="0" w:space="0" w:color="auto"/>
        <w:bottom w:val="none" w:sz="0" w:space="0" w:color="auto"/>
        <w:right w:val="none" w:sz="0" w:space="0" w:color="auto"/>
      </w:divBdr>
    </w:div>
    <w:div w:id="387146015">
      <w:bodyDiv w:val="1"/>
      <w:marLeft w:val="0"/>
      <w:marRight w:val="0"/>
      <w:marTop w:val="0"/>
      <w:marBottom w:val="0"/>
      <w:divBdr>
        <w:top w:val="none" w:sz="0" w:space="0" w:color="auto"/>
        <w:left w:val="none" w:sz="0" w:space="0" w:color="auto"/>
        <w:bottom w:val="none" w:sz="0" w:space="0" w:color="auto"/>
        <w:right w:val="none" w:sz="0" w:space="0" w:color="auto"/>
      </w:divBdr>
    </w:div>
    <w:div w:id="391468318">
      <w:bodyDiv w:val="1"/>
      <w:marLeft w:val="0"/>
      <w:marRight w:val="0"/>
      <w:marTop w:val="0"/>
      <w:marBottom w:val="0"/>
      <w:divBdr>
        <w:top w:val="none" w:sz="0" w:space="0" w:color="auto"/>
        <w:left w:val="none" w:sz="0" w:space="0" w:color="auto"/>
        <w:bottom w:val="none" w:sz="0" w:space="0" w:color="auto"/>
        <w:right w:val="none" w:sz="0" w:space="0" w:color="auto"/>
      </w:divBdr>
    </w:div>
    <w:div w:id="461849681">
      <w:bodyDiv w:val="1"/>
      <w:marLeft w:val="0"/>
      <w:marRight w:val="0"/>
      <w:marTop w:val="0"/>
      <w:marBottom w:val="0"/>
      <w:divBdr>
        <w:top w:val="none" w:sz="0" w:space="0" w:color="auto"/>
        <w:left w:val="none" w:sz="0" w:space="0" w:color="auto"/>
        <w:bottom w:val="none" w:sz="0" w:space="0" w:color="auto"/>
        <w:right w:val="none" w:sz="0" w:space="0" w:color="auto"/>
      </w:divBdr>
    </w:div>
    <w:div w:id="470487121">
      <w:bodyDiv w:val="1"/>
      <w:marLeft w:val="0"/>
      <w:marRight w:val="0"/>
      <w:marTop w:val="0"/>
      <w:marBottom w:val="0"/>
      <w:divBdr>
        <w:top w:val="none" w:sz="0" w:space="0" w:color="auto"/>
        <w:left w:val="none" w:sz="0" w:space="0" w:color="auto"/>
        <w:bottom w:val="none" w:sz="0" w:space="0" w:color="auto"/>
        <w:right w:val="none" w:sz="0" w:space="0" w:color="auto"/>
      </w:divBdr>
    </w:div>
    <w:div w:id="619532899">
      <w:bodyDiv w:val="1"/>
      <w:marLeft w:val="0"/>
      <w:marRight w:val="0"/>
      <w:marTop w:val="0"/>
      <w:marBottom w:val="0"/>
      <w:divBdr>
        <w:top w:val="none" w:sz="0" w:space="0" w:color="auto"/>
        <w:left w:val="none" w:sz="0" w:space="0" w:color="auto"/>
        <w:bottom w:val="none" w:sz="0" w:space="0" w:color="auto"/>
        <w:right w:val="none" w:sz="0" w:space="0" w:color="auto"/>
      </w:divBdr>
    </w:div>
    <w:div w:id="626475915">
      <w:bodyDiv w:val="1"/>
      <w:marLeft w:val="0"/>
      <w:marRight w:val="0"/>
      <w:marTop w:val="0"/>
      <w:marBottom w:val="0"/>
      <w:divBdr>
        <w:top w:val="none" w:sz="0" w:space="0" w:color="auto"/>
        <w:left w:val="none" w:sz="0" w:space="0" w:color="auto"/>
        <w:bottom w:val="none" w:sz="0" w:space="0" w:color="auto"/>
        <w:right w:val="none" w:sz="0" w:space="0" w:color="auto"/>
      </w:divBdr>
    </w:div>
    <w:div w:id="628904065">
      <w:bodyDiv w:val="1"/>
      <w:marLeft w:val="0"/>
      <w:marRight w:val="0"/>
      <w:marTop w:val="0"/>
      <w:marBottom w:val="0"/>
      <w:divBdr>
        <w:top w:val="none" w:sz="0" w:space="0" w:color="auto"/>
        <w:left w:val="none" w:sz="0" w:space="0" w:color="auto"/>
        <w:bottom w:val="none" w:sz="0" w:space="0" w:color="auto"/>
        <w:right w:val="none" w:sz="0" w:space="0" w:color="auto"/>
      </w:divBdr>
    </w:div>
    <w:div w:id="662852133">
      <w:bodyDiv w:val="1"/>
      <w:marLeft w:val="0"/>
      <w:marRight w:val="0"/>
      <w:marTop w:val="0"/>
      <w:marBottom w:val="0"/>
      <w:divBdr>
        <w:top w:val="none" w:sz="0" w:space="0" w:color="auto"/>
        <w:left w:val="none" w:sz="0" w:space="0" w:color="auto"/>
        <w:bottom w:val="none" w:sz="0" w:space="0" w:color="auto"/>
        <w:right w:val="none" w:sz="0" w:space="0" w:color="auto"/>
      </w:divBdr>
    </w:div>
    <w:div w:id="753281174">
      <w:bodyDiv w:val="1"/>
      <w:marLeft w:val="0"/>
      <w:marRight w:val="0"/>
      <w:marTop w:val="0"/>
      <w:marBottom w:val="0"/>
      <w:divBdr>
        <w:top w:val="none" w:sz="0" w:space="0" w:color="auto"/>
        <w:left w:val="none" w:sz="0" w:space="0" w:color="auto"/>
        <w:bottom w:val="none" w:sz="0" w:space="0" w:color="auto"/>
        <w:right w:val="none" w:sz="0" w:space="0" w:color="auto"/>
      </w:divBdr>
    </w:div>
    <w:div w:id="753361793">
      <w:bodyDiv w:val="1"/>
      <w:marLeft w:val="0"/>
      <w:marRight w:val="0"/>
      <w:marTop w:val="0"/>
      <w:marBottom w:val="0"/>
      <w:divBdr>
        <w:top w:val="none" w:sz="0" w:space="0" w:color="auto"/>
        <w:left w:val="none" w:sz="0" w:space="0" w:color="auto"/>
        <w:bottom w:val="none" w:sz="0" w:space="0" w:color="auto"/>
        <w:right w:val="none" w:sz="0" w:space="0" w:color="auto"/>
      </w:divBdr>
    </w:div>
    <w:div w:id="782388264">
      <w:bodyDiv w:val="1"/>
      <w:marLeft w:val="0"/>
      <w:marRight w:val="0"/>
      <w:marTop w:val="0"/>
      <w:marBottom w:val="0"/>
      <w:divBdr>
        <w:top w:val="none" w:sz="0" w:space="0" w:color="auto"/>
        <w:left w:val="none" w:sz="0" w:space="0" w:color="auto"/>
        <w:bottom w:val="none" w:sz="0" w:space="0" w:color="auto"/>
        <w:right w:val="none" w:sz="0" w:space="0" w:color="auto"/>
      </w:divBdr>
    </w:div>
    <w:div w:id="810907015">
      <w:bodyDiv w:val="1"/>
      <w:marLeft w:val="0"/>
      <w:marRight w:val="0"/>
      <w:marTop w:val="0"/>
      <w:marBottom w:val="0"/>
      <w:divBdr>
        <w:top w:val="none" w:sz="0" w:space="0" w:color="auto"/>
        <w:left w:val="none" w:sz="0" w:space="0" w:color="auto"/>
        <w:bottom w:val="none" w:sz="0" w:space="0" w:color="auto"/>
        <w:right w:val="none" w:sz="0" w:space="0" w:color="auto"/>
      </w:divBdr>
    </w:div>
    <w:div w:id="817308343">
      <w:bodyDiv w:val="1"/>
      <w:marLeft w:val="0"/>
      <w:marRight w:val="0"/>
      <w:marTop w:val="0"/>
      <w:marBottom w:val="0"/>
      <w:divBdr>
        <w:top w:val="none" w:sz="0" w:space="0" w:color="auto"/>
        <w:left w:val="none" w:sz="0" w:space="0" w:color="auto"/>
        <w:bottom w:val="none" w:sz="0" w:space="0" w:color="auto"/>
        <w:right w:val="none" w:sz="0" w:space="0" w:color="auto"/>
      </w:divBdr>
    </w:div>
    <w:div w:id="867372768">
      <w:bodyDiv w:val="1"/>
      <w:marLeft w:val="0"/>
      <w:marRight w:val="0"/>
      <w:marTop w:val="0"/>
      <w:marBottom w:val="0"/>
      <w:divBdr>
        <w:top w:val="none" w:sz="0" w:space="0" w:color="auto"/>
        <w:left w:val="none" w:sz="0" w:space="0" w:color="auto"/>
        <w:bottom w:val="none" w:sz="0" w:space="0" w:color="auto"/>
        <w:right w:val="none" w:sz="0" w:space="0" w:color="auto"/>
      </w:divBdr>
    </w:div>
    <w:div w:id="906380207">
      <w:bodyDiv w:val="1"/>
      <w:marLeft w:val="0"/>
      <w:marRight w:val="0"/>
      <w:marTop w:val="0"/>
      <w:marBottom w:val="0"/>
      <w:divBdr>
        <w:top w:val="none" w:sz="0" w:space="0" w:color="auto"/>
        <w:left w:val="none" w:sz="0" w:space="0" w:color="auto"/>
        <w:bottom w:val="none" w:sz="0" w:space="0" w:color="auto"/>
        <w:right w:val="none" w:sz="0" w:space="0" w:color="auto"/>
      </w:divBdr>
      <w:divsChild>
        <w:div w:id="556401355">
          <w:marLeft w:val="0"/>
          <w:marRight w:val="0"/>
          <w:marTop w:val="0"/>
          <w:marBottom w:val="0"/>
          <w:divBdr>
            <w:top w:val="none" w:sz="0" w:space="0" w:color="auto"/>
            <w:left w:val="none" w:sz="0" w:space="0" w:color="auto"/>
            <w:bottom w:val="none" w:sz="0" w:space="0" w:color="auto"/>
            <w:right w:val="none" w:sz="0" w:space="0" w:color="auto"/>
          </w:divBdr>
          <w:divsChild>
            <w:div w:id="796723138">
              <w:marLeft w:val="0"/>
              <w:marRight w:val="0"/>
              <w:marTop w:val="0"/>
              <w:marBottom w:val="0"/>
              <w:divBdr>
                <w:top w:val="none" w:sz="0" w:space="0" w:color="auto"/>
                <w:left w:val="none" w:sz="0" w:space="0" w:color="auto"/>
                <w:bottom w:val="none" w:sz="0" w:space="0" w:color="auto"/>
                <w:right w:val="none" w:sz="0" w:space="0" w:color="auto"/>
              </w:divBdr>
            </w:div>
            <w:div w:id="459031356">
              <w:marLeft w:val="0"/>
              <w:marRight w:val="0"/>
              <w:marTop w:val="0"/>
              <w:marBottom w:val="0"/>
              <w:divBdr>
                <w:top w:val="none" w:sz="0" w:space="0" w:color="auto"/>
                <w:left w:val="none" w:sz="0" w:space="0" w:color="auto"/>
                <w:bottom w:val="none" w:sz="0" w:space="0" w:color="auto"/>
                <w:right w:val="none" w:sz="0" w:space="0" w:color="auto"/>
              </w:divBdr>
            </w:div>
            <w:div w:id="2146967948">
              <w:marLeft w:val="0"/>
              <w:marRight w:val="0"/>
              <w:marTop w:val="0"/>
              <w:marBottom w:val="0"/>
              <w:divBdr>
                <w:top w:val="none" w:sz="0" w:space="0" w:color="auto"/>
                <w:left w:val="none" w:sz="0" w:space="0" w:color="auto"/>
                <w:bottom w:val="none" w:sz="0" w:space="0" w:color="auto"/>
                <w:right w:val="none" w:sz="0" w:space="0" w:color="auto"/>
              </w:divBdr>
            </w:div>
            <w:div w:id="2125271522">
              <w:marLeft w:val="0"/>
              <w:marRight w:val="0"/>
              <w:marTop w:val="0"/>
              <w:marBottom w:val="0"/>
              <w:divBdr>
                <w:top w:val="none" w:sz="0" w:space="0" w:color="auto"/>
                <w:left w:val="none" w:sz="0" w:space="0" w:color="auto"/>
                <w:bottom w:val="none" w:sz="0" w:space="0" w:color="auto"/>
                <w:right w:val="none" w:sz="0" w:space="0" w:color="auto"/>
              </w:divBdr>
            </w:div>
            <w:div w:id="292558928">
              <w:marLeft w:val="0"/>
              <w:marRight w:val="0"/>
              <w:marTop w:val="0"/>
              <w:marBottom w:val="0"/>
              <w:divBdr>
                <w:top w:val="none" w:sz="0" w:space="0" w:color="auto"/>
                <w:left w:val="none" w:sz="0" w:space="0" w:color="auto"/>
                <w:bottom w:val="none" w:sz="0" w:space="0" w:color="auto"/>
                <w:right w:val="none" w:sz="0" w:space="0" w:color="auto"/>
              </w:divBdr>
            </w:div>
            <w:div w:id="845482270">
              <w:marLeft w:val="0"/>
              <w:marRight w:val="0"/>
              <w:marTop w:val="0"/>
              <w:marBottom w:val="0"/>
              <w:divBdr>
                <w:top w:val="none" w:sz="0" w:space="0" w:color="auto"/>
                <w:left w:val="none" w:sz="0" w:space="0" w:color="auto"/>
                <w:bottom w:val="none" w:sz="0" w:space="0" w:color="auto"/>
                <w:right w:val="none" w:sz="0" w:space="0" w:color="auto"/>
              </w:divBdr>
            </w:div>
            <w:div w:id="1099763514">
              <w:marLeft w:val="0"/>
              <w:marRight w:val="0"/>
              <w:marTop w:val="0"/>
              <w:marBottom w:val="0"/>
              <w:divBdr>
                <w:top w:val="none" w:sz="0" w:space="0" w:color="auto"/>
                <w:left w:val="none" w:sz="0" w:space="0" w:color="auto"/>
                <w:bottom w:val="none" w:sz="0" w:space="0" w:color="auto"/>
                <w:right w:val="none" w:sz="0" w:space="0" w:color="auto"/>
              </w:divBdr>
            </w:div>
            <w:div w:id="773280399">
              <w:marLeft w:val="0"/>
              <w:marRight w:val="0"/>
              <w:marTop w:val="0"/>
              <w:marBottom w:val="0"/>
              <w:divBdr>
                <w:top w:val="none" w:sz="0" w:space="0" w:color="auto"/>
                <w:left w:val="none" w:sz="0" w:space="0" w:color="auto"/>
                <w:bottom w:val="none" w:sz="0" w:space="0" w:color="auto"/>
                <w:right w:val="none" w:sz="0" w:space="0" w:color="auto"/>
              </w:divBdr>
            </w:div>
            <w:div w:id="1565946600">
              <w:blockQuote w:val="1"/>
              <w:marLeft w:val="720"/>
              <w:marRight w:val="720"/>
              <w:marTop w:val="100"/>
              <w:marBottom w:val="100"/>
              <w:divBdr>
                <w:top w:val="none" w:sz="0" w:space="0" w:color="auto"/>
                <w:left w:val="none" w:sz="0" w:space="0" w:color="auto"/>
                <w:bottom w:val="none" w:sz="0" w:space="0" w:color="auto"/>
                <w:right w:val="none" w:sz="0" w:space="0" w:color="auto"/>
              </w:divBdr>
            </w:div>
            <w:div w:id="126435986">
              <w:marLeft w:val="0"/>
              <w:marRight w:val="0"/>
              <w:marTop w:val="0"/>
              <w:marBottom w:val="0"/>
              <w:divBdr>
                <w:top w:val="none" w:sz="0" w:space="0" w:color="auto"/>
                <w:left w:val="none" w:sz="0" w:space="0" w:color="auto"/>
                <w:bottom w:val="none" w:sz="0" w:space="0" w:color="auto"/>
                <w:right w:val="none" w:sz="0" w:space="0" w:color="auto"/>
              </w:divBdr>
            </w:div>
            <w:div w:id="211597240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 w:id="959188776">
      <w:bodyDiv w:val="1"/>
      <w:marLeft w:val="0"/>
      <w:marRight w:val="0"/>
      <w:marTop w:val="0"/>
      <w:marBottom w:val="0"/>
      <w:divBdr>
        <w:top w:val="none" w:sz="0" w:space="0" w:color="auto"/>
        <w:left w:val="none" w:sz="0" w:space="0" w:color="auto"/>
        <w:bottom w:val="none" w:sz="0" w:space="0" w:color="auto"/>
        <w:right w:val="none" w:sz="0" w:space="0" w:color="auto"/>
      </w:divBdr>
    </w:div>
    <w:div w:id="1026785100">
      <w:bodyDiv w:val="1"/>
      <w:marLeft w:val="0"/>
      <w:marRight w:val="0"/>
      <w:marTop w:val="0"/>
      <w:marBottom w:val="0"/>
      <w:divBdr>
        <w:top w:val="none" w:sz="0" w:space="0" w:color="auto"/>
        <w:left w:val="none" w:sz="0" w:space="0" w:color="auto"/>
        <w:bottom w:val="none" w:sz="0" w:space="0" w:color="auto"/>
        <w:right w:val="none" w:sz="0" w:space="0" w:color="auto"/>
      </w:divBdr>
    </w:div>
    <w:div w:id="1054547575">
      <w:bodyDiv w:val="1"/>
      <w:marLeft w:val="0"/>
      <w:marRight w:val="0"/>
      <w:marTop w:val="0"/>
      <w:marBottom w:val="0"/>
      <w:divBdr>
        <w:top w:val="none" w:sz="0" w:space="0" w:color="auto"/>
        <w:left w:val="none" w:sz="0" w:space="0" w:color="auto"/>
        <w:bottom w:val="none" w:sz="0" w:space="0" w:color="auto"/>
        <w:right w:val="none" w:sz="0" w:space="0" w:color="auto"/>
      </w:divBdr>
    </w:div>
    <w:div w:id="1061372069">
      <w:bodyDiv w:val="1"/>
      <w:marLeft w:val="0"/>
      <w:marRight w:val="0"/>
      <w:marTop w:val="0"/>
      <w:marBottom w:val="0"/>
      <w:divBdr>
        <w:top w:val="none" w:sz="0" w:space="0" w:color="auto"/>
        <w:left w:val="none" w:sz="0" w:space="0" w:color="auto"/>
        <w:bottom w:val="none" w:sz="0" w:space="0" w:color="auto"/>
        <w:right w:val="none" w:sz="0" w:space="0" w:color="auto"/>
      </w:divBdr>
    </w:div>
    <w:div w:id="1139423918">
      <w:bodyDiv w:val="1"/>
      <w:marLeft w:val="0"/>
      <w:marRight w:val="0"/>
      <w:marTop w:val="0"/>
      <w:marBottom w:val="0"/>
      <w:divBdr>
        <w:top w:val="none" w:sz="0" w:space="0" w:color="auto"/>
        <w:left w:val="none" w:sz="0" w:space="0" w:color="auto"/>
        <w:bottom w:val="none" w:sz="0" w:space="0" w:color="auto"/>
        <w:right w:val="none" w:sz="0" w:space="0" w:color="auto"/>
      </w:divBdr>
    </w:div>
    <w:div w:id="1141851298">
      <w:bodyDiv w:val="1"/>
      <w:marLeft w:val="0"/>
      <w:marRight w:val="0"/>
      <w:marTop w:val="0"/>
      <w:marBottom w:val="0"/>
      <w:divBdr>
        <w:top w:val="none" w:sz="0" w:space="0" w:color="auto"/>
        <w:left w:val="none" w:sz="0" w:space="0" w:color="auto"/>
        <w:bottom w:val="none" w:sz="0" w:space="0" w:color="auto"/>
        <w:right w:val="none" w:sz="0" w:space="0" w:color="auto"/>
      </w:divBdr>
    </w:div>
    <w:div w:id="1150249787">
      <w:bodyDiv w:val="1"/>
      <w:marLeft w:val="0"/>
      <w:marRight w:val="0"/>
      <w:marTop w:val="0"/>
      <w:marBottom w:val="0"/>
      <w:divBdr>
        <w:top w:val="none" w:sz="0" w:space="0" w:color="auto"/>
        <w:left w:val="none" w:sz="0" w:space="0" w:color="auto"/>
        <w:bottom w:val="none" w:sz="0" w:space="0" w:color="auto"/>
        <w:right w:val="none" w:sz="0" w:space="0" w:color="auto"/>
      </w:divBdr>
    </w:div>
    <w:div w:id="1151560318">
      <w:bodyDiv w:val="1"/>
      <w:marLeft w:val="0"/>
      <w:marRight w:val="0"/>
      <w:marTop w:val="0"/>
      <w:marBottom w:val="0"/>
      <w:divBdr>
        <w:top w:val="none" w:sz="0" w:space="0" w:color="auto"/>
        <w:left w:val="none" w:sz="0" w:space="0" w:color="auto"/>
        <w:bottom w:val="none" w:sz="0" w:space="0" w:color="auto"/>
        <w:right w:val="none" w:sz="0" w:space="0" w:color="auto"/>
      </w:divBdr>
    </w:div>
    <w:div w:id="1165314682">
      <w:bodyDiv w:val="1"/>
      <w:marLeft w:val="0"/>
      <w:marRight w:val="0"/>
      <w:marTop w:val="0"/>
      <w:marBottom w:val="0"/>
      <w:divBdr>
        <w:top w:val="none" w:sz="0" w:space="0" w:color="auto"/>
        <w:left w:val="none" w:sz="0" w:space="0" w:color="auto"/>
        <w:bottom w:val="none" w:sz="0" w:space="0" w:color="auto"/>
        <w:right w:val="none" w:sz="0" w:space="0" w:color="auto"/>
      </w:divBdr>
    </w:div>
    <w:div w:id="1197038079">
      <w:bodyDiv w:val="1"/>
      <w:marLeft w:val="0"/>
      <w:marRight w:val="0"/>
      <w:marTop w:val="0"/>
      <w:marBottom w:val="0"/>
      <w:divBdr>
        <w:top w:val="none" w:sz="0" w:space="0" w:color="auto"/>
        <w:left w:val="none" w:sz="0" w:space="0" w:color="auto"/>
        <w:bottom w:val="none" w:sz="0" w:space="0" w:color="auto"/>
        <w:right w:val="none" w:sz="0" w:space="0" w:color="auto"/>
      </w:divBdr>
    </w:div>
    <w:div w:id="1198200576">
      <w:bodyDiv w:val="1"/>
      <w:marLeft w:val="0"/>
      <w:marRight w:val="0"/>
      <w:marTop w:val="0"/>
      <w:marBottom w:val="0"/>
      <w:divBdr>
        <w:top w:val="none" w:sz="0" w:space="0" w:color="auto"/>
        <w:left w:val="none" w:sz="0" w:space="0" w:color="auto"/>
        <w:bottom w:val="none" w:sz="0" w:space="0" w:color="auto"/>
        <w:right w:val="none" w:sz="0" w:space="0" w:color="auto"/>
      </w:divBdr>
    </w:div>
    <w:div w:id="1238662088">
      <w:bodyDiv w:val="1"/>
      <w:marLeft w:val="0"/>
      <w:marRight w:val="0"/>
      <w:marTop w:val="0"/>
      <w:marBottom w:val="0"/>
      <w:divBdr>
        <w:top w:val="none" w:sz="0" w:space="0" w:color="auto"/>
        <w:left w:val="none" w:sz="0" w:space="0" w:color="auto"/>
        <w:bottom w:val="none" w:sz="0" w:space="0" w:color="auto"/>
        <w:right w:val="none" w:sz="0" w:space="0" w:color="auto"/>
      </w:divBdr>
      <w:divsChild>
        <w:div w:id="45456786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243638509">
      <w:bodyDiv w:val="1"/>
      <w:marLeft w:val="0"/>
      <w:marRight w:val="0"/>
      <w:marTop w:val="0"/>
      <w:marBottom w:val="0"/>
      <w:divBdr>
        <w:top w:val="none" w:sz="0" w:space="0" w:color="auto"/>
        <w:left w:val="none" w:sz="0" w:space="0" w:color="auto"/>
        <w:bottom w:val="none" w:sz="0" w:space="0" w:color="auto"/>
        <w:right w:val="none" w:sz="0" w:space="0" w:color="auto"/>
      </w:divBdr>
    </w:div>
    <w:div w:id="1298532257">
      <w:bodyDiv w:val="1"/>
      <w:marLeft w:val="0"/>
      <w:marRight w:val="0"/>
      <w:marTop w:val="0"/>
      <w:marBottom w:val="0"/>
      <w:divBdr>
        <w:top w:val="none" w:sz="0" w:space="0" w:color="auto"/>
        <w:left w:val="none" w:sz="0" w:space="0" w:color="auto"/>
        <w:bottom w:val="none" w:sz="0" w:space="0" w:color="auto"/>
        <w:right w:val="none" w:sz="0" w:space="0" w:color="auto"/>
      </w:divBdr>
    </w:div>
    <w:div w:id="1335567435">
      <w:bodyDiv w:val="1"/>
      <w:marLeft w:val="0"/>
      <w:marRight w:val="0"/>
      <w:marTop w:val="0"/>
      <w:marBottom w:val="0"/>
      <w:divBdr>
        <w:top w:val="none" w:sz="0" w:space="0" w:color="auto"/>
        <w:left w:val="none" w:sz="0" w:space="0" w:color="auto"/>
        <w:bottom w:val="none" w:sz="0" w:space="0" w:color="auto"/>
        <w:right w:val="none" w:sz="0" w:space="0" w:color="auto"/>
      </w:divBdr>
    </w:div>
    <w:div w:id="1367558584">
      <w:bodyDiv w:val="1"/>
      <w:marLeft w:val="0"/>
      <w:marRight w:val="0"/>
      <w:marTop w:val="0"/>
      <w:marBottom w:val="0"/>
      <w:divBdr>
        <w:top w:val="none" w:sz="0" w:space="0" w:color="auto"/>
        <w:left w:val="none" w:sz="0" w:space="0" w:color="auto"/>
        <w:bottom w:val="none" w:sz="0" w:space="0" w:color="auto"/>
        <w:right w:val="none" w:sz="0" w:space="0" w:color="auto"/>
      </w:divBdr>
    </w:div>
    <w:div w:id="1382250415">
      <w:bodyDiv w:val="1"/>
      <w:marLeft w:val="0"/>
      <w:marRight w:val="0"/>
      <w:marTop w:val="0"/>
      <w:marBottom w:val="0"/>
      <w:divBdr>
        <w:top w:val="none" w:sz="0" w:space="0" w:color="auto"/>
        <w:left w:val="none" w:sz="0" w:space="0" w:color="auto"/>
        <w:bottom w:val="none" w:sz="0" w:space="0" w:color="auto"/>
        <w:right w:val="none" w:sz="0" w:space="0" w:color="auto"/>
      </w:divBdr>
    </w:div>
    <w:div w:id="1385837171">
      <w:bodyDiv w:val="1"/>
      <w:marLeft w:val="0"/>
      <w:marRight w:val="0"/>
      <w:marTop w:val="0"/>
      <w:marBottom w:val="0"/>
      <w:divBdr>
        <w:top w:val="none" w:sz="0" w:space="0" w:color="auto"/>
        <w:left w:val="none" w:sz="0" w:space="0" w:color="auto"/>
        <w:bottom w:val="none" w:sz="0" w:space="0" w:color="auto"/>
        <w:right w:val="none" w:sz="0" w:space="0" w:color="auto"/>
      </w:divBdr>
    </w:div>
    <w:div w:id="1466318334">
      <w:bodyDiv w:val="1"/>
      <w:marLeft w:val="0"/>
      <w:marRight w:val="0"/>
      <w:marTop w:val="0"/>
      <w:marBottom w:val="0"/>
      <w:divBdr>
        <w:top w:val="none" w:sz="0" w:space="0" w:color="auto"/>
        <w:left w:val="none" w:sz="0" w:space="0" w:color="auto"/>
        <w:bottom w:val="none" w:sz="0" w:space="0" w:color="auto"/>
        <w:right w:val="none" w:sz="0" w:space="0" w:color="auto"/>
      </w:divBdr>
    </w:div>
    <w:div w:id="1528564132">
      <w:bodyDiv w:val="1"/>
      <w:marLeft w:val="0"/>
      <w:marRight w:val="0"/>
      <w:marTop w:val="0"/>
      <w:marBottom w:val="0"/>
      <w:divBdr>
        <w:top w:val="none" w:sz="0" w:space="0" w:color="auto"/>
        <w:left w:val="none" w:sz="0" w:space="0" w:color="auto"/>
        <w:bottom w:val="none" w:sz="0" w:space="0" w:color="auto"/>
        <w:right w:val="none" w:sz="0" w:space="0" w:color="auto"/>
      </w:divBdr>
    </w:div>
    <w:div w:id="1555576810">
      <w:bodyDiv w:val="1"/>
      <w:marLeft w:val="0"/>
      <w:marRight w:val="0"/>
      <w:marTop w:val="0"/>
      <w:marBottom w:val="0"/>
      <w:divBdr>
        <w:top w:val="none" w:sz="0" w:space="0" w:color="auto"/>
        <w:left w:val="none" w:sz="0" w:space="0" w:color="auto"/>
        <w:bottom w:val="none" w:sz="0" w:space="0" w:color="auto"/>
        <w:right w:val="none" w:sz="0" w:space="0" w:color="auto"/>
      </w:divBdr>
    </w:div>
    <w:div w:id="1627733994">
      <w:bodyDiv w:val="1"/>
      <w:marLeft w:val="0"/>
      <w:marRight w:val="0"/>
      <w:marTop w:val="0"/>
      <w:marBottom w:val="0"/>
      <w:divBdr>
        <w:top w:val="none" w:sz="0" w:space="0" w:color="auto"/>
        <w:left w:val="none" w:sz="0" w:space="0" w:color="auto"/>
        <w:bottom w:val="none" w:sz="0" w:space="0" w:color="auto"/>
        <w:right w:val="none" w:sz="0" w:space="0" w:color="auto"/>
      </w:divBdr>
    </w:div>
    <w:div w:id="1632637874">
      <w:bodyDiv w:val="1"/>
      <w:marLeft w:val="0"/>
      <w:marRight w:val="0"/>
      <w:marTop w:val="0"/>
      <w:marBottom w:val="0"/>
      <w:divBdr>
        <w:top w:val="none" w:sz="0" w:space="0" w:color="auto"/>
        <w:left w:val="none" w:sz="0" w:space="0" w:color="auto"/>
        <w:bottom w:val="none" w:sz="0" w:space="0" w:color="auto"/>
        <w:right w:val="none" w:sz="0" w:space="0" w:color="auto"/>
      </w:divBdr>
    </w:div>
    <w:div w:id="1716419705">
      <w:bodyDiv w:val="1"/>
      <w:marLeft w:val="0"/>
      <w:marRight w:val="0"/>
      <w:marTop w:val="0"/>
      <w:marBottom w:val="0"/>
      <w:divBdr>
        <w:top w:val="none" w:sz="0" w:space="0" w:color="auto"/>
        <w:left w:val="none" w:sz="0" w:space="0" w:color="auto"/>
        <w:bottom w:val="none" w:sz="0" w:space="0" w:color="auto"/>
        <w:right w:val="none" w:sz="0" w:space="0" w:color="auto"/>
      </w:divBdr>
    </w:div>
    <w:div w:id="1883862810">
      <w:bodyDiv w:val="1"/>
      <w:marLeft w:val="0"/>
      <w:marRight w:val="0"/>
      <w:marTop w:val="0"/>
      <w:marBottom w:val="0"/>
      <w:divBdr>
        <w:top w:val="none" w:sz="0" w:space="0" w:color="auto"/>
        <w:left w:val="none" w:sz="0" w:space="0" w:color="auto"/>
        <w:bottom w:val="none" w:sz="0" w:space="0" w:color="auto"/>
        <w:right w:val="none" w:sz="0" w:space="0" w:color="auto"/>
      </w:divBdr>
    </w:div>
    <w:div w:id="1936401330">
      <w:bodyDiv w:val="1"/>
      <w:marLeft w:val="0"/>
      <w:marRight w:val="0"/>
      <w:marTop w:val="0"/>
      <w:marBottom w:val="0"/>
      <w:divBdr>
        <w:top w:val="none" w:sz="0" w:space="0" w:color="auto"/>
        <w:left w:val="none" w:sz="0" w:space="0" w:color="auto"/>
        <w:bottom w:val="none" w:sz="0" w:space="0" w:color="auto"/>
        <w:right w:val="none" w:sz="0" w:space="0" w:color="auto"/>
      </w:divBdr>
      <w:divsChild>
        <w:div w:id="1275601305">
          <w:marLeft w:val="0"/>
          <w:marRight w:val="0"/>
          <w:marTop w:val="0"/>
          <w:marBottom w:val="0"/>
          <w:divBdr>
            <w:top w:val="none" w:sz="0" w:space="0" w:color="auto"/>
            <w:left w:val="none" w:sz="0" w:space="0" w:color="auto"/>
            <w:bottom w:val="none" w:sz="0" w:space="0" w:color="auto"/>
            <w:right w:val="none" w:sz="0" w:space="0" w:color="auto"/>
          </w:divBdr>
          <w:divsChild>
            <w:div w:id="423959965">
              <w:marLeft w:val="0"/>
              <w:marRight w:val="0"/>
              <w:marTop w:val="0"/>
              <w:marBottom w:val="0"/>
              <w:divBdr>
                <w:top w:val="none" w:sz="0" w:space="0" w:color="auto"/>
                <w:left w:val="none" w:sz="0" w:space="0" w:color="auto"/>
                <w:bottom w:val="none" w:sz="0" w:space="0" w:color="auto"/>
                <w:right w:val="none" w:sz="0" w:space="0" w:color="auto"/>
              </w:divBdr>
            </w:div>
            <w:div w:id="2108040345">
              <w:marLeft w:val="0"/>
              <w:marRight w:val="0"/>
              <w:marTop w:val="0"/>
              <w:marBottom w:val="0"/>
              <w:divBdr>
                <w:top w:val="none" w:sz="0" w:space="0" w:color="auto"/>
                <w:left w:val="none" w:sz="0" w:space="0" w:color="auto"/>
                <w:bottom w:val="none" w:sz="0" w:space="0" w:color="auto"/>
                <w:right w:val="none" w:sz="0" w:space="0" w:color="auto"/>
              </w:divBdr>
            </w:div>
            <w:div w:id="296761042">
              <w:marLeft w:val="0"/>
              <w:marRight w:val="0"/>
              <w:marTop w:val="0"/>
              <w:marBottom w:val="0"/>
              <w:divBdr>
                <w:top w:val="none" w:sz="0" w:space="0" w:color="auto"/>
                <w:left w:val="none" w:sz="0" w:space="0" w:color="auto"/>
                <w:bottom w:val="none" w:sz="0" w:space="0" w:color="auto"/>
                <w:right w:val="none" w:sz="0" w:space="0" w:color="auto"/>
              </w:divBdr>
            </w:div>
            <w:div w:id="624698334">
              <w:marLeft w:val="0"/>
              <w:marRight w:val="0"/>
              <w:marTop w:val="0"/>
              <w:marBottom w:val="0"/>
              <w:divBdr>
                <w:top w:val="none" w:sz="0" w:space="0" w:color="auto"/>
                <w:left w:val="none" w:sz="0" w:space="0" w:color="auto"/>
                <w:bottom w:val="none" w:sz="0" w:space="0" w:color="auto"/>
                <w:right w:val="none" w:sz="0" w:space="0" w:color="auto"/>
              </w:divBdr>
            </w:div>
            <w:div w:id="92360836">
              <w:marLeft w:val="0"/>
              <w:marRight w:val="0"/>
              <w:marTop w:val="0"/>
              <w:marBottom w:val="0"/>
              <w:divBdr>
                <w:top w:val="none" w:sz="0" w:space="0" w:color="auto"/>
                <w:left w:val="none" w:sz="0" w:space="0" w:color="auto"/>
                <w:bottom w:val="none" w:sz="0" w:space="0" w:color="auto"/>
                <w:right w:val="none" w:sz="0" w:space="0" w:color="auto"/>
              </w:divBdr>
            </w:div>
            <w:div w:id="1763600258">
              <w:marLeft w:val="0"/>
              <w:marRight w:val="0"/>
              <w:marTop w:val="0"/>
              <w:marBottom w:val="0"/>
              <w:divBdr>
                <w:top w:val="none" w:sz="0" w:space="0" w:color="auto"/>
                <w:left w:val="none" w:sz="0" w:space="0" w:color="auto"/>
                <w:bottom w:val="none" w:sz="0" w:space="0" w:color="auto"/>
                <w:right w:val="none" w:sz="0" w:space="0" w:color="auto"/>
              </w:divBdr>
            </w:div>
            <w:div w:id="42146315">
              <w:marLeft w:val="0"/>
              <w:marRight w:val="0"/>
              <w:marTop w:val="0"/>
              <w:marBottom w:val="0"/>
              <w:divBdr>
                <w:top w:val="none" w:sz="0" w:space="0" w:color="auto"/>
                <w:left w:val="none" w:sz="0" w:space="0" w:color="auto"/>
                <w:bottom w:val="none" w:sz="0" w:space="0" w:color="auto"/>
                <w:right w:val="none" w:sz="0" w:space="0" w:color="auto"/>
              </w:divBdr>
            </w:div>
            <w:div w:id="1394892173">
              <w:marLeft w:val="0"/>
              <w:marRight w:val="0"/>
              <w:marTop w:val="0"/>
              <w:marBottom w:val="0"/>
              <w:divBdr>
                <w:top w:val="none" w:sz="0" w:space="0" w:color="auto"/>
                <w:left w:val="none" w:sz="0" w:space="0" w:color="auto"/>
                <w:bottom w:val="none" w:sz="0" w:space="0" w:color="auto"/>
                <w:right w:val="none" w:sz="0" w:space="0" w:color="auto"/>
              </w:divBdr>
            </w:div>
            <w:div w:id="415052043">
              <w:blockQuote w:val="1"/>
              <w:marLeft w:val="720"/>
              <w:marRight w:val="720"/>
              <w:marTop w:val="100"/>
              <w:marBottom w:val="100"/>
              <w:divBdr>
                <w:top w:val="none" w:sz="0" w:space="0" w:color="auto"/>
                <w:left w:val="none" w:sz="0" w:space="0" w:color="auto"/>
                <w:bottom w:val="none" w:sz="0" w:space="0" w:color="auto"/>
                <w:right w:val="none" w:sz="0" w:space="0" w:color="auto"/>
              </w:divBdr>
            </w:div>
            <w:div w:id="1012415744">
              <w:marLeft w:val="0"/>
              <w:marRight w:val="0"/>
              <w:marTop w:val="0"/>
              <w:marBottom w:val="0"/>
              <w:divBdr>
                <w:top w:val="none" w:sz="0" w:space="0" w:color="auto"/>
                <w:left w:val="none" w:sz="0" w:space="0" w:color="auto"/>
                <w:bottom w:val="none" w:sz="0" w:space="0" w:color="auto"/>
                <w:right w:val="none" w:sz="0" w:space="0" w:color="auto"/>
              </w:divBdr>
            </w:div>
            <w:div w:id="84633385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 w:id="2000383821">
      <w:bodyDiv w:val="1"/>
      <w:marLeft w:val="0"/>
      <w:marRight w:val="0"/>
      <w:marTop w:val="0"/>
      <w:marBottom w:val="0"/>
      <w:divBdr>
        <w:top w:val="none" w:sz="0" w:space="0" w:color="auto"/>
        <w:left w:val="none" w:sz="0" w:space="0" w:color="auto"/>
        <w:bottom w:val="none" w:sz="0" w:space="0" w:color="auto"/>
        <w:right w:val="none" w:sz="0" w:space="0" w:color="auto"/>
      </w:divBdr>
    </w:div>
    <w:div w:id="2019774910">
      <w:bodyDiv w:val="1"/>
      <w:marLeft w:val="0"/>
      <w:marRight w:val="0"/>
      <w:marTop w:val="0"/>
      <w:marBottom w:val="0"/>
      <w:divBdr>
        <w:top w:val="none" w:sz="0" w:space="0" w:color="auto"/>
        <w:left w:val="none" w:sz="0" w:space="0" w:color="auto"/>
        <w:bottom w:val="none" w:sz="0" w:space="0" w:color="auto"/>
        <w:right w:val="none" w:sz="0" w:space="0" w:color="auto"/>
      </w:divBdr>
    </w:div>
    <w:div w:id="20686472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jpeg"/><Relationship Id="rId18" Type="http://schemas.openxmlformats.org/officeDocument/2006/relationships/image" Target="media/image9.jpe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12.png"/><Relationship Id="rId7" Type="http://schemas.openxmlformats.org/officeDocument/2006/relationships/endnotes" Target="endnotes.xml"/><Relationship Id="rId12" Type="http://schemas.openxmlformats.org/officeDocument/2006/relationships/image" Target="media/image3.jpeg"/><Relationship Id="rId17" Type="http://schemas.openxmlformats.org/officeDocument/2006/relationships/image" Target="media/image8.jpe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7.jpeg"/><Relationship Id="rId20"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jpeg"/><Relationship Id="rId24" Type="http://schemas.openxmlformats.org/officeDocument/2006/relationships/footer" Target="footer4.xml"/><Relationship Id="rId5" Type="http://schemas.openxmlformats.org/officeDocument/2006/relationships/webSettings" Target="webSettings.xml"/><Relationship Id="rId15" Type="http://schemas.openxmlformats.org/officeDocument/2006/relationships/image" Target="media/image6.jpeg"/><Relationship Id="rId23" Type="http://schemas.openxmlformats.org/officeDocument/2006/relationships/footer" Target="footer3.xml"/><Relationship Id="rId10" Type="http://schemas.openxmlformats.org/officeDocument/2006/relationships/footer" Target="footer1.xml"/><Relationship Id="rId19" Type="http://schemas.openxmlformats.org/officeDocument/2006/relationships/image" Target="media/image10.png"/><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image" Target="media/image5.jpeg"/><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2364986-9E7D-4EBD-8A9E-0FF4572620D9}">
  <ds:schemaRefs>
    <ds:schemaRef ds:uri="http://schemas.openxmlformats.org/officeDocument/2006/bibliography"/>
  </ds:schemaRefs>
</ds:datastoreItem>
</file>

<file path=docMetadata/LabelInfo.xml><?xml version="1.0" encoding="utf-8"?>
<clbl:labelList xmlns:clbl="http://schemas.microsoft.com/office/2020/mipLabelMetadata">
  <clbl:label id="{73aa366c-74b9-492b-a1b9-5472c41e7d31}" enabled="1" method="Standard" siteId="{44bbd632-fe04-42d7-933e-2649dcd22649}" removed="0"/>
</clbl:labelList>
</file>

<file path=docProps/app.xml><?xml version="1.0" encoding="utf-8"?>
<Properties xmlns="http://schemas.openxmlformats.org/officeDocument/2006/extended-properties" xmlns:vt="http://schemas.openxmlformats.org/officeDocument/2006/docPropsVTypes">
  <Template>Normal</Template>
  <TotalTime>0</TotalTime>
  <Pages>42</Pages>
  <Words>14932</Words>
  <Characters>85119</Characters>
  <Application>Microsoft Office Word</Application>
  <DocSecurity>0</DocSecurity>
  <Lines>709</Lines>
  <Paragraphs>199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99852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Herdman, Trystan</dc:creator>
  <cp:keywords/>
  <dc:description/>
  <cp:lastModifiedBy>Herdman, Trystan</cp:lastModifiedBy>
  <cp:revision>166</cp:revision>
  <dcterms:created xsi:type="dcterms:W3CDTF">2026-04-01T10:03:00Z</dcterms:created>
  <dcterms:modified xsi:type="dcterms:W3CDTF">2026-05-31T19:50:00Z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FooterShapeIds">
    <vt:lpwstr>65d5cdbf,4813206b,32f621f</vt:lpwstr>
  </property>
  <property fmtid="{D5CDD505-2E9C-101B-9397-08002B2CF9AE}" pid="3" name="ClassificationContentMarkingFooterFontProps">
    <vt:lpwstr>#000000,8,Calibri</vt:lpwstr>
  </property>
  <property fmtid="{D5CDD505-2E9C-101B-9397-08002B2CF9AE}" pid="4" name="ClassificationContentMarkingFooterText">
    <vt:lpwstr>Sensitivity: general</vt:lpwstr>
  </property>
</Properties>
</file>