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D3D4D" w14:textId="77777777" w:rsidR="005F6AE3" w:rsidRPr="001870FC" w:rsidRDefault="005F6AE3" w:rsidP="005F6AE3">
      <w:pPr>
        <w:pStyle w:val="Normal1"/>
        <w:jc w:val="center"/>
        <w:rPr>
          <w:rFonts w:ascii="Times New Roman" w:hAnsi="Times New Roman" w:cs="Times New Roman"/>
          <w:sz w:val="40"/>
          <w:szCs w:val="40"/>
          <w:lang w:val="en-GB"/>
        </w:rPr>
      </w:pPr>
      <w:r w:rsidRPr="001870FC">
        <w:rPr>
          <w:rFonts w:ascii="Times New Roman" w:hAnsi="Times New Roman" w:cs="Times New Roman"/>
          <w:b/>
          <w:bCs/>
          <w:i/>
          <w:iCs/>
          <w:sz w:val="40"/>
          <w:szCs w:val="40"/>
        </w:rPr>
        <w:t>Programme:</w:t>
      </w:r>
      <w:r w:rsidRPr="001870FC">
        <w:rPr>
          <w:rFonts w:ascii="Times New Roman" w:hAnsi="Times New Roman" w:cs="Times New Roman"/>
          <w:sz w:val="40"/>
          <w:szCs w:val="40"/>
        </w:rPr>
        <w:t xml:space="preserve">  BA </w:t>
      </w:r>
      <w:r w:rsidRPr="001870FC">
        <w:rPr>
          <w:rFonts w:ascii="Times New Roman" w:hAnsi="Times New Roman" w:cs="Times New Roman"/>
          <w:sz w:val="40"/>
          <w:szCs w:val="40"/>
          <w:lang w:val="en-GB"/>
        </w:rPr>
        <w:t>Business Management</w:t>
      </w:r>
    </w:p>
    <w:p w14:paraId="73357189" w14:textId="77777777" w:rsidR="005F6AE3" w:rsidRPr="001870FC" w:rsidRDefault="005F6AE3" w:rsidP="005F6AE3">
      <w:pPr>
        <w:pStyle w:val="Normal1"/>
        <w:jc w:val="center"/>
        <w:rPr>
          <w:rFonts w:ascii="Times New Roman" w:hAnsi="Times New Roman" w:cs="Times New Roman"/>
          <w:sz w:val="40"/>
          <w:szCs w:val="40"/>
          <w:lang w:val="en-GB"/>
        </w:rPr>
      </w:pPr>
    </w:p>
    <w:p w14:paraId="6451884F" w14:textId="77777777" w:rsidR="005F6AE3" w:rsidRPr="001870FC" w:rsidRDefault="005F6AE3" w:rsidP="005F6AE3">
      <w:pPr>
        <w:pStyle w:val="Normal1"/>
        <w:jc w:val="center"/>
        <w:rPr>
          <w:rFonts w:ascii="Times New Roman" w:hAnsi="Times New Roman" w:cs="Times New Roman"/>
          <w:sz w:val="40"/>
          <w:szCs w:val="40"/>
          <w:lang w:val="en-GB"/>
        </w:rPr>
      </w:pPr>
      <w:r w:rsidRPr="001870FC">
        <w:rPr>
          <w:rFonts w:ascii="Times New Roman" w:hAnsi="Times New Roman" w:cs="Times New Roman"/>
          <w:b/>
          <w:bCs/>
          <w:i/>
          <w:iCs/>
          <w:sz w:val="40"/>
          <w:szCs w:val="40"/>
          <w:lang w:val="en-GB"/>
        </w:rPr>
        <w:t>Module Name:</w:t>
      </w:r>
      <w:r w:rsidRPr="001870FC">
        <w:rPr>
          <w:rFonts w:ascii="Times New Roman" w:hAnsi="Times New Roman" w:cs="Times New Roman"/>
          <w:sz w:val="40"/>
          <w:szCs w:val="40"/>
          <w:lang w:val="en-GB"/>
        </w:rPr>
        <w:t xml:space="preserve"> </w:t>
      </w:r>
      <w:r w:rsidRPr="001870FC">
        <w:rPr>
          <w:rFonts w:ascii="Times New Roman" w:hAnsi="Times New Roman" w:cs="Times New Roman"/>
          <w:sz w:val="40"/>
          <w:szCs w:val="40"/>
        </w:rPr>
        <w:t>Community Engagement</w:t>
      </w:r>
    </w:p>
    <w:p w14:paraId="26E71C23" w14:textId="77777777" w:rsidR="005F6AE3" w:rsidRPr="001870FC" w:rsidRDefault="005F6AE3" w:rsidP="005F6AE3">
      <w:pPr>
        <w:pStyle w:val="Normal1"/>
        <w:jc w:val="center"/>
        <w:rPr>
          <w:rFonts w:ascii="Times New Roman" w:hAnsi="Times New Roman" w:cs="Times New Roman"/>
          <w:sz w:val="40"/>
          <w:szCs w:val="40"/>
          <w:lang w:val="en-GB"/>
        </w:rPr>
      </w:pPr>
    </w:p>
    <w:p w14:paraId="0B2F319A" w14:textId="77777777" w:rsidR="005F6AE3" w:rsidRPr="001870FC" w:rsidRDefault="005F6AE3" w:rsidP="005F6AE3">
      <w:pPr>
        <w:spacing w:line="240" w:lineRule="auto"/>
        <w:jc w:val="center"/>
        <w:rPr>
          <w:rFonts w:cs="Times New Roman"/>
          <w:sz w:val="40"/>
          <w:szCs w:val="40"/>
        </w:rPr>
      </w:pPr>
      <w:r w:rsidRPr="001870FC">
        <w:rPr>
          <w:rFonts w:eastAsia="Times New Roman" w:cs="Times New Roman"/>
          <w:b/>
          <w:bCs/>
          <w:i/>
          <w:color w:val="000000"/>
          <w:sz w:val="40"/>
          <w:szCs w:val="40"/>
          <w:lang w:val="en-GB"/>
        </w:rPr>
        <w:t>Module Code:</w:t>
      </w:r>
      <w:r w:rsidRPr="001870FC">
        <w:rPr>
          <w:rFonts w:cs="Times New Roman"/>
          <w:b/>
          <w:bCs/>
          <w:i/>
          <w:sz w:val="40"/>
          <w:szCs w:val="40"/>
        </w:rPr>
        <w:t xml:space="preserve"> </w:t>
      </w:r>
      <w:hyperlink r:id="rId7" w:history="1"/>
      <w:r w:rsidRPr="001870FC">
        <w:rPr>
          <w:rFonts w:cs="Times New Roman"/>
          <w:sz w:val="40"/>
          <w:szCs w:val="40"/>
        </w:rPr>
        <w:t xml:space="preserve"> LCBB4002</w:t>
      </w:r>
    </w:p>
    <w:p w14:paraId="2C8E8DFB" w14:textId="77777777" w:rsidR="005F6AE3" w:rsidRPr="001870FC" w:rsidRDefault="005F6AE3" w:rsidP="005F6AE3">
      <w:pPr>
        <w:spacing w:line="240" w:lineRule="auto"/>
        <w:jc w:val="center"/>
        <w:rPr>
          <w:rFonts w:cs="Times New Roman"/>
          <w:sz w:val="40"/>
          <w:szCs w:val="40"/>
        </w:rPr>
      </w:pPr>
    </w:p>
    <w:p w14:paraId="73E99007" w14:textId="7CFA30A7" w:rsidR="005F6AE3" w:rsidRPr="001870FC" w:rsidRDefault="005F6AE3" w:rsidP="005F6AE3">
      <w:pPr>
        <w:spacing w:line="240" w:lineRule="auto"/>
        <w:jc w:val="center"/>
        <w:rPr>
          <w:rFonts w:eastAsia="Times New Roman" w:cs="Times New Roman"/>
          <w:b/>
          <w:bCs/>
          <w:i/>
          <w:color w:val="000000"/>
          <w:sz w:val="40"/>
          <w:szCs w:val="40"/>
          <w:lang w:val="en-GB"/>
        </w:rPr>
      </w:pPr>
      <w:r w:rsidRPr="001870FC">
        <w:rPr>
          <w:rFonts w:cs="Times New Roman"/>
          <w:b/>
          <w:bCs/>
          <w:sz w:val="40"/>
          <w:szCs w:val="40"/>
        </w:rPr>
        <w:t>Assignment- A</w:t>
      </w:r>
      <w:r w:rsidR="00236923">
        <w:rPr>
          <w:rFonts w:cs="Times New Roman"/>
          <w:b/>
          <w:bCs/>
          <w:sz w:val="40"/>
          <w:szCs w:val="40"/>
        </w:rPr>
        <w:t>2</w:t>
      </w:r>
    </w:p>
    <w:p w14:paraId="62473F12" w14:textId="77777777" w:rsidR="005F6AE3" w:rsidRPr="001870FC" w:rsidRDefault="005F6AE3" w:rsidP="005F6AE3">
      <w:pPr>
        <w:pStyle w:val="Normal1"/>
        <w:jc w:val="center"/>
        <w:rPr>
          <w:rFonts w:ascii="Times New Roman" w:hAnsi="Times New Roman" w:cs="Times New Roman"/>
          <w:sz w:val="40"/>
          <w:szCs w:val="40"/>
          <w:lang w:val="en-GB"/>
        </w:rPr>
      </w:pPr>
    </w:p>
    <w:p w14:paraId="624B9058" w14:textId="77777777" w:rsidR="005F6AE3" w:rsidRPr="001870FC" w:rsidRDefault="005F6AE3" w:rsidP="005F6AE3">
      <w:pPr>
        <w:jc w:val="center"/>
        <w:rPr>
          <w:rFonts w:cs="Times New Roman"/>
          <w:sz w:val="40"/>
          <w:szCs w:val="40"/>
          <w:lang w:val="en-GB"/>
        </w:rPr>
      </w:pPr>
      <w:r w:rsidRPr="001870FC">
        <w:rPr>
          <w:rFonts w:cs="Times New Roman"/>
          <w:b/>
          <w:bCs/>
          <w:i/>
          <w:iCs/>
          <w:sz w:val="40"/>
          <w:szCs w:val="40"/>
          <w:lang w:val="en-GB"/>
        </w:rPr>
        <w:t>Student name</w:t>
      </w:r>
      <w:r w:rsidRPr="001870FC">
        <w:rPr>
          <w:rFonts w:cs="Times New Roman"/>
          <w:i/>
          <w:iCs/>
          <w:sz w:val="40"/>
          <w:szCs w:val="40"/>
          <w:lang w:val="en-GB"/>
        </w:rPr>
        <w:t>:</w:t>
      </w:r>
      <w:r w:rsidRPr="001870FC">
        <w:rPr>
          <w:rFonts w:cs="Times New Roman"/>
          <w:sz w:val="40"/>
          <w:szCs w:val="40"/>
          <w:lang w:val="en-GB"/>
        </w:rPr>
        <w:t xml:space="preserve"> Irina Midrigan (ID 2020527)</w:t>
      </w:r>
    </w:p>
    <w:p w14:paraId="54202E5B" w14:textId="3C730A58" w:rsidR="005C3BC8" w:rsidRDefault="005C3BC8"/>
    <w:p w14:paraId="2460AA76" w14:textId="2B783833" w:rsidR="005F6AE3" w:rsidRDefault="005F6AE3"/>
    <w:p w14:paraId="3E10D35F" w14:textId="2689AAFF" w:rsidR="005F6AE3" w:rsidRDefault="005F6AE3"/>
    <w:p w14:paraId="0A71B70E" w14:textId="47885353" w:rsidR="005F6AE3" w:rsidRDefault="005F6AE3"/>
    <w:p w14:paraId="53F17CAE" w14:textId="7248FDC5" w:rsidR="005F6AE3" w:rsidRDefault="005F6AE3"/>
    <w:p w14:paraId="753C513E" w14:textId="2605C045" w:rsidR="005F6AE3" w:rsidRDefault="005F6AE3"/>
    <w:p w14:paraId="45ADDD93" w14:textId="3A1A2752" w:rsidR="005F6AE3" w:rsidRDefault="005F6AE3"/>
    <w:p w14:paraId="1863433E" w14:textId="33175BD2" w:rsidR="005F6AE3" w:rsidRDefault="005F6AE3"/>
    <w:p w14:paraId="222A46E8" w14:textId="4AEEEDED" w:rsidR="005F6AE3" w:rsidRDefault="005F6AE3"/>
    <w:p w14:paraId="4B2A670D" w14:textId="34C04247" w:rsidR="005F6AE3" w:rsidRDefault="005F6AE3"/>
    <w:p w14:paraId="4EBB6E7D" w14:textId="078AA34E" w:rsidR="005F6AE3" w:rsidRDefault="005F6AE3"/>
    <w:p w14:paraId="6CA79E68" w14:textId="7574E906" w:rsidR="005F6AE3" w:rsidRDefault="005F6AE3"/>
    <w:p w14:paraId="211C8517" w14:textId="5E2A8B36" w:rsidR="005F6AE3" w:rsidRDefault="005F6AE3"/>
    <w:p w14:paraId="212B77E0" w14:textId="1BA29D60" w:rsidR="005F6AE3" w:rsidRDefault="005F6AE3"/>
    <w:p w14:paraId="487C2CEA" w14:textId="5ED3D9F5" w:rsidR="005F6AE3" w:rsidRDefault="005F6AE3"/>
    <w:p w14:paraId="005D7AC1" w14:textId="268DBA21" w:rsidR="005F6AE3" w:rsidRDefault="005F6AE3"/>
    <w:p w14:paraId="262A50DE" w14:textId="406D1610" w:rsidR="00D41A9F" w:rsidRDefault="00D41A9F"/>
    <w:p w14:paraId="33F42D3E" w14:textId="39787DAA" w:rsidR="00D41A9F" w:rsidRDefault="00D41A9F"/>
    <w:p w14:paraId="5E79A9F0" w14:textId="7C794B74" w:rsidR="00D41A9F" w:rsidRDefault="00D41A9F"/>
    <w:p w14:paraId="7F40DCBA" w14:textId="7660C21B" w:rsidR="00D41A9F" w:rsidRDefault="00D41A9F"/>
    <w:p w14:paraId="4567F207" w14:textId="77777777" w:rsidR="00D41A9F" w:rsidRDefault="00D41A9F" w:rsidP="00D41A9F">
      <w:pPr>
        <w:jc w:val="center"/>
        <w:rPr>
          <w:b/>
          <w:bCs/>
          <w:lang w:eastAsia="en-IN"/>
        </w:rPr>
      </w:pPr>
      <w:r>
        <w:rPr>
          <w:b/>
          <w:bCs/>
        </w:rPr>
        <w:lastRenderedPageBreak/>
        <w:t>Table of Contents</w:t>
      </w:r>
    </w:p>
    <w:p w14:paraId="3FBCD2A1" w14:textId="77777777" w:rsidR="00D41A9F" w:rsidRDefault="00D41A9F" w:rsidP="00D41A9F">
      <w:pPr>
        <w:spacing w:before="240" w:after="240"/>
        <w:rPr>
          <w:rFonts w:eastAsia="Times New Roman" w:cs="Times New Roman"/>
          <w:szCs w:val="24"/>
        </w:rPr>
      </w:pPr>
    </w:p>
    <w:sdt>
      <w:sdtPr>
        <w:id w:val="-630868002"/>
        <w:docPartObj>
          <w:docPartGallery w:val="Table of Contents"/>
          <w:docPartUnique/>
        </w:docPartObj>
      </w:sdtPr>
      <w:sdtContent>
        <w:p w14:paraId="49E94D65" w14:textId="01FAD97E" w:rsidR="00D41A9F" w:rsidRDefault="00D41A9F" w:rsidP="00D41A9F">
          <w:pPr>
            <w:tabs>
              <w:tab w:val="right" w:pos="9025"/>
            </w:tabs>
            <w:spacing w:before="80"/>
          </w:pPr>
          <w:r>
            <w:fldChar w:fldCharType="begin"/>
          </w:r>
          <w:r>
            <w:instrText xml:space="preserve"> TOC \h \u \z </w:instrText>
          </w:r>
          <w:r>
            <w:fldChar w:fldCharType="separate"/>
          </w:r>
          <w:hyperlink r:id="rId8" w:anchor="_5te9vi3cjmk2" w:history="1">
            <w:r>
              <w:rPr>
                <w:rStyle w:val="Hyperlink"/>
              </w:rPr>
              <w:t>Introduction</w:t>
            </w:r>
          </w:hyperlink>
          <w:r>
            <w:tab/>
          </w:r>
          <w:r>
            <w:fldChar w:fldCharType="begin"/>
          </w:r>
          <w:r>
            <w:instrText xml:space="preserve"> PAGEREF _5te9vi3cjmk2 \h </w:instrText>
          </w:r>
          <w:r>
            <w:fldChar w:fldCharType="separate"/>
          </w:r>
          <w:r>
            <w:t>3</w:t>
          </w:r>
          <w:r>
            <w:fldChar w:fldCharType="end"/>
          </w:r>
        </w:p>
        <w:p w14:paraId="164AEC8B" w14:textId="057C05E5" w:rsidR="00D41A9F" w:rsidRDefault="00D41A9F" w:rsidP="00D41A9F">
          <w:pPr>
            <w:tabs>
              <w:tab w:val="right" w:pos="9025"/>
            </w:tabs>
            <w:spacing w:before="200"/>
          </w:pPr>
          <w:hyperlink r:id="rId9" w:anchor="_5zm0wuphqkvw" w:history="1">
            <w:r>
              <w:rPr>
                <w:rStyle w:val="Hyperlink"/>
              </w:rPr>
              <w:t>Differences between both projects compare and evaluate the best practices on their community engagement approaches</w:t>
            </w:r>
          </w:hyperlink>
          <w:r>
            <w:tab/>
          </w:r>
          <w:r w:rsidR="00BD7761">
            <w:t>4</w:t>
          </w:r>
        </w:p>
        <w:p w14:paraId="53614399" w14:textId="77777777" w:rsidR="00D41A9F" w:rsidRDefault="00D41A9F" w:rsidP="00D41A9F">
          <w:pPr>
            <w:tabs>
              <w:tab w:val="right" w:pos="9025"/>
            </w:tabs>
            <w:spacing w:before="200"/>
          </w:pPr>
          <w:hyperlink r:id="rId10" w:anchor="_k9m7jl2zi9i8" w:history="1">
            <w:r>
              <w:rPr>
                <w:rStyle w:val="Hyperlink"/>
              </w:rPr>
              <w:t>Differences in active communication, participation of active stakeholders, and inclusion of both projects</w:t>
            </w:r>
          </w:hyperlink>
          <w:r>
            <w:tab/>
          </w:r>
          <w:r>
            <w:fldChar w:fldCharType="begin"/>
          </w:r>
          <w:r>
            <w:instrText xml:space="preserve"> PAGEREF _k9m7jl2zi9i8 \h </w:instrText>
          </w:r>
          <w:r>
            <w:fldChar w:fldCharType="separate"/>
          </w:r>
          <w:r>
            <w:t>4</w:t>
          </w:r>
          <w:r>
            <w:fldChar w:fldCharType="end"/>
          </w:r>
        </w:p>
        <w:p w14:paraId="556B19C6" w14:textId="77777777" w:rsidR="00D41A9F" w:rsidRDefault="00D41A9F" w:rsidP="00D41A9F">
          <w:pPr>
            <w:tabs>
              <w:tab w:val="right" w:pos="9025"/>
            </w:tabs>
            <w:spacing w:before="200"/>
          </w:pPr>
          <w:hyperlink r:id="rId11" w:anchor="_n7bord314cdi" w:history="1">
            <w:r>
              <w:rPr>
                <w:rStyle w:val="Hyperlink"/>
              </w:rPr>
              <w:t>How they research both projects</w:t>
            </w:r>
          </w:hyperlink>
          <w:r>
            <w:tab/>
          </w:r>
          <w:r>
            <w:fldChar w:fldCharType="begin"/>
          </w:r>
          <w:r>
            <w:instrText xml:space="preserve"> PAGEREF _n7bord314cdi \h </w:instrText>
          </w:r>
          <w:r>
            <w:fldChar w:fldCharType="separate"/>
          </w:r>
          <w:r>
            <w:t>5</w:t>
          </w:r>
          <w:r>
            <w:fldChar w:fldCharType="end"/>
          </w:r>
        </w:p>
        <w:p w14:paraId="08C8AEEE" w14:textId="77777777" w:rsidR="00D41A9F" w:rsidRDefault="00D41A9F" w:rsidP="00D41A9F">
          <w:pPr>
            <w:tabs>
              <w:tab w:val="right" w:pos="9025"/>
            </w:tabs>
            <w:spacing w:before="200"/>
          </w:pPr>
          <w:hyperlink r:id="rId12" w:anchor="_lqw3oyk3noqe" w:history="1">
            <w:r>
              <w:rPr>
                <w:rStyle w:val="Hyperlink"/>
              </w:rPr>
              <w:t>Carry out community mapping, impact analysis, social media engagement and justify the best approaches</w:t>
            </w:r>
          </w:hyperlink>
          <w:r>
            <w:tab/>
          </w:r>
          <w:r>
            <w:fldChar w:fldCharType="begin"/>
          </w:r>
          <w:r>
            <w:instrText xml:space="preserve"> PAGEREF _lqw3oyk3noqe \h </w:instrText>
          </w:r>
          <w:r>
            <w:fldChar w:fldCharType="separate"/>
          </w:r>
          <w:r>
            <w:t>6</w:t>
          </w:r>
          <w:r>
            <w:fldChar w:fldCharType="end"/>
          </w:r>
        </w:p>
        <w:p w14:paraId="15EB8674" w14:textId="77777777" w:rsidR="00D41A9F" w:rsidRDefault="00D41A9F" w:rsidP="00D41A9F">
          <w:pPr>
            <w:tabs>
              <w:tab w:val="right" w:pos="9025"/>
            </w:tabs>
            <w:spacing w:before="200"/>
          </w:pPr>
          <w:hyperlink r:id="rId13" w:anchor="_71r311o5e098" w:history="1">
            <w:r>
              <w:rPr>
                <w:rStyle w:val="Hyperlink"/>
              </w:rPr>
              <w:t>Conclusion</w:t>
            </w:r>
          </w:hyperlink>
          <w:r>
            <w:tab/>
          </w:r>
          <w:r>
            <w:fldChar w:fldCharType="begin"/>
          </w:r>
          <w:r>
            <w:instrText xml:space="preserve"> PAGEREF _71r311o5e098 \h </w:instrText>
          </w:r>
          <w:r>
            <w:fldChar w:fldCharType="separate"/>
          </w:r>
          <w:r>
            <w:t>7</w:t>
          </w:r>
          <w:r>
            <w:fldChar w:fldCharType="end"/>
          </w:r>
        </w:p>
        <w:p w14:paraId="0791C724" w14:textId="628550AC" w:rsidR="00D41A9F" w:rsidRDefault="00D41A9F" w:rsidP="00D41A9F">
          <w:pPr>
            <w:tabs>
              <w:tab w:val="right" w:pos="9025"/>
            </w:tabs>
            <w:spacing w:before="200" w:after="80"/>
          </w:pPr>
          <w:hyperlink r:id="rId14" w:anchor="_dka6tdxyueyu" w:history="1">
            <w:r>
              <w:rPr>
                <w:rStyle w:val="Hyperlink"/>
              </w:rPr>
              <w:t>Reference</w:t>
            </w:r>
          </w:hyperlink>
          <w:r>
            <w:tab/>
          </w:r>
          <w:r w:rsidR="00BD7761">
            <w:t>9</w:t>
          </w:r>
          <w:r>
            <w:fldChar w:fldCharType="end"/>
          </w:r>
        </w:p>
      </w:sdtContent>
    </w:sdt>
    <w:p w14:paraId="7E916FFD" w14:textId="77777777" w:rsidR="00D41A9F" w:rsidRDefault="00D41A9F" w:rsidP="00D41A9F">
      <w:pPr>
        <w:rPr>
          <w:rFonts w:eastAsia="Times New Roman" w:cs="Times New Roman"/>
          <w:szCs w:val="24"/>
        </w:rPr>
      </w:pPr>
    </w:p>
    <w:p w14:paraId="2C823ACB" w14:textId="77777777" w:rsidR="00D41A9F" w:rsidRDefault="00D41A9F" w:rsidP="00D41A9F">
      <w:pPr>
        <w:spacing w:before="240" w:after="240"/>
        <w:rPr>
          <w:rFonts w:eastAsia="Times New Roman" w:cs="Times New Roman"/>
          <w:b/>
          <w:sz w:val="36"/>
          <w:szCs w:val="36"/>
        </w:rPr>
      </w:pPr>
      <w:r>
        <w:rPr>
          <w:rFonts w:eastAsia="Times New Roman" w:cs="Times New Roman"/>
          <w:b/>
          <w:sz w:val="28"/>
          <w:szCs w:val="28"/>
        </w:rPr>
        <w:t xml:space="preserve"> </w:t>
      </w:r>
      <w:r>
        <w:br w:type="page"/>
      </w:r>
    </w:p>
    <w:p w14:paraId="1B163738" w14:textId="77777777" w:rsidR="00D41A9F" w:rsidRDefault="00D41A9F" w:rsidP="00D41A9F">
      <w:pPr>
        <w:pStyle w:val="Heading1"/>
      </w:pPr>
      <w:bookmarkStart w:id="0" w:name="_5te9vi3cjmk2"/>
      <w:bookmarkEnd w:id="0"/>
      <w:r>
        <w:lastRenderedPageBreak/>
        <w:t xml:space="preserve">Introduction </w:t>
      </w:r>
    </w:p>
    <w:p w14:paraId="3E511F09" w14:textId="77777777" w:rsidR="00D41A9F" w:rsidRDefault="00D41A9F" w:rsidP="00D41A9F">
      <w:pPr>
        <w:spacing w:before="240" w:after="240"/>
        <w:rPr>
          <w:rFonts w:eastAsia="Times New Roman" w:cs="Times New Roman"/>
          <w:szCs w:val="24"/>
        </w:rPr>
      </w:pPr>
      <w:r>
        <w:rPr>
          <w:rFonts w:eastAsia="Times New Roman" w:cs="Times New Roman"/>
          <w:szCs w:val="24"/>
        </w:rPr>
        <w:t xml:space="preserve">Community engagement is a process to communicate with a group of people regarding their needs and special interests. The key purpose of community engagement is to work towards the benefits of communities. Five major components of community engagement are justice, fairness, empowerment, self-determination, and participation. In the assignment, Save the Children UK-based charity-based organization has been chosen. The charity organization was established in 1919; focuses on improving the lives of children through better education, healthcare, and economic opportunities. The entire organization promotes changes of policy to gain rights for young people. In the study, </w:t>
      </w:r>
      <w:r>
        <w:rPr>
          <w:rFonts w:eastAsia="Times New Roman" w:cs="Times New Roman"/>
          <w:i/>
          <w:szCs w:val="24"/>
        </w:rPr>
        <w:t>the protect children in crisis</w:t>
      </w:r>
      <w:r>
        <w:rPr>
          <w:rFonts w:eastAsia="Times New Roman" w:cs="Times New Roman"/>
          <w:szCs w:val="24"/>
        </w:rPr>
        <w:t xml:space="preserve"> project has been chosen to demonstrate a comparison between assessment 1 chosen project and the current project of assessment 2. The project aims to support children, grow and become what they want to be in the future. In 2020, 44.9 million children were helped to grow their lives across the globe (</w:t>
      </w:r>
      <w:r>
        <w:rPr>
          <w:rFonts w:eastAsia="Times New Roman" w:cs="Times New Roman"/>
          <w:color w:val="222222"/>
          <w:szCs w:val="24"/>
          <w:highlight w:val="white"/>
        </w:rPr>
        <w:t xml:space="preserve">Jordan </w:t>
      </w:r>
      <w:r>
        <w:rPr>
          <w:rFonts w:eastAsia="Times New Roman" w:cs="Times New Roman"/>
          <w:i/>
          <w:color w:val="222222"/>
          <w:szCs w:val="24"/>
          <w:highlight w:val="white"/>
        </w:rPr>
        <w:t>et al.,</w:t>
      </w:r>
      <w:r>
        <w:rPr>
          <w:rFonts w:eastAsia="Times New Roman" w:cs="Times New Roman"/>
          <w:color w:val="222222"/>
          <w:szCs w:val="24"/>
          <w:highlight w:val="white"/>
        </w:rPr>
        <w:t xml:space="preserve"> 2019, p.228)</w:t>
      </w:r>
      <w:r>
        <w:rPr>
          <w:rFonts w:eastAsia="Times New Roman" w:cs="Times New Roman"/>
          <w:szCs w:val="24"/>
        </w:rPr>
        <w:t xml:space="preserve">. Moreover, the study covers differences between assessment 1 project AVAIL project of the British Red Cross and </w:t>
      </w:r>
      <w:r>
        <w:rPr>
          <w:rFonts w:eastAsia="Times New Roman" w:cs="Times New Roman"/>
          <w:i/>
          <w:szCs w:val="24"/>
        </w:rPr>
        <w:t xml:space="preserve">protect children in crisis </w:t>
      </w:r>
      <w:r>
        <w:rPr>
          <w:rFonts w:eastAsia="Times New Roman" w:cs="Times New Roman"/>
          <w:szCs w:val="24"/>
        </w:rPr>
        <w:t xml:space="preserve">project of Save the Children charity organizations. The differences between the two mentioned projects in terms of community mapping, impact analysis, and social media engagement have been evaluated. </w:t>
      </w:r>
    </w:p>
    <w:p w14:paraId="49205EE1" w14:textId="77777777" w:rsidR="00D41A9F" w:rsidRDefault="00D41A9F" w:rsidP="00D41A9F">
      <w:pPr>
        <w:spacing w:line="276" w:lineRule="auto"/>
        <w:jc w:val="left"/>
        <w:rPr>
          <w:rFonts w:eastAsia="Times New Roman" w:cs="Times New Roman"/>
          <w:b/>
          <w:szCs w:val="24"/>
        </w:rPr>
      </w:pPr>
      <w:r>
        <w:br w:type="page"/>
      </w:r>
      <w:bookmarkStart w:id="1" w:name="_5zm0wuphqkvw"/>
      <w:bookmarkEnd w:id="1"/>
    </w:p>
    <w:p w14:paraId="79E4C9EE" w14:textId="77777777" w:rsidR="00D41A9F" w:rsidRDefault="00D41A9F" w:rsidP="00D41A9F">
      <w:pPr>
        <w:pStyle w:val="Heading1"/>
      </w:pPr>
      <w:r>
        <w:lastRenderedPageBreak/>
        <w:t xml:space="preserve">Differences between both projects compare and evaluate the best practices on their community engagement approaches </w:t>
      </w:r>
    </w:p>
    <w:p w14:paraId="5923BAC0" w14:textId="77777777" w:rsidR="00D41A9F" w:rsidRDefault="00D41A9F" w:rsidP="00D41A9F">
      <w:pPr>
        <w:spacing w:before="240" w:after="240"/>
        <w:rPr>
          <w:rFonts w:eastAsia="Times New Roman" w:cs="Times New Roman"/>
          <w:szCs w:val="24"/>
        </w:rPr>
      </w:pPr>
      <w:r>
        <w:rPr>
          <w:rFonts w:eastAsia="Times New Roman" w:cs="Times New Roman"/>
          <w:szCs w:val="24"/>
        </w:rPr>
        <w:t xml:space="preserve">Around the world, the British Red Cross organization has been helping millions of people when the crisis strikes. On the other hand, the Save the Children organization supports children to learn, grow and provide food and medicine whenever required. Both the organizations work for communal development by introducing projects and services. The </w:t>
      </w:r>
      <w:r>
        <w:rPr>
          <w:rFonts w:eastAsia="Times New Roman" w:cs="Times New Roman"/>
          <w:i/>
          <w:szCs w:val="24"/>
        </w:rPr>
        <w:t>AVAIL</w:t>
      </w:r>
      <w:r>
        <w:rPr>
          <w:rFonts w:eastAsia="Times New Roman" w:cs="Times New Roman"/>
          <w:szCs w:val="24"/>
        </w:rPr>
        <w:t xml:space="preserve"> project has been done by the British Red Cross organization to help the refugees and asylum seekers to speak out about the changes and practices. The Avail project has introduced the Voices network that is linked to the families’ programs and the VOICES ambassadors’ work together about refugees’ issues. On the contrary, the project </w:t>
      </w:r>
      <w:r>
        <w:rPr>
          <w:rFonts w:eastAsia="Times New Roman" w:cs="Times New Roman"/>
          <w:i/>
          <w:szCs w:val="24"/>
        </w:rPr>
        <w:t xml:space="preserve">Protect Children in Crisis </w:t>
      </w:r>
      <w:r>
        <w:rPr>
          <w:rFonts w:eastAsia="Times New Roman" w:cs="Times New Roman"/>
          <w:szCs w:val="24"/>
        </w:rPr>
        <w:t xml:space="preserve">has been performed by the Save the Children organization to help the children rebuild their lives. The recent project has focused on the children who are getting orphans due to Covid-19. Therefore, the project has been also initiated to rescue the children who are severely affected by the Afghanistan territory attack and who are facing violence, disease, and hunger. </w:t>
      </w:r>
    </w:p>
    <w:p w14:paraId="4AC04B5D" w14:textId="77777777" w:rsidR="00D41A9F" w:rsidRDefault="00D41A9F" w:rsidP="00D41A9F">
      <w:pPr>
        <w:spacing w:before="240" w:after="240"/>
        <w:rPr>
          <w:rFonts w:eastAsia="Times New Roman" w:cs="Times New Roman"/>
          <w:szCs w:val="24"/>
        </w:rPr>
      </w:pPr>
      <w:r>
        <w:rPr>
          <w:rFonts w:eastAsia="Times New Roman" w:cs="Times New Roman"/>
          <w:szCs w:val="24"/>
        </w:rPr>
        <w:t xml:space="preserve">As per the research of </w:t>
      </w:r>
      <w:r>
        <w:rPr>
          <w:rFonts w:eastAsia="Times New Roman" w:cs="Times New Roman"/>
          <w:szCs w:val="24"/>
          <w:highlight w:val="white"/>
        </w:rPr>
        <w:t xml:space="preserve">Gottvall </w:t>
      </w:r>
      <w:r>
        <w:rPr>
          <w:rFonts w:eastAsia="Times New Roman" w:cs="Times New Roman"/>
          <w:i/>
          <w:szCs w:val="24"/>
          <w:highlight w:val="white"/>
        </w:rPr>
        <w:t>et al.,</w:t>
      </w:r>
      <w:r>
        <w:rPr>
          <w:rFonts w:eastAsia="Times New Roman" w:cs="Times New Roman"/>
          <w:i/>
          <w:szCs w:val="24"/>
        </w:rPr>
        <w:t xml:space="preserve"> </w:t>
      </w:r>
      <w:r>
        <w:rPr>
          <w:rFonts w:eastAsia="Times New Roman" w:cs="Times New Roman"/>
          <w:szCs w:val="24"/>
        </w:rPr>
        <w:t xml:space="preserve">(2020, p. 510), in Newport and South Wales, the </w:t>
      </w:r>
      <w:r>
        <w:rPr>
          <w:rFonts w:eastAsia="Times New Roman" w:cs="Times New Roman"/>
          <w:i/>
          <w:szCs w:val="24"/>
        </w:rPr>
        <w:t xml:space="preserve">British Red Cross </w:t>
      </w:r>
      <w:r>
        <w:rPr>
          <w:rFonts w:eastAsia="Times New Roman" w:cs="Times New Roman"/>
          <w:szCs w:val="24"/>
        </w:rPr>
        <w:t xml:space="preserve">delivers an orientation program as well as life skills training for asylum seekers and newly arrived refugees by following the peer education model. On the other hand, the </w:t>
      </w:r>
      <w:r>
        <w:rPr>
          <w:rFonts w:eastAsia="Times New Roman" w:cs="Times New Roman"/>
          <w:i/>
          <w:szCs w:val="24"/>
        </w:rPr>
        <w:t>Save the Children</w:t>
      </w:r>
      <w:r>
        <w:rPr>
          <w:rFonts w:eastAsia="Times New Roman" w:cs="Times New Roman"/>
          <w:szCs w:val="24"/>
        </w:rPr>
        <w:t xml:space="preserve"> organization has been working on early years learning and keeping childcare costs on the political agenda and they offer education to the children who drop out due to overcrowded classes or being a girl child. As argued by </w:t>
      </w:r>
      <w:r>
        <w:rPr>
          <w:rFonts w:eastAsia="Times New Roman" w:cs="Times New Roman"/>
          <w:szCs w:val="24"/>
          <w:highlight w:val="white"/>
        </w:rPr>
        <w:t xml:space="preserve">Spinelli </w:t>
      </w:r>
      <w:r>
        <w:rPr>
          <w:rFonts w:eastAsia="Times New Roman" w:cs="Times New Roman"/>
          <w:i/>
          <w:szCs w:val="24"/>
          <w:highlight w:val="white"/>
        </w:rPr>
        <w:t>et al.,</w:t>
      </w:r>
      <w:r>
        <w:rPr>
          <w:rFonts w:eastAsia="Times New Roman" w:cs="Times New Roman"/>
          <w:i/>
          <w:szCs w:val="24"/>
        </w:rPr>
        <w:t xml:space="preserve"> </w:t>
      </w:r>
      <w:r>
        <w:rPr>
          <w:rFonts w:eastAsia="Times New Roman" w:cs="Times New Roman"/>
          <w:szCs w:val="24"/>
        </w:rPr>
        <w:t>(2019, p. 250), about 120 million girls’ children who are between the ages of 6 to 17 are not attending school. The project</w:t>
      </w:r>
      <w:r>
        <w:rPr>
          <w:rFonts w:eastAsia="Times New Roman" w:cs="Times New Roman"/>
          <w:i/>
          <w:szCs w:val="24"/>
        </w:rPr>
        <w:t xml:space="preserve"> Protect Children in Crisis</w:t>
      </w:r>
      <w:r>
        <w:rPr>
          <w:rFonts w:eastAsia="Times New Roman" w:cs="Times New Roman"/>
          <w:szCs w:val="24"/>
        </w:rPr>
        <w:t xml:space="preserve"> has established an emergency fund to respond immediately to those who are affected by the global hunger index. Along with the project, they reached more than a million people last year in Afghanistan and provided shelter, medicine, food, and safe water at their critical time. However, the community approaches of the two organizations are effective to reach more people at a time. </w:t>
      </w:r>
    </w:p>
    <w:p w14:paraId="4E18130A" w14:textId="77777777" w:rsidR="00D41A9F" w:rsidRDefault="00D41A9F" w:rsidP="00D41A9F">
      <w:pPr>
        <w:pStyle w:val="Heading1"/>
      </w:pPr>
      <w:bookmarkStart w:id="2" w:name="_k9m7jl2zi9i8"/>
      <w:bookmarkEnd w:id="2"/>
      <w:r>
        <w:t xml:space="preserve">Differences in active communication, participation of active stakeholders, and inclusion of both projects </w:t>
      </w:r>
    </w:p>
    <w:p w14:paraId="0C9F41D3" w14:textId="77777777" w:rsidR="00D41A9F" w:rsidRDefault="00D41A9F" w:rsidP="00D41A9F">
      <w:pPr>
        <w:spacing w:before="240" w:after="240"/>
        <w:rPr>
          <w:rFonts w:eastAsia="Times New Roman" w:cs="Times New Roman"/>
          <w:szCs w:val="24"/>
        </w:rPr>
      </w:pPr>
      <w:r>
        <w:rPr>
          <w:rFonts w:eastAsia="Times New Roman" w:cs="Times New Roman"/>
          <w:szCs w:val="24"/>
        </w:rPr>
        <w:t xml:space="preserve">According to </w:t>
      </w:r>
      <w:r>
        <w:rPr>
          <w:rFonts w:eastAsia="Times New Roman" w:cs="Times New Roman"/>
          <w:szCs w:val="24"/>
          <w:highlight w:val="white"/>
        </w:rPr>
        <w:t xml:space="preserve">Krishna </w:t>
      </w:r>
      <w:r>
        <w:rPr>
          <w:rFonts w:eastAsia="Times New Roman" w:cs="Times New Roman"/>
          <w:szCs w:val="24"/>
        </w:rPr>
        <w:t xml:space="preserve">(2018, p. 1090), the technology that enables people both verbally and nonverbally to communicate in a way that helps to understand the particular topic is referred to as </w:t>
      </w:r>
      <w:r>
        <w:rPr>
          <w:rFonts w:eastAsia="Times New Roman" w:cs="Times New Roman"/>
          <w:szCs w:val="24"/>
        </w:rPr>
        <w:lastRenderedPageBreak/>
        <w:t xml:space="preserve">active communication. The case study of the </w:t>
      </w:r>
      <w:r>
        <w:rPr>
          <w:rFonts w:eastAsia="Times New Roman" w:cs="Times New Roman"/>
          <w:i/>
          <w:szCs w:val="24"/>
        </w:rPr>
        <w:t>Avail project</w:t>
      </w:r>
      <w:r>
        <w:rPr>
          <w:rFonts w:eastAsia="Times New Roman" w:cs="Times New Roman"/>
          <w:szCs w:val="24"/>
        </w:rPr>
        <w:t xml:space="preserve"> of the British Red Cross always maintains keeping in touch with the refugees. During emergencies, the supporters of the </w:t>
      </w:r>
      <w:r>
        <w:rPr>
          <w:rFonts w:eastAsia="Times New Roman" w:cs="Times New Roman"/>
          <w:i/>
          <w:szCs w:val="24"/>
        </w:rPr>
        <w:t xml:space="preserve">British Red Cross </w:t>
      </w:r>
      <w:r>
        <w:rPr>
          <w:rFonts w:eastAsia="Times New Roman" w:cs="Times New Roman"/>
          <w:szCs w:val="24"/>
        </w:rPr>
        <w:t xml:space="preserve">try to utilize several ways of active communication by sending emails, letters, or texts when a crisis unfolds. On the other hand, the project </w:t>
      </w:r>
      <w:r>
        <w:rPr>
          <w:rFonts w:eastAsia="Times New Roman" w:cs="Times New Roman"/>
          <w:i/>
          <w:szCs w:val="24"/>
        </w:rPr>
        <w:t>Protect Children in Crisis</w:t>
      </w:r>
      <w:r>
        <w:rPr>
          <w:rFonts w:eastAsia="Times New Roman" w:cs="Times New Roman"/>
          <w:szCs w:val="24"/>
        </w:rPr>
        <w:t xml:space="preserve"> has been utilized as a media communication channel to determine the children’s crisis. Therefore, they use two-way communication channels to strengthen the accountability to children as well as other community members. Save the Children organization empowers the children to highlight their needs, share their stories, and create changes through media work. For the Avail project, the organization identifies two types of stakeholders; the board of trustees along with six members is working together to maximize the efforts to achieve its vision. The volunteers drive the aims and objectives of the projects by providing life skills courses for the refugees. On the contrary, with the help of corporate partners Save the Children organization cultivates innovation to build children’s life. </w:t>
      </w:r>
    </w:p>
    <w:p w14:paraId="54ACF14D" w14:textId="77777777" w:rsidR="00D41A9F" w:rsidRDefault="00D41A9F" w:rsidP="00D41A9F">
      <w:pPr>
        <w:spacing w:before="240" w:after="240"/>
        <w:rPr>
          <w:rFonts w:eastAsia="Times New Roman" w:cs="Times New Roman"/>
          <w:szCs w:val="24"/>
        </w:rPr>
      </w:pPr>
      <w:r>
        <w:rPr>
          <w:rFonts w:eastAsia="Times New Roman" w:cs="Times New Roman"/>
          <w:szCs w:val="24"/>
        </w:rPr>
        <w:t xml:space="preserve">The partnership with Mondelez International the Save the Children organization ensures sustainable life through nutrition and fresh foods along with the project. They also ensure the education of the children who are recently affected by the pandemic crisis and terrorist attacks in Afganistan. As argued by </w:t>
      </w:r>
      <w:r>
        <w:rPr>
          <w:rFonts w:eastAsia="Times New Roman" w:cs="Times New Roman"/>
          <w:szCs w:val="24"/>
          <w:highlight w:val="white"/>
        </w:rPr>
        <w:t xml:space="preserve">Wynne </w:t>
      </w:r>
      <w:r>
        <w:rPr>
          <w:rFonts w:eastAsia="Times New Roman" w:cs="Times New Roman"/>
          <w:i/>
          <w:szCs w:val="24"/>
          <w:highlight w:val="white"/>
        </w:rPr>
        <w:t>et al.,</w:t>
      </w:r>
      <w:r>
        <w:rPr>
          <w:rFonts w:eastAsia="Times New Roman" w:cs="Times New Roman"/>
          <w:i/>
          <w:szCs w:val="24"/>
        </w:rPr>
        <w:t xml:space="preserve"> </w:t>
      </w:r>
      <w:r>
        <w:rPr>
          <w:rFonts w:eastAsia="Times New Roman" w:cs="Times New Roman"/>
          <w:szCs w:val="24"/>
        </w:rPr>
        <w:t xml:space="preserve">(2020, p. 515), the British Red Cross organization works with national and international populations to help people in finding safe and legal routes to the different countries. Whereas the Save The Children organization believe in providing good food to enhance their imagination power. The research has been estimated that because of undernourishment about 3 million children die every year. Moreover, the project team has targeted providing vitamin supplements and breastfeeding support. Therefore, both projects help the community to enhance their lifestyles.  </w:t>
      </w:r>
    </w:p>
    <w:p w14:paraId="09B1F2EA" w14:textId="77777777" w:rsidR="00D41A9F" w:rsidRDefault="00D41A9F" w:rsidP="00D41A9F">
      <w:pPr>
        <w:pStyle w:val="Heading1"/>
      </w:pPr>
      <w:bookmarkStart w:id="3" w:name="_n7bord314cdi"/>
      <w:bookmarkEnd w:id="3"/>
      <w:r>
        <w:t xml:space="preserve">How they research both projects </w:t>
      </w:r>
    </w:p>
    <w:p w14:paraId="0AC0A99E" w14:textId="77777777" w:rsidR="00D41A9F" w:rsidRDefault="00D41A9F" w:rsidP="00D41A9F">
      <w:pPr>
        <w:spacing w:before="240" w:after="240"/>
        <w:rPr>
          <w:rFonts w:eastAsia="Times New Roman" w:cs="Times New Roman"/>
          <w:szCs w:val="24"/>
        </w:rPr>
      </w:pPr>
      <w:r>
        <w:rPr>
          <w:rFonts w:eastAsia="Times New Roman" w:cs="Times New Roman"/>
          <w:szCs w:val="24"/>
        </w:rPr>
        <w:t>The research process of the AVAIL project of the British Red Cross (assessment 1) and the protect</w:t>
      </w:r>
      <w:r>
        <w:rPr>
          <w:rFonts w:eastAsia="Times New Roman" w:cs="Times New Roman"/>
          <w:i/>
          <w:szCs w:val="24"/>
        </w:rPr>
        <w:t xml:space="preserve"> children in crisis </w:t>
      </w:r>
      <w:r>
        <w:rPr>
          <w:rFonts w:eastAsia="Times New Roman" w:cs="Times New Roman"/>
          <w:szCs w:val="24"/>
        </w:rPr>
        <w:t xml:space="preserve">project to save the children (assessment 2) are quite different. In terms of the current </w:t>
      </w:r>
      <w:r>
        <w:rPr>
          <w:rFonts w:eastAsia="Times New Roman" w:cs="Times New Roman"/>
          <w:i/>
          <w:szCs w:val="24"/>
        </w:rPr>
        <w:t xml:space="preserve">protect children in crisis </w:t>
      </w:r>
      <w:r>
        <w:rPr>
          <w:rFonts w:eastAsia="Times New Roman" w:cs="Times New Roman"/>
          <w:szCs w:val="24"/>
        </w:rPr>
        <w:t xml:space="preserve">project, the project aims to support children to learn and grow. The organization is continuing research for managing the rights of children. Based on the current report, the Save the Children organization changed the lives of more than 1 billion children. As commented by </w:t>
      </w:r>
      <w:r>
        <w:rPr>
          <w:rFonts w:eastAsia="Times New Roman" w:cs="Times New Roman"/>
          <w:color w:val="222222"/>
          <w:szCs w:val="24"/>
          <w:highlight w:val="white"/>
        </w:rPr>
        <w:t xml:space="preserve">Mort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(2020</w:t>
      </w:r>
      <w:r>
        <w:rPr>
          <w:rFonts w:eastAsia="Times New Roman" w:cs="Times New Roman"/>
          <w:szCs w:val="24"/>
        </w:rPr>
        <w:t xml:space="preserve">), the evaluation of child education programs of the project </w:t>
      </w:r>
      <w:r>
        <w:rPr>
          <w:rFonts w:eastAsia="Times New Roman" w:cs="Times New Roman"/>
          <w:szCs w:val="24"/>
        </w:rPr>
        <w:lastRenderedPageBreak/>
        <w:t xml:space="preserve">reached child education programs to reach 12 million children in 2020. In the UK, </w:t>
      </w:r>
      <w:r>
        <w:rPr>
          <w:rFonts w:eastAsia="Times New Roman" w:cs="Times New Roman"/>
          <w:i/>
          <w:szCs w:val="24"/>
        </w:rPr>
        <w:t xml:space="preserve">the Protect Children in Crisis </w:t>
      </w:r>
      <w:r>
        <w:rPr>
          <w:rFonts w:eastAsia="Times New Roman" w:cs="Times New Roman"/>
          <w:szCs w:val="24"/>
        </w:rPr>
        <w:t xml:space="preserve">project has been working to educate poor children so that they could create a bright future. The project of the mentioned organization reached 27.9 million children in terms of health and nutrition programs. The project aims to improve the lives of children. The research team of the project ensures every child should get good food. On the contrary, the AVAIL project of assessment 1 researches different ways. The core aim of this project is to improve the lifestyle of refugees and displaced people. The AVAIL project enabled peer education for life skills courses. With the assistance of life skills courses, refugees and displaced people could get a chance to improve their own lives. The research team of the British Red Cross (assessment 1) utilized chatterbox in order to teach the refugees in their own languages. It provided the project team of the organization an opportunity to connect with displaced people. In the project (assessment 1), the project explored the impact of stakeholders on the success of the mentioned project. It has been evaluated that a good relationship between stakeholders and the organization has been evaluated. The project emphasized social media marketing to build an engagement with the stakeholders whereas </w:t>
      </w:r>
      <w:r>
        <w:rPr>
          <w:rFonts w:eastAsia="Times New Roman" w:cs="Times New Roman"/>
          <w:i/>
          <w:szCs w:val="24"/>
        </w:rPr>
        <w:t>the Protect children in crisis</w:t>
      </w:r>
      <w:r>
        <w:rPr>
          <w:rFonts w:eastAsia="Times New Roman" w:cs="Times New Roman"/>
          <w:szCs w:val="24"/>
        </w:rPr>
        <w:t xml:space="preserve"> project of Save the Children emphasizes a face-to-face method to perceive the lives of children (</w:t>
      </w:r>
      <w:r>
        <w:rPr>
          <w:rFonts w:eastAsia="Times New Roman" w:cs="Times New Roman"/>
          <w:color w:val="222222"/>
          <w:szCs w:val="24"/>
          <w:highlight w:val="white"/>
        </w:rPr>
        <w:t xml:space="preserve">Scurlock </w:t>
      </w:r>
      <w:r>
        <w:rPr>
          <w:rFonts w:eastAsia="Times New Roman" w:cs="Times New Roman"/>
          <w:i/>
          <w:color w:val="222222"/>
          <w:szCs w:val="24"/>
          <w:highlight w:val="white"/>
        </w:rPr>
        <w:t>et al</w:t>
      </w:r>
      <w:r>
        <w:rPr>
          <w:rFonts w:eastAsia="Times New Roman" w:cs="Times New Roman"/>
          <w:color w:val="222222"/>
          <w:szCs w:val="24"/>
          <w:highlight w:val="white"/>
        </w:rPr>
        <w:t>., 2020, p.95)</w:t>
      </w:r>
      <w:r>
        <w:rPr>
          <w:rFonts w:eastAsia="Times New Roman" w:cs="Times New Roman"/>
          <w:szCs w:val="24"/>
        </w:rPr>
        <w:t xml:space="preserve">. </w:t>
      </w:r>
    </w:p>
    <w:p w14:paraId="1C37C521" w14:textId="77777777" w:rsidR="00D41A9F" w:rsidRDefault="00D41A9F" w:rsidP="00D41A9F">
      <w:pPr>
        <w:pStyle w:val="Heading1"/>
      </w:pPr>
      <w:bookmarkStart w:id="4" w:name="_lqw3oyk3noqe"/>
      <w:bookmarkEnd w:id="4"/>
      <w:r>
        <w:t xml:space="preserve">Carry out community mapping, impact analysis, social media engagement and justify the best approaches </w:t>
      </w:r>
    </w:p>
    <w:p w14:paraId="22923558" w14:textId="77777777" w:rsidR="00D41A9F" w:rsidRDefault="00D41A9F" w:rsidP="00D41A9F">
      <w:pPr>
        <w:spacing w:before="240" w:after="240"/>
        <w:rPr>
          <w:rFonts w:eastAsia="Times New Roman" w:cs="Times New Roman"/>
          <w:szCs w:val="24"/>
        </w:rPr>
      </w:pPr>
      <w:r>
        <w:rPr>
          <w:rFonts w:eastAsia="Times New Roman" w:cs="Times New Roman"/>
          <w:szCs w:val="24"/>
        </w:rPr>
        <w:t>Community mapping can be utilized to define a meaningful service project (</w:t>
      </w:r>
      <w:r>
        <w:rPr>
          <w:rFonts w:eastAsia="Times New Roman" w:cs="Times New Roman"/>
          <w:color w:val="222222"/>
          <w:szCs w:val="24"/>
          <w:highlight w:val="white"/>
        </w:rPr>
        <w:t>Smith, 2021, p.38)</w:t>
      </w:r>
      <w:r>
        <w:rPr>
          <w:rFonts w:eastAsia="Times New Roman" w:cs="Times New Roman"/>
          <w:szCs w:val="24"/>
        </w:rPr>
        <w:t xml:space="preserve">. In terms of community mapping, </w:t>
      </w:r>
      <w:r>
        <w:rPr>
          <w:rFonts w:eastAsia="Times New Roman" w:cs="Times New Roman"/>
          <w:i/>
          <w:szCs w:val="24"/>
        </w:rPr>
        <w:t xml:space="preserve">the protect children in crisis </w:t>
      </w:r>
      <w:r>
        <w:rPr>
          <w:rFonts w:eastAsia="Times New Roman" w:cs="Times New Roman"/>
          <w:szCs w:val="24"/>
        </w:rPr>
        <w:t>project of Save the ChildreUK-based organization collected data to understand the current situation of the lives of children across the UK. The process of community mapping encouraged the business project to understand literacy rates and health conditions. The evaluation of community mapping to protect</w:t>
      </w:r>
      <w:r>
        <w:rPr>
          <w:rFonts w:eastAsia="Times New Roman" w:cs="Times New Roman"/>
          <w:i/>
          <w:szCs w:val="24"/>
        </w:rPr>
        <w:t xml:space="preserve"> children in crisis </w:t>
      </w:r>
      <w:r>
        <w:rPr>
          <w:rFonts w:eastAsia="Times New Roman" w:cs="Times New Roman"/>
          <w:szCs w:val="24"/>
        </w:rPr>
        <w:t xml:space="preserve">projects enabled them to initiate children’s education programs. In 2020, the process of child education programs reached around 12 million people. On the contrary, as argued by </w:t>
      </w:r>
      <w:r>
        <w:rPr>
          <w:rFonts w:eastAsia="Times New Roman" w:cs="Times New Roman"/>
          <w:color w:val="222222"/>
          <w:szCs w:val="24"/>
          <w:highlight w:val="white"/>
        </w:rPr>
        <w:t>Hamilton, (2020, p.41</w:t>
      </w:r>
      <w:r>
        <w:rPr>
          <w:rFonts w:eastAsia="Times New Roman" w:cs="Times New Roman"/>
          <w:szCs w:val="24"/>
        </w:rPr>
        <w:t>), community mapping enabled AVAIL project of the British Red Cross (Assessment 1) is effective to help refugees for growing their lives. To collect data through community mapping, the mentioned project encouraged the refugees and displaced people to provide their valuable feedback.</w:t>
      </w:r>
    </w:p>
    <w:p w14:paraId="5E1526D7" w14:textId="77777777" w:rsidR="00D41A9F" w:rsidRDefault="00D41A9F" w:rsidP="00D41A9F">
      <w:pPr>
        <w:spacing w:before="240" w:after="240"/>
        <w:rPr>
          <w:rFonts w:eastAsia="Times New Roman" w:cs="Times New Roman"/>
          <w:szCs w:val="24"/>
        </w:rPr>
      </w:pPr>
      <w:r>
        <w:rPr>
          <w:rFonts w:eastAsia="Times New Roman" w:cs="Times New Roman"/>
          <w:szCs w:val="24"/>
        </w:rPr>
        <w:lastRenderedPageBreak/>
        <w:t>In addressing impact analysis, the impacts of both projects have a massive impact on community engagement. In the protect</w:t>
      </w:r>
      <w:r>
        <w:rPr>
          <w:rFonts w:eastAsia="Times New Roman" w:cs="Times New Roman"/>
          <w:i/>
          <w:szCs w:val="24"/>
        </w:rPr>
        <w:t xml:space="preserve"> children in crisis </w:t>
      </w:r>
      <w:r>
        <w:rPr>
          <w:rFonts w:eastAsia="Times New Roman" w:cs="Times New Roman"/>
          <w:szCs w:val="24"/>
        </w:rPr>
        <w:t>project of the Save the Children charity organization, in the UK, the lives of poor children have been improving with the effectiveness of the project. They are introducing a process to educate the children who are deprived of study due to poverty. Child health programs of the project of Save the Children organization helps to reduce the death rate of new-born children. In comparison to the current project, assessment 1 gave a voice to refugees and displaced people and developed solutions for them. Moreover, they emphasized study skills to educate them.</w:t>
      </w:r>
    </w:p>
    <w:p w14:paraId="6C7FF6F2" w14:textId="77777777" w:rsidR="00D41A9F" w:rsidRDefault="00D41A9F" w:rsidP="00D41A9F">
      <w:pPr>
        <w:spacing w:before="240" w:after="240"/>
        <w:rPr>
          <w:rFonts w:eastAsia="Times New Roman" w:cs="Times New Roman"/>
          <w:szCs w:val="24"/>
        </w:rPr>
      </w:pPr>
      <w:r>
        <w:rPr>
          <w:rFonts w:eastAsia="Times New Roman" w:cs="Times New Roman"/>
          <w:szCs w:val="24"/>
        </w:rPr>
        <w:t xml:space="preserve">In addressing social media engagement, Save the Children used various social media platforms to grow and mobilize the online community of the organization. </w:t>
      </w:r>
      <w:r>
        <w:rPr>
          <w:rFonts w:eastAsia="Times New Roman" w:cs="Times New Roman"/>
          <w:i/>
          <w:szCs w:val="24"/>
        </w:rPr>
        <w:t>Protect children in crisis</w:t>
      </w:r>
      <w:r>
        <w:rPr>
          <w:rFonts w:eastAsia="Times New Roman" w:cs="Times New Roman"/>
          <w:szCs w:val="24"/>
        </w:rPr>
        <w:t xml:space="preserve"> project of the organization emphasized on Twitter to become aware to save lives of children. On the contrary, the AVAIL project of the British Red Cross emphasized on Facebook and Instagram to develop a strong engagement with the refugees and displaced people.</w:t>
      </w:r>
    </w:p>
    <w:p w14:paraId="043190E3" w14:textId="77777777" w:rsidR="00D41A9F" w:rsidRDefault="00D41A9F" w:rsidP="00D41A9F">
      <w:pPr>
        <w:spacing w:before="240" w:after="240"/>
        <w:rPr>
          <w:rFonts w:eastAsia="Times New Roman" w:cs="Times New Roman"/>
          <w:szCs w:val="24"/>
        </w:rPr>
      </w:pPr>
      <w:r>
        <w:rPr>
          <w:rFonts w:eastAsia="Times New Roman" w:cs="Times New Roman"/>
          <w:szCs w:val="24"/>
        </w:rPr>
        <w:t xml:space="preserve">By assessing the above discussion of both projects, </w:t>
      </w:r>
      <w:r>
        <w:rPr>
          <w:rFonts w:eastAsia="Times New Roman" w:cs="Times New Roman"/>
          <w:i/>
          <w:szCs w:val="24"/>
        </w:rPr>
        <w:t>the protect children in crisis</w:t>
      </w:r>
      <w:r>
        <w:rPr>
          <w:rFonts w:eastAsia="Times New Roman" w:cs="Times New Roman"/>
          <w:szCs w:val="24"/>
        </w:rPr>
        <w:t xml:space="preserve"> project of the Save the Children charity organization has been considered as the best approach compared to the project of assessment 1. This is because </w:t>
      </w:r>
      <w:r>
        <w:rPr>
          <w:rFonts w:eastAsia="Times New Roman" w:cs="Times New Roman"/>
          <w:i/>
          <w:szCs w:val="24"/>
        </w:rPr>
        <w:t xml:space="preserve">the Protect Children in Crisis </w:t>
      </w:r>
      <w:r>
        <w:rPr>
          <w:rFonts w:eastAsia="Times New Roman" w:cs="Times New Roman"/>
          <w:szCs w:val="24"/>
        </w:rPr>
        <w:t xml:space="preserve">project has been working on the lives of children in terms of their education, health, and growth opportunities.  As cited by </w:t>
      </w:r>
      <w:r>
        <w:rPr>
          <w:rFonts w:eastAsia="Times New Roman" w:cs="Times New Roman"/>
          <w:color w:val="222222"/>
          <w:szCs w:val="24"/>
          <w:highlight w:val="white"/>
        </w:rPr>
        <w:t>Gizaw (2020</w:t>
      </w:r>
      <w:r>
        <w:rPr>
          <w:rFonts w:eastAsia="Times New Roman" w:cs="Times New Roman"/>
          <w:szCs w:val="24"/>
        </w:rPr>
        <w:t xml:space="preserve">), Young children are the future of the nation. Similarly, </w:t>
      </w:r>
      <w:r>
        <w:rPr>
          <w:rFonts w:eastAsia="Times New Roman" w:cs="Times New Roman"/>
          <w:i/>
          <w:szCs w:val="24"/>
        </w:rPr>
        <w:t xml:space="preserve">the Protect Children in Crisis </w:t>
      </w:r>
      <w:r>
        <w:rPr>
          <w:rFonts w:eastAsia="Times New Roman" w:cs="Times New Roman"/>
          <w:szCs w:val="24"/>
        </w:rPr>
        <w:t xml:space="preserve">project works on improving the overall lives of individuals in the UK. Moreover, lots of successful achievements are mentioned within their project. Hence, </w:t>
      </w:r>
      <w:r>
        <w:rPr>
          <w:rFonts w:eastAsia="Times New Roman" w:cs="Times New Roman"/>
          <w:i/>
          <w:szCs w:val="24"/>
        </w:rPr>
        <w:t xml:space="preserve">protecting children in crisis </w:t>
      </w:r>
      <w:r>
        <w:rPr>
          <w:rFonts w:eastAsia="Times New Roman" w:cs="Times New Roman"/>
          <w:szCs w:val="24"/>
        </w:rPr>
        <w:t>projects has been justified as the best approach.</w:t>
      </w:r>
    </w:p>
    <w:p w14:paraId="7C900863" w14:textId="77777777" w:rsidR="00D41A9F" w:rsidRDefault="00D41A9F" w:rsidP="00D41A9F">
      <w:pPr>
        <w:pStyle w:val="Heading1"/>
      </w:pPr>
      <w:bookmarkStart w:id="5" w:name="_71r311o5e098"/>
      <w:bookmarkEnd w:id="5"/>
      <w:r>
        <w:t xml:space="preserve">Conclusion </w:t>
      </w:r>
    </w:p>
    <w:p w14:paraId="3C9EB972" w14:textId="77777777" w:rsidR="00D41A9F" w:rsidRDefault="00D41A9F" w:rsidP="00D41A9F">
      <w:pPr>
        <w:spacing w:before="240" w:after="240"/>
        <w:rPr>
          <w:rFonts w:eastAsia="Times New Roman" w:cs="Times New Roman"/>
          <w:szCs w:val="24"/>
        </w:rPr>
      </w:pPr>
      <w:r>
        <w:rPr>
          <w:rFonts w:eastAsia="Times New Roman" w:cs="Times New Roman"/>
          <w:szCs w:val="24"/>
        </w:rPr>
        <w:t xml:space="preserve">Based on democratic ideas community engagement includes several factors such as collaboration, empowerment, participation and consultation in where people are getting affected by the common issues. The non-profit organizations identify the issues and help the community to resolve the challenges in order to develop their life status. The overall assessment shows the comparison between both charitable organizations along with their projects. The AVAIL has been performed to rescue the refugees which have been mentioned in assessment 1 and other projects Protect the Children in Crisis has been analysed in assessment 2. Both projects perform in a different manner, </w:t>
      </w:r>
      <w:r>
        <w:rPr>
          <w:rFonts w:eastAsia="Times New Roman" w:cs="Times New Roman"/>
          <w:szCs w:val="24"/>
        </w:rPr>
        <w:lastRenderedPageBreak/>
        <w:t xml:space="preserve">however, their main objective is the same is help the deprived people. The AVAIL project helps millions of refugees and asylum seekers to train them and upgrade their lifestyle by providing life skills courses. In assessment 2, the Project Children in Crisis help children by providing food, shelter and education who has been affected by domestic violence and any other crisis. Therefore, the assessment also includes the stakeholders of the two charitable organizations that support them in funding and continuous services. It has been evaluated that even many children including girl’s child do not attend school lack of awareness. The Save the Children organization help those children who are generally deprived of their rights and it ensures all the primary needs for the children such that they can lead a healthy and secure life. On the other hand, the Avail project has ensured life skills courses for the refugees which improve their lives. Therefore, the study also includes the active communication channels that help the organizations to build effective relationships with their stakeholders. However, both the projects improve the overall lifestyles of the deprived children as well as people across the world which is highly appreciable. </w:t>
      </w:r>
    </w:p>
    <w:p w14:paraId="303D3171" w14:textId="77777777" w:rsidR="00D41A9F" w:rsidRDefault="00D41A9F" w:rsidP="00D41A9F">
      <w:pPr>
        <w:spacing w:before="240" w:after="240"/>
        <w:rPr>
          <w:rFonts w:eastAsia="Times New Roman" w:cs="Times New Roman"/>
          <w:b/>
          <w:szCs w:val="24"/>
        </w:rPr>
      </w:pPr>
      <w:r>
        <w:br w:type="page"/>
      </w:r>
    </w:p>
    <w:p w14:paraId="369E8C86" w14:textId="77777777" w:rsidR="00D41A9F" w:rsidRDefault="00D41A9F" w:rsidP="00D41A9F">
      <w:pPr>
        <w:pStyle w:val="Heading1"/>
      </w:pPr>
      <w:bookmarkStart w:id="6" w:name="_dka6tdxyueyu"/>
      <w:bookmarkEnd w:id="6"/>
      <w:r>
        <w:lastRenderedPageBreak/>
        <w:t>Reference</w:t>
      </w:r>
    </w:p>
    <w:p w14:paraId="7B81CDAA" w14:textId="77777777" w:rsidR="00D41A9F" w:rsidRDefault="00D41A9F" w:rsidP="00D41A9F">
      <w:pPr>
        <w:spacing w:before="240" w:after="240"/>
        <w:rPr>
          <w:rFonts w:eastAsia="Times New Roman" w:cs="Times New Roman"/>
          <w:szCs w:val="24"/>
        </w:rPr>
      </w:pPr>
      <w:r>
        <w:rPr>
          <w:rFonts w:eastAsia="Times New Roman" w:cs="Times New Roman"/>
          <w:szCs w:val="24"/>
          <w:highlight w:val="white"/>
        </w:rPr>
        <w:t xml:space="preserve">Gizaw, S., 2020. </w:t>
      </w:r>
      <w:r>
        <w:rPr>
          <w:rFonts w:eastAsia="Times New Roman" w:cs="Times New Roman"/>
          <w:i/>
          <w:szCs w:val="24"/>
        </w:rPr>
        <w:t>Assessment of Budgetary Controlling System: In the Case of Save the Children International Ethiopia Office</w:t>
      </w:r>
      <w:r>
        <w:rPr>
          <w:rFonts w:eastAsia="Times New Roman" w:cs="Times New Roman"/>
          <w:szCs w:val="24"/>
        </w:rPr>
        <w:t xml:space="preserve"> (Doctoral dissertation, ST. MARY’S UNIVERSITY).</w:t>
      </w:r>
    </w:p>
    <w:p w14:paraId="3DBBDC8F" w14:textId="77777777" w:rsidR="00D41A9F" w:rsidRDefault="00D41A9F" w:rsidP="00D41A9F">
      <w:pPr>
        <w:spacing w:before="240" w:after="240"/>
        <w:rPr>
          <w:rFonts w:eastAsia="Times New Roman" w:cs="Times New Roman"/>
          <w:szCs w:val="24"/>
        </w:rPr>
      </w:pPr>
      <w:r>
        <w:rPr>
          <w:rFonts w:eastAsia="Times New Roman" w:cs="Times New Roman"/>
          <w:szCs w:val="24"/>
          <w:highlight w:val="white"/>
        </w:rPr>
        <w:t xml:space="preserve">Gottvall, M., Sjölund, S., Arwidson, C. and Saboonchi, F., 2020. Health-related quality of life among Syrian refugees resettled in Sweden. </w:t>
      </w:r>
      <w:r>
        <w:rPr>
          <w:rFonts w:eastAsia="Times New Roman" w:cs="Times New Roman"/>
          <w:i/>
          <w:szCs w:val="24"/>
        </w:rPr>
        <w:t>Quality of Life Research</w:t>
      </w:r>
      <w:r>
        <w:rPr>
          <w:rFonts w:eastAsia="Times New Roman" w:cs="Times New Roman"/>
          <w:szCs w:val="24"/>
        </w:rPr>
        <w:t xml:space="preserve">, </w:t>
      </w:r>
      <w:r>
        <w:rPr>
          <w:rFonts w:eastAsia="Times New Roman" w:cs="Times New Roman"/>
          <w:i/>
          <w:szCs w:val="24"/>
        </w:rPr>
        <w:t>29</w:t>
      </w:r>
      <w:r>
        <w:rPr>
          <w:rFonts w:eastAsia="Times New Roman" w:cs="Times New Roman"/>
          <w:szCs w:val="24"/>
        </w:rPr>
        <w:t>(2), pp.505-514.</w:t>
      </w:r>
    </w:p>
    <w:p w14:paraId="6B091FB5" w14:textId="77777777" w:rsidR="00D41A9F" w:rsidRDefault="00D41A9F" w:rsidP="00D41A9F">
      <w:pPr>
        <w:spacing w:before="240" w:after="240"/>
        <w:rPr>
          <w:rFonts w:eastAsia="Times New Roman" w:cs="Times New Roman"/>
          <w:szCs w:val="24"/>
        </w:rPr>
      </w:pPr>
      <w:r>
        <w:rPr>
          <w:rFonts w:eastAsia="Times New Roman" w:cs="Times New Roman"/>
          <w:szCs w:val="24"/>
          <w:highlight w:val="white"/>
        </w:rPr>
        <w:t xml:space="preserve">Hamilton, J., 2020. A Digital Future for the British Red Cross. </w:t>
      </w:r>
      <w:r>
        <w:rPr>
          <w:rFonts w:eastAsia="Times New Roman" w:cs="Times New Roman"/>
          <w:i/>
          <w:szCs w:val="24"/>
        </w:rPr>
        <w:t>ITNOW</w:t>
      </w:r>
      <w:r>
        <w:rPr>
          <w:rFonts w:eastAsia="Times New Roman" w:cs="Times New Roman"/>
          <w:szCs w:val="24"/>
        </w:rPr>
        <w:t xml:space="preserve">, </w:t>
      </w:r>
      <w:r>
        <w:rPr>
          <w:rFonts w:eastAsia="Times New Roman" w:cs="Times New Roman"/>
          <w:i/>
          <w:szCs w:val="24"/>
        </w:rPr>
        <w:t>62</w:t>
      </w:r>
      <w:r>
        <w:rPr>
          <w:rFonts w:eastAsia="Times New Roman" w:cs="Times New Roman"/>
          <w:szCs w:val="24"/>
        </w:rPr>
        <w:t>(2), pp.40-41.</w:t>
      </w:r>
    </w:p>
    <w:p w14:paraId="581240B6" w14:textId="77777777" w:rsidR="00D41A9F" w:rsidRDefault="00D41A9F" w:rsidP="00D41A9F">
      <w:pPr>
        <w:spacing w:before="240" w:after="240"/>
        <w:rPr>
          <w:rFonts w:eastAsia="Times New Roman" w:cs="Times New Roman"/>
          <w:szCs w:val="24"/>
          <w:highlight w:val="white"/>
        </w:rPr>
      </w:pPr>
      <w:r>
        <w:rPr>
          <w:rFonts w:eastAsia="Times New Roman" w:cs="Times New Roman"/>
          <w:szCs w:val="24"/>
          <w:highlight w:val="white"/>
        </w:rPr>
        <w:t>Jordan, S.R., Rudeen, S., Hu, D., Diotalevi, J.L., Brown, F.I., Miskovic, P., Yang, H., Colonna, M. and Draper, D., 2019. The difference a smile makes: Effective use of imagery by children’s nonprofit organizations. Journal of Nonprofit &amp; Public Sector Marketing, 31(3), pp.227-248.</w:t>
      </w:r>
    </w:p>
    <w:p w14:paraId="4F497DED" w14:textId="77777777" w:rsidR="00D41A9F" w:rsidRDefault="00D41A9F" w:rsidP="00D41A9F">
      <w:pPr>
        <w:spacing w:before="240" w:after="240"/>
        <w:rPr>
          <w:rFonts w:eastAsia="Times New Roman" w:cs="Times New Roman"/>
          <w:szCs w:val="24"/>
        </w:rPr>
      </w:pPr>
      <w:r>
        <w:rPr>
          <w:rFonts w:eastAsia="Times New Roman" w:cs="Times New Roman"/>
          <w:szCs w:val="24"/>
          <w:highlight w:val="white"/>
        </w:rPr>
        <w:t xml:space="preserve">Krishna, A., 2018. Poison or prevention? Understanding the linkages between vaccine-negative individuals’ knowledge deficiency, motivations, and active communication behaviors. </w:t>
      </w:r>
      <w:r>
        <w:rPr>
          <w:rFonts w:eastAsia="Times New Roman" w:cs="Times New Roman"/>
          <w:i/>
          <w:szCs w:val="24"/>
        </w:rPr>
        <w:t>Health Communication</w:t>
      </w:r>
      <w:r>
        <w:rPr>
          <w:rFonts w:eastAsia="Times New Roman" w:cs="Times New Roman"/>
          <w:szCs w:val="24"/>
        </w:rPr>
        <w:t xml:space="preserve">, </w:t>
      </w:r>
      <w:r>
        <w:rPr>
          <w:rFonts w:eastAsia="Times New Roman" w:cs="Times New Roman"/>
          <w:i/>
          <w:szCs w:val="24"/>
        </w:rPr>
        <w:t>33</w:t>
      </w:r>
      <w:r>
        <w:rPr>
          <w:rFonts w:eastAsia="Times New Roman" w:cs="Times New Roman"/>
          <w:szCs w:val="24"/>
        </w:rPr>
        <w:t>(9), pp.1088-1096.</w:t>
      </w:r>
    </w:p>
    <w:p w14:paraId="5170D7F2" w14:textId="77777777" w:rsidR="00D41A9F" w:rsidRDefault="00D41A9F" w:rsidP="00D41A9F">
      <w:pPr>
        <w:spacing w:before="240" w:after="240"/>
        <w:rPr>
          <w:rFonts w:eastAsia="Times New Roman" w:cs="Times New Roman"/>
          <w:szCs w:val="24"/>
        </w:rPr>
      </w:pPr>
      <w:r>
        <w:rPr>
          <w:rFonts w:eastAsia="Times New Roman" w:cs="Times New Roman"/>
          <w:szCs w:val="24"/>
          <w:highlight w:val="white"/>
        </w:rPr>
        <w:t xml:space="preserve">Mort, M., Rodríguez-Giralt, I. and Delicado, A., 2020. </w:t>
      </w:r>
      <w:r>
        <w:rPr>
          <w:rFonts w:eastAsia="Times New Roman" w:cs="Times New Roman"/>
          <w:i/>
          <w:szCs w:val="24"/>
        </w:rPr>
        <w:t>Children and Young People’s Participation in Disaster Risk Reduction Agency and Resilience</w:t>
      </w:r>
      <w:r>
        <w:rPr>
          <w:rFonts w:eastAsia="Times New Roman" w:cs="Times New Roman"/>
          <w:szCs w:val="24"/>
        </w:rPr>
        <w:t>. Bristol University Press.</w:t>
      </w:r>
    </w:p>
    <w:p w14:paraId="71193980" w14:textId="77777777" w:rsidR="00D41A9F" w:rsidRDefault="00D41A9F" w:rsidP="00D41A9F">
      <w:pPr>
        <w:spacing w:before="240" w:after="240"/>
        <w:rPr>
          <w:rFonts w:eastAsia="Times New Roman" w:cs="Times New Roman"/>
          <w:szCs w:val="24"/>
        </w:rPr>
      </w:pPr>
      <w:r>
        <w:rPr>
          <w:rFonts w:eastAsia="Times New Roman" w:cs="Times New Roman"/>
          <w:szCs w:val="24"/>
          <w:highlight w:val="white"/>
        </w:rPr>
        <w:t xml:space="preserve">Scurlock, R., Dolsak, N. and Prakash, A., 2020. Recovering from scandals: Twitter coverage of Oxfam and save the children scandals. </w:t>
      </w:r>
      <w:r>
        <w:rPr>
          <w:rFonts w:eastAsia="Times New Roman" w:cs="Times New Roman"/>
          <w:i/>
          <w:szCs w:val="24"/>
        </w:rPr>
        <w:t>VOLUNTAS: International Journal of Voluntary and Nonprofit Organizations</w:t>
      </w:r>
      <w:r>
        <w:rPr>
          <w:rFonts w:eastAsia="Times New Roman" w:cs="Times New Roman"/>
          <w:szCs w:val="24"/>
        </w:rPr>
        <w:t xml:space="preserve">, </w:t>
      </w:r>
      <w:r>
        <w:rPr>
          <w:rFonts w:eastAsia="Times New Roman" w:cs="Times New Roman"/>
          <w:i/>
          <w:szCs w:val="24"/>
        </w:rPr>
        <w:t>31</w:t>
      </w:r>
      <w:r>
        <w:rPr>
          <w:rFonts w:eastAsia="Times New Roman" w:cs="Times New Roman"/>
          <w:szCs w:val="24"/>
        </w:rPr>
        <w:t>(1), pp.94-110.</w:t>
      </w:r>
    </w:p>
    <w:p w14:paraId="6FBFD47D" w14:textId="77777777" w:rsidR="00D41A9F" w:rsidRDefault="00D41A9F" w:rsidP="00D41A9F">
      <w:pPr>
        <w:spacing w:before="240" w:after="240"/>
        <w:rPr>
          <w:rFonts w:eastAsia="Times New Roman" w:cs="Times New Roman"/>
          <w:szCs w:val="24"/>
        </w:rPr>
      </w:pPr>
      <w:r>
        <w:rPr>
          <w:rFonts w:eastAsia="Times New Roman" w:cs="Times New Roman"/>
          <w:szCs w:val="24"/>
          <w:highlight w:val="white"/>
        </w:rPr>
        <w:t xml:space="preserve">Smith, W., 2021. Community Insights and Inspiring Change: Fighting Oral Health Inequalities in the UK. </w:t>
      </w:r>
      <w:r>
        <w:rPr>
          <w:rFonts w:eastAsia="Times New Roman" w:cs="Times New Roman"/>
          <w:i/>
          <w:szCs w:val="24"/>
        </w:rPr>
        <w:t>Primary Dental Journal</w:t>
      </w:r>
      <w:r>
        <w:rPr>
          <w:rFonts w:eastAsia="Times New Roman" w:cs="Times New Roman"/>
          <w:szCs w:val="24"/>
        </w:rPr>
        <w:t xml:space="preserve">, </w:t>
      </w:r>
      <w:r>
        <w:rPr>
          <w:rFonts w:eastAsia="Times New Roman" w:cs="Times New Roman"/>
          <w:i/>
          <w:szCs w:val="24"/>
        </w:rPr>
        <w:t>10</w:t>
      </w:r>
      <w:r>
        <w:rPr>
          <w:rFonts w:eastAsia="Times New Roman" w:cs="Times New Roman"/>
          <w:szCs w:val="24"/>
        </w:rPr>
        <w:t>(2), pp.37-39.</w:t>
      </w:r>
    </w:p>
    <w:p w14:paraId="2D47BC51" w14:textId="77777777" w:rsidR="00D41A9F" w:rsidRDefault="00D41A9F" w:rsidP="00D41A9F">
      <w:pPr>
        <w:spacing w:before="240" w:after="240"/>
        <w:rPr>
          <w:rFonts w:eastAsia="Times New Roman" w:cs="Times New Roman"/>
          <w:szCs w:val="24"/>
        </w:rPr>
      </w:pPr>
      <w:r>
        <w:rPr>
          <w:rFonts w:eastAsia="Times New Roman" w:cs="Times New Roman"/>
          <w:szCs w:val="24"/>
          <w:highlight w:val="white"/>
        </w:rPr>
        <w:t xml:space="preserve">Spinelli, A., Buoncristiano, M., Kovacs, V.A., Yngve, A., Spiroski, I., Obreja, G., Starc, G., Pérez, N., Rito, A.I., Kunešová, M. and Sant’Angelo, V.F., 2019. Prevalence of severe obesity among primary school children in 21 European countries. </w:t>
      </w:r>
      <w:r>
        <w:rPr>
          <w:rFonts w:eastAsia="Times New Roman" w:cs="Times New Roman"/>
          <w:i/>
          <w:szCs w:val="24"/>
        </w:rPr>
        <w:t>Obesity facts</w:t>
      </w:r>
      <w:r>
        <w:rPr>
          <w:rFonts w:eastAsia="Times New Roman" w:cs="Times New Roman"/>
          <w:szCs w:val="24"/>
        </w:rPr>
        <w:t xml:space="preserve">, </w:t>
      </w:r>
      <w:r>
        <w:rPr>
          <w:rFonts w:eastAsia="Times New Roman" w:cs="Times New Roman"/>
          <w:i/>
          <w:szCs w:val="24"/>
        </w:rPr>
        <w:t>12</w:t>
      </w:r>
      <w:r>
        <w:rPr>
          <w:rFonts w:eastAsia="Times New Roman" w:cs="Times New Roman"/>
          <w:szCs w:val="24"/>
        </w:rPr>
        <w:t>(2), pp.244-258.</w:t>
      </w:r>
    </w:p>
    <w:p w14:paraId="34104179" w14:textId="77777777" w:rsidR="00D41A9F" w:rsidRDefault="00D41A9F" w:rsidP="00D41A9F">
      <w:pPr>
        <w:spacing w:before="240" w:after="240"/>
        <w:rPr>
          <w:rFonts w:eastAsia="Times New Roman" w:cs="Times New Roman"/>
          <w:szCs w:val="24"/>
        </w:rPr>
      </w:pPr>
      <w:r>
        <w:rPr>
          <w:rFonts w:eastAsia="Times New Roman" w:cs="Times New Roman"/>
          <w:szCs w:val="24"/>
          <w:highlight w:val="white"/>
        </w:rPr>
        <w:t xml:space="preserve">Wynne, K.J., Petrova, M. and Coghlan, R., 2020. Dying individuals and suffering populations: applying a population-level bioethics lens to palliative care in humanitarian contexts: before, during and after the COVID-19 pandemic. </w:t>
      </w:r>
      <w:r>
        <w:rPr>
          <w:rFonts w:eastAsia="Times New Roman" w:cs="Times New Roman"/>
          <w:i/>
          <w:szCs w:val="24"/>
        </w:rPr>
        <w:t>Journal of medical ethics</w:t>
      </w:r>
      <w:r>
        <w:rPr>
          <w:rFonts w:eastAsia="Times New Roman" w:cs="Times New Roman"/>
          <w:szCs w:val="24"/>
        </w:rPr>
        <w:t xml:space="preserve">, </w:t>
      </w:r>
      <w:r>
        <w:rPr>
          <w:rFonts w:eastAsia="Times New Roman" w:cs="Times New Roman"/>
          <w:i/>
          <w:szCs w:val="24"/>
        </w:rPr>
        <w:t>46</w:t>
      </w:r>
      <w:r>
        <w:rPr>
          <w:rFonts w:eastAsia="Times New Roman" w:cs="Times New Roman"/>
          <w:szCs w:val="24"/>
        </w:rPr>
        <w:t>(8), pp.514-525.</w:t>
      </w:r>
    </w:p>
    <w:sectPr w:rsidR="00D41A9F">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08CA9" w14:textId="77777777" w:rsidR="004B3BEB" w:rsidRDefault="004B3BEB" w:rsidP="005F6AE3">
      <w:pPr>
        <w:spacing w:line="240" w:lineRule="auto"/>
      </w:pPr>
      <w:r>
        <w:separator/>
      </w:r>
    </w:p>
  </w:endnote>
  <w:endnote w:type="continuationSeparator" w:id="0">
    <w:p w14:paraId="75CC20C5" w14:textId="77777777" w:rsidR="004B3BEB" w:rsidRDefault="004B3BEB" w:rsidP="005F6A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6353864"/>
      <w:docPartObj>
        <w:docPartGallery w:val="Page Numbers (Bottom of Page)"/>
        <w:docPartUnique/>
      </w:docPartObj>
    </w:sdtPr>
    <w:sdtEndPr>
      <w:rPr>
        <w:noProof/>
      </w:rPr>
    </w:sdtEndPr>
    <w:sdtContent>
      <w:p w14:paraId="31892B1D" w14:textId="3972387E" w:rsidR="00D41A9F" w:rsidRDefault="00D41A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E2CB7B" w14:textId="77777777" w:rsidR="005F6AE3" w:rsidRDefault="005F6AE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D1FC4" w14:textId="77777777" w:rsidR="004B3BEB" w:rsidRDefault="004B3BEB" w:rsidP="005F6AE3">
      <w:pPr>
        <w:spacing w:line="240" w:lineRule="auto"/>
      </w:pPr>
      <w:r>
        <w:separator/>
      </w:r>
    </w:p>
  </w:footnote>
  <w:footnote w:type="continuationSeparator" w:id="0">
    <w:p w14:paraId="4C7644A2" w14:textId="77777777" w:rsidR="004B3BEB" w:rsidRDefault="004B3BEB" w:rsidP="005F6AE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730"/>
    <w:rsid w:val="00236923"/>
    <w:rsid w:val="004B3BEB"/>
    <w:rsid w:val="005C3BC8"/>
    <w:rsid w:val="005F6AE3"/>
    <w:rsid w:val="009E0730"/>
    <w:rsid w:val="00BD7761"/>
    <w:rsid w:val="00D41A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F56D69"/>
  <w15:chartTrackingRefBased/>
  <w15:docId w15:val="{93DEF819-DE83-40B1-899B-9E6B46882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AE3"/>
    <w:pPr>
      <w:spacing w:after="0" w:line="360" w:lineRule="auto"/>
      <w:jc w:val="both"/>
    </w:pPr>
    <w:rPr>
      <w:rFonts w:ascii="Times New Roman" w:eastAsia="Arial" w:hAnsi="Times New Roman" w:cs="Arial"/>
      <w:sz w:val="24"/>
      <w:lang w:eastAsia="zh-CN"/>
    </w:rPr>
  </w:style>
  <w:style w:type="paragraph" w:styleId="Heading1">
    <w:name w:val="heading 1"/>
    <w:basedOn w:val="Normal"/>
    <w:next w:val="Normal"/>
    <w:link w:val="Heading1Char"/>
    <w:uiPriority w:val="9"/>
    <w:qFormat/>
    <w:rsid w:val="00D41A9F"/>
    <w:pPr>
      <w:keepNext/>
      <w:keepLines/>
      <w:spacing w:before="240" w:after="240"/>
      <w:outlineLvl w:val="0"/>
    </w:pPr>
    <w:rPr>
      <w:rFonts w:eastAsia="Times New Roman" w:cs="Times New Roman"/>
      <w:b/>
      <w:szCs w:val="24"/>
      <w:lang w:val="en-GB"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F6AE3"/>
    <w:pPr>
      <w:spacing w:after="0" w:line="276" w:lineRule="auto"/>
    </w:pPr>
    <w:rPr>
      <w:rFonts w:ascii="Arial" w:eastAsia="Arial" w:hAnsi="Arial" w:cs="Arial"/>
      <w:lang w:eastAsia="zh-CN"/>
    </w:rPr>
  </w:style>
  <w:style w:type="paragraph" w:styleId="Footer">
    <w:name w:val="footer"/>
    <w:basedOn w:val="Normal"/>
    <w:link w:val="FooterChar"/>
    <w:uiPriority w:val="99"/>
    <w:unhideWhenUsed/>
    <w:rsid w:val="00D41A9F"/>
    <w:pPr>
      <w:tabs>
        <w:tab w:val="center" w:pos="4680"/>
        <w:tab w:val="right" w:pos="9360"/>
      </w:tabs>
      <w:spacing w:line="240" w:lineRule="auto"/>
      <w:jc w:val="left"/>
    </w:pPr>
    <w:rPr>
      <w:rFonts w:asciiTheme="minorHAnsi" w:eastAsiaTheme="minorEastAsia" w:hAnsiTheme="minorHAnsi" w:cs="Times New Roman"/>
      <w:sz w:val="22"/>
      <w:lang w:eastAsia="en-US"/>
    </w:rPr>
  </w:style>
  <w:style w:type="character" w:customStyle="1" w:styleId="FooterChar">
    <w:name w:val="Footer Char"/>
    <w:basedOn w:val="DefaultParagraphFont"/>
    <w:link w:val="Footer"/>
    <w:uiPriority w:val="99"/>
    <w:rsid w:val="00D41A9F"/>
    <w:rPr>
      <w:rFonts w:eastAsiaTheme="minorEastAsia" w:cs="Times New Roman"/>
    </w:rPr>
  </w:style>
  <w:style w:type="character" w:customStyle="1" w:styleId="Heading1Char">
    <w:name w:val="Heading 1 Char"/>
    <w:basedOn w:val="DefaultParagraphFont"/>
    <w:link w:val="Heading1"/>
    <w:uiPriority w:val="9"/>
    <w:rsid w:val="00D41A9F"/>
    <w:rPr>
      <w:rFonts w:ascii="Times New Roman" w:eastAsia="Times New Roman" w:hAnsi="Times New Roman" w:cs="Times New Roman"/>
      <w:b/>
      <w:sz w:val="24"/>
      <w:szCs w:val="24"/>
      <w:lang w:val="en-GB" w:eastAsia="en-IN"/>
    </w:rPr>
  </w:style>
  <w:style w:type="character" w:styleId="Hyperlink">
    <w:name w:val="Hyperlink"/>
    <w:basedOn w:val="DefaultParagraphFont"/>
    <w:uiPriority w:val="99"/>
    <w:semiHidden/>
    <w:unhideWhenUsed/>
    <w:rsid w:val="00D41A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346736">
      <w:bodyDiv w:val="1"/>
      <w:marLeft w:val="0"/>
      <w:marRight w:val="0"/>
      <w:marTop w:val="0"/>
      <w:marBottom w:val="0"/>
      <w:divBdr>
        <w:top w:val="none" w:sz="0" w:space="0" w:color="auto"/>
        <w:left w:val="none" w:sz="0" w:space="0" w:color="auto"/>
        <w:bottom w:val="none" w:sz="0" w:space="0" w:color="auto"/>
        <w:right w:val="none" w:sz="0" w:space="0" w:color="auto"/>
      </w:divBdr>
    </w:div>
    <w:div w:id="252784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esktop\Business%20Management%20Community%20Engagement%20AS2.edited.docx" TargetMode="External"/><Relationship Id="rId13" Type="http://schemas.openxmlformats.org/officeDocument/2006/relationships/hyperlink" Target="file:///C:\Users\User\Desktop\Business%20Management%20Community%20Engagement%20AS2.edited.docx" TargetMode="External"/><Relationship Id="rId3" Type="http://schemas.openxmlformats.org/officeDocument/2006/relationships/settings" Target="settings.xml"/><Relationship Id="rId7" Type="http://schemas.openxmlformats.org/officeDocument/2006/relationships/hyperlink" Target="https://moodle.uwtsd.ac.uk/course/view.php?id=3810" TargetMode="External"/><Relationship Id="rId12" Type="http://schemas.openxmlformats.org/officeDocument/2006/relationships/hyperlink" Target="file:///C:\Users\User\Desktop\Business%20Management%20Community%20Engagement%20AS2.edited.doc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User\Desktop\Business%20Management%20Community%20Engagement%20AS2.edited.docx"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file:///C:\Users\User\Desktop\Business%20Management%20Community%20Engagement%20AS2.edited.docx" TargetMode="External"/><Relationship Id="rId4" Type="http://schemas.openxmlformats.org/officeDocument/2006/relationships/webSettings" Target="webSettings.xml"/><Relationship Id="rId9" Type="http://schemas.openxmlformats.org/officeDocument/2006/relationships/hyperlink" Target="file:///C:\Users\User\Desktop\Business%20Management%20Community%20Engagement%20AS2.edited.docx" TargetMode="External"/><Relationship Id="rId14" Type="http://schemas.openxmlformats.org/officeDocument/2006/relationships/hyperlink" Target="file:///C:\Users\User\Desktop\Business%20Management%20Community%20Engagement%20AS2.edite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E9A43-7BE4-4268-AA09-0441C959C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2513</Words>
  <Characters>14326</Characters>
  <Application>Microsoft Office Word</Application>
  <DocSecurity>0</DocSecurity>
  <Lines>119</Lines>
  <Paragraphs>33</Paragraphs>
  <ScaleCrop>false</ScaleCrop>
  <Company/>
  <LinksUpToDate>false</LinksUpToDate>
  <CharactersWithSpaces>16806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dc:creator>
  <cp:keywords/>
  <dc:description/>
  <cp:lastModifiedBy>Irina</cp:lastModifiedBy>
  <cp:revision>6</cp:revision>
  <dcterms:created xsi:type="dcterms:W3CDTF">2021-09-02T11:03:00Z</dcterms:created>
  <dcterms:modified xsi:type="dcterms:W3CDTF">2021-09-02T11:15:00Z</dcterms:modified>
</cp:coreProperties>
</file>