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9.0 -->
  <w:body>
    <w:p w:rsidR="00042A90" w:rsidRPr="00D978F3" w:rsidP="00D978F3" w14:paraId="00000001" w14:textId="77777777">
      <w:pPr>
        <w:rPr>
          <w:b/>
          <w:sz w:val="32"/>
          <w:szCs w:val="32"/>
        </w:rPr>
      </w:pPr>
      <w:bookmarkStart w:id="0" w:name="_heading=h.gjdgxs" w:colFirst="0" w:colLast="0"/>
      <w:bookmarkEnd w:id="0"/>
    </w:p>
    <w:p w:rsidR="00042A90" w:rsidRPr="00D978F3" w:rsidP="00D978F3" w14:paraId="00000002" w14:textId="77777777">
      <w:pPr>
        <w:rPr>
          <w:b/>
          <w:sz w:val="32"/>
          <w:szCs w:val="32"/>
        </w:rPr>
      </w:pPr>
    </w:p>
    <w:p w:rsidR="00042A90" w:rsidRPr="00D978F3" w:rsidP="00D978F3" w14:paraId="00000003" w14:textId="77777777">
      <w:pPr>
        <w:rPr>
          <w:b/>
          <w:sz w:val="32"/>
          <w:szCs w:val="32"/>
        </w:rPr>
      </w:pPr>
    </w:p>
    <w:p w:rsidR="00EE0779" w:rsidRPr="00D978F3" w:rsidP="00D978F3" w14:paraId="4E1BB9DA" w14:textId="77777777">
      <w:pPr>
        <w:jc w:val="center"/>
        <w:rPr>
          <w:rFonts w:eastAsiaTheme="majorEastAsia"/>
          <w:b/>
          <w:spacing w:val="-10"/>
          <w:kern w:val="28"/>
          <w:sz w:val="32"/>
          <w:szCs w:val="32"/>
        </w:rPr>
      </w:pPr>
    </w:p>
    <w:p w:rsidR="00EE0779" w:rsidRPr="00D978F3" w:rsidP="00D978F3" w14:paraId="10246C22" w14:textId="77777777">
      <w:pPr>
        <w:jc w:val="center"/>
        <w:rPr>
          <w:rFonts w:eastAsiaTheme="majorEastAsia"/>
          <w:b/>
          <w:spacing w:val="-10"/>
          <w:kern w:val="28"/>
          <w:sz w:val="32"/>
          <w:szCs w:val="32"/>
        </w:rPr>
      </w:pPr>
    </w:p>
    <w:p w:rsidR="00EE0779" w:rsidRPr="00D978F3" w:rsidP="00D978F3" w14:paraId="393CA023" w14:textId="77777777">
      <w:pPr>
        <w:jc w:val="center"/>
        <w:rPr>
          <w:rFonts w:eastAsiaTheme="majorEastAsia"/>
          <w:b/>
          <w:spacing w:val="-10"/>
          <w:kern w:val="28"/>
          <w:sz w:val="32"/>
          <w:szCs w:val="32"/>
        </w:rPr>
      </w:pPr>
    </w:p>
    <w:p w:rsidR="00EE0779" w:rsidRPr="00D978F3" w:rsidP="00D978F3" w14:paraId="6633C860" w14:textId="605508BA">
      <w:pPr>
        <w:jc w:val="center"/>
        <w:rPr>
          <w:rFonts w:eastAsiaTheme="majorEastAsia"/>
          <w:b/>
          <w:spacing w:val="-10"/>
          <w:kern w:val="28"/>
          <w:sz w:val="32"/>
          <w:szCs w:val="32"/>
        </w:rPr>
      </w:pPr>
      <w:r w:rsidRPr="00D978F3">
        <w:rPr>
          <w:rFonts w:eastAsiaTheme="majorEastAsia"/>
          <w:b/>
          <w:spacing w:val="-10"/>
          <w:kern w:val="28"/>
          <w:sz w:val="32"/>
          <w:szCs w:val="32"/>
        </w:rPr>
        <w:t>Legal Process</w:t>
      </w:r>
    </w:p>
    <w:p w:rsidR="00EE0779" w:rsidRPr="00D978F3" w:rsidP="00D978F3" w14:paraId="6B9AF8CB" w14:textId="77777777">
      <w:pPr>
        <w:jc w:val="center"/>
        <w:rPr>
          <w:rFonts w:eastAsiaTheme="majorEastAsia"/>
          <w:b/>
          <w:spacing w:val="-10"/>
          <w:kern w:val="28"/>
          <w:sz w:val="32"/>
          <w:szCs w:val="32"/>
        </w:rPr>
      </w:pPr>
    </w:p>
    <w:p w:rsidR="00EE0779" w:rsidRPr="00D978F3" w:rsidP="00D978F3" w14:paraId="055336CC" w14:textId="61600C4C">
      <w:pPr>
        <w:jc w:val="center"/>
        <w:rPr>
          <w:rFonts w:eastAsiaTheme="majorEastAsia"/>
          <w:b/>
          <w:spacing w:val="-10"/>
          <w:kern w:val="28"/>
        </w:rPr>
      </w:pPr>
      <w:bookmarkStart w:id="1" w:name="_Toc141451715"/>
      <w:bookmarkStart w:id="2" w:name="_Toc141451728"/>
      <w:r w:rsidRPr="00D978F3">
        <w:rPr>
          <w:rFonts w:eastAsiaTheme="majorEastAsia"/>
          <w:b/>
          <w:spacing w:val="-10"/>
          <w:kern w:val="28"/>
        </w:rPr>
        <w:t>Discuss</w:t>
      </w:r>
      <w:r w:rsidRPr="00D978F3">
        <w:rPr>
          <w:rFonts w:eastAsiaTheme="majorEastAsia"/>
          <w:b/>
          <w:spacing w:val="-10"/>
          <w:kern w:val="28"/>
        </w:rPr>
        <w:t>ion on</w:t>
      </w:r>
      <w:r w:rsidRPr="00D978F3">
        <w:rPr>
          <w:rFonts w:eastAsiaTheme="majorEastAsia"/>
          <w:b/>
          <w:spacing w:val="-10"/>
          <w:kern w:val="28"/>
        </w:rPr>
        <w:t xml:space="preserve"> the criminal courts in England and Wales</w:t>
      </w:r>
      <w:r w:rsidRPr="00D978F3">
        <w:rPr>
          <w:rFonts w:eastAsiaTheme="majorEastAsia"/>
          <w:b/>
          <w:spacing w:val="-10"/>
          <w:kern w:val="28"/>
        </w:rPr>
        <w:t xml:space="preserve"> (</w:t>
      </w:r>
      <w:r w:rsidRPr="00D978F3">
        <w:rPr>
          <w:rFonts w:eastAsiaTheme="majorEastAsia"/>
          <w:b/>
          <w:spacing w:val="-10"/>
          <w:kern w:val="28"/>
        </w:rPr>
        <w:t>Magistrates and Crown court</w:t>
      </w:r>
      <w:r w:rsidRPr="00D978F3">
        <w:rPr>
          <w:rFonts w:eastAsiaTheme="majorEastAsia"/>
          <w:b/>
          <w:spacing w:val="-10"/>
          <w:kern w:val="28"/>
        </w:rPr>
        <w:t>)</w:t>
      </w:r>
      <w:r w:rsidRPr="00D978F3">
        <w:rPr>
          <w:rFonts w:eastAsiaTheme="majorEastAsia"/>
          <w:b/>
          <w:spacing w:val="-10"/>
          <w:kern w:val="28"/>
        </w:rPr>
        <w:t xml:space="preserve"> and the</w:t>
      </w:r>
      <w:r w:rsidRPr="00D978F3">
        <w:rPr>
          <w:rFonts w:eastAsiaTheme="majorEastAsia"/>
          <w:b/>
          <w:spacing w:val="-10"/>
          <w:kern w:val="28"/>
        </w:rPr>
        <w:t>ir</w:t>
      </w:r>
      <w:r w:rsidRPr="00D978F3">
        <w:rPr>
          <w:rFonts w:eastAsiaTheme="majorEastAsia"/>
          <w:b/>
          <w:spacing w:val="-10"/>
          <w:kern w:val="28"/>
        </w:rPr>
        <w:t xml:space="preserve"> need</w:t>
      </w:r>
      <w:r w:rsidRPr="00D978F3">
        <w:rPr>
          <w:rFonts w:eastAsiaTheme="majorEastAsia"/>
          <w:b/>
          <w:spacing w:val="-10"/>
          <w:kern w:val="28"/>
        </w:rPr>
        <w:t xml:space="preserve"> for</w:t>
      </w:r>
      <w:r w:rsidRPr="00D978F3">
        <w:rPr>
          <w:rFonts w:eastAsiaTheme="majorEastAsia"/>
          <w:b/>
          <w:spacing w:val="-10"/>
          <w:kern w:val="28"/>
        </w:rPr>
        <w:t xml:space="preserve"> reform</w:t>
      </w:r>
      <w:r w:rsidRPr="00D978F3" w:rsidR="00000000">
        <w:br w:type="page"/>
      </w:r>
    </w:p>
    <w:bookmarkEnd w:id="1"/>
    <w:bookmarkEnd w:id="2"/>
    <w:p w:rsidR="00D978F3" w:rsidRPr="00D978F3" w:rsidP="00D978F3" w14:paraId="7C7E5FA8" w14:textId="77777777">
      <w:pPr>
        <w:pStyle w:val="Heading1"/>
        <w:rPr>
          <w:rFonts w:cs="Times New Roman"/>
          <w:lang w:val="en-GB"/>
        </w:rPr>
      </w:pPr>
      <w:r w:rsidRPr="00D978F3">
        <w:rPr>
          <w:rFonts w:cs="Times New Roman"/>
          <w:lang w:val="en-GB"/>
        </w:rPr>
        <w:t>English and Welsh Justice System</w:t>
      </w:r>
    </w:p>
    <w:p w:rsidR="00D978F3" w:rsidRPr="00D978F3" w:rsidP="00D978F3" w14:paraId="1728B329" w14:textId="77777777">
      <w:pPr>
        <w:rPr>
          <w:lang w:val="en-GB" w:eastAsia="en-IN"/>
        </w:rPr>
      </w:pPr>
      <w:r w:rsidRPr="00D978F3">
        <w:rPr>
          <w:lang w:val="en-GB" w:eastAsia="en-IN"/>
        </w:rPr>
        <w:t xml:space="preserve">The judicial system in England and Wales follows what is known as English law. This rule of law governs both criminal and civil proceedings following the principles of the statutes and in their absence the common law </w:t>
      </w:r>
      <w:r w:rsidRPr="00D978F3">
        <w:rPr>
          <w:shd w:val="clear" w:color="auto" w:fill="FFFFFF"/>
          <w:lang w:val="en-GB"/>
        </w:rPr>
        <w:t>(Robson, 2022)</w:t>
      </w:r>
      <w:r w:rsidRPr="00D978F3">
        <w:rPr>
          <w:lang w:val="en-GB" w:eastAsia="en-IN"/>
        </w:rPr>
        <w:t xml:space="preserve">. The English and Welsh courts include both civil and criminal jurisdictions. Justice in Wales is administered through the English Justice system as Wales does not have their own legal system. The UK Court and Tribunals system is developed in a subordinate manner to ensure that a smooth flow of justice can be delivered on a regular basis. There have been proposals for a unique legal system for Welsh, to be administered by the Senedd and applicable solely in Wales, however, no such application has been finalized </w:t>
      </w:r>
      <w:r w:rsidRPr="00D978F3">
        <w:rPr>
          <w:lang w:val="en-GB" w:eastAsia="en-IN"/>
        </w:rPr>
        <w:t>as of yet</w:t>
      </w:r>
      <w:r w:rsidRPr="00D978F3">
        <w:rPr>
          <w:lang w:val="en-GB" w:eastAsia="en-IN"/>
        </w:rPr>
        <w:t>.</w:t>
      </w:r>
    </w:p>
    <w:p w:rsidR="00D978F3" w:rsidRPr="00D978F3" w:rsidP="00D978F3" w14:paraId="0F6DDA94" w14:textId="77777777">
      <w:pPr>
        <w:pStyle w:val="Heading1"/>
        <w:rPr>
          <w:rFonts w:cs="Times New Roman"/>
          <w:lang w:val="en-GB"/>
        </w:rPr>
      </w:pPr>
      <w:bookmarkStart w:id="3" w:name="_Toc141468835"/>
      <w:r w:rsidRPr="00D978F3">
        <w:rPr>
          <w:rFonts w:cs="Times New Roman"/>
          <w:lang w:val="en-GB"/>
        </w:rPr>
        <w:t>Structure of the Justice System</w:t>
      </w:r>
      <w:bookmarkEnd w:id="3"/>
    </w:p>
    <w:p w:rsidR="00D978F3" w:rsidRPr="00D978F3" w:rsidP="00D978F3" w14:paraId="04671977" w14:textId="77777777">
      <w:pPr>
        <w:rPr>
          <w:lang w:val="en-GB"/>
        </w:rPr>
      </w:pPr>
      <w:r w:rsidRPr="00D978F3">
        <w:rPr>
          <w:lang w:val="en-GB"/>
        </w:rPr>
        <w:t>The structure of the UK Justice system is based on a format which allows efficient division of power and jurisdiction. At the top of the justice system precedes the Supreme Court of the UK whose judgements and decisions are bindings on all other subordinate courts of the country. The Supreme Court of the UK deals with matters of civil as well as criminal cases pertaining to England along with Wales and Northern Ireland. As for Scotland, the Supreme Court of the UK has jurisdiction over civil matters but not criminal issues. Following the Supreme Court of the country there is the High Court which is second in power and has authority over the decisions of the subordinate courts. The high court has divided authority in terms of Family divisions and Divisional Courts whereby matters related to the Chancery division, Divisional Court, Queen's bench division and administrative courts are dealt with. Following this, there are Crown Courts and County Courts which deal with matters based on their nature and intensity. County Courts deal with civil litigations along with minor criminal matters and more serious criminal issues are sent to the Crown Court for better judgement. Finally, there are Magistrate Courts and Tribunals out of which the Magistrate court focuses on summary offence, family proceedings and youth matters. Tribunals on the other hand are focused on hearing matters related to immigration, social security, and child support along with tax and land provisions. The strong and well-defined structure of the UK Justice system helps the country to maintain its operations with high efficiency and control.</w:t>
      </w:r>
    </w:p>
    <w:p w:rsidR="00D978F3" w:rsidRPr="00D978F3" w:rsidP="00D978F3" w14:paraId="02489877" w14:textId="77777777">
      <w:pPr>
        <w:pStyle w:val="Heading1"/>
        <w:rPr>
          <w:rFonts w:cs="Times New Roman"/>
          <w:lang w:val="en-GB"/>
        </w:rPr>
      </w:pPr>
      <w:bookmarkStart w:id="4" w:name="_Toc141468836"/>
      <w:r w:rsidRPr="00D978F3">
        <w:rPr>
          <w:rFonts w:cs="Times New Roman"/>
          <w:lang w:val="en-GB"/>
        </w:rPr>
        <w:t>Criminal Courts</w:t>
      </w:r>
      <w:bookmarkEnd w:id="4"/>
    </w:p>
    <w:p w:rsidR="00D978F3" w:rsidRPr="00D978F3" w:rsidP="00D978F3" w14:paraId="360DC37B" w14:textId="77777777">
      <w:pPr>
        <w:rPr>
          <w:lang w:val="en-GB" w:eastAsia="en-IN"/>
        </w:rPr>
      </w:pPr>
      <w:r w:rsidRPr="00D978F3">
        <w:rPr>
          <w:lang w:val="en-GB" w:eastAsia="en-IN"/>
        </w:rPr>
        <w:t xml:space="preserve">The United Kingdom's criminal justice system has a reputation for being one of the most stringent in the world </w:t>
      </w:r>
      <w:r w:rsidRPr="00D978F3">
        <w:rPr>
          <w:shd w:val="clear" w:color="auto" w:fill="FFFFFF"/>
          <w:lang w:val="en-GB"/>
        </w:rPr>
        <w:t>(Phoenix, 2023)</w:t>
      </w:r>
      <w:r w:rsidRPr="00D978F3">
        <w:rPr>
          <w:lang w:val="en-GB" w:eastAsia="en-IN"/>
        </w:rPr>
        <w:t xml:space="preserve">. The primary cause of this is that it was not constructed simultaneously. On the contrary, it expanded, mutated, and improved over the course of time. Adding further complexity is the fact that the United Kingdom consists of four distinct nations, each with its own set of laws </w:t>
      </w:r>
      <w:r w:rsidRPr="00D978F3">
        <w:rPr>
          <w:shd w:val="clear" w:color="auto" w:fill="FFFFFF"/>
          <w:lang w:val="en-GB"/>
        </w:rPr>
        <w:t>(Antoniou, 2022)</w:t>
      </w:r>
      <w:r w:rsidRPr="00D978F3">
        <w:rPr>
          <w:lang w:val="en-GB" w:eastAsia="en-IN"/>
        </w:rPr>
        <w:t xml:space="preserve">. This means that one country </w:t>
      </w:r>
      <w:r w:rsidRPr="00D978F3">
        <w:rPr>
          <w:lang w:val="en-GB" w:eastAsia="en-IN"/>
        </w:rPr>
        <w:t>actually has</w:t>
      </w:r>
      <w:r w:rsidRPr="00D978F3">
        <w:rPr>
          <w:lang w:val="en-GB" w:eastAsia="en-IN"/>
        </w:rPr>
        <w:t xml:space="preserve"> three separate criminal justice systems operating within its borders. The severity and nature of the offence committed determine the approach taken to the case. </w:t>
      </w:r>
      <w:r w:rsidRPr="00D978F3">
        <w:rPr>
          <w:lang w:val="en-GB" w:eastAsia="en-IN"/>
        </w:rPr>
        <w:t>The majority of</w:t>
      </w:r>
      <w:r w:rsidRPr="00D978F3">
        <w:rPr>
          <w:lang w:val="en-GB" w:eastAsia="en-IN"/>
        </w:rPr>
        <w:t xml:space="preserve"> criminal cases start in the Magistrates' Court. The Crown Court will hear cases that involve very serious crimes or complex legal issues. The High Court would hear any appeals from cases heard in the Crown Court. In exceptional instances, the matter may be heard by the Supreme Court.</w:t>
      </w:r>
    </w:p>
    <w:p w:rsidR="00D978F3" w:rsidRPr="00D978F3" w:rsidP="00D978F3" w14:paraId="49110CA5" w14:textId="77777777">
      <w:pPr>
        <w:pStyle w:val="Heading1"/>
        <w:rPr>
          <w:rFonts w:cs="Times New Roman"/>
          <w:shd w:val="clear" w:color="auto" w:fill="FFFFFF"/>
          <w:lang w:val="en-GB"/>
        </w:rPr>
      </w:pPr>
      <w:bookmarkStart w:id="5" w:name="_Toc141468837"/>
      <w:r w:rsidRPr="00D978F3">
        <w:rPr>
          <w:rFonts w:cs="Times New Roman"/>
          <w:shd w:val="clear" w:color="auto" w:fill="FFFFFF"/>
          <w:lang w:val="en-GB"/>
        </w:rPr>
        <w:t>The Magistrates</w:t>
      </w:r>
      <w:bookmarkEnd w:id="5"/>
      <w:r w:rsidRPr="00D978F3">
        <w:rPr>
          <w:rFonts w:cs="Times New Roman"/>
          <w:shd w:val="clear" w:color="auto" w:fill="FFFFFF"/>
          <w:lang w:val="en-GB"/>
        </w:rPr>
        <w:t xml:space="preserve"> and lay people</w:t>
      </w:r>
    </w:p>
    <w:p w:rsidR="00D978F3" w:rsidRPr="00D978F3" w:rsidP="00D978F3" w14:paraId="2E1EE0F2" w14:textId="77777777">
      <w:pPr>
        <w:rPr>
          <w:lang w:val="en-GB" w:eastAsia="en-IN"/>
        </w:rPr>
      </w:pPr>
      <w:r w:rsidRPr="00D978F3">
        <w:rPr>
          <w:lang w:val="en-GB" w:eastAsia="en-IN"/>
        </w:rPr>
        <w:t xml:space="preserve">The magistrate in the UK are individuals who have the authority to impose fines and give sentence for imprisonment for </w:t>
      </w:r>
      <w:r w:rsidRPr="00D978F3">
        <w:rPr>
          <w:lang w:val="en-GB" w:eastAsia="en-IN"/>
        </w:rPr>
        <w:t>a period of time</w:t>
      </w:r>
      <w:r w:rsidRPr="00D978F3">
        <w:rPr>
          <w:lang w:val="en-GB" w:eastAsia="en-IN"/>
        </w:rPr>
        <w:t xml:space="preserve">. The appointment is based on specific qualities although there are no on-paper qualifications for such appointment. The power of the magistrate and their duties are defined and controlled by multiple Acts of the English Legislation including the </w:t>
      </w:r>
      <w:r w:rsidRPr="00D978F3">
        <w:rPr>
          <w:b/>
          <w:bCs/>
          <w:i/>
          <w:iCs/>
          <w:lang w:val="en-GB" w:eastAsia="en-IN"/>
        </w:rPr>
        <w:t>Courts Act 2003</w:t>
      </w:r>
      <w:r w:rsidRPr="00D978F3">
        <w:rPr>
          <w:lang w:val="en-GB" w:eastAsia="en-IN"/>
        </w:rPr>
        <w:t xml:space="preserve">. Small cases are heard without juries in the locally administered Magistrates' Courts. Most civil proceedings, such as those involving a family member, also take place in these courts. Cases that do not warrant an indictment are heard in magistrate Courts. Crown Courts are the venues for legal proceedings involving criminal charges. Magistrates' courts hear very brief summaries of criminal cases </w:t>
      </w:r>
      <w:r w:rsidRPr="00D978F3">
        <w:rPr>
          <w:shd w:val="clear" w:color="auto" w:fill="FFFFFF"/>
          <w:lang w:val="en-GB"/>
        </w:rPr>
        <w:t>(Banwell-Moore, 2023)</w:t>
      </w:r>
      <w:r w:rsidRPr="00D978F3">
        <w:rPr>
          <w:lang w:val="en-GB" w:eastAsia="en-IN"/>
        </w:rPr>
        <w:t xml:space="preserve">. Lay Magistrates on the other hand are local individuals who have knowledge and help in providing justice based on their knowledge and experience along with the aid of legal advisers who has the necessary knowledge for the matter in trial. The main aim of the lay magistrates is to support the magistrates to hear matters. In family courts, the District Judge sits </w:t>
      </w:r>
      <w:r w:rsidRPr="00D978F3">
        <w:rPr>
          <w:lang w:val="en-GB" w:eastAsia="en-IN"/>
        </w:rPr>
        <w:t>with</w:t>
      </w:r>
      <w:r w:rsidRPr="00D978F3">
        <w:rPr>
          <w:lang w:val="en-GB" w:eastAsia="en-IN"/>
        </w:rPr>
        <w:t xml:space="preserve"> the company of two lay magistrates to aid him in decision-making.</w:t>
      </w:r>
    </w:p>
    <w:p w:rsidR="00D978F3" w:rsidRPr="00D978F3" w:rsidP="00D978F3" w14:paraId="71A876EF" w14:textId="77777777">
      <w:pPr>
        <w:pStyle w:val="Heading1"/>
        <w:rPr>
          <w:rFonts w:cs="Times New Roman"/>
          <w:lang w:val="en-GB"/>
        </w:rPr>
      </w:pPr>
      <w:bookmarkStart w:id="6" w:name="_Toc141468838"/>
      <w:r w:rsidRPr="00D978F3">
        <w:rPr>
          <w:rFonts w:cs="Times New Roman"/>
          <w:lang w:val="en-GB"/>
        </w:rPr>
        <w:t>Cost-effectiveness</w:t>
      </w:r>
      <w:bookmarkEnd w:id="6"/>
    </w:p>
    <w:p w:rsidR="00D978F3" w:rsidRPr="00D978F3" w:rsidP="00D978F3" w14:paraId="66E7928D" w14:textId="330E43BC">
      <w:pPr>
        <w:rPr>
          <w:lang w:val="en-GB"/>
        </w:rPr>
      </w:pPr>
      <w:r w:rsidRPr="00D978F3">
        <w:rPr>
          <w:lang w:val="en-GB"/>
        </w:rPr>
        <w:t>The "small disputes track" of the County Court handles claims with a value of less than £10,000 in accordance with the Rules of Civil Procedure of 1998</w:t>
      </w:r>
      <w:r w:rsidRPr="00D978F3">
        <w:rPr>
          <w:lang w:val="en-GB"/>
        </w:rPr>
        <w:t xml:space="preserve"> </w:t>
      </w:r>
      <w:r w:rsidRPr="00D978F3">
        <w:rPr>
          <w:shd w:val="clear" w:color="auto" w:fill="FFFFFF"/>
          <w:lang w:val="en-GB"/>
        </w:rPr>
        <w:t>(</w:t>
      </w:r>
      <w:r w:rsidRPr="00D978F3">
        <w:t>Legislation.gov.uk, 2023</w:t>
      </w:r>
      <w:r w:rsidRPr="00D978F3">
        <w:rPr>
          <w:shd w:val="clear" w:color="auto" w:fill="FFFFFF"/>
          <w:lang w:val="en-GB"/>
        </w:rPr>
        <w:t>)</w:t>
      </w:r>
      <w:r w:rsidRPr="00D978F3">
        <w:rPr>
          <w:lang w:val="en-GB"/>
        </w:rPr>
        <w:t xml:space="preserve">. Many people </w:t>
      </w:r>
      <w:r w:rsidRPr="00D978F3">
        <w:rPr>
          <w:lang w:val="en-GB"/>
        </w:rPr>
        <w:t xml:space="preserve">mistakenly believe that this is a separate "little claims court," but the two are </w:t>
      </w:r>
      <w:r w:rsidRPr="00D978F3">
        <w:rPr>
          <w:lang w:val="en-GB"/>
        </w:rPr>
        <w:t>actually identical</w:t>
      </w:r>
      <w:r w:rsidRPr="00D978F3">
        <w:rPr>
          <w:lang w:val="en-GB"/>
        </w:rPr>
        <w:t xml:space="preserve">. The "rapid track" is for cases that can be tested in a single day and are worth between £10,000 and $25,000. For claims over £25,000, there is a special "multi-track" process. </w:t>
      </w:r>
    </w:p>
    <w:p w:rsidR="00D978F3" w:rsidRPr="00D978F3" w:rsidP="00D978F3" w14:paraId="5CEE226F" w14:textId="77777777">
      <w:pPr>
        <w:pStyle w:val="Heading1"/>
        <w:rPr>
          <w:rFonts w:cs="Times New Roman"/>
          <w:lang w:val="en-GB"/>
        </w:rPr>
      </w:pPr>
      <w:bookmarkStart w:id="7" w:name="_Toc141468839"/>
      <w:r w:rsidRPr="00D978F3">
        <w:rPr>
          <w:rFonts w:cs="Times New Roman"/>
          <w:lang w:val="en-GB"/>
        </w:rPr>
        <w:t>The speed that cases are heard</w:t>
      </w:r>
      <w:bookmarkEnd w:id="7"/>
    </w:p>
    <w:p w:rsidR="00D978F3" w:rsidRPr="00D978F3" w:rsidP="00D978F3" w14:paraId="36ABD5CA" w14:textId="20AD2886">
      <w:pPr>
        <w:rPr>
          <w:rFonts w:eastAsiaTheme="majorEastAsia"/>
          <w:szCs w:val="32"/>
          <w:lang w:val="en-GB"/>
        </w:rPr>
      </w:pPr>
      <w:r w:rsidRPr="00D978F3">
        <w:rPr>
          <w:lang w:val="en-GB" w:eastAsia="en-IN"/>
        </w:rPr>
        <w:t>Since 2010, the average duration between the commission of a crime and the conclusion of an investigation has increased. In 2021, the typical time period from the commission of an offence to the conclusion of a case was 196 days. However, this is subjective to the nature of the matter in question. Usually in Crown courts, a contested trial can be decided within months or more than a year based on the facts of the matter</w:t>
      </w:r>
      <w:r w:rsidRPr="00D978F3">
        <w:rPr>
          <w:lang w:val="en-GB" w:eastAsia="en-IN"/>
        </w:rPr>
        <w:t xml:space="preserve"> (</w:t>
      </w:r>
      <w:r w:rsidRPr="00D978F3">
        <w:rPr>
          <w:shd w:val="clear" w:color="auto" w:fill="FFFFFF"/>
          <w:lang w:val="en-GB"/>
        </w:rPr>
        <w:t>Bosland and Townend, 2023</w:t>
      </w:r>
      <w:r w:rsidRPr="00D978F3">
        <w:rPr>
          <w:lang w:val="en-GB" w:eastAsia="en-IN"/>
        </w:rPr>
        <w:t>)</w:t>
      </w:r>
      <w:r w:rsidRPr="00D978F3">
        <w:rPr>
          <w:lang w:val="en-GB" w:eastAsia="en-IN"/>
        </w:rPr>
        <w:t xml:space="preserve">. However, in terms of Magistrate courts, the matters are usually dealt with within a period of months to ensure fast-track judgement can be provided to the parties involved. The approach of the Fast-track process is being applied in the United Kingdom on matters which exceed a financial value of more than £10,000 and £25,000. However, not all matters are tried under this process </w:t>
      </w:r>
      <w:r w:rsidRPr="00D978F3">
        <w:rPr>
          <w:lang w:val="en-GB" w:eastAsia="en-IN"/>
        </w:rPr>
        <w:t>as of yet</w:t>
      </w:r>
      <w:r w:rsidRPr="00D978F3">
        <w:rPr>
          <w:lang w:val="en-GB" w:eastAsia="en-IN"/>
        </w:rPr>
        <w:t xml:space="preserve">. </w:t>
      </w:r>
    </w:p>
    <w:p w:rsidR="00D978F3" w:rsidRPr="00D978F3" w:rsidP="00D978F3" w14:paraId="79357B93" w14:textId="77777777">
      <w:pPr>
        <w:pStyle w:val="Heading1"/>
        <w:rPr>
          <w:rFonts w:cs="Times New Roman"/>
          <w:shd w:val="clear" w:color="auto" w:fill="FFFFFF"/>
          <w:lang w:val="en-GB"/>
        </w:rPr>
      </w:pPr>
      <w:bookmarkStart w:id="8" w:name="_Toc141468840"/>
      <w:r w:rsidRPr="00D978F3">
        <w:rPr>
          <w:rFonts w:cs="Times New Roman"/>
          <w:shd w:val="clear" w:color="auto" w:fill="FFFFFF"/>
          <w:lang w:val="en-GB"/>
        </w:rPr>
        <w:t>Crown Court</w:t>
      </w:r>
      <w:bookmarkEnd w:id="8"/>
      <w:r w:rsidRPr="00D978F3">
        <w:rPr>
          <w:rFonts w:cs="Times New Roman"/>
          <w:shd w:val="clear" w:color="auto" w:fill="FFFFFF"/>
          <w:lang w:val="en-GB"/>
        </w:rPr>
        <w:t xml:space="preserve"> and lay magistrates</w:t>
      </w:r>
    </w:p>
    <w:p w:rsidR="00D978F3" w:rsidRPr="00D978F3" w:rsidP="00D978F3" w14:paraId="13D2A466" w14:textId="77777777">
      <w:pPr>
        <w:rPr>
          <w:lang w:val="en-GB"/>
        </w:rPr>
      </w:pPr>
      <w:r w:rsidRPr="00D978F3">
        <w:rPr>
          <w:lang w:val="en-GB"/>
        </w:rPr>
        <w:t xml:space="preserve">In England and Wales, the Crown Court must first hear criminal cases. It handles appeals from lower courts' rulings and considers cases for all indictable offences as well as some grey areas. There are 92 locations in England and Wales where the Crown Court holds sessions which are known as a circuit. The Crown Court hears both original criminal proceedings and appeals. A modest number of civil cases are also heard and appealed by this court which was made possible by the </w:t>
      </w:r>
      <w:r w:rsidRPr="00E96ED0">
        <w:rPr>
          <w:b/>
          <w:bCs/>
          <w:i/>
          <w:iCs/>
          <w:lang w:val="en-GB"/>
        </w:rPr>
        <w:t>Courts Act of 1971</w:t>
      </w:r>
      <w:r w:rsidRPr="00D978F3">
        <w:rPr>
          <w:lang w:val="en-GB"/>
        </w:rPr>
        <w:t xml:space="preserve"> </w:t>
      </w:r>
      <w:r w:rsidRPr="00D978F3">
        <w:rPr>
          <w:shd w:val="clear" w:color="auto" w:fill="FFFFFF"/>
          <w:lang w:val="en-GB"/>
        </w:rPr>
        <w:t>(</w:t>
      </w:r>
      <w:r w:rsidRPr="00D978F3">
        <w:rPr>
          <w:shd w:val="clear" w:color="auto" w:fill="FFFFFF"/>
          <w:lang w:val="en-GB"/>
        </w:rPr>
        <w:t>Abramovaite</w:t>
      </w:r>
      <w:r w:rsidRPr="00D978F3">
        <w:rPr>
          <w:shd w:val="clear" w:color="auto" w:fill="FFFFFF"/>
          <w:lang w:val="en-GB"/>
        </w:rPr>
        <w:t xml:space="preserve"> et al., 2022)</w:t>
      </w:r>
      <w:r w:rsidRPr="00D978F3">
        <w:rPr>
          <w:lang w:val="en-GB"/>
        </w:rPr>
        <w:t>. The Crown Court can also take over the functions of the magistrates' courts. The sole court in England and Wales authorised to hear cases on indictment is the Crown Court. The matters in the crown court are heard by qualified Judges who are often assisted by Lay Magistrates. The main aim of the Lay Magistrates is to aid the decision-making process of the Judges. The Lay magistrates are further supported by a clerk who is also known as a legal advisor.</w:t>
      </w:r>
    </w:p>
    <w:p w:rsidR="00D978F3" w:rsidRPr="00D978F3" w:rsidP="00D978F3" w14:paraId="12F9A969" w14:textId="77777777">
      <w:pPr>
        <w:pStyle w:val="Heading1"/>
        <w:rPr>
          <w:rFonts w:cs="Times New Roman"/>
          <w:lang w:val="en-GB" w:eastAsia="en-IN"/>
        </w:rPr>
      </w:pPr>
      <w:bookmarkStart w:id="9" w:name="_Toc141468841"/>
      <w:r w:rsidRPr="00D978F3">
        <w:rPr>
          <w:rFonts w:cs="Times New Roman"/>
          <w:lang w:val="en-GB" w:eastAsia="en-IN"/>
        </w:rPr>
        <w:t>Juries Act 1974</w:t>
      </w:r>
      <w:bookmarkEnd w:id="9"/>
    </w:p>
    <w:p w:rsidR="00D978F3" w:rsidRPr="00D978F3" w:rsidP="00D978F3" w14:paraId="0EE4D825" w14:textId="77777777">
      <w:pPr>
        <w:rPr>
          <w:lang w:val="en-GB" w:eastAsia="en-IN"/>
        </w:rPr>
      </w:pPr>
      <w:r w:rsidRPr="00D978F3">
        <w:rPr>
          <w:lang w:val="en-GB"/>
        </w:rPr>
        <w:t xml:space="preserve">The British Parliament passed a law in 1974 that went by the name of the </w:t>
      </w:r>
      <w:r w:rsidRPr="00E96ED0">
        <w:rPr>
          <w:b/>
          <w:bCs/>
          <w:i/>
          <w:iCs/>
          <w:lang w:val="en-GB"/>
        </w:rPr>
        <w:t>Juries Act</w:t>
      </w:r>
      <w:r w:rsidRPr="00D978F3">
        <w:rPr>
          <w:lang w:val="en-GB"/>
        </w:rPr>
        <w:t xml:space="preserve">. Long title: "to combine specific laws concerning juries, judges, and the jury process with modifications and enhancements established pursuant to the </w:t>
      </w:r>
      <w:r w:rsidRPr="00E96ED0">
        <w:rPr>
          <w:b/>
          <w:bCs/>
          <w:i/>
          <w:iCs/>
          <w:lang w:val="en-GB"/>
        </w:rPr>
        <w:t>Consolidation of Enactments (Procedure) Act 1949</w:t>
      </w:r>
      <w:r w:rsidRPr="00D978F3">
        <w:rPr>
          <w:lang w:val="en-GB"/>
        </w:rPr>
        <w:t xml:space="preserve">." The Act lays out the rules for serving on a jury in England and Wales, including who is qualified to take such roles. The citizen who meets the requirements of the Act is eligible to serve as a juror or be summoned to serve on a jury in the Crown Court, the High Court, or county courts </w:t>
      </w:r>
      <w:r w:rsidRPr="00D978F3">
        <w:rPr>
          <w:shd w:val="clear" w:color="auto" w:fill="FFFFFF"/>
          <w:lang w:val="en-GB"/>
        </w:rPr>
        <w:t>(Franklin, 2023)</w:t>
      </w:r>
      <w:r w:rsidRPr="00D978F3">
        <w:rPr>
          <w:lang w:val="en-GB"/>
        </w:rPr>
        <w:t>. The main aim of this Act is to lay down the rules and regulations related to the eligibility and summoning of the Juries who are to help in legal decision-making. The Juries might have their opinions on matters but the final decision-making power lies under the discretion of the Judges or Magistrates present in the Court.</w:t>
      </w:r>
    </w:p>
    <w:p w:rsidR="00D978F3" w:rsidRPr="00D978F3" w:rsidP="00D978F3" w14:paraId="7C44C35A" w14:textId="77777777">
      <w:pPr>
        <w:pStyle w:val="Heading1"/>
        <w:rPr>
          <w:rFonts w:cs="Times New Roman"/>
          <w:lang w:val="en-GB" w:eastAsia="en-IN"/>
        </w:rPr>
      </w:pPr>
      <w:bookmarkStart w:id="10" w:name="_Toc141468842"/>
      <w:r w:rsidRPr="00D978F3">
        <w:rPr>
          <w:rFonts w:cs="Times New Roman"/>
          <w:lang w:val="en-GB" w:eastAsia="en-IN"/>
        </w:rPr>
        <w:t>Reforms and Suggestions</w:t>
      </w:r>
      <w:bookmarkEnd w:id="10"/>
    </w:p>
    <w:p w:rsidR="00D978F3" w:rsidRPr="00D978F3" w:rsidP="00D978F3" w14:paraId="75075192" w14:textId="77777777">
      <w:pPr>
        <w:rPr>
          <w:lang w:val="en-GB" w:eastAsia="en-IN"/>
        </w:rPr>
      </w:pPr>
      <w:r w:rsidRPr="00D978F3">
        <w:rPr>
          <w:lang w:val="en-GB" w:eastAsia="en-IN"/>
        </w:rPr>
        <w:t xml:space="preserve">The Justice system in the United Kingdom and Wales is very strong and in no immediate need for reform. However, it is essential to understand that changing times require fluidity and being dynamic in terms of modification of the Justice System might serve as an advantage for the Countries. One of the major reforms which is required to be considered by the UK Justice system is to increase the number of appointments for Judges and magistrates along with Lay magistrates to deal with the piling of backlog cases. This will allow the country to hear more matters and deal with them with more accuracy. In addition to this the establishment of fast-track courts is another suggestion that might help in dealing with these issues. However, it is essential to be understood that justice although delayed should not be inaccurate and while trying to remove backlogs and development of fast-track courts there should not be any form of mistakes in terms of justice.  </w:t>
      </w:r>
    </w:p>
    <w:p w:rsidR="00D978F3" w:rsidRPr="00D978F3" w:rsidP="00D978F3" w14:paraId="34D1543D" w14:textId="77777777">
      <w:pPr>
        <w:pStyle w:val="Heading1"/>
        <w:rPr>
          <w:rFonts w:eastAsia="Times New Roman" w:cs="Times New Roman"/>
          <w:szCs w:val="24"/>
          <w:lang w:val="en-GB" w:eastAsia="en-IN"/>
        </w:rPr>
      </w:pPr>
      <w:bookmarkStart w:id="11" w:name="_Toc141468843"/>
      <w:r w:rsidRPr="00D978F3">
        <w:rPr>
          <w:rFonts w:cs="Times New Roman"/>
          <w:lang w:val="en-GB" w:eastAsia="en-IN"/>
        </w:rPr>
        <w:t>Conclusion</w:t>
      </w:r>
      <w:bookmarkEnd w:id="11"/>
    </w:p>
    <w:p w:rsidR="00D978F3" w:rsidRPr="00D978F3" w:rsidP="00D978F3" w14:paraId="5D9967EC" w14:textId="77777777">
      <w:pPr>
        <w:rPr>
          <w:lang w:eastAsia="en-IN"/>
        </w:rPr>
      </w:pPr>
      <w:r w:rsidRPr="00D978F3">
        <w:rPr>
          <w:lang w:eastAsia="en-IN"/>
        </w:rPr>
        <w:t xml:space="preserve">It can be concluded from this essay that the Justice System in England and Wales are highly efficient however reforms can be brought to improve their operations further. The justice system needs to ensure that the rights of the people of the country are protected at all costs. In addition to this, the essay also sheds light on the backlog cases and the reforms that may be beneficial to overcome such issues. The constitutional separation of powers and jurisdiction of the courts and </w:t>
      </w:r>
      <w:r w:rsidRPr="00D978F3">
        <w:rPr>
          <w:lang w:eastAsia="en-IN"/>
        </w:rPr>
        <w:t xml:space="preserve">their specific activities are also discussed in the essay making it easier to understand the roles of different judicial governing bodies. </w:t>
      </w:r>
    </w:p>
    <w:p w:rsidR="00EE0779" w:rsidRPr="00D978F3" w:rsidP="00D978F3" w14:paraId="1F506D47" w14:textId="77777777">
      <w:pPr>
        <w:spacing w:after="160"/>
        <w:rPr>
          <w:rFonts w:eastAsiaTheme="majorEastAsia"/>
          <w:b/>
          <w:sz w:val="28"/>
          <w:szCs w:val="28"/>
        </w:rPr>
      </w:pPr>
      <w:r w:rsidRPr="00D978F3">
        <w:rPr>
          <w:b/>
          <w:sz w:val="28"/>
          <w:szCs w:val="28"/>
        </w:rPr>
        <w:br w:type="page"/>
      </w:r>
    </w:p>
    <w:p w:rsidR="00EE0779" w:rsidRPr="00D978F3" w:rsidP="00D978F3" w14:paraId="6B7D0F70" w14:textId="77777777">
      <w:pPr>
        <w:pStyle w:val="Heading1"/>
        <w:rPr>
          <w:rFonts w:cs="Times New Roman"/>
          <w:b w:val="0"/>
        </w:rPr>
      </w:pPr>
      <w:bookmarkStart w:id="12" w:name="_Toc141451721"/>
      <w:bookmarkStart w:id="13" w:name="_Toc141451734"/>
      <w:r w:rsidRPr="00D978F3">
        <w:rPr>
          <w:rFonts w:cs="Times New Roman"/>
        </w:rPr>
        <w:t>References</w:t>
      </w:r>
      <w:bookmarkEnd w:id="12"/>
      <w:bookmarkEnd w:id="13"/>
    </w:p>
    <w:p w:rsidR="00D978F3" w:rsidRPr="00D978F3" w:rsidP="00D978F3" w14:paraId="3952F803" w14:textId="77777777">
      <w:pPr>
        <w:rPr>
          <w:lang w:val="en-GB"/>
        </w:rPr>
      </w:pPr>
      <w:r w:rsidRPr="00D978F3">
        <w:rPr>
          <w:shd w:val="clear" w:color="auto" w:fill="FFFFFF"/>
          <w:lang w:val="en-GB"/>
        </w:rPr>
        <w:t>Abramovaite</w:t>
      </w:r>
      <w:r w:rsidRPr="00D978F3">
        <w:rPr>
          <w:shd w:val="clear" w:color="auto" w:fill="FFFFFF"/>
          <w:lang w:val="en-GB"/>
        </w:rPr>
        <w:t>, J., Bandyopadhyay, S., Bhattacharya, S. and Cowen, N., 2022. Classical deterrence theory revisited: An empirical analysis of Police Force Areas in England and Wales. </w:t>
      </w:r>
      <w:r w:rsidRPr="00D978F3">
        <w:rPr>
          <w:i/>
          <w:iCs/>
          <w:shd w:val="clear" w:color="auto" w:fill="FFFFFF"/>
          <w:lang w:val="en-GB"/>
        </w:rPr>
        <w:t>European Journal of Criminology</w:t>
      </w:r>
      <w:r w:rsidRPr="00D978F3">
        <w:rPr>
          <w:shd w:val="clear" w:color="auto" w:fill="FFFFFF"/>
          <w:lang w:val="en-GB"/>
        </w:rPr>
        <w:t>, p.14773708211072415.</w:t>
      </w:r>
      <w:hyperlink r:id="rId6" w:history="1">
        <w:r w:rsidRPr="00D978F3">
          <w:rPr>
            <w:rStyle w:val="Hyperlink"/>
            <w:color w:val="000000" w:themeColor="text1"/>
            <w:lang w:val="en-GB"/>
          </w:rPr>
          <w:t xml:space="preserve">Classical deterrence theory revisited: An empirical analysis of Police Force Areas in England and Wales - Juste </w:t>
        </w:r>
        <w:r w:rsidRPr="00D978F3">
          <w:rPr>
            <w:rStyle w:val="Hyperlink"/>
            <w:color w:val="000000" w:themeColor="text1"/>
            <w:lang w:val="en-GB"/>
          </w:rPr>
          <w:t>Abramovaite</w:t>
        </w:r>
        <w:r w:rsidRPr="00D978F3">
          <w:rPr>
            <w:rStyle w:val="Hyperlink"/>
            <w:color w:val="000000" w:themeColor="text1"/>
            <w:lang w:val="en-GB"/>
          </w:rPr>
          <w:t>, Siddhartha Bandyopadhyay, Samrat Bhattacharya, Nick Cowen, 2022 (sagepub.com)</w:t>
        </w:r>
      </w:hyperlink>
    </w:p>
    <w:p w:rsidR="00D978F3" w:rsidRPr="00D978F3" w:rsidP="00D978F3" w14:paraId="3F016F6B" w14:textId="77777777">
      <w:pPr>
        <w:rPr>
          <w:lang w:val="en-GB"/>
        </w:rPr>
      </w:pPr>
      <w:r w:rsidRPr="00D978F3">
        <w:rPr>
          <w:shd w:val="clear" w:color="auto" w:fill="FFFFFF"/>
          <w:lang w:val="en-GB"/>
        </w:rPr>
        <w:t>Antoniou, A., 2022. Broadcasters allowed to film from Crown Court sentencing hearings in England and Wales. </w:t>
      </w:r>
      <w:r w:rsidRPr="00D978F3">
        <w:rPr>
          <w:i/>
          <w:iCs/>
          <w:shd w:val="clear" w:color="auto" w:fill="FFFFFF"/>
          <w:lang w:val="en-GB"/>
        </w:rPr>
        <w:t>IRIS-Legal Observations of the European Audiovisual Observatory</w:t>
      </w:r>
      <w:r w:rsidRPr="00D978F3">
        <w:rPr>
          <w:shd w:val="clear" w:color="auto" w:fill="FFFFFF"/>
          <w:lang w:val="en-GB"/>
        </w:rPr>
        <w:t>, </w:t>
      </w:r>
      <w:r w:rsidRPr="00D978F3">
        <w:rPr>
          <w:i/>
          <w:iCs/>
          <w:shd w:val="clear" w:color="auto" w:fill="FFFFFF"/>
          <w:lang w:val="en-GB"/>
        </w:rPr>
        <w:t>2022</w:t>
      </w:r>
      <w:r w:rsidRPr="00D978F3">
        <w:rPr>
          <w:shd w:val="clear" w:color="auto" w:fill="FFFFFF"/>
          <w:lang w:val="en-GB"/>
        </w:rPr>
        <w:t>(8), pp.43-45.</w:t>
      </w:r>
      <w:hyperlink r:id="rId7" w:history="1">
        <w:r w:rsidRPr="00D978F3">
          <w:rPr>
            <w:rStyle w:val="Hyperlink"/>
            <w:color w:val="000000" w:themeColor="text1"/>
            <w:lang w:val="en-GB"/>
          </w:rPr>
          <w:t>academic.oup.com/</w:t>
        </w:r>
        <w:r w:rsidRPr="00D978F3">
          <w:rPr>
            <w:rStyle w:val="Hyperlink"/>
            <w:color w:val="000000" w:themeColor="text1"/>
            <w:lang w:val="en-GB"/>
          </w:rPr>
          <w:t>bjc</w:t>
        </w:r>
        <w:r w:rsidRPr="00D978F3">
          <w:rPr>
            <w:rStyle w:val="Hyperlink"/>
            <w:color w:val="000000" w:themeColor="text1"/>
            <w:lang w:val="en-GB"/>
          </w:rPr>
          <w:t>/article-abstract/63/4/1041/6763313</w:t>
        </w:r>
      </w:hyperlink>
    </w:p>
    <w:p w:rsidR="00D978F3" w:rsidRPr="00D978F3" w:rsidP="00D978F3" w14:paraId="351C3E07" w14:textId="77777777">
      <w:pPr>
        <w:rPr>
          <w:lang w:val="en-GB"/>
        </w:rPr>
      </w:pPr>
      <w:r w:rsidRPr="00D978F3">
        <w:rPr>
          <w:shd w:val="clear" w:color="auto" w:fill="FFFFFF"/>
          <w:lang w:val="en-GB"/>
        </w:rPr>
        <w:t xml:space="preserve">Banwell-Moore, R., 2023. Just an ‘optional </w:t>
      </w:r>
      <w:r w:rsidRPr="00D978F3">
        <w:rPr>
          <w:shd w:val="clear" w:color="auto" w:fill="FFFFFF"/>
          <w:lang w:val="en-GB"/>
        </w:rPr>
        <w:t>extra’in</w:t>
      </w:r>
      <w:r w:rsidRPr="00D978F3">
        <w:rPr>
          <w:shd w:val="clear" w:color="auto" w:fill="FFFFFF"/>
          <w:lang w:val="en-GB"/>
        </w:rPr>
        <w:t xml:space="preserve"> the ‘victim toolkit</w:t>
      </w:r>
      <w:r w:rsidRPr="00D978F3">
        <w:rPr>
          <w:shd w:val="clear" w:color="auto" w:fill="FFFFFF"/>
          <w:lang w:val="en-GB"/>
        </w:rPr>
        <w:t>’?:</w:t>
      </w:r>
      <w:r w:rsidRPr="00D978F3">
        <w:rPr>
          <w:shd w:val="clear" w:color="auto" w:fill="FFFFFF"/>
          <w:lang w:val="en-GB"/>
        </w:rPr>
        <w:t xml:space="preserve"> The culture, mechanisms and approaches of criminal justice organisations delivering restorative justice in England and Wales. </w:t>
      </w:r>
      <w:r w:rsidRPr="00D978F3">
        <w:rPr>
          <w:i/>
          <w:iCs/>
          <w:shd w:val="clear" w:color="auto" w:fill="FFFFFF"/>
          <w:lang w:val="en-GB"/>
        </w:rPr>
        <w:t>International Review of Victimology</w:t>
      </w:r>
      <w:r w:rsidRPr="00D978F3">
        <w:rPr>
          <w:shd w:val="clear" w:color="auto" w:fill="FFFFFF"/>
          <w:lang w:val="en-GB"/>
        </w:rPr>
        <w:t>, </w:t>
      </w:r>
      <w:r w:rsidRPr="00D978F3">
        <w:rPr>
          <w:i/>
          <w:iCs/>
          <w:shd w:val="clear" w:color="auto" w:fill="FFFFFF"/>
          <w:lang w:val="en-GB"/>
        </w:rPr>
        <w:t>29</w:t>
      </w:r>
      <w:r w:rsidRPr="00D978F3">
        <w:rPr>
          <w:shd w:val="clear" w:color="auto" w:fill="FFFFFF"/>
          <w:lang w:val="en-GB"/>
        </w:rPr>
        <w:t>(2), pp.217-235.</w:t>
      </w:r>
      <w:hyperlink r:id="rId8" w:history="1">
        <w:r w:rsidRPr="00D978F3">
          <w:rPr>
            <w:rStyle w:val="Hyperlink"/>
            <w:color w:val="000000" w:themeColor="text1"/>
            <w:lang w:val="en-GB"/>
          </w:rPr>
          <w:t>Just an ‘optional extra’ in the ‘victim toolkit’?: The culture, mechanisms and approaches of criminal justice organisations delivering restorative justice in England and Wales - Rebecca Banwell-Moore, 2023 (sagepub.com)</w:t>
        </w:r>
      </w:hyperlink>
    </w:p>
    <w:p w:rsidR="00D978F3" w:rsidRPr="00D978F3" w:rsidP="00D978F3" w14:paraId="17846A70" w14:textId="77777777">
      <w:pPr>
        <w:rPr>
          <w:lang w:val="en-GB"/>
        </w:rPr>
      </w:pPr>
      <w:bookmarkStart w:id="14" w:name="_Hlk141477060"/>
      <w:r w:rsidRPr="00D978F3">
        <w:rPr>
          <w:shd w:val="clear" w:color="auto" w:fill="FFFFFF"/>
          <w:lang w:val="en-GB"/>
        </w:rPr>
        <w:t>Bosland, J. and Townend, J., 2023</w:t>
      </w:r>
      <w:bookmarkEnd w:id="14"/>
      <w:r w:rsidRPr="00D978F3">
        <w:rPr>
          <w:shd w:val="clear" w:color="auto" w:fill="FFFFFF"/>
          <w:lang w:val="en-GB"/>
        </w:rPr>
        <w:t>. Reporting Crime in the Wake of the Human Rights Act 1998: Privacy, Criminal Justice, and the Media in England &amp; Wales. In </w:t>
      </w:r>
      <w:r w:rsidRPr="00D978F3">
        <w:rPr>
          <w:i/>
          <w:iCs/>
          <w:shd w:val="clear" w:color="auto" w:fill="FFFFFF"/>
          <w:lang w:val="en-GB"/>
        </w:rPr>
        <w:t>Privacy, Technology, and the Criminal Process</w:t>
      </w:r>
      <w:r w:rsidRPr="00D978F3">
        <w:rPr>
          <w:shd w:val="clear" w:color="auto" w:fill="FFFFFF"/>
          <w:lang w:val="en-GB"/>
        </w:rPr>
        <w:t xml:space="preserve"> (pp. 242-278). </w:t>
      </w:r>
      <w:r w:rsidRPr="00D978F3">
        <w:rPr>
          <w:shd w:val="clear" w:color="auto" w:fill="FFFFFF"/>
          <w:lang w:val="en-GB"/>
        </w:rPr>
        <w:t>Routledge.</w:t>
      </w:r>
      <w:hyperlink r:id="rId9" w:history="1">
        <w:r w:rsidRPr="00D978F3">
          <w:rPr>
            <w:rStyle w:val="Hyperlink"/>
            <w:color w:val="000000" w:themeColor="text1"/>
            <w:lang w:val="en-GB"/>
          </w:rPr>
          <w:t>Reporting</w:t>
        </w:r>
        <w:r w:rsidRPr="00D978F3">
          <w:rPr>
            <w:rStyle w:val="Hyperlink"/>
            <w:color w:val="000000" w:themeColor="text1"/>
            <w:lang w:val="en-GB"/>
          </w:rPr>
          <w:t xml:space="preserve"> Crime in the Wake of the Human Rights Act 1998: Privacy, Cri (taylorfrancis.com)</w:t>
        </w:r>
      </w:hyperlink>
    </w:p>
    <w:p w:rsidR="00D978F3" w:rsidRPr="00D978F3" w:rsidP="00D978F3" w14:paraId="4DF400A3" w14:textId="77777777">
      <w:pPr>
        <w:rPr>
          <w:b/>
          <w:lang w:val="en-GB" w:eastAsia="en-IN"/>
        </w:rPr>
      </w:pPr>
      <w:r w:rsidRPr="00D978F3">
        <w:rPr>
          <w:shd w:val="clear" w:color="auto" w:fill="FFFFFF"/>
          <w:lang w:val="en-GB"/>
        </w:rPr>
        <w:t>Franklin, C.N., 2023. A legal cultural “take” on the legal system of England and Wales. In </w:t>
      </w:r>
      <w:r w:rsidRPr="00D978F3">
        <w:rPr>
          <w:i/>
          <w:iCs/>
          <w:shd w:val="clear" w:color="auto" w:fill="FFFFFF"/>
          <w:lang w:val="en-GB"/>
        </w:rPr>
        <w:t>Handbook on Legal Cultures: A Selection of the World's Legal Cultures</w:t>
      </w:r>
      <w:r w:rsidRPr="00D978F3">
        <w:rPr>
          <w:shd w:val="clear" w:color="auto" w:fill="FFFFFF"/>
          <w:lang w:val="en-GB"/>
        </w:rPr>
        <w:t xml:space="preserve"> (pp. 327-388). Cham: Springer International </w:t>
      </w:r>
      <w:r w:rsidRPr="00D978F3">
        <w:rPr>
          <w:shd w:val="clear" w:color="auto" w:fill="FFFFFF"/>
          <w:lang w:val="en-GB"/>
        </w:rPr>
        <w:t>Publishing.</w:t>
      </w:r>
      <w:hyperlink r:id="rId10" w:history="1">
        <w:r w:rsidRPr="00D978F3">
          <w:rPr>
            <w:rStyle w:val="Hyperlink"/>
            <w:color w:val="000000" w:themeColor="text1"/>
            <w:lang w:val="en-GB"/>
          </w:rPr>
          <w:t>A</w:t>
        </w:r>
        <w:r w:rsidRPr="00D978F3">
          <w:rPr>
            <w:rStyle w:val="Hyperlink"/>
            <w:color w:val="000000" w:themeColor="text1"/>
            <w:lang w:val="en-GB"/>
          </w:rPr>
          <w:t xml:space="preserve"> Legal Cultural “Take” on the Legal System of England and Wales | SpringerLink</w:t>
        </w:r>
      </w:hyperlink>
    </w:p>
    <w:p w:rsidR="00D978F3" w:rsidRPr="00D978F3" w:rsidP="00D978F3" w14:paraId="24C93EAA" w14:textId="77777777">
      <w:r w:rsidRPr="00D978F3">
        <w:t xml:space="preserve">Legislation.gov.uk, 2023 </w:t>
      </w:r>
      <w:r w:rsidRPr="00D978F3">
        <w:rPr>
          <w:i/>
          <w:iCs/>
        </w:rPr>
        <w:t>browse legislation</w:t>
      </w:r>
      <w:r w:rsidRPr="00D978F3">
        <w:t xml:space="preserve"> Available at: </w:t>
      </w:r>
      <w:hyperlink r:id="rId11" w:history="1">
        <w:r w:rsidRPr="00D978F3">
          <w:rPr>
            <w:rStyle w:val="Hyperlink"/>
            <w:color w:val="000000" w:themeColor="text1"/>
          </w:rPr>
          <w:t>https://www.legislation.gov.uk/</w:t>
        </w:r>
      </w:hyperlink>
      <w:r w:rsidRPr="00D978F3">
        <w:t xml:space="preserve"> [Accessed on 28.07.2023]</w:t>
      </w:r>
    </w:p>
    <w:p w:rsidR="00D978F3" w:rsidRPr="00D978F3" w:rsidP="00D978F3" w14:paraId="5775C43E" w14:textId="77777777">
      <w:pPr>
        <w:rPr>
          <w:lang w:val="en-GB"/>
        </w:rPr>
      </w:pPr>
      <w:r w:rsidRPr="00D978F3">
        <w:rPr>
          <w:shd w:val="clear" w:color="auto" w:fill="FFFFFF"/>
          <w:lang w:val="en-GB"/>
        </w:rPr>
        <w:t>Phoenix, J., 2023. Pre-sentence reports, magisterial discourse and agency in the Youth Courts in England and Wales. In </w:t>
      </w:r>
      <w:r w:rsidRPr="00D978F3">
        <w:rPr>
          <w:i/>
          <w:iCs/>
          <w:shd w:val="clear" w:color="auto" w:fill="FFFFFF"/>
          <w:lang w:val="en-GB"/>
        </w:rPr>
        <w:t>Juvenile Offending</w:t>
      </w:r>
      <w:r w:rsidRPr="00D978F3">
        <w:rPr>
          <w:shd w:val="clear" w:color="auto" w:fill="FFFFFF"/>
          <w:lang w:val="en-GB"/>
        </w:rPr>
        <w:t xml:space="preserve"> (pp. 233-251). </w:t>
      </w:r>
      <w:r w:rsidRPr="00D978F3">
        <w:rPr>
          <w:shd w:val="clear" w:color="auto" w:fill="FFFFFF"/>
          <w:lang w:val="en-GB"/>
        </w:rPr>
        <w:t>Routledge.</w:t>
      </w:r>
      <w:hyperlink r:id="rId12" w:history="1">
        <w:r w:rsidRPr="00D978F3">
          <w:rPr>
            <w:rStyle w:val="Hyperlink"/>
            <w:color w:val="000000" w:themeColor="text1"/>
            <w:lang w:val="en-GB"/>
          </w:rPr>
          <w:t>Pre</w:t>
        </w:r>
        <w:r w:rsidRPr="00D978F3">
          <w:rPr>
            <w:rStyle w:val="Hyperlink"/>
            <w:color w:val="000000" w:themeColor="text1"/>
            <w:lang w:val="en-GB"/>
          </w:rPr>
          <w:t>-sentence reports, magisterial discourse and agency in the Youth Co (taylorfrancis.com)</w:t>
        </w:r>
      </w:hyperlink>
    </w:p>
    <w:p w:rsidR="00E814D9" w:rsidRPr="00D978F3" w:rsidP="00D978F3" w14:paraId="6CD6FF75" w14:textId="276AFF79">
      <w:pPr>
        <w:rPr>
          <w:lang w:val="en-GB"/>
        </w:rPr>
      </w:pPr>
      <w:r w:rsidRPr="00D978F3">
        <w:rPr>
          <w:shd w:val="clear" w:color="auto" w:fill="FFFFFF"/>
          <w:lang w:val="en-GB"/>
        </w:rPr>
        <w:t>Robson, M., 2022. A suspect population? An examination of bail decision making for foreign national women in criminal courts in England and Wales.</w:t>
      </w:r>
      <w:hyperlink r:id="rId13" w:history="1">
        <w:r w:rsidRPr="00D978F3">
          <w:rPr>
            <w:rStyle w:val="Hyperlink"/>
            <w:color w:val="000000" w:themeColor="text1"/>
            <w:lang w:val="en-GB"/>
          </w:rPr>
          <w:t>griffins_research_paper_2020-01_-_full_report_0.pdf (thegriffinssociety.org)</w:t>
        </w:r>
      </w:hyperlink>
    </w:p>
    <w:sectPr w:rsidSect="00E814D9">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42A90" w14:paraId="0000000E" w14:textId="0B5B47E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814D9">
      <w:rPr>
        <w:noProof/>
        <w:color w:val="000000"/>
      </w:rPr>
      <w:t>2</w:t>
    </w:r>
    <w:r>
      <w:rPr>
        <w:color w:val="000000"/>
      </w:rPr>
      <w:fldChar w:fldCharType="end"/>
    </w:r>
  </w:p>
  <w:p w:rsidR="00042A90" w14:paraId="0000000F" w14:textId="77777777">
    <w:pPr>
      <w:pBdr>
        <w:top w:val="nil"/>
        <w:left w:val="nil"/>
        <w:bottom w:val="nil"/>
        <w:right w:val="nil"/>
        <w:between w:val="nil"/>
      </w:pBdr>
      <w:tabs>
        <w:tab w:val="center" w:pos="4680"/>
        <w:tab w:val="right" w:pos="9360"/>
      </w:tabs>
      <w:spacing w:after="0" w:line="240" w:lineRule="auto"/>
      <w:rPr>
        <w:color w:val="000000"/>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18010D6E"/>
    <w:multiLevelType w:val="multilevel"/>
    <w:tmpl w:val="D4428C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72E934D8"/>
    <w:multiLevelType w:val="multilevel"/>
    <w:tmpl w:val="1FC2D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7AC77166"/>
    <w:multiLevelType w:val="multilevel"/>
    <w:tmpl w:val="31B209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46164336">
    <w:abstractNumId w:val="2"/>
  </w:num>
  <w:num w:numId="2" w16cid:durableId="1940943217">
    <w:abstractNumId w:val="0"/>
  </w:num>
  <w:num w:numId="3" w16cid:durableId="14863130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A90"/>
    <w:rsid w:val="00042A90"/>
    <w:rsid w:val="000B2C7F"/>
    <w:rsid w:val="00161468"/>
    <w:rsid w:val="002204DE"/>
    <w:rsid w:val="00273CDD"/>
    <w:rsid w:val="00300BE5"/>
    <w:rsid w:val="00882136"/>
    <w:rsid w:val="009C1DFF"/>
    <w:rsid w:val="00A467E8"/>
    <w:rsid w:val="00CE36CC"/>
    <w:rsid w:val="00D105DA"/>
    <w:rsid w:val="00D978F3"/>
    <w:rsid w:val="00E814D9"/>
    <w:rsid w:val="00E96ED0"/>
    <w:rsid w:val="00EE0779"/>
    <w:rsid w:val="00FF23B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02190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0511"/>
    <w:rPr>
      <w:color w:val="000000" w:themeColor="text1"/>
    </w:rPr>
  </w:style>
  <w:style w:type="paragraph" w:styleId="Heading1">
    <w:name w:val="heading 1"/>
    <w:basedOn w:val="Normal"/>
    <w:next w:val="Normal"/>
    <w:link w:val="Heading1Char"/>
    <w:uiPriority w:val="9"/>
    <w:qFormat/>
    <w:rsid w:val="0054245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782667"/>
    <w:pPr>
      <w:keepNext/>
      <w:keepLines/>
      <w:spacing w:before="200" w:after="0"/>
      <w:outlineLvl w:val="1"/>
    </w:pPr>
    <w:rPr>
      <w:rFonts w:eastAsiaTheme="majorEastAsia" w:cstheme="majorBidi"/>
      <w:b/>
      <w:bCs/>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Header">
    <w:name w:val="header"/>
    <w:basedOn w:val="Normal"/>
    <w:link w:val="HeaderChar"/>
    <w:uiPriority w:val="99"/>
    <w:unhideWhenUsed/>
    <w:rsid w:val="00030E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0E3B"/>
  </w:style>
  <w:style w:type="paragraph" w:styleId="Footer">
    <w:name w:val="footer"/>
    <w:basedOn w:val="Normal"/>
    <w:link w:val="FooterChar"/>
    <w:uiPriority w:val="99"/>
    <w:unhideWhenUsed/>
    <w:rsid w:val="00030E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E3B"/>
  </w:style>
  <w:style w:type="character" w:customStyle="1" w:styleId="Heading1Char">
    <w:name w:val="Heading 1 Char"/>
    <w:basedOn w:val="DefaultParagraphFont"/>
    <w:link w:val="Heading1"/>
    <w:uiPriority w:val="9"/>
    <w:rsid w:val="00542454"/>
    <w:rPr>
      <w:rFonts w:ascii="Times New Roman" w:hAnsi="Times New Roman" w:eastAsiaTheme="majorEastAsia" w:cstheme="majorBidi"/>
      <w:b/>
      <w:bCs/>
      <w:color w:val="000000" w:themeColor="text1"/>
      <w:sz w:val="28"/>
      <w:szCs w:val="28"/>
    </w:rPr>
  </w:style>
  <w:style w:type="character" w:customStyle="1" w:styleId="Heading2Char">
    <w:name w:val="Heading 2 Char"/>
    <w:basedOn w:val="DefaultParagraphFont"/>
    <w:link w:val="Heading2"/>
    <w:uiPriority w:val="9"/>
    <w:rsid w:val="00782667"/>
    <w:rPr>
      <w:rFonts w:ascii="Times New Roman" w:hAnsi="Times New Roman" w:eastAsiaTheme="majorEastAsia" w:cstheme="majorBidi"/>
      <w:b/>
      <w:bCs/>
      <w:color w:val="000000" w:themeColor="text1"/>
      <w:sz w:val="24"/>
      <w:szCs w:val="2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Normal1">
    <w:name w:val="Normal1"/>
    <w:rsid w:val="00E814D9"/>
    <w:pPr>
      <w:spacing w:after="0" w:line="276" w:lineRule="auto"/>
      <w:jc w:val="left"/>
    </w:pPr>
    <w:rPr>
      <w:rFonts w:ascii="Arial" w:eastAsia="Arial" w:hAnsi="Arial" w:cs="Arial"/>
      <w:sz w:val="22"/>
      <w:szCs w:val="22"/>
    </w:rPr>
  </w:style>
  <w:style w:type="paragraph" w:styleId="TOC1">
    <w:name w:val="toc 1"/>
    <w:basedOn w:val="Normal"/>
    <w:next w:val="Normal"/>
    <w:autoRedefine/>
    <w:uiPriority w:val="39"/>
    <w:unhideWhenUsed/>
    <w:rsid w:val="00E814D9"/>
    <w:pPr>
      <w:spacing w:after="100"/>
    </w:pPr>
  </w:style>
  <w:style w:type="paragraph" w:styleId="TOC2">
    <w:name w:val="toc 2"/>
    <w:basedOn w:val="Normal"/>
    <w:next w:val="Normal"/>
    <w:autoRedefine/>
    <w:uiPriority w:val="39"/>
    <w:unhideWhenUsed/>
    <w:rsid w:val="00E814D9"/>
    <w:pPr>
      <w:spacing w:after="100"/>
      <w:ind w:left="240"/>
    </w:pPr>
  </w:style>
  <w:style w:type="character" w:styleId="Hyperlink">
    <w:name w:val="Hyperlink"/>
    <w:basedOn w:val="DefaultParagraphFont"/>
    <w:uiPriority w:val="99"/>
    <w:unhideWhenUsed/>
    <w:rsid w:val="00E814D9"/>
    <w:rPr>
      <w:color w:val="0000FF" w:themeColor="hyperlink"/>
      <w:u w:val="single"/>
    </w:rPr>
  </w:style>
  <w:style w:type="character" w:customStyle="1" w:styleId="TitleChar">
    <w:name w:val="Title Char"/>
    <w:basedOn w:val="DefaultParagraphFont"/>
    <w:link w:val="Title"/>
    <w:uiPriority w:val="10"/>
    <w:rsid w:val="00EE0779"/>
    <w:rPr>
      <w:b/>
      <w:color w:val="000000" w:themeColor="text1"/>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link.springer.com/chapter/10.1007/978-3-031-27745-0_10" TargetMode="External" /><Relationship Id="rId11" Type="http://schemas.openxmlformats.org/officeDocument/2006/relationships/hyperlink" Target="https://www.legislation.gov.uk/" TargetMode="External" /><Relationship Id="rId12" Type="http://schemas.openxmlformats.org/officeDocument/2006/relationships/hyperlink" Target="https://www.taylorfrancis.com/chapters/edit/10.4324/9781003424086-11/pre-sentence-reports-magisterial-discourse-agency-youth-courts-england-wales-jo-phoenix" TargetMode="External" /><Relationship Id="rId13" Type="http://schemas.openxmlformats.org/officeDocument/2006/relationships/hyperlink" Target="https://www.thegriffinssociety.org/system/files/papers/fullreport/griffins_research_paper_2020-01_-_full_report_0.pdf" TargetMode="External" /><Relationship Id="rId14" Type="http://schemas.openxmlformats.org/officeDocument/2006/relationships/footer" Target="footer1.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yperlink" Target="https://journals.sagepub.com/doi/full/10.1177/14773708211072415" TargetMode="External" /><Relationship Id="rId7" Type="http://schemas.openxmlformats.org/officeDocument/2006/relationships/hyperlink" Target="https://academic.oup.com/bjc/article-abstract/63/4/1041/6763313" TargetMode="External" /><Relationship Id="rId8" Type="http://schemas.openxmlformats.org/officeDocument/2006/relationships/hyperlink" Target="https://journals.sagepub.com/doi/full/10.1177/02697580221079993" TargetMode="External" /><Relationship Id="rId9" Type="http://schemas.openxmlformats.org/officeDocument/2006/relationships/hyperlink" Target="https://www.taylorfrancis.com/chapters/edit/10.4324/9781003111078-12/reporting-crime-wake-human-rights-act-1998-privacy-criminal-justice-media-england-wales-jason-bosland-judith-townend"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zEK0YRIRJPoAtL/oifjyTjzRbbw==">AMUW2mVz7GgHn6pucUIz01syxKbc9uN3ZFNGbw1xoI/waiK3ctmrksTnqGZsAaT3pdvmtE2eGbKa1IsRDWTpk3dGgjZBOUA147RatGuI+Gg9fJhFq+aXS0e8/mEJNJW3wCvqiVUvpmbb</go:docsCustomData>
</go:gDocsCustomXmlDataStorage>
</file>

<file path=customXml/itemProps1.xml><?xml version="1.0" encoding="utf-8"?>
<ds:datastoreItem xmlns:ds="http://schemas.openxmlformats.org/officeDocument/2006/customXml" ds:itemID="{9B9A2845-31BF-4551-9FB1-89749837707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1932</Words>
  <Characters>11015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2023-07-25T16:56:00Z</dcterms:created>
  <dcterms:modified xsi:type="dcterms:W3CDTF">2023-07-28T17:23:00Z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8c5bedde1b54456a8b39b95e2598f10c1e48e47f87b3eb6b1a731b35a9127d63</vt:lpwstr>
  </property>
</Properties>
</file>