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6029" w:rsidRDefault="009D0BD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SJIE6003 – Case Study;</w:t>
      </w:r>
    </w:p>
    <w:p w:rsidR="004C4C0D" w:rsidRPr="009D0BD7" w:rsidRDefault="007C1C57">
      <w:pPr>
        <w:rPr>
          <w:rFonts w:cs="Segoe UI"/>
          <w:b/>
          <w:i/>
          <w:color w:val="212121"/>
          <w:sz w:val="24"/>
          <w:szCs w:val="23"/>
          <w:u w:val="single"/>
          <w:shd w:val="clear" w:color="auto" w:fill="FFFFFF"/>
        </w:rPr>
      </w:pPr>
      <w:r w:rsidRPr="009D0BD7">
        <w:rPr>
          <w:rFonts w:cs="Segoe UI"/>
          <w:b/>
          <w:i/>
          <w:color w:val="212121"/>
          <w:sz w:val="24"/>
          <w:szCs w:val="23"/>
          <w:u w:val="single"/>
          <w:shd w:val="clear" w:color="auto" w:fill="FFFFFF"/>
        </w:rPr>
        <w:t>Does the school environment cause anxiety in a child with low academic ability?</w:t>
      </w:r>
    </w:p>
    <w:p w:rsidR="001120D9" w:rsidRPr="009B2E53" w:rsidRDefault="007E6029" w:rsidP="009B2E53">
      <w:pPr>
        <w:spacing w:line="360" w:lineRule="auto"/>
        <w:jc w:val="both"/>
        <w:rPr>
          <w:rFonts w:ascii="Calibri" w:hAnsi="Calibri" w:cs="Calibri"/>
          <w:color w:val="000000"/>
          <w:sz w:val="24"/>
          <w:szCs w:val="24"/>
          <w:shd w:val="clear" w:color="auto" w:fill="FFFFFF"/>
        </w:rPr>
      </w:pPr>
      <w:r w:rsidRPr="009B2E53">
        <w:rPr>
          <w:rFonts w:ascii="Calibri" w:hAnsi="Calibri" w:cs="Calibri"/>
          <w:color w:val="000000"/>
          <w:sz w:val="24"/>
          <w:szCs w:val="24"/>
          <w:shd w:val="clear" w:color="auto" w:fill="FFFFFF"/>
        </w:rPr>
        <w:t xml:space="preserve">This case study focuses on a Welsh Medium School in West Wales. This school is an integration school. Everyone is included into the school but may be excluded within the school. </w:t>
      </w:r>
      <w:r w:rsidR="001120D9" w:rsidRPr="009B2E53">
        <w:rPr>
          <w:rFonts w:ascii="Calibri" w:hAnsi="Calibri" w:cs="Calibri"/>
          <w:color w:val="000000"/>
          <w:sz w:val="24"/>
          <w:szCs w:val="24"/>
          <w:shd w:val="clear" w:color="auto" w:fill="FFFFFF"/>
        </w:rPr>
        <w:t xml:space="preserve">“Integration is a process of placing persons with disabilities in existing mainstream educational institutions, as long as the former can adjust to the standardised requirements of such institutions.” </w:t>
      </w:r>
      <w:r w:rsidR="001120D9" w:rsidRPr="009B2E53">
        <w:rPr>
          <w:rFonts w:ascii="Calibri" w:hAnsi="Calibri" w:cs="Calibri"/>
          <w:i/>
          <w:color w:val="000000"/>
          <w:sz w:val="24"/>
          <w:szCs w:val="24"/>
          <w:shd w:val="clear" w:color="auto" w:fill="FFFFFF"/>
        </w:rPr>
        <w:t>(Think Inclusive, Villegas,T.  2017)</w:t>
      </w:r>
    </w:p>
    <w:p w:rsidR="007E6029" w:rsidRPr="009B2E53" w:rsidRDefault="007E6029" w:rsidP="009B2E53">
      <w:pPr>
        <w:spacing w:line="360" w:lineRule="auto"/>
        <w:jc w:val="both"/>
        <w:rPr>
          <w:rFonts w:ascii="Calibri" w:hAnsi="Calibri" w:cs="Calibri"/>
          <w:color w:val="000000"/>
          <w:sz w:val="24"/>
          <w:szCs w:val="24"/>
          <w:shd w:val="clear" w:color="auto" w:fill="FFFFFF"/>
        </w:rPr>
      </w:pPr>
      <w:r w:rsidRPr="009B2E53">
        <w:rPr>
          <w:rFonts w:ascii="Calibri" w:hAnsi="Calibri" w:cs="Calibri"/>
          <w:color w:val="000000"/>
          <w:sz w:val="24"/>
          <w:szCs w:val="24"/>
          <w:shd w:val="clear" w:color="auto" w:fill="FFFFFF"/>
        </w:rPr>
        <w:t>For example this school has a ‘Hafan’. This is a place for pupils to go out of lessons if they have anxiety or need some chill time or for their interventions. We also have a particular room where there are three pupils who work there majority of the day. Two of these pupils have Downs Syndrome and another has Asberges. They attend some lessons but are excluded from some of the lessons due to their ability.  Although the f</w:t>
      </w:r>
      <w:r w:rsidR="00FD5EC3" w:rsidRPr="009B2E53">
        <w:rPr>
          <w:rFonts w:ascii="Calibri" w:hAnsi="Calibri" w:cs="Calibri"/>
          <w:color w:val="000000"/>
          <w:sz w:val="24"/>
          <w:szCs w:val="24"/>
          <w:shd w:val="clear" w:color="auto" w:fill="FFFFFF"/>
        </w:rPr>
        <w:t>ocus of this sch</w:t>
      </w:r>
      <w:r w:rsidRPr="009B2E53">
        <w:rPr>
          <w:rFonts w:ascii="Calibri" w:hAnsi="Calibri" w:cs="Calibri"/>
          <w:color w:val="000000"/>
          <w:sz w:val="24"/>
          <w:szCs w:val="24"/>
          <w:shd w:val="clear" w:color="auto" w:fill="FFFFFF"/>
        </w:rPr>
        <w:t xml:space="preserve">ool is to ensure everybody is included they also have an isolation room, resulting in pupils not being included in the school curriculum. This is more of a punishment room if a pupil has misbehaved badly. </w:t>
      </w:r>
      <w:r w:rsidR="00C10A11" w:rsidRPr="009B2E53">
        <w:rPr>
          <w:rFonts w:ascii="Calibri" w:hAnsi="Calibri" w:cs="Calibri"/>
          <w:color w:val="000000"/>
          <w:sz w:val="24"/>
          <w:szCs w:val="24"/>
          <w:shd w:val="clear" w:color="auto" w:fill="FFFFFF"/>
        </w:rPr>
        <w:t>After discussing with teachers and a parent there were mixed reactions. Some would argue</w:t>
      </w:r>
      <w:r w:rsidR="00FD5EC3" w:rsidRPr="009B2E53">
        <w:rPr>
          <w:rFonts w:ascii="Calibri" w:hAnsi="Calibri" w:cs="Calibri"/>
          <w:color w:val="000000"/>
          <w:sz w:val="24"/>
          <w:szCs w:val="24"/>
          <w:shd w:val="clear" w:color="auto" w:fill="FFFFFF"/>
        </w:rPr>
        <w:t xml:space="preserve"> that these pupils should be suspended for a short period and sent home. However, many of the pupils who misbehave in these situations due so in order to be sent home as they do not want to attend school therefore putting them into the isolation room is more of a punishment for them than sending them home for a period of time. </w:t>
      </w:r>
      <w:r w:rsidR="001120D9" w:rsidRPr="009B2E53">
        <w:rPr>
          <w:rFonts w:cstheme="minorHAnsi"/>
          <w:bCs/>
          <w:color w:val="000000"/>
          <w:sz w:val="24"/>
          <w:szCs w:val="24"/>
          <w:shd w:val="clear" w:color="auto" w:fill="FFFFFF"/>
        </w:rPr>
        <w:t>Placing students with disabilities within mainstream classes without accompanying structural changes to, for example, organisation, curriculum and teaching and learning strategies, does not constitute inclusion. Furthermore, integration does not automatically guarantee the transition from segregation to inclusion.</w:t>
      </w:r>
    </w:p>
    <w:p w:rsidR="00FD5EC3" w:rsidRPr="009B2E53" w:rsidRDefault="00FD5EC3" w:rsidP="009B2E53">
      <w:pPr>
        <w:spacing w:line="360" w:lineRule="auto"/>
        <w:jc w:val="both"/>
        <w:rPr>
          <w:rFonts w:ascii="Calibri" w:hAnsi="Calibri" w:cs="Calibri"/>
          <w:color w:val="000000"/>
          <w:sz w:val="24"/>
          <w:szCs w:val="24"/>
          <w:shd w:val="clear" w:color="auto" w:fill="FFFFFF"/>
        </w:rPr>
      </w:pPr>
      <w:r w:rsidRPr="009B2E53">
        <w:rPr>
          <w:rFonts w:ascii="Calibri" w:hAnsi="Calibri" w:cs="Calibri"/>
          <w:color w:val="000000"/>
          <w:sz w:val="24"/>
          <w:szCs w:val="24"/>
          <w:shd w:val="clear" w:color="auto" w:fill="FFFFFF"/>
        </w:rPr>
        <w:t xml:space="preserve">The pupil that this case study will be focusing on is a twelve year old girl in her second year of Secondary school. For the purpose of this case study, the child has been anonymised, and shall be referred to as child A. She is a twelve year old girl from a background of poverty and partial neglect. Her home life is a very hectic one of that as there are seven children and two parents in a three bed terraced council house. Her two older siblings have also attended this school. When child A is out of lessons in the intervention group she is more open to discussions and likes to be bossy and talk a lot more. As a result to her ways she does not have many friends. She tends to socialise with her sister and her friends which are a year </w:t>
      </w:r>
      <w:r w:rsidRPr="009B2E53">
        <w:rPr>
          <w:rFonts w:ascii="Calibri" w:hAnsi="Calibri" w:cs="Calibri"/>
          <w:color w:val="000000"/>
          <w:sz w:val="24"/>
          <w:szCs w:val="24"/>
          <w:shd w:val="clear" w:color="auto" w:fill="FFFFFF"/>
        </w:rPr>
        <w:lastRenderedPageBreak/>
        <w:t xml:space="preserve">older than </w:t>
      </w:r>
      <w:r w:rsidR="009D0BD7" w:rsidRPr="009B2E53">
        <w:rPr>
          <w:rFonts w:ascii="Calibri" w:hAnsi="Calibri" w:cs="Calibri"/>
          <w:color w:val="000000"/>
          <w:sz w:val="24"/>
          <w:szCs w:val="24"/>
          <w:shd w:val="clear" w:color="auto" w:fill="FFFFFF"/>
        </w:rPr>
        <w:t>her</w:t>
      </w:r>
      <w:r w:rsidRPr="009B2E53">
        <w:rPr>
          <w:rFonts w:ascii="Calibri" w:hAnsi="Calibri" w:cs="Calibri"/>
          <w:color w:val="000000"/>
          <w:sz w:val="24"/>
          <w:szCs w:val="24"/>
          <w:shd w:val="clear" w:color="auto" w:fill="FFFFFF"/>
        </w:rPr>
        <w:t xml:space="preserve">. When child A is having a good day she will be out </w:t>
      </w:r>
      <w:r w:rsidR="00B84F3F" w:rsidRPr="009B2E53">
        <w:rPr>
          <w:rFonts w:ascii="Calibri" w:hAnsi="Calibri" w:cs="Calibri"/>
          <w:color w:val="000000"/>
          <w:sz w:val="24"/>
          <w:szCs w:val="24"/>
          <w:shd w:val="clear" w:color="auto" w:fill="FFFFFF"/>
        </w:rPr>
        <w:t>break time</w:t>
      </w:r>
      <w:r w:rsidRPr="009B2E53">
        <w:rPr>
          <w:rFonts w:ascii="Calibri" w:hAnsi="Calibri" w:cs="Calibri"/>
          <w:color w:val="000000"/>
          <w:sz w:val="24"/>
          <w:szCs w:val="24"/>
          <w:shd w:val="clear" w:color="auto" w:fill="FFFFFF"/>
        </w:rPr>
        <w:t xml:space="preserve"> and lunchtime socialising. However, the majority of the time she will be in the ‘Hafan’</w:t>
      </w:r>
      <w:r w:rsidR="00B84F3F" w:rsidRPr="009B2E53">
        <w:rPr>
          <w:rFonts w:ascii="Calibri" w:hAnsi="Calibri" w:cs="Calibri"/>
          <w:color w:val="000000"/>
          <w:sz w:val="24"/>
          <w:szCs w:val="24"/>
          <w:shd w:val="clear" w:color="auto" w:fill="FFFFFF"/>
        </w:rPr>
        <w:t xml:space="preserve"> playing on the I</w:t>
      </w:r>
      <w:r w:rsidRPr="009B2E53">
        <w:rPr>
          <w:rFonts w:ascii="Calibri" w:hAnsi="Calibri" w:cs="Calibri"/>
          <w:color w:val="000000"/>
          <w:sz w:val="24"/>
          <w:szCs w:val="24"/>
          <w:shd w:val="clear" w:color="auto" w:fill="FFFFFF"/>
        </w:rPr>
        <w:t>-pad or computer with her big coat on and her hair over her face and will very rarely lift her head to communicate. When having a conversation with child A she will not make any eye contact and it has to be a conversation on her terms. If asking child A a qu</w:t>
      </w:r>
      <w:r w:rsidR="00B84F3F" w:rsidRPr="009B2E53">
        <w:rPr>
          <w:rFonts w:ascii="Calibri" w:hAnsi="Calibri" w:cs="Calibri"/>
          <w:color w:val="000000"/>
          <w:sz w:val="24"/>
          <w:szCs w:val="24"/>
          <w:shd w:val="clear" w:color="auto" w:fill="FFFFFF"/>
        </w:rPr>
        <w:t xml:space="preserve">estion she will answer very quietly or she will then shut down and be mute for the remainder of the lesson. </w:t>
      </w:r>
      <w:r w:rsidR="00567960" w:rsidRPr="009B2E53">
        <w:rPr>
          <w:rFonts w:ascii="Calibri" w:hAnsi="Calibri" w:cs="Calibri"/>
          <w:color w:val="000000"/>
          <w:sz w:val="24"/>
          <w:szCs w:val="24"/>
          <w:shd w:val="clear" w:color="auto" w:fill="FFFFFF"/>
        </w:rPr>
        <w:t xml:space="preserve">During lessons it will be very rare to get anything out of her. If she does not understand the work, again she will shut down and pull her hair in front of her face and will refuse to communicate and explain what it is that she finds difficult, this then results in her becoming anxious and storming out of the lesson. There have been times where she has walked out of the school also. When out of lessons and in the intervention groups she communicates well and works well with her group members. The ALNCo believes that child A is on the spectrum therefore she has the specialist help needed. </w:t>
      </w:r>
    </w:p>
    <w:p w:rsidR="007D23F4" w:rsidRPr="009D0BD7" w:rsidRDefault="00015114" w:rsidP="009B2E53">
      <w:pPr>
        <w:spacing w:line="360" w:lineRule="auto"/>
        <w:jc w:val="both"/>
        <w:rPr>
          <w:rFonts w:ascii="Calibri" w:hAnsi="Calibri" w:cs="Calibri"/>
          <w:color w:val="000000"/>
          <w:sz w:val="24"/>
          <w:szCs w:val="24"/>
          <w:shd w:val="clear" w:color="auto" w:fill="FFFFFF"/>
        </w:rPr>
      </w:pPr>
      <w:r w:rsidRPr="009B2E53">
        <w:rPr>
          <w:rFonts w:eastAsiaTheme="minorEastAsia"/>
          <w:sz w:val="24"/>
          <w:szCs w:val="24"/>
        </w:rPr>
        <w:t xml:space="preserve">During her years in primary school there seemed to be no interventions completed in order to build her level of literacy. She was unable to write a full sentence that made sense and unable to read anything above the reading age of 4. This made it difficult in her first few weeks of school as it knocked her self-esteem and she was often mute in the lessons. For the first school term there was very little support in her lessons as she does not have a statement or an IDP. The teachers notified the Additional Learning Needs Co-Ordinator and she was moved to a class where there was a Learning Support Assistant in every lesson. During the second term she sat various reading and spelling tests in order to see what intervention was best for her. During this term working with an LSA it proved difficult at the beginning adjusting to having the support. She was unable to see the difference between receiving support and being told what to do. Her way of dealing with this was to pull her hair in front of her face and not respond to anything the LSA would say. This was a testing term. By the end of the school year she had gained a good relationship with her LSA and not only is she no longer mute, they have regular flowing conversations and her reading age has increased from 4 years old to 7 years old. </w:t>
      </w:r>
      <w:r w:rsidR="00567960" w:rsidRPr="009B2E53">
        <w:rPr>
          <w:rFonts w:ascii="Calibri" w:hAnsi="Calibri" w:cs="Calibri"/>
          <w:color w:val="000000"/>
          <w:sz w:val="24"/>
          <w:szCs w:val="24"/>
          <w:shd w:val="clear" w:color="auto" w:fill="FFFFFF"/>
        </w:rPr>
        <w:t>We have since found out that she would regularly climb under the school gates in her Primary school and return home.</w:t>
      </w:r>
    </w:p>
    <w:p w:rsidR="00171BA4" w:rsidRPr="009B2E53" w:rsidRDefault="009F3263" w:rsidP="009B2E53">
      <w:pPr>
        <w:spacing w:line="360" w:lineRule="auto"/>
        <w:jc w:val="both"/>
        <w:rPr>
          <w:sz w:val="24"/>
          <w:szCs w:val="24"/>
        </w:rPr>
      </w:pPr>
      <w:r w:rsidRPr="009B2E53">
        <w:rPr>
          <w:sz w:val="24"/>
          <w:szCs w:val="24"/>
        </w:rPr>
        <w:t xml:space="preserve">During the time at the beginning trying to communicate and work with child A different methods were used. The writer had discussion with other members of staff on how they </w:t>
      </w:r>
      <w:r w:rsidRPr="009B2E53">
        <w:rPr>
          <w:sz w:val="24"/>
          <w:szCs w:val="24"/>
        </w:rPr>
        <w:lastRenderedPageBreak/>
        <w:t xml:space="preserve">would deal with the situations and methods they have found useful for them. </w:t>
      </w:r>
      <w:r w:rsidR="00171BA4" w:rsidRPr="009B2E53">
        <w:rPr>
          <w:sz w:val="24"/>
          <w:szCs w:val="24"/>
        </w:rPr>
        <w:t>Some suggested having a discussion with the pupil in a quiet place and completing a ‘what makes me happy or sad sheet’. These methods were not successful due to child A not wanting to discuss it</w:t>
      </w:r>
      <w:r w:rsidRPr="009B2E53">
        <w:rPr>
          <w:sz w:val="24"/>
          <w:szCs w:val="24"/>
        </w:rPr>
        <w:t xml:space="preserve">. In the end the method that worked best was one of the writers own ideas. The writer created time out cards and traffic light cards. </w:t>
      </w:r>
      <w:bookmarkStart w:id="0" w:name="_GoBack"/>
      <w:bookmarkEnd w:id="0"/>
      <w:r w:rsidR="00171BA4" w:rsidRPr="009B2E53">
        <w:rPr>
          <w:sz w:val="24"/>
          <w:szCs w:val="24"/>
        </w:rPr>
        <w:t xml:space="preserve">The idea of traffic light cards is to show when a pupil understands or does not understand the work needed to be done. By using the traffic light system it is discreet. They place the card next to their work on the desk and when the teacher is walking around the class he/she can see who to go to. Their peers do not need to know that they have asked for help by doing this. </w:t>
      </w:r>
    </w:p>
    <w:p w:rsidR="00C10A11" w:rsidRPr="009B2E53" w:rsidRDefault="00171BA4" w:rsidP="009B2E53">
      <w:pPr>
        <w:spacing w:line="360" w:lineRule="auto"/>
        <w:jc w:val="both"/>
        <w:rPr>
          <w:sz w:val="24"/>
          <w:szCs w:val="24"/>
        </w:rPr>
      </w:pPr>
      <w:r w:rsidRPr="009B2E53">
        <w:rPr>
          <w:sz w:val="24"/>
          <w:szCs w:val="24"/>
        </w:rPr>
        <w:t xml:space="preserve">The cards are red, yellow and green. RED shows that they do not understand any of the work that they need to do and needs more support. YELLOW shows they have partial understanding but may not understand some tasks that need to be carried out. GREEN shows that they have full understanding and that they can carry on with their work successfully. This allows the teacher to fully focus on those individuals who need extra support. </w:t>
      </w:r>
    </w:p>
    <w:p w:rsidR="00171BA4" w:rsidRPr="009B2E53" w:rsidRDefault="00171BA4" w:rsidP="009B2E53">
      <w:pPr>
        <w:spacing w:line="360" w:lineRule="auto"/>
        <w:jc w:val="both"/>
        <w:rPr>
          <w:sz w:val="24"/>
          <w:szCs w:val="24"/>
        </w:rPr>
      </w:pPr>
      <w:r w:rsidRPr="009B2E53">
        <w:rPr>
          <w:sz w:val="24"/>
          <w:szCs w:val="24"/>
        </w:rPr>
        <w:t>The second method is timeout cards. There are 3 different colours. The orange is to say they have left the class to go to the toilet, the yellow card is to say that they need a 5 minute break before carrying on and the purple card is to show that they are upset and have gone to see another member of staff, it could be the welfare officer or a general member of staff or for a walk. These cards allow the management of the classroom to flow throughout the lesson without as many disruptions as possible. It prevents child A from calling the teacher numerous times to ask to leave and drawing attention to herself. It also prevents child A from having to explain in front of their friends and class what is wrong and why they are upset or have to leave. Some issues are personal and they may not want others knowing what is wrong. Through experience it avoids more anxiety and upset being caused. If he/she wants to discuss with the teacher they can wait at the end after everybody has left and talk in private. This also works with the yellow cards. If they have lef</w:t>
      </w:r>
      <w:r w:rsidR="009D0BD7">
        <w:rPr>
          <w:sz w:val="24"/>
          <w:szCs w:val="24"/>
        </w:rPr>
        <w:t>t for five</w:t>
      </w:r>
      <w:r w:rsidRPr="009B2E53">
        <w:rPr>
          <w:sz w:val="24"/>
          <w:szCs w:val="24"/>
        </w:rPr>
        <w:t xml:space="preserve"> minutes there is no need for them to explain until the end of the lesson and the teacher will have more time to sit with them and listen than they would in the middle of the class. There is a negative side to these cards when the orange cards are used. It is important that the teacher monitors how many times and individual uses them throughout one lesson. Some children may use </w:t>
      </w:r>
      <w:r w:rsidRPr="009B2E53">
        <w:rPr>
          <w:sz w:val="24"/>
          <w:szCs w:val="24"/>
        </w:rPr>
        <w:lastRenderedPageBreak/>
        <w:t xml:space="preserve">them as an excuse to leave the class and go for a walk during lessons, some may use them more than once during a lesson to avoid doing their work as they may not understand the work but do not wish to use the traffic light cards and show that they do not understand. Also some children may use their orange card the same time as their friend would, resulting in them going for a ‘chat’ during their lesson. It was explained to Child A that she could only use the cards once in each </w:t>
      </w:r>
      <w:r w:rsidR="00412A1C" w:rsidRPr="009B2E53">
        <w:rPr>
          <w:sz w:val="24"/>
          <w:szCs w:val="24"/>
        </w:rPr>
        <w:t>lesson;</w:t>
      </w:r>
      <w:r w:rsidRPr="009B2E53">
        <w:rPr>
          <w:sz w:val="24"/>
          <w:szCs w:val="24"/>
        </w:rPr>
        <w:t xml:space="preserve"> especially the orange one and the LSA working with her would monitor this.</w:t>
      </w:r>
    </w:p>
    <w:p w:rsidR="00171BA4" w:rsidRPr="009B2E53" w:rsidRDefault="00171BA4" w:rsidP="009B2E53">
      <w:pPr>
        <w:spacing w:line="360" w:lineRule="auto"/>
        <w:jc w:val="both"/>
        <w:rPr>
          <w:sz w:val="24"/>
          <w:szCs w:val="24"/>
        </w:rPr>
      </w:pPr>
      <w:r w:rsidRPr="009B2E53">
        <w:rPr>
          <w:sz w:val="24"/>
          <w:szCs w:val="24"/>
        </w:rPr>
        <w:t>Many teachers also do not like the cards as they feel they are losing control of their class as many pupils are in and out during the lessons which can then be disruptive to their peers and results in them being behind in their work. However, it is important that they also have a discussion with the pupil why they are leaving so often before assuming and not allowing them to leave as they may have a medical condition.</w:t>
      </w:r>
    </w:p>
    <w:p w:rsidR="001F39B9" w:rsidRPr="009B2E53" w:rsidRDefault="00412A1C" w:rsidP="009B2E53">
      <w:pPr>
        <w:spacing w:line="360" w:lineRule="auto"/>
        <w:jc w:val="both"/>
        <w:rPr>
          <w:sz w:val="24"/>
          <w:szCs w:val="24"/>
        </w:rPr>
      </w:pPr>
      <w:r w:rsidRPr="009B2E53">
        <w:rPr>
          <w:sz w:val="24"/>
          <w:szCs w:val="24"/>
        </w:rPr>
        <w:t xml:space="preserve">After some time, child A and the LSA developed a good relationship between one another and the level of communication increased. It was then decided that child A would partake in the Fresh Start; Read, Write, Inc intervention with another two members of her class who were at the same level of ability. By running this intervention it allowed child A to be removed from Geography, History, Religious Education and French lessons. </w:t>
      </w:r>
      <w:r w:rsidR="001F39B9" w:rsidRPr="009B2E53">
        <w:rPr>
          <w:rFonts w:eastAsiaTheme="minorEastAsia"/>
          <w:sz w:val="24"/>
          <w:szCs w:val="24"/>
        </w:rPr>
        <w:t xml:space="preserve">However, the higher department and head teacher did not agree to begin with as the school policy states that pupils must attend a minimum of 6 hours of each subject fortnightly. However, </w:t>
      </w:r>
      <w:r w:rsidR="001F39B9" w:rsidRPr="009B2E53">
        <w:rPr>
          <w:sz w:val="24"/>
          <w:szCs w:val="24"/>
        </w:rPr>
        <w:t>the head of year, the ALNCo and the head of departments and the head teacher had a meeting to discuss this option and child A’s progress of work so far. It was evident to see that Child A is unlikely to gain GCSE’s and continue in these subjects therefore it was decided to remove her from these and concentrate on the core subjects and her attendance.</w:t>
      </w:r>
    </w:p>
    <w:p w:rsidR="00E10E04" w:rsidRPr="009B2E53" w:rsidRDefault="00E10E04" w:rsidP="009B2E53">
      <w:pPr>
        <w:spacing w:line="360" w:lineRule="auto"/>
        <w:jc w:val="both"/>
        <w:rPr>
          <w:sz w:val="24"/>
          <w:szCs w:val="24"/>
        </w:rPr>
      </w:pPr>
      <w:r w:rsidRPr="009B2E53">
        <w:rPr>
          <w:sz w:val="24"/>
          <w:szCs w:val="24"/>
        </w:rPr>
        <w:t xml:space="preserve">After a short discussion was held with child A she revealed that she was happy with this decision and would continue to communicate using her cards if needed or have a short discussion with her LSA if she was not happy and would no longer walk out of lessons or the school if something bothered her. </w:t>
      </w:r>
    </w:p>
    <w:p w:rsidR="00E10E04" w:rsidRPr="009B2E53" w:rsidRDefault="00E10E04" w:rsidP="009B2E53">
      <w:pPr>
        <w:spacing w:line="360" w:lineRule="auto"/>
        <w:jc w:val="both"/>
        <w:rPr>
          <w:sz w:val="24"/>
          <w:szCs w:val="24"/>
        </w:rPr>
      </w:pPr>
      <w:r w:rsidRPr="009B2E53">
        <w:rPr>
          <w:sz w:val="24"/>
          <w:szCs w:val="24"/>
        </w:rPr>
        <w:t xml:space="preserve">At the beginning of the Fresh Start module her reading age was four years old and her spelling age was seven years old. By the end of the academic year her reading age and spelling age had both increased. Her reading age was now seven years eleven months and </w:t>
      </w:r>
      <w:r w:rsidRPr="009B2E53">
        <w:rPr>
          <w:sz w:val="24"/>
          <w:szCs w:val="24"/>
        </w:rPr>
        <w:lastRenderedPageBreak/>
        <w:t xml:space="preserve">her spelling age was eight years five months. Not only had they increased her confidence started to shine during these intervention sessions. It allowed her to communicate with her peers in this group without drawing attention to herself as they were all on the same level of work and understood their work. Her anger and anxiety issues decreased as she became a lot happier within her time at school. She was no longer daunted by the thought of some lessons and knew that if needed she could have time out before continuing with her work. </w:t>
      </w:r>
    </w:p>
    <w:p w:rsidR="001F39B9" w:rsidRPr="009B2E53" w:rsidRDefault="001F39B9" w:rsidP="009B2E53">
      <w:pPr>
        <w:spacing w:line="360" w:lineRule="auto"/>
        <w:jc w:val="both"/>
        <w:rPr>
          <w:sz w:val="24"/>
          <w:szCs w:val="24"/>
        </w:rPr>
      </w:pPr>
      <w:r w:rsidRPr="009B2E53">
        <w:rPr>
          <w:rFonts w:eastAsiaTheme="minorEastAsia"/>
          <w:sz w:val="24"/>
          <w:szCs w:val="24"/>
        </w:rPr>
        <w:t xml:space="preserve">It is important that the writer observed the pupil each session to see if she was progressing or not, also to see if she understood what she had to do and if she was coping with the work. The writer observed in many ways. One of these was to listen to her read and ask her questions on what she had read, by looking at her work and correcting it if needed and the main one is to observe as the lesson develops and support when and if she needed it. </w:t>
      </w:r>
      <w:r w:rsidRPr="009B2E53">
        <w:rPr>
          <w:sz w:val="24"/>
          <w:szCs w:val="24"/>
        </w:rPr>
        <w:t xml:space="preserve">It was also important that the school referred back to their policies before making any decisions also. </w:t>
      </w:r>
      <w:r w:rsidR="00770E80" w:rsidRPr="009B2E53">
        <w:rPr>
          <w:sz w:val="24"/>
          <w:szCs w:val="24"/>
        </w:rPr>
        <w:t>After reading the</w:t>
      </w:r>
      <w:r w:rsidRPr="009B2E53">
        <w:rPr>
          <w:sz w:val="24"/>
          <w:szCs w:val="24"/>
        </w:rPr>
        <w:t xml:space="preserve"> schools </w:t>
      </w:r>
      <w:r w:rsidR="00770E80" w:rsidRPr="009B2E53">
        <w:rPr>
          <w:sz w:val="24"/>
          <w:szCs w:val="24"/>
        </w:rPr>
        <w:t xml:space="preserve">equality, inclusion, additional learning needs and the child protection </w:t>
      </w:r>
      <w:r w:rsidRPr="009B2E53">
        <w:rPr>
          <w:sz w:val="24"/>
          <w:szCs w:val="24"/>
        </w:rPr>
        <w:t xml:space="preserve">policy </w:t>
      </w:r>
      <w:r w:rsidR="00770E80" w:rsidRPr="009B2E53">
        <w:rPr>
          <w:sz w:val="24"/>
          <w:szCs w:val="24"/>
        </w:rPr>
        <w:t xml:space="preserve">it was evident </w:t>
      </w:r>
      <w:r w:rsidRPr="009B2E53">
        <w:rPr>
          <w:sz w:val="24"/>
          <w:szCs w:val="24"/>
        </w:rPr>
        <w:t xml:space="preserve">that </w:t>
      </w:r>
      <w:r w:rsidR="00770E80" w:rsidRPr="009B2E53">
        <w:rPr>
          <w:sz w:val="24"/>
          <w:szCs w:val="24"/>
        </w:rPr>
        <w:t xml:space="preserve">each policy stated that within this school, </w:t>
      </w:r>
      <w:r w:rsidRPr="009B2E53">
        <w:rPr>
          <w:sz w:val="24"/>
          <w:szCs w:val="24"/>
        </w:rPr>
        <w:t xml:space="preserve">everybody is treated equally </w:t>
      </w:r>
      <w:r w:rsidR="00770E80" w:rsidRPr="009B2E53">
        <w:rPr>
          <w:sz w:val="24"/>
          <w:szCs w:val="24"/>
        </w:rPr>
        <w:t xml:space="preserve">and has the right to education. </w:t>
      </w:r>
    </w:p>
    <w:p w:rsidR="00E10E04" w:rsidRPr="009B2E53" w:rsidRDefault="00E10E04" w:rsidP="009B2E53">
      <w:pPr>
        <w:spacing w:line="360" w:lineRule="auto"/>
        <w:jc w:val="both"/>
        <w:rPr>
          <w:rFonts w:eastAsiaTheme="minorEastAsia"/>
          <w:i/>
          <w:iCs/>
          <w:sz w:val="24"/>
          <w:szCs w:val="24"/>
        </w:rPr>
      </w:pPr>
      <w:r w:rsidRPr="009B2E53">
        <w:rPr>
          <w:rFonts w:eastAsiaTheme="minorEastAsia"/>
          <w:sz w:val="24"/>
          <w:szCs w:val="24"/>
        </w:rPr>
        <w:t xml:space="preserve">Read Write Inc, was developed by </w:t>
      </w:r>
      <w:hyperlink r:id="rId6">
        <w:r w:rsidRPr="009B2E53">
          <w:rPr>
            <w:rStyle w:val="Hyperlink"/>
            <w:rFonts w:eastAsiaTheme="minorEastAsia"/>
            <w:sz w:val="24"/>
            <w:szCs w:val="24"/>
          </w:rPr>
          <w:t>Ruth Miskin</w:t>
        </w:r>
      </w:hyperlink>
      <w:r w:rsidRPr="009B2E53">
        <w:rPr>
          <w:rFonts w:eastAsiaTheme="minorEastAsia"/>
          <w:sz w:val="24"/>
          <w:szCs w:val="24"/>
        </w:rPr>
        <w:t>. It provides a structured and systematic approach to teaching literacy. It is used by “more than a quarter of the UK's primary schools and is designed to create fluent readers, confident speakers and willing writers.”</w:t>
      </w:r>
      <w:r w:rsidRPr="009B2E53">
        <w:rPr>
          <w:rFonts w:eastAsiaTheme="minorEastAsia"/>
          <w:i/>
          <w:iCs/>
          <w:sz w:val="24"/>
          <w:szCs w:val="24"/>
        </w:rPr>
        <w:t xml:space="preserve"> Oxford University Press; Read Write Inc. No page number. </w:t>
      </w:r>
    </w:p>
    <w:p w:rsidR="00E10E04" w:rsidRPr="009B2E53" w:rsidRDefault="00E10E04" w:rsidP="009B2E53">
      <w:pPr>
        <w:spacing w:line="360" w:lineRule="auto"/>
        <w:jc w:val="both"/>
        <w:rPr>
          <w:rFonts w:eastAsiaTheme="minorEastAsia"/>
          <w:sz w:val="24"/>
          <w:szCs w:val="24"/>
        </w:rPr>
      </w:pPr>
      <w:r w:rsidRPr="009B2E53">
        <w:rPr>
          <w:rFonts w:eastAsiaTheme="minorEastAsia"/>
          <w:sz w:val="24"/>
          <w:szCs w:val="24"/>
        </w:rPr>
        <w:t xml:space="preserve">Each Read Write Inc programme meets the higher expectations of the </w:t>
      </w:r>
      <w:hyperlink r:id="rId7">
        <w:r w:rsidRPr="009B2E53">
          <w:rPr>
            <w:rStyle w:val="Hyperlink"/>
            <w:rFonts w:eastAsiaTheme="minorEastAsia"/>
            <w:sz w:val="24"/>
            <w:szCs w:val="24"/>
          </w:rPr>
          <w:t>National Curriculum</w:t>
        </w:r>
      </w:hyperlink>
      <w:r w:rsidRPr="009B2E53">
        <w:rPr>
          <w:rFonts w:eastAsiaTheme="minorEastAsia"/>
          <w:sz w:val="24"/>
          <w:szCs w:val="24"/>
        </w:rPr>
        <w:t xml:space="preserve"> and uses effective assessment to accelerate every child's progress and prepare them for the National Curriculum Tests. The </w:t>
      </w:r>
      <w:r w:rsidR="00770E80" w:rsidRPr="009B2E53">
        <w:rPr>
          <w:rFonts w:eastAsiaTheme="minorEastAsia"/>
          <w:sz w:val="24"/>
          <w:szCs w:val="24"/>
        </w:rPr>
        <w:t>programme</w:t>
      </w:r>
      <w:r w:rsidRPr="009B2E53">
        <w:rPr>
          <w:rFonts w:eastAsiaTheme="minorEastAsia"/>
          <w:sz w:val="24"/>
          <w:szCs w:val="24"/>
        </w:rPr>
        <w:t xml:space="preserve"> ensures consistent practice across your school and allows a new approach to teaching literacy for the lower ability pupils. Read Write Inc focuses on the stages of development. They need to have a good knowledge of their sounds and phonics before building words then building sentences which then leads onto flowing sentences. </w:t>
      </w:r>
    </w:p>
    <w:p w:rsidR="00E10E04" w:rsidRPr="009B2E53" w:rsidRDefault="00E10E04" w:rsidP="009B2E53">
      <w:pPr>
        <w:spacing w:line="360" w:lineRule="auto"/>
        <w:jc w:val="both"/>
        <w:rPr>
          <w:rFonts w:eastAsiaTheme="minorEastAsia"/>
          <w:sz w:val="24"/>
          <w:szCs w:val="24"/>
        </w:rPr>
      </w:pPr>
      <w:r w:rsidRPr="009B2E53">
        <w:rPr>
          <w:rFonts w:eastAsiaTheme="minorEastAsia"/>
          <w:sz w:val="24"/>
          <w:szCs w:val="24"/>
        </w:rPr>
        <w:t>During the 1960s and 1970s developmental theories continue to change based on L. S. Vygotsky’s social development theory. (</w:t>
      </w:r>
      <w:hyperlink r:id="rId8">
        <w:r w:rsidRPr="009B2E53">
          <w:rPr>
            <w:rStyle w:val="Hyperlink"/>
            <w:rFonts w:eastAsiaTheme="minorEastAsia"/>
            <w:sz w:val="24"/>
            <w:szCs w:val="24"/>
          </w:rPr>
          <w:t>1962</w:t>
        </w:r>
      </w:hyperlink>
      <w:r w:rsidRPr="009B2E53">
        <w:rPr>
          <w:rFonts w:eastAsiaTheme="minorEastAsia"/>
          <w:sz w:val="24"/>
          <w:szCs w:val="24"/>
        </w:rPr>
        <w:t xml:space="preserve"> Vygotsky, L. S.  </w:t>
      </w:r>
      <w:hyperlink r:id="rId9">
        <w:r w:rsidRPr="009B2E53">
          <w:rPr>
            <w:rStyle w:val="Hyperlink"/>
            <w:rFonts w:eastAsiaTheme="minorEastAsia"/>
            <w:sz w:val="24"/>
            <w:szCs w:val="24"/>
          </w:rPr>
          <w:t>1978</w:t>
        </w:r>
      </w:hyperlink>
      <w:r w:rsidRPr="009B2E53">
        <w:rPr>
          <w:rFonts w:eastAsiaTheme="minorEastAsia"/>
          <w:sz w:val="24"/>
          <w:szCs w:val="24"/>
        </w:rPr>
        <w:t xml:space="preserve"> Vygotsky, L. S. </w:t>
      </w:r>
      <w:r w:rsidRPr="009B2E53">
        <w:rPr>
          <w:rFonts w:eastAsiaTheme="minorEastAsia"/>
          <w:i/>
          <w:iCs/>
          <w:sz w:val="24"/>
          <w:szCs w:val="24"/>
        </w:rPr>
        <w:t>Mind in society: The development of higher psychological processes</w:t>
      </w:r>
      <w:r w:rsidRPr="009B2E53">
        <w:rPr>
          <w:rFonts w:eastAsiaTheme="minorEastAsia"/>
          <w:sz w:val="24"/>
          <w:szCs w:val="24"/>
        </w:rPr>
        <w:t xml:space="preserve">.) The main concept of the theory is that how individuals interact with others and their culture affects their mental abilities. </w:t>
      </w:r>
      <w:r w:rsidRPr="009B2E53">
        <w:rPr>
          <w:rFonts w:eastAsiaTheme="minorEastAsia"/>
          <w:sz w:val="24"/>
          <w:szCs w:val="24"/>
        </w:rPr>
        <w:lastRenderedPageBreak/>
        <w:t>Vygotsky’s work was mainly unknown to the West until it was published in 1962. He distinguishes between ‘natural’ and ‘cultural’ development. Cultural development permits individuals to learn systems of cultural behaviour, including means of reasoning. The forms of knowledge that are generated within the culture contribute to the children’s learning. They are also transmitted from those who are more refined to those who are less refined in a culture, such as adults transmit knowledge to older children who then transmit it to younger children.</w:t>
      </w:r>
    </w:p>
    <w:p w:rsidR="00171BA4" w:rsidRPr="009B2E53" w:rsidRDefault="00E10E04" w:rsidP="009B2E53">
      <w:pPr>
        <w:spacing w:line="360" w:lineRule="auto"/>
        <w:jc w:val="both"/>
        <w:rPr>
          <w:rFonts w:eastAsiaTheme="minorEastAsia"/>
          <w:sz w:val="24"/>
          <w:szCs w:val="24"/>
        </w:rPr>
      </w:pPr>
      <w:r w:rsidRPr="009B2E53">
        <w:rPr>
          <w:rFonts w:eastAsiaTheme="minorEastAsia"/>
          <w:sz w:val="24"/>
          <w:szCs w:val="24"/>
        </w:rPr>
        <w:t xml:space="preserve">The ‘zone of proximal development (ZPD)’ is a fundamental concept in Vygotsky’s theory. It is the region outside of the children’s achievement abilities where children need assistance. This type of assistance is considered to be, providing ‘scaffolding’ or helping children to progress forward. Since this type of learning is beyond the children’s developmental levels, it expands their development. Therefore, Vygotsky’s theory improves the children’s development instead of following it. </w:t>
      </w:r>
    </w:p>
    <w:p w:rsidR="00770E80" w:rsidRPr="009B2E53" w:rsidRDefault="00770E80" w:rsidP="009B2E53">
      <w:pPr>
        <w:spacing w:line="360" w:lineRule="auto"/>
        <w:jc w:val="both"/>
        <w:rPr>
          <w:rFonts w:eastAsiaTheme="minorEastAsia"/>
          <w:sz w:val="24"/>
          <w:szCs w:val="24"/>
        </w:rPr>
      </w:pPr>
      <w:r w:rsidRPr="009B2E53">
        <w:rPr>
          <w:rFonts w:eastAsiaTheme="minorEastAsia"/>
          <w:sz w:val="24"/>
          <w:szCs w:val="24"/>
        </w:rPr>
        <w:t xml:space="preserve">After many weeks of observing child A it was clear to see that she was on the Autistic spectrum and needed support. Child A does not have an IDP to follow therefore it was paramount that the school conducted their own research and observations on the pupil in order to know what was best for that pupil. </w:t>
      </w:r>
      <w:r w:rsidR="00644A54" w:rsidRPr="009B2E53">
        <w:rPr>
          <w:rFonts w:eastAsiaTheme="minorEastAsia"/>
          <w:sz w:val="24"/>
          <w:szCs w:val="24"/>
        </w:rPr>
        <w:t xml:space="preserve">After running the Fresh Start module with Child A her level of anxiety has decreased and she seems a lot happier within her school life and her school work. </w:t>
      </w:r>
    </w:p>
    <w:p w:rsidR="009B2E53" w:rsidRDefault="00080D22" w:rsidP="009B2E53">
      <w:pPr>
        <w:spacing w:line="360" w:lineRule="auto"/>
        <w:jc w:val="both"/>
        <w:rPr>
          <w:rFonts w:ascii="Segoe UI" w:hAnsi="Segoe UI" w:cs="Segoe UI"/>
          <w:color w:val="212121"/>
          <w:sz w:val="23"/>
          <w:szCs w:val="23"/>
          <w:shd w:val="clear" w:color="auto" w:fill="FFFFFF"/>
        </w:rPr>
      </w:pPr>
      <w:r w:rsidRPr="009B2E53">
        <w:rPr>
          <w:rFonts w:eastAsiaTheme="minorEastAsia"/>
          <w:sz w:val="24"/>
          <w:szCs w:val="24"/>
        </w:rPr>
        <w:t xml:space="preserve">It was evident to see that the time out cards and the traffic light cards worked well in her lessons and allowed her to communicate with her teacher without drawing attention to herself in the middle of the class. The writer also found that child A enjoyed going to the ‘Hafan’ for time out and this room worked well on occasion. If the room was busy and there was a lot of noise she would tend to sit on the bench outside this room until the inclusion officer came to see her and did not like walking in if the room was busy as it would draw attention to herself. </w:t>
      </w:r>
      <w:r w:rsidR="009B2E53" w:rsidRPr="009B2E53">
        <w:rPr>
          <w:rFonts w:eastAsiaTheme="minorEastAsia"/>
          <w:sz w:val="24"/>
          <w:szCs w:val="24"/>
        </w:rPr>
        <w:t xml:space="preserve">Therefore, does </w:t>
      </w:r>
      <w:r w:rsidR="009B2E53" w:rsidRPr="009B2E53">
        <w:rPr>
          <w:rFonts w:cs="Segoe UI"/>
          <w:color w:val="212121"/>
          <w:sz w:val="24"/>
          <w:szCs w:val="24"/>
          <w:shd w:val="clear" w:color="auto" w:fill="FFFFFF"/>
        </w:rPr>
        <w:t>the school environment cause anxiety in a child with low academic ability? The writer believes that it does. The hustle and bustle of many classrooms and corridors can prove too much for some pupils. Also the level of work and the differentiation of work can also be a cause to this ever growing problem of anxiety in schools.</w:t>
      </w:r>
    </w:p>
    <w:p w:rsidR="00644A54" w:rsidRPr="009B2E53" w:rsidRDefault="00644A54" w:rsidP="009B2E53">
      <w:pPr>
        <w:spacing w:line="360" w:lineRule="auto"/>
        <w:jc w:val="both"/>
        <w:rPr>
          <w:rFonts w:eastAsiaTheme="minorEastAsia"/>
          <w:sz w:val="24"/>
          <w:szCs w:val="24"/>
        </w:rPr>
      </w:pPr>
    </w:p>
    <w:p w:rsidR="00080D22" w:rsidRPr="009B2E53" w:rsidRDefault="00080D22" w:rsidP="009B2E53">
      <w:pPr>
        <w:spacing w:line="360" w:lineRule="auto"/>
        <w:jc w:val="both"/>
        <w:rPr>
          <w:rFonts w:eastAsiaTheme="minorEastAsia"/>
          <w:b/>
          <w:i/>
          <w:sz w:val="24"/>
          <w:szCs w:val="24"/>
          <w:u w:val="single"/>
        </w:rPr>
      </w:pPr>
      <w:r w:rsidRPr="009B2E53">
        <w:rPr>
          <w:rFonts w:eastAsiaTheme="minorEastAsia"/>
          <w:b/>
          <w:i/>
          <w:sz w:val="24"/>
          <w:szCs w:val="24"/>
          <w:u w:val="single"/>
        </w:rPr>
        <w:t xml:space="preserve">References </w:t>
      </w:r>
    </w:p>
    <w:p w:rsidR="00080D22" w:rsidRDefault="00080D22" w:rsidP="009B2E53">
      <w:pPr>
        <w:spacing w:line="360" w:lineRule="auto"/>
        <w:jc w:val="both"/>
        <w:rPr>
          <w:rFonts w:ascii="Calibri" w:eastAsia="Calibri" w:hAnsi="Calibri" w:cs="Calibri"/>
          <w:i/>
          <w:iCs/>
          <w:sz w:val="24"/>
          <w:szCs w:val="24"/>
        </w:rPr>
      </w:pPr>
      <w:r w:rsidRPr="009B2E53">
        <w:rPr>
          <w:rFonts w:eastAsiaTheme="minorEastAsia"/>
          <w:i/>
          <w:iCs/>
          <w:sz w:val="24"/>
          <w:szCs w:val="24"/>
        </w:rPr>
        <w:t xml:space="preserve">Miskin,R. (no year) Oxford University Press; Read Write Inc. No page number. [available at: </w:t>
      </w:r>
      <w:hyperlink r:id="rId10">
        <w:r w:rsidRPr="009B2E53">
          <w:rPr>
            <w:rStyle w:val="Hyperlink"/>
            <w:rFonts w:ascii="Calibri" w:eastAsia="Calibri" w:hAnsi="Calibri" w:cs="Calibri"/>
            <w:i/>
            <w:iCs/>
            <w:sz w:val="24"/>
            <w:szCs w:val="24"/>
          </w:rPr>
          <w:t>https://global.oup.com/education/content/primary/series/rwi/fresh-start/region=uk</w:t>
        </w:r>
      </w:hyperlink>
      <w:r w:rsidRPr="009B2E53">
        <w:rPr>
          <w:rFonts w:ascii="Calibri" w:eastAsia="Calibri" w:hAnsi="Calibri" w:cs="Calibri"/>
          <w:i/>
          <w:iCs/>
          <w:sz w:val="24"/>
          <w:szCs w:val="24"/>
        </w:rPr>
        <w:t>] Accessed 16</w:t>
      </w:r>
      <w:r w:rsidRPr="009B2E53">
        <w:rPr>
          <w:rFonts w:ascii="Calibri" w:eastAsia="Calibri" w:hAnsi="Calibri" w:cs="Calibri"/>
          <w:i/>
          <w:iCs/>
          <w:sz w:val="24"/>
          <w:szCs w:val="24"/>
          <w:vertAlign w:val="superscript"/>
        </w:rPr>
        <w:t>th</w:t>
      </w:r>
      <w:r w:rsidR="009B2E53" w:rsidRPr="009B2E53">
        <w:rPr>
          <w:rFonts w:ascii="Calibri" w:eastAsia="Calibri" w:hAnsi="Calibri" w:cs="Calibri"/>
          <w:i/>
          <w:iCs/>
          <w:sz w:val="24"/>
          <w:szCs w:val="24"/>
        </w:rPr>
        <w:t xml:space="preserve"> February 2019</w:t>
      </w:r>
    </w:p>
    <w:p w:rsidR="009B2E53" w:rsidRDefault="009B2E53" w:rsidP="009B2E53">
      <w:pPr>
        <w:spacing w:line="360" w:lineRule="auto"/>
        <w:jc w:val="both"/>
        <w:rPr>
          <w:rFonts w:ascii="Calibri" w:eastAsia="Calibri" w:hAnsi="Calibri" w:cs="Calibri"/>
          <w:i/>
          <w:iCs/>
          <w:sz w:val="24"/>
          <w:szCs w:val="24"/>
        </w:rPr>
      </w:pPr>
      <w:r>
        <w:rPr>
          <w:rFonts w:ascii="Calibri" w:eastAsia="Calibri" w:hAnsi="Calibri" w:cs="Calibri"/>
          <w:i/>
          <w:iCs/>
          <w:sz w:val="24"/>
          <w:szCs w:val="24"/>
        </w:rPr>
        <w:t>School X. (2019) Additional Learning Needs Policy. Llanelli School.</w:t>
      </w:r>
    </w:p>
    <w:p w:rsidR="009B2E53" w:rsidRDefault="009B2E53" w:rsidP="009B2E53">
      <w:pPr>
        <w:spacing w:line="360" w:lineRule="auto"/>
        <w:jc w:val="both"/>
        <w:rPr>
          <w:rFonts w:ascii="Calibri" w:eastAsia="Calibri" w:hAnsi="Calibri" w:cs="Calibri"/>
          <w:i/>
          <w:iCs/>
          <w:sz w:val="24"/>
          <w:szCs w:val="24"/>
        </w:rPr>
      </w:pPr>
      <w:r>
        <w:rPr>
          <w:rFonts w:ascii="Calibri" w:eastAsia="Calibri" w:hAnsi="Calibri" w:cs="Calibri"/>
          <w:i/>
          <w:iCs/>
          <w:sz w:val="24"/>
          <w:szCs w:val="24"/>
        </w:rPr>
        <w:t>School X. (2019) Child Protection Policy. Llanelli School.</w:t>
      </w:r>
    </w:p>
    <w:p w:rsidR="009B2E53" w:rsidRPr="009B2E53" w:rsidRDefault="009B2E53" w:rsidP="009B2E53">
      <w:pPr>
        <w:spacing w:line="360" w:lineRule="auto"/>
        <w:jc w:val="both"/>
        <w:rPr>
          <w:rFonts w:ascii="Calibri" w:eastAsia="Calibri" w:hAnsi="Calibri" w:cs="Calibri"/>
          <w:i/>
          <w:iCs/>
          <w:sz w:val="24"/>
          <w:szCs w:val="24"/>
        </w:rPr>
      </w:pPr>
      <w:r>
        <w:rPr>
          <w:rFonts w:ascii="Calibri" w:eastAsia="Calibri" w:hAnsi="Calibri" w:cs="Calibri"/>
          <w:i/>
          <w:iCs/>
          <w:sz w:val="24"/>
          <w:szCs w:val="24"/>
        </w:rPr>
        <w:t>School X. (2019) Equality Policy. Llanelli School.</w:t>
      </w:r>
    </w:p>
    <w:p w:rsidR="009B2E53" w:rsidRDefault="009B2E53" w:rsidP="009B2E53">
      <w:pPr>
        <w:spacing w:line="360" w:lineRule="auto"/>
        <w:jc w:val="both"/>
        <w:rPr>
          <w:rFonts w:ascii="Calibri" w:eastAsia="Calibri" w:hAnsi="Calibri" w:cs="Calibri"/>
          <w:i/>
          <w:iCs/>
          <w:sz w:val="24"/>
          <w:szCs w:val="24"/>
        </w:rPr>
      </w:pPr>
      <w:r>
        <w:rPr>
          <w:rFonts w:ascii="Calibri" w:eastAsia="Calibri" w:hAnsi="Calibri" w:cs="Calibri"/>
          <w:i/>
          <w:iCs/>
          <w:sz w:val="24"/>
          <w:szCs w:val="24"/>
        </w:rPr>
        <w:t xml:space="preserve">School X. (2019) Inclusion Policy. Llanelli school. </w:t>
      </w:r>
    </w:p>
    <w:p w:rsidR="00080D22" w:rsidRPr="009B2E53" w:rsidRDefault="009B2E53" w:rsidP="009B2E53">
      <w:pPr>
        <w:spacing w:line="360" w:lineRule="auto"/>
        <w:jc w:val="both"/>
        <w:rPr>
          <w:rFonts w:ascii="Calibri" w:eastAsia="Calibri" w:hAnsi="Calibri" w:cs="Calibri"/>
          <w:i/>
          <w:iCs/>
          <w:sz w:val="24"/>
          <w:szCs w:val="24"/>
        </w:rPr>
      </w:pPr>
      <w:r w:rsidRPr="009B2E53">
        <w:rPr>
          <w:sz w:val="24"/>
          <w:szCs w:val="24"/>
        </w:rPr>
        <w:t xml:space="preserve">Villegas, T. July 2017; Inclusion, Exclusion, Segregation and Integration: How are they different? [Available at: </w:t>
      </w:r>
      <w:hyperlink r:id="rId11" w:history="1">
        <w:r w:rsidRPr="009B2E53">
          <w:rPr>
            <w:rStyle w:val="Hyperlink"/>
            <w:sz w:val="24"/>
            <w:szCs w:val="24"/>
          </w:rPr>
          <w:t>https://www.thinkinclusive.us/inclusion-exclusion-segregation-integration-different/</w:t>
        </w:r>
      </w:hyperlink>
      <w:r w:rsidRPr="009B2E53">
        <w:rPr>
          <w:sz w:val="24"/>
          <w:szCs w:val="24"/>
        </w:rPr>
        <w:t>] Accessed 28</w:t>
      </w:r>
      <w:r w:rsidRPr="009B2E53">
        <w:rPr>
          <w:sz w:val="24"/>
          <w:szCs w:val="24"/>
          <w:vertAlign w:val="superscript"/>
        </w:rPr>
        <w:t>th</w:t>
      </w:r>
      <w:r w:rsidRPr="009B2E53">
        <w:rPr>
          <w:sz w:val="24"/>
          <w:szCs w:val="24"/>
        </w:rPr>
        <w:t xml:space="preserve"> February 2019</w:t>
      </w:r>
    </w:p>
    <w:p w:rsidR="00080D22" w:rsidRPr="009B2E53" w:rsidRDefault="00080D22" w:rsidP="009B2E53">
      <w:pPr>
        <w:spacing w:line="360" w:lineRule="auto"/>
        <w:jc w:val="both"/>
        <w:rPr>
          <w:rFonts w:ascii="Calibri" w:eastAsia="Calibri" w:hAnsi="Calibri" w:cs="Calibri"/>
          <w:i/>
          <w:iCs/>
          <w:sz w:val="24"/>
          <w:szCs w:val="24"/>
        </w:rPr>
      </w:pPr>
      <w:r w:rsidRPr="009B2E53">
        <w:rPr>
          <w:rFonts w:ascii="Calibri" w:eastAsia="Calibri" w:hAnsi="Calibri" w:cs="Calibri"/>
          <w:i/>
          <w:iCs/>
          <w:sz w:val="24"/>
          <w:szCs w:val="24"/>
        </w:rPr>
        <w:t xml:space="preserve">Vygotsky, L. S. (1978). Mind in society: The development of higher psychological processes. Cambridge, MA: Harvard University Press. Accessed </w:t>
      </w:r>
      <w:r w:rsidR="009B2E53" w:rsidRPr="009B2E53">
        <w:rPr>
          <w:rFonts w:ascii="Calibri" w:eastAsia="Calibri" w:hAnsi="Calibri" w:cs="Calibri"/>
          <w:i/>
          <w:iCs/>
          <w:sz w:val="24"/>
          <w:szCs w:val="24"/>
        </w:rPr>
        <w:t>1</w:t>
      </w:r>
      <w:r w:rsidR="009B2E53" w:rsidRPr="009B2E53">
        <w:rPr>
          <w:rFonts w:ascii="Calibri" w:eastAsia="Calibri" w:hAnsi="Calibri" w:cs="Calibri"/>
          <w:i/>
          <w:iCs/>
          <w:sz w:val="24"/>
          <w:szCs w:val="24"/>
          <w:vertAlign w:val="superscript"/>
        </w:rPr>
        <w:t>st</w:t>
      </w:r>
      <w:r w:rsidR="009B2E53" w:rsidRPr="009B2E53">
        <w:rPr>
          <w:rFonts w:ascii="Calibri" w:eastAsia="Calibri" w:hAnsi="Calibri" w:cs="Calibri"/>
          <w:i/>
          <w:iCs/>
          <w:sz w:val="24"/>
          <w:szCs w:val="24"/>
        </w:rPr>
        <w:t xml:space="preserve"> March</w:t>
      </w:r>
      <w:r w:rsidRPr="009B2E53">
        <w:rPr>
          <w:rFonts w:ascii="Calibri" w:eastAsia="Calibri" w:hAnsi="Calibri" w:cs="Calibri"/>
          <w:i/>
          <w:iCs/>
          <w:sz w:val="24"/>
          <w:szCs w:val="24"/>
        </w:rPr>
        <w:t xml:space="preserve"> 201</w:t>
      </w:r>
      <w:r w:rsidR="009B2E53" w:rsidRPr="009B2E53">
        <w:rPr>
          <w:rFonts w:ascii="Calibri" w:eastAsia="Calibri" w:hAnsi="Calibri" w:cs="Calibri"/>
          <w:i/>
          <w:iCs/>
          <w:sz w:val="24"/>
          <w:szCs w:val="24"/>
        </w:rPr>
        <w:t>9</w:t>
      </w:r>
    </w:p>
    <w:p w:rsidR="00080D22" w:rsidRPr="009B2E53" w:rsidRDefault="00080D22" w:rsidP="009B2E53">
      <w:pPr>
        <w:spacing w:line="360" w:lineRule="auto"/>
        <w:jc w:val="both"/>
        <w:rPr>
          <w:rFonts w:ascii="Calibri" w:eastAsia="Calibri" w:hAnsi="Calibri" w:cs="Calibri"/>
          <w:color w:val="10147E"/>
          <w:sz w:val="24"/>
          <w:szCs w:val="24"/>
        </w:rPr>
      </w:pPr>
      <w:r w:rsidRPr="009B2E53">
        <w:rPr>
          <w:rFonts w:ascii="Calibri" w:eastAsia="Calibri" w:hAnsi="Calibri" w:cs="Calibri"/>
          <w:i/>
          <w:iCs/>
          <w:sz w:val="24"/>
          <w:szCs w:val="24"/>
        </w:rPr>
        <w:t xml:space="preserve">Vygotsky, L. S. (1962). Thought and language. Cambridge, MA: MIT Press. Accessed </w:t>
      </w:r>
      <w:r w:rsidR="009B2E53" w:rsidRPr="009B2E53">
        <w:rPr>
          <w:rFonts w:ascii="Calibri" w:eastAsia="Calibri" w:hAnsi="Calibri" w:cs="Calibri"/>
          <w:i/>
          <w:iCs/>
          <w:sz w:val="24"/>
          <w:szCs w:val="24"/>
        </w:rPr>
        <w:t>1</w:t>
      </w:r>
      <w:r w:rsidR="009B2E53" w:rsidRPr="009B2E53">
        <w:rPr>
          <w:rFonts w:ascii="Calibri" w:eastAsia="Calibri" w:hAnsi="Calibri" w:cs="Calibri"/>
          <w:i/>
          <w:iCs/>
          <w:sz w:val="24"/>
          <w:szCs w:val="24"/>
          <w:vertAlign w:val="superscript"/>
        </w:rPr>
        <w:t>st</w:t>
      </w:r>
      <w:r w:rsidR="009B2E53" w:rsidRPr="009B2E53">
        <w:rPr>
          <w:rFonts w:ascii="Calibri" w:eastAsia="Calibri" w:hAnsi="Calibri" w:cs="Calibri"/>
          <w:i/>
          <w:iCs/>
          <w:sz w:val="24"/>
          <w:szCs w:val="24"/>
        </w:rPr>
        <w:t xml:space="preserve"> March 2019</w:t>
      </w:r>
    </w:p>
    <w:p w:rsidR="00080D22" w:rsidRPr="009B2E53" w:rsidRDefault="00080D22" w:rsidP="009B2E53">
      <w:pPr>
        <w:spacing w:line="360" w:lineRule="auto"/>
        <w:jc w:val="both"/>
        <w:rPr>
          <w:sz w:val="24"/>
          <w:szCs w:val="24"/>
        </w:rPr>
      </w:pPr>
    </w:p>
    <w:sectPr w:rsidR="00080D22" w:rsidRPr="009B2E53" w:rsidSect="00FD3B0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0BD7" w:rsidRDefault="009D0BD7" w:rsidP="009D0BD7">
      <w:pPr>
        <w:spacing w:after="0" w:line="240" w:lineRule="auto"/>
      </w:pPr>
      <w:r>
        <w:separator/>
      </w:r>
    </w:p>
  </w:endnote>
  <w:endnote w:type="continuationSeparator" w:id="0">
    <w:p w:rsidR="009D0BD7" w:rsidRDefault="009D0BD7" w:rsidP="009D0B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6864660"/>
      <w:docPartObj>
        <w:docPartGallery w:val="Page Numbers (Bottom of Page)"/>
        <w:docPartUnique/>
      </w:docPartObj>
    </w:sdtPr>
    <w:sdtContent>
      <w:p w:rsidR="009D0BD7" w:rsidRDefault="009D0BD7">
        <w:pPr>
          <w:pStyle w:val="Footer"/>
          <w:jc w:val="center"/>
        </w:pPr>
        <w:fldSimple w:instr=" PAGE   \* MERGEFORMAT ">
          <w:r>
            <w:rPr>
              <w:noProof/>
            </w:rPr>
            <w:t>1</w:t>
          </w:r>
        </w:fldSimple>
      </w:p>
    </w:sdtContent>
  </w:sdt>
  <w:p w:rsidR="009D0BD7" w:rsidRDefault="009D0B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0BD7" w:rsidRDefault="009D0BD7" w:rsidP="009D0BD7">
      <w:pPr>
        <w:spacing w:after="0" w:line="240" w:lineRule="auto"/>
      </w:pPr>
      <w:r>
        <w:separator/>
      </w:r>
    </w:p>
  </w:footnote>
  <w:footnote w:type="continuationSeparator" w:id="0">
    <w:p w:rsidR="009D0BD7" w:rsidRDefault="009D0BD7" w:rsidP="009D0BD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0BD7" w:rsidRDefault="009D0BD7">
    <w:pPr>
      <w:pStyle w:val="Header"/>
    </w:pPr>
    <w:r>
      <w:t>0800623</w:t>
    </w:r>
  </w:p>
  <w:p w:rsidR="009D0BD7" w:rsidRDefault="009D0BD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C1C57"/>
    <w:rsid w:val="00015114"/>
    <w:rsid w:val="000628BD"/>
    <w:rsid w:val="00080D22"/>
    <w:rsid w:val="000F1D7E"/>
    <w:rsid w:val="001120D9"/>
    <w:rsid w:val="00142CF3"/>
    <w:rsid w:val="0016234D"/>
    <w:rsid w:val="00171BA4"/>
    <w:rsid w:val="001C5B5A"/>
    <w:rsid w:val="001F39B9"/>
    <w:rsid w:val="002A60D9"/>
    <w:rsid w:val="00341F79"/>
    <w:rsid w:val="003E4C42"/>
    <w:rsid w:val="00412A1C"/>
    <w:rsid w:val="00567960"/>
    <w:rsid w:val="005B3919"/>
    <w:rsid w:val="00644A54"/>
    <w:rsid w:val="00770E80"/>
    <w:rsid w:val="007960BA"/>
    <w:rsid w:val="007A61C2"/>
    <w:rsid w:val="007C1C57"/>
    <w:rsid w:val="007D23F4"/>
    <w:rsid w:val="007E6029"/>
    <w:rsid w:val="008912FD"/>
    <w:rsid w:val="00985FB5"/>
    <w:rsid w:val="009B2E53"/>
    <w:rsid w:val="009D0BD7"/>
    <w:rsid w:val="009F3263"/>
    <w:rsid w:val="00B84F3F"/>
    <w:rsid w:val="00C10A11"/>
    <w:rsid w:val="00C70510"/>
    <w:rsid w:val="00E05549"/>
    <w:rsid w:val="00E10E04"/>
    <w:rsid w:val="00EC2111"/>
    <w:rsid w:val="00F419B0"/>
    <w:rsid w:val="00FD3B0F"/>
    <w:rsid w:val="00FD5E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B0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0E04"/>
    <w:rPr>
      <w:color w:val="0563C1" w:themeColor="hyperlink"/>
      <w:u w:val="single"/>
    </w:rPr>
  </w:style>
  <w:style w:type="paragraph" w:styleId="Header">
    <w:name w:val="header"/>
    <w:basedOn w:val="Normal"/>
    <w:link w:val="HeaderChar"/>
    <w:uiPriority w:val="99"/>
    <w:unhideWhenUsed/>
    <w:rsid w:val="009D0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BD7"/>
  </w:style>
  <w:style w:type="paragraph" w:styleId="Footer">
    <w:name w:val="footer"/>
    <w:basedOn w:val="Normal"/>
    <w:link w:val="FooterChar"/>
    <w:uiPriority w:val="99"/>
    <w:unhideWhenUsed/>
    <w:rsid w:val="009D0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BD7"/>
  </w:style>
  <w:style w:type="paragraph" w:styleId="BalloonText">
    <w:name w:val="Balloon Text"/>
    <w:basedOn w:val="Normal"/>
    <w:link w:val="BalloonTextChar"/>
    <w:uiPriority w:val="99"/>
    <w:semiHidden/>
    <w:unhideWhenUsed/>
    <w:rsid w:val="009D0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BD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3004430.2017.1282235"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fdslive.oup.com/www.oup.com/oxed/primary/osi_new_curriculum_grid_rwi.pdf?region=uk"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lobal.oup.com/education/content/primary/experts/ruth-miskin/?region=uk" TargetMode="External"/><Relationship Id="rId11" Type="http://schemas.openxmlformats.org/officeDocument/2006/relationships/hyperlink" Target="https://www.thinkinclusive.us/inclusion-exclusion-segregation-integration-different/"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global.oup.com/education/content/primary/series/rwi/fresh-start/region=uk" TargetMode="External"/><Relationship Id="rId4" Type="http://schemas.openxmlformats.org/officeDocument/2006/relationships/footnotes" Target="footnotes.xml"/><Relationship Id="rId9" Type="http://schemas.openxmlformats.org/officeDocument/2006/relationships/hyperlink" Target="https://www.tandfonline.com/doi/full/10.1080/03004430.2017.1282235"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E2139"/>
    <w:rsid w:val="008E21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11109A6B57413585081634016E782F">
    <w:name w:val="6911109A6B57413585081634016E782F"/>
    <w:rsid w:val="008E213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7</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17001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Jessice Jones</dc:creator>
  <cp:keywords/>
  <dc:description/>
  <cp:lastModifiedBy>phonemarket</cp:lastModifiedBy>
  <cp:revision>6</cp:revision>
  <dcterms:created xsi:type="dcterms:W3CDTF">2019-02-20T09:36:00Z</dcterms:created>
  <dcterms:modified xsi:type="dcterms:W3CDTF">2019-03-03T17:58:00Z</dcterms:modified>
</cp:coreProperties>
</file>