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DFAD66" w14:textId="77777777" w:rsidR="00F32915" w:rsidRPr="00AF431F" w:rsidRDefault="00F32915">
      <w:pPr>
        <w:spacing w:line="480" w:lineRule="auto"/>
        <w:jc w:val="center"/>
        <w:rPr>
          <w:rFonts w:ascii="Times New Roman" w:eastAsia="Times New Roman" w:hAnsi="Times New Roman" w:cs="Times New Roman"/>
          <w:b/>
          <w:sz w:val="44"/>
          <w:szCs w:val="44"/>
          <w:lang w:val="en-GB"/>
        </w:rPr>
      </w:pPr>
    </w:p>
    <w:p w14:paraId="730C0BDA" w14:textId="77777777" w:rsidR="00F32915" w:rsidRPr="00AF431F" w:rsidRDefault="00F32915">
      <w:pPr>
        <w:spacing w:line="480" w:lineRule="auto"/>
        <w:jc w:val="center"/>
        <w:rPr>
          <w:rFonts w:ascii="Times New Roman" w:eastAsia="Times New Roman" w:hAnsi="Times New Roman" w:cs="Times New Roman"/>
          <w:b/>
          <w:sz w:val="44"/>
          <w:szCs w:val="44"/>
          <w:lang w:val="en-GB"/>
        </w:rPr>
      </w:pPr>
    </w:p>
    <w:p w14:paraId="302F9651" w14:textId="62D1B53D" w:rsidR="00F32915" w:rsidRPr="00AF431F" w:rsidRDefault="00267637">
      <w:pPr>
        <w:spacing w:line="480" w:lineRule="auto"/>
        <w:jc w:val="center"/>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Name:Claudia Georgiana Macarie</w:t>
      </w:r>
    </w:p>
    <w:p w14:paraId="7AEC2BFA" w14:textId="249E2508" w:rsidR="0097116F" w:rsidRPr="00AF431F" w:rsidRDefault="00267637">
      <w:pPr>
        <w:spacing w:line="480" w:lineRule="auto"/>
        <w:jc w:val="center"/>
        <w:rPr>
          <w:rFonts w:ascii="Times New Roman" w:eastAsia="Times New Roman" w:hAnsi="Times New Roman" w:cs="Times New Roman"/>
          <w:b/>
          <w:sz w:val="44"/>
          <w:szCs w:val="44"/>
          <w:lang w:val="en-GB"/>
        </w:rPr>
      </w:pPr>
      <w:r>
        <w:rPr>
          <w:rFonts w:ascii="Times New Roman" w:eastAsia="Times New Roman" w:hAnsi="Times New Roman" w:cs="Times New Roman"/>
          <w:b/>
          <w:sz w:val="44"/>
          <w:szCs w:val="44"/>
          <w:lang w:val="en-GB"/>
        </w:rPr>
        <w:t>Student ID:2030517</w:t>
      </w:r>
    </w:p>
    <w:p w14:paraId="6E2876B3" w14:textId="77777777" w:rsidR="0097116F" w:rsidRPr="00AF431F" w:rsidRDefault="0097116F">
      <w:pPr>
        <w:spacing w:line="480" w:lineRule="auto"/>
        <w:jc w:val="center"/>
        <w:rPr>
          <w:rFonts w:ascii="Times New Roman" w:eastAsia="Times New Roman" w:hAnsi="Times New Roman" w:cs="Times New Roman"/>
          <w:b/>
          <w:sz w:val="44"/>
          <w:szCs w:val="44"/>
          <w:lang w:val="en-GB"/>
        </w:rPr>
      </w:pPr>
    </w:p>
    <w:p w14:paraId="0A74AA23" w14:textId="51601593" w:rsidR="00F32915" w:rsidRPr="00AF431F" w:rsidRDefault="001A73C3">
      <w:pPr>
        <w:spacing w:line="480" w:lineRule="auto"/>
        <w:jc w:val="center"/>
        <w:rPr>
          <w:rFonts w:ascii="Times New Roman" w:eastAsia="Times New Roman" w:hAnsi="Times New Roman" w:cs="Times New Roman"/>
          <w:b/>
          <w:sz w:val="24"/>
          <w:szCs w:val="24"/>
          <w:lang w:val="en-GB"/>
        </w:rPr>
      </w:pPr>
      <w:r w:rsidRPr="00AF431F">
        <w:rPr>
          <w:rFonts w:ascii="Times New Roman" w:eastAsia="Times New Roman" w:hAnsi="Times New Roman" w:cs="Times New Roman"/>
          <w:b/>
          <w:sz w:val="44"/>
          <w:szCs w:val="44"/>
          <w:lang w:val="en-GB"/>
        </w:rPr>
        <w:t>International Financial Management</w:t>
      </w:r>
      <w:r w:rsidRPr="00AF431F">
        <w:rPr>
          <w:lang w:val="en-GB"/>
        </w:rPr>
        <w:br w:type="page"/>
      </w:r>
    </w:p>
    <w:sdt>
      <w:sdtPr>
        <w:rPr>
          <w:rFonts w:ascii="Arial" w:eastAsia="Arial" w:hAnsi="Arial" w:cs="Arial"/>
          <w:color w:val="4F81BD" w:themeColor="accent1"/>
          <w:sz w:val="28"/>
          <w:szCs w:val="28"/>
          <w:lang w:val="en" w:eastAsia="en-IN"/>
        </w:rPr>
        <w:id w:val="747152041"/>
        <w:docPartObj>
          <w:docPartGallery w:val="Table of Contents"/>
          <w:docPartUnique/>
        </w:docPartObj>
      </w:sdtPr>
      <w:sdtEndPr>
        <w:rPr>
          <w:b/>
          <w:bCs/>
          <w:noProof/>
          <w:color w:val="auto"/>
          <w:sz w:val="22"/>
          <w:szCs w:val="22"/>
        </w:rPr>
      </w:sdtEndPr>
      <w:sdtContent>
        <w:p w14:paraId="6E1FC1B0" w14:textId="6529F90C" w:rsidR="00EC5B90" w:rsidRPr="003963DD" w:rsidRDefault="00EC5B90" w:rsidP="003963DD">
          <w:pPr>
            <w:pStyle w:val="TOCHeading"/>
            <w:spacing w:line="480" w:lineRule="auto"/>
            <w:rPr>
              <w:rFonts w:ascii="Times New Roman" w:hAnsi="Times New Roman" w:cs="Times New Roman"/>
              <w:b/>
              <w:bCs/>
              <w:color w:val="4F81BD" w:themeColor="accent1"/>
              <w:sz w:val="28"/>
              <w:szCs w:val="28"/>
            </w:rPr>
          </w:pPr>
          <w:r w:rsidRPr="003963DD">
            <w:rPr>
              <w:rFonts w:ascii="Times New Roman" w:hAnsi="Times New Roman" w:cs="Times New Roman"/>
              <w:b/>
              <w:bCs/>
              <w:color w:val="4F81BD" w:themeColor="accent1"/>
              <w:sz w:val="28"/>
              <w:szCs w:val="28"/>
            </w:rPr>
            <w:t>Table of Contents</w:t>
          </w:r>
        </w:p>
        <w:p w14:paraId="074135E0" w14:textId="22F5DCA8" w:rsidR="00EC5B90" w:rsidRPr="00EC5B90" w:rsidRDefault="00EC5B90" w:rsidP="00EC5B90">
          <w:pPr>
            <w:pStyle w:val="TOC1"/>
            <w:tabs>
              <w:tab w:val="right" w:leader="dot" w:pos="9350"/>
            </w:tabs>
            <w:spacing w:line="480" w:lineRule="auto"/>
            <w:jc w:val="both"/>
            <w:rPr>
              <w:rFonts w:ascii="Times New Roman" w:hAnsi="Times New Roman" w:cs="Times New Roman"/>
              <w:noProof/>
              <w:sz w:val="24"/>
              <w:szCs w:val="24"/>
            </w:rPr>
          </w:pPr>
          <w:r w:rsidRPr="00EC5B90">
            <w:rPr>
              <w:rFonts w:ascii="Times New Roman" w:hAnsi="Times New Roman" w:cs="Times New Roman"/>
              <w:sz w:val="24"/>
              <w:szCs w:val="24"/>
            </w:rPr>
            <w:fldChar w:fldCharType="begin"/>
          </w:r>
          <w:r w:rsidRPr="00EC5B90">
            <w:rPr>
              <w:rFonts w:ascii="Times New Roman" w:hAnsi="Times New Roman" w:cs="Times New Roman"/>
              <w:sz w:val="24"/>
              <w:szCs w:val="24"/>
            </w:rPr>
            <w:instrText xml:space="preserve"> TOC \o "1-3" \h \z \u </w:instrText>
          </w:r>
          <w:r w:rsidRPr="00EC5B90">
            <w:rPr>
              <w:rFonts w:ascii="Times New Roman" w:hAnsi="Times New Roman" w:cs="Times New Roman"/>
              <w:sz w:val="24"/>
              <w:szCs w:val="24"/>
            </w:rPr>
            <w:fldChar w:fldCharType="separate"/>
          </w:r>
          <w:hyperlink w:anchor="_Toc140836003" w:history="1">
            <w:r w:rsidRPr="00EC5B90">
              <w:rPr>
                <w:rStyle w:val="Hyperlink"/>
                <w:rFonts w:ascii="Times New Roman" w:hAnsi="Times New Roman" w:cs="Times New Roman"/>
                <w:noProof/>
                <w:color w:val="auto"/>
                <w:sz w:val="24"/>
                <w:szCs w:val="24"/>
                <w:lang w:val="en-GB"/>
              </w:rPr>
              <w:t>Introduction</w:t>
            </w:r>
            <w:r w:rsidRPr="00EC5B90">
              <w:rPr>
                <w:rFonts w:ascii="Times New Roman" w:hAnsi="Times New Roman" w:cs="Times New Roman"/>
                <w:noProof/>
                <w:webHidden/>
                <w:sz w:val="24"/>
                <w:szCs w:val="24"/>
              </w:rPr>
              <w:tab/>
            </w:r>
            <w:r w:rsidRPr="00EC5B90">
              <w:rPr>
                <w:rFonts w:ascii="Times New Roman" w:hAnsi="Times New Roman" w:cs="Times New Roman"/>
                <w:noProof/>
                <w:webHidden/>
                <w:sz w:val="24"/>
                <w:szCs w:val="24"/>
              </w:rPr>
              <w:fldChar w:fldCharType="begin"/>
            </w:r>
            <w:r w:rsidRPr="00EC5B90">
              <w:rPr>
                <w:rFonts w:ascii="Times New Roman" w:hAnsi="Times New Roman" w:cs="Times New Roman"/>
                <w:noProof/>
                <w:webHidden/>
                <w:sz w:val="24"/>
                <w:szCs w:val="24"/>
              </w:rPr>
              <w:instrText xml:space="preserve"> PAGEREF _Toc140836003 \h </w:instrText>
            </w:r>
            <w:r w:rsidRPr="00EC5B90">
              <w:rPr>
                <w:rFonts w:ascii="Times New Roman" w:hAnsi="Times New Roman" w:cs="Times New Roman"/>
                <w:noProof/>
                <w:webHidden/>
                <w:sz w:val="24"/>
                <w:szCs w:val="24"/>
              </w:rPr>
            </w:r>
            <w:r w:rsidRPr="00EC5B90">
              <w:rPr>
                <w:rFonts w:ascii="Times New Roman" w:hAnsi="Times New Roman" w:cs="Times New Roman"/>
                <w:noProof/>
                <w:webHidden/>
                <w:sz w:val="24"/>
                <w:szCs w:val="24"/>
              </w:rPr>
              <w:fldChar w:fldCharType="separate"/>
            </w:r>
            <w:r w:rsidRPr="00EC5B90">
              <w:rPr>
                <w:rFonts w:ascii="Times New Roman" w:hAnsi="Times New Roman" w:cs="Times New Roman"/>
                <w:noProof/>
                <w:webHidden/>
                <w:sz w:val="24"/>
                <w:szCs w:val="24"/>
              </w:rPr>
              <w:t>3</w:t>
            </w:r>
            <w:r w:rsidRPr="00EC5B90">
              <w:rPr>
                <w:rFonts w:ascii="Times New Roman" w:hAnsi="Times New Roman" w:cs="Times New Roman"/>
                <w:noProof/>
                <w:webHidden/>
                <w:sz w:val="24"/>
                <w:szCs w:val="24"/>
              </w:rPr>
              <w:fldChar w:fldCharType="end"/>
            </w:r>
          </w:hyperlink>
        </w:p>
        <w:p w14:paraId="6BBC8699" w14:textId="5C20076F" w:rsidR="00EC5B90" w:rsidRPr="00EC5B90" w:rsidRDefault="00BE59C9" w:rsidP="00EC5B90">
          <w:pPr>
            <w:pStyle w:val="TOC1"/>
            <w:tabs>
              <w:tab w:val="right" w:leader="dot" w:pos="9350"/>
            </w:tabs>
            <w:spacing w:line="480" w:lineRule="auto"/>
            <w:jc w:val="both"/>
            <w:rPr>
              <w:rFonts w:ascii="Times New Roman" w:hAnsi="Times New Roman" w:cs="Times New Roman"/>
              <w:noProof/>
              <w:sz w:val="24"/>
              <w:szCs w:val="24"/>
            </w:rPr>
          </w:pPr>
          <w:hyperlink w:anchor="_Toc140836004" w:history="1">
            <w:r w:rsidR="00EC5B90" w:rsidRPr="00EC5B90">
              <w:rPr>
                <w:rStyle w:val="Hyperlink"/>
                <w:rFonts w:ascii="Times New Roman" w:hAnsi="Times New Roman" w:cs="Times New Roman"/>
                <w:noProof/>
                <w:color w:val="auto"/>
                <w:sz w:val="24"/>
                <w:szCs w:val="24"/>
                <w:lang w:val="en-GB"/>
              </w:rPr>
              <w:t>Critically Define the dividend distribution policy of the company</w:t>
            </w:r>
            <w:r w:rsidR="00EC5B90" w:rsidRPr="00EC5B90">
              <w:rPr>
                <w:rFonts w:ascii="Times New Roman" w:hAnsi="Times New Roman" w:cs="Times New Roman"/>
                <w:noProof/>
                <w:webHidden/>
                <w:sz w:val="24"/>
                <w:szCs w:val="24"/>
              </w:rPr>
              <w:tab/>
            </w:r>
            <w:r w:rsidR="00EC5B90" w:rsidRPr="00EC5B90">
              <w:rPr>
                <w:rFonts w:ascii="Times New Roman" w:hAnsi="Times New Roman" w:cs="Times New Roman"/>
                <w:noProof/>
                <w:webHidden/>
                <w:sz w:val="24"/>
                <w:szCs w:val="24"/>
              </w:rPr>
              <w:fldChar w:fldCharType="begin"/>
            </w:r>
            <w:r w:rsidR="00EC5B90" w:rsidRPr="00EC5B90">
              <w:rPr>
                <w:rFonts w:ascii="Times New Roman" w:hAnsi="Times New Roman" w:cs="Times New Roman"/>
                <w:noProof/>
                <w:webHidden/>
                <w:sz w:val="24"/>
                <w:szCs w:val="24"/>
              </w:rPr>
              <w:instrText xml:space="preserve"> PAGEREF _Toc140836004 \h </w:instrText>
            </w:r>
            <w:r w:rsidR="00EC5B90" w:rsidRPr="00EC5B90">
              <w:rPr>
                <w:rFonts w:ascii="Times New Roman" w:hAnsi="Times New Roman" w:cs="Times New Roman"/>
                <w:noProof/>
                <w:webHidden/>
                <w:sz w:val="24"/>
                <w:szCs w:val="24"/>
              </w:rPr>
            </w:r>
            <w:r w:rsidR="00EC5B90" w:rsidRPr="00EC5B90">
              <w:rPr>
                <w:rFonts w:ascii="Times New Roman" w:hAnsi="Times New Roman" w:cs="Times New Roman"/>
                <w:noProof/>
                <w:webHidden/>
                <w:sz w:val="24"/>
                <w:szCs w:val="24"/>
              </w:rPr>
              <w:fldChar w:fldCharType="separate"/>
            </w:r>
            <w:r w:rsidR="00EC5B90" w:rsidRPr="00EC5B90">
              <w:rPr>
                <w:rFonts w:ascii="Times New Roman" w:hAnsi="Times New Roman" w:cs="Times New Roman"/>
                <w:noProof/>
                <w:webHidden/>
                <w:sz w:val="24"/>
                <w:szCs w:val="24"/>
              </w:rPr>
              <w:t>3</w:t>
            </w:r>
            <w:r w:rsidR="00EC5B90" w:rsidRPr="00EC5B90">
              <w:rPr>
                <w:rFonts w:ascii="Times New Roman" w:hAnsi="Times New Roman" w:cs="Times New Roman"/>
                <w:noProof/>
                <w:webHidden/>
                <w:sz w:val="24"/>
                <w:szCs w:val="24"/>
              </w:rPr>
              <w:fldChar w:fldCharType="end"/>
            </w:r>
          </w:hyperlink>
        </w:p>
        <w:p w14:paraId="3A848C93" w14:textId="314CF23E" w:rsidR="00EC5B90" w:rsidRPr="00EC5B90" w:rsidRDefault="00BE59C9" w:rsidP="00EC5B90">
          <w:pPr>
            <w:pStyle w:val="TOC1"/>
            <w:tabs>
              <w:tab w:val="right" w:leader="dot" w:pos="9350"/>
            </w:tabs>
            <w:spacing w:line="480" w:lineRule="auto"/>
            <w:jc w:val="both"/>
            <w:rPr>
              <w:rFonts w:ascii="Times New Roman" w:hAnsi="Times New Roman" w:cs="Times New Roman"/>
              <w:noProof/>
              <w:sz w:val="24"/>
              <w:szCs w:val="24"/>
            </w:rPr>
          </w:pPr>
          <w:hyperlink w:anchor="_Toc140836005" w:history="1">
            <w:r w:rsidR="00EC5B90" w:rsidRPr="00EC5B90">
              <w:rPr>
                <w:rStyle w:val="Hyperlink"/>
                <w:rFonts w:ascii="Times New Roman" w:hAnsi="Times New Roman" w:cs="Times New Roman"/>
                <w:noProof/>
                <w:color w:val="auto"/>
                <w:sz w:val="24"/>
                <w:szCs w:val="24"/>
                <w:lang w:val="en-GB"/>
              </w:rPr>
              <w:t>Critically analyse market hypothesis theory in the context of Business operation</w:t>
            </w:r>
            <w:r w:rsidR="00EC5B90" w:rsidRPr="00EC5B90">
              <w:rPr>
                <w:rFonts w:ascii="Times New Roman" w:hAnsi="Times New Roman" w:cs="Times New Roman"/>
                <w:noProof/>
                <w:webHidden/>
                <w:sz w:val="24"/>
                <w:szCs w:val="24"/>
              </w:rPr>
              <w:tab/>
            </w:r>
            <w:r w:rsidR="00EC5B90" w:rsidRPr="00EC5B90">
              <w:rPr>
                <w:rFonts w:ascii="Times New Roman" w:hAnsi="Times New Roman" w:cs="Times New Roman"/>
                <w:noProof/>
                <w:webHidden/>
                <w:sz w:val="24"/>
                <w:szCs w:val="24"/>
              </w:rPr>
              <w:fldChar w:fldCharType="begin"/>
            </w:r>
            <w:r w:rsidR="00EC5B90" w:rsidRPr="00EC5B90">
              <w:rPr>
                <w:rFonts w:ascii="Times New Roman" w:hAnsi="Times New Roman" w:cs="Times New Roman"/>
                <w:noProof/>
                <w:webHidden/>
                <w:sz w:val="24"/>
                <w:szCs w:val="24"/>
              </w:rPr>
              <w:instrText xml:space="preserve"> PAGEREF _Toc140836005 \h </w:instrText>
            </w:r>
            <w:r w:rsidR="00EC5B90" w:rsidRPr="00EC5B90">
              <w:rPr>
                <w:rFonts w:ascii="Times New Roman" w:hAnsi="Times New Roman" w:cs="Times New Roman"/>
                <w:noProof/>
                <w:webHidden/>
                <w:sz w:val="24"/>
                <w:szCs w:val="24"/>
              </w:rPr>
            </w:r>
            <w:r w:rsidR="00EC5B90" w:rsidRPr="00EC5B90">
              <w:rPr>
                <w:rFonts w:ascii="Times New Roman" w:hAnsi="Times New Roman" w:cs="Times New Roman"/>
                <w:noProof/>
                <w:webHidden/>
                <w:sz w:val="24"/>
                <w:szCs w:val="24"/>
              </w:rPr>
              <w:fldChar w:fldCharType="separate"/>
            </w:r>
            <w:r w:rsidR="00EC5B90" w:rsidRPr="00EC5B90">
              <w:rPr>
                <w:rFonts w:ascii="Times New Roman" w:hAnsi="Times New Roman" w:cs="Times New Roman"/>
                <w:noProof/>
                <w:webHidden/>
                <w:sz w:val="24"/>
                <w:szCs w:val="24"/>
              </w:rPr>
              <w:t>6</w:t>
            </w:r>
            <w:r w:rsidR="00EC5B90" w:rsidRPr="00EC5B90">
              <w:rPr>
                <w:rFonts w:ascii="Times New Roman" w:hAnsi="Times New Roman" w:cs="Times New Roman"/>
                <w:noProof/>
                <w:webHidden/>
                <w:sz w:val="24"/>
                <w:szCs w:val="24"/>
              </w:rPr>
              <w:fldChar w:fldCharType="end"/>
            </w:r>
          </w:hyperlink>
        </w:p>
        <w:p w14:paraId="0A11B9F3" w14:textId="382E10CA" w:rsidR="00EC5B90" w:rsidRPr="00EC5B90" w:rsidRDefault="00BE59C9" w:rsidP="00EC5B90">
          <w:pPr>
            <w:pStyle w:val="TOC1"/>
            <w:tabs>
              <w:tab w:val="right" w:leader="dot" w:pos="9350"/>
            </w:tabs>
            <w:spacing w:line="480" w:lineRule="auto"/>
            <w:jc w:val="both"/>
            <w:rPr>
              <w:rFonts w:ascii="Times New Roman" w:hAnsi="Times New Roman" w:cs="Times New Roman"/>
              <w:noProof/>
              <w:sz w:val="24"/>
              <w:szCs w:val="24"/>
            </w:rPr>
          </w:pPr>
          <w:hyperlink w:anchor="_Toc140836006" w:history="1">
            <w:r w:rsidR="00EC5B90" w:rsidRPr="00EC5B90">
              <w:rPr>
                <w:rStyle w:val="Hyperlink"/>
                <w:rFonts w:ascii="Times New Roman" w:hAnsi="Times New Roman" w:cs="Times New Roman"/>
                <w:noProof/>
                <w:color w:val="auto"/>
                <w:sz w:val="24"/>
                <w:szCs w:val="24"/>
                <w:lang w:val="en-GB"/>
              </w:rPr>
              <w:t>Critically evaluate methods of appraising projects of the Company</w:t>
            </w:r>
            <w:r w:rsidR="00EC5B90" w:rsidRPr="00EC5B90">
              <w:rPr>
                <w:rFonts w:ascii="Times New Roman" w:hAnsi="Times New Roman" w:cs="Times New Roman"/>
                <w:noProof/>
                <w:webHidden/>
                <w:sz w:val="24"/>
                <w:szCs w:val="24"/>
              </w:rPr>
              <w:tab/>
            </w:r>
            <w:r w:rsidR="00EC5B90" w:rsidRPr="00EC5B90">
              <w:rPr>
                <w:rFonts w:ascii="Times New Roman" w:hAnsi="Times New Roman" w:cs="Times New Roman"/>
                <w:noProof/>
                <w:webHidden/>
                <w:sz w:val="24"/>
                <w:szCs w:val="24"/>
              </w:rPr>
              <w:fldChar w:fldCharType="begin"/>
            </w:r>
            <w:r w:rsidR="00EC5B90" w:rsidRPr="00EC5B90">
              <w:rPr>
                <w:rFonts w:ascii="Times New Roman" w:hAnsi="Times New Roman" w:cs="Times New Roman"/>
                <w:noProof/>
                <w:webHidden/>
                <w:sz w:val="24"/>
                <w:szCs w:val="24"/>
              </w:rPr>
              <w:instrText xml:space="preserve"> PAGEREF _Toc140836006 \h </w:instrText>
            </w:r>
            <w:r w:rsidR="00EC5B90" w:rsidRPr="00EC5B90">
              <w:rPr>
                <w:rFonts w:ascii="Times New Roman" w:hAnsi="Times New Roman" w:cs="Times New Roman"/>
                <w:noProof/>
                <w:webHidden/>
                <w:sz w:val="24"/>
                <w:szCs w:val="24"/>
              </w:rPr>
            </w:r>
            <w:r w:rsidR="00EC5B90" w:rsidRPr="00EC5B90">
              <w:rPr>
                <w:rFonts w:ascii="Times New Roman" w:hAnsi="Times New Roman" w:cs="Times New Roman"/>
                <w:noProof/>
                <w:webHidden/>
                <w:sz w:val="24"/>
                <w:szCs w:val="24"/>
              </w:rPr>
              <w:fldChar w:fldCharType="separate"/>
            </w:r>
            <w:r w:rsidR="00EC5B90" w:rsidRPr="00EC5B90">
              <w:rPr>
                <w:rFonts w:ascii="Times New Roman" w:hAnsi="Times New Roman" w:cs="Times New Roman"/>
                <w:noProof/>
                <w:webHidden/>
                <w:sz w:val="24"/>
                <w:szCs w:val="24"/>
              </w:rPr>
              <w:t>8</w:t>
            </w:r>
            <w:r w:rsidR="00EC5B90" w:rsidRPr="00EC5B90">
              <w:rPr>
                <w:rFonts w:ascii="Times New Roman" w:hAnsi="Times New Roman" w:cs="Times New Roman"/>
                <w:noProof/>
                <w:webHidden/>
                <w:sz w:val="24"/>
                <w:szCs w:val="24"/>
              </w:rPr>
              <w:fldChar w:fldCharType="end"/>
            </w:r>
          </w:hyperlink>
        </w:p>
        <w:p w14:paraId="65174AE2" w14:textId="0119438F" w:rsidR="00EC5B90" w:rsidRPr="00EC5B90" w:rsidRDefault="00BE59C9" w:rsidP="00EC5B90">
          <w:pPr>
            <w:pStyle w:val="TOC1"/>
            <w:tabs>
              <w:tab w:val="right" w:leader="dot" w:pos="9350"/>
            </w:tabs>
            <w:spacing w:line="480" w:lineRule="auto"/>
            <w:jc w:val="both"/>
            <w:rPr>
              <w:rFonts w:ascii="Times New Roman" w:hAnsi="Times New Roman" w:cs="Times New Roman"/>
              <w:noProof/>
              <w:sz w:val="24"/>
              <w:szCs w:val="24"/>
            </w:rPr>
          </w:pPr>
          <w:hyperlink w:anchor="_Toc140836007" w:history="1">
            <w:r w:rsidR="00EC5B90" w:rsidRPr="00EC5B90">
              <w:rPr>
                <w:rStyle w:val="Hyperlink"/>
                <w:rFonts w:ascii="Times New Roman" w:hAnsi="Times New Roman" w:cs="Times New Roman"/>
                <w:noProof/>
                <w:color w:val="auto"/>
                <w:sz w:val="24"/>
                <w:szCs w:val="24"/>
                <w:lang w:val="en-GB"/>
              </w:rPr>
              <w:t>Conclusion</w:t>
            </w:r>
            <w:r w:rsidR="00EC5B90" w:rsidRPr="00EC5B90">
              <w:rPr>
                <w:rFonts w:ascii="Times New Roman" w:hAnsi="Times New Roman" w:cs="Times New Roman"/>
                <w:noProof/>
                <w:webHidden/>
                <w:sz w:val="24"/>
                <w:szCs w:val="24"/>
              </w:rPr>
              <w:tab/>
            </w:r>
            <w:r w:rsidR="00EC5B90" w:rsidRPr="00EC5B90">
              <w:rPr>
                <w:rFonts w:ascii="Times New Roman" w:hAnsi="Times New Roman" w:cs="Times New Roman"/>
                <w:noProof/>
                <w:webHidden/>
                <w:sz w:val="24"/>
                <w:szCs w:val="24"/>
              </w:rPr>
              <w:fldChar w:fldCharType="begin"/>
            </w:r>
            <w:r w:rsidR="00EC5B90" w:rsidRPr="00EC5B90">
              <w:rPr>
                <w:rFonts w:ascii="Times New Roman" w:hAnsi="Times New Roman" w:cs="Times New Roman"/>
                <w:noProof/>
                <w:webHidden/>
                <w:sz w:val="24"/>
                <w:szCs w:val="24"/>
              </w:rPr>
              <w:instrText xml:space="preserve"> PAGEREF _Toc140836007 \h </w:instrText>
            </w:r>
            <w:r w:rsidR="00EC5B90" w:rsidRPr="00EC5B90">
              <w:rPr>
                <w:rFonts w:ascii="Times New Roman" w:hAnsi="Times New Roman" w:cs="Times New Roman"/>
                <w:noProof/>
                <w:webHidden/>
                <w:sz w:val="24"/>
                <w:szCs w:val="24"/>
              </w:rPr>
            </w:r>
            <w:r w:rsidR="00EC5B90" w:rsidRPr="00EC5B90">
              <w:rPr>
                <w:rFonts w:ascii="Times New Roman" w:hAnsi="Times New Roman" w:cs="Times New Roman"/>
                <w:noProof/>
                <w:webHidden/>
                <w:sz w:val="24"/>
                <w:szCs w:val="24"/>
              </w:rPr>
              <w:fldChar w:fldCharType="separate"/>
            </w:r>
            <w:r w:rsidR="00EC5B90" w:rsidRPr="00EC5B90">
              <w:rPr>
                <w:rFonts w:ascii="Times New Roman" w:hAnsi="Times New Roman" w:cs="Times New Roman"/>
                <w:noProof/>
                <w:webHidden/>
                <w:sz w:val="24"/>
                <w:szCs w:val="24"/>
              </w:rPr>
              <w:t>10</w:t>
            </w:r>
            <w:r w:rsidR="00EC5B90" w:rsidRPr="00EC5B90">
              <w:rPr>
                <w:rFonts w:ascii="Times New Roman" w:hAnsi="Times New Roman" w:cs="Times New Roman"/>
                <w:noProof/>
                <w:webHidden/>
                <w:sz w:val="24"/>
                <w:szCs w:val="24"/>
              </w:rPr>
              <w:fldChar w:fldCharType="end"/>
            </w:r>
          </w:hyperlink>
        </w:p>
        <w:p w14:paraId="49A0B55D" w14:textId="2D2BBF7D" w:rsidR="00EC5B90" w:rsidRPr="00EC5B90" w:rsidRDefault="00BE59C9" w:rsidP="00EC5B90">
          <w:pPr>
            <w:pStyle w:val="TOC1"/>
            <w:tabs>
              <w:tab w:val="right" w:leader="dot" w:pos="9350"/>
            </w:tabs>
            <w:spacing w:line="480" w:lineRule="auto"/>
            <w:jc w:val="both"/>
            <w:rPr>
              <w:rFonts w:ascii="Times New Roman" w:hAnsi="Times New Roman" w:cs="Times New Roman"/>
              <w:noProof/>
              <w:sz w:val="24"/>
              <w:szCs w:val="24"/>
            </w:rPr>
          </w:pPr>
          <w:hyperlink w:anchor="_Toc140836008" w:history="1">
            <w:r w:rsidR="00EC5B90" w:rsidRPr="00EC5B90">
              <w:rPr>
                <w:rStyle w:val="Hyperlink"/>
                <w:rFonts w:ascii="Times New Roman" w:hAnsi="Times New Roman" w:cs="Times New Roman"/>
                <w:noProof/>
                <w:color w:val="auto"/>
                <w:sz w:val="24"/>
                <w:szCs w:val="24"/>
                <w:lang w:val="en-GB"/>
              </w:rPr>
              <w:t>Reference</w:t>
            </w:r>
            <w:r w:rsidR="00EC5B90" w:rsidRPr="00EC5B90">
              <w:rPr>
                <w:rFonts w:ascii="Times New Roman" w:hAnsi="Times New Roman" w:cs="Times New Roman"/>
                <w:noProof/>
                <w:webHidden/>
                <w:sz w:val="24"/>
                <w:szCs w:val="24"/>
              </w:rPr>
              <w:tab/>
            </w:r>
            <w:r w:rsidR="00EC5B90" w:rsidRPr="00EC5B90">
              <w:rPr>
                <w:rFonts w:ascii="Times New Roman" w:hAnsi="Times New Roman" w:cs="Times New Roman"/>
                <w:noProof/>
                <w:webHidden/>
                <w:sz w:val="24"/>
                <w:szCs w:val="24"/>
              </w:rPr>
              <w:fldChar w:fldCharType="begin"/>
            </w:r>
            <w:r w:rsidR="00EC5B90" w:rsidRPr="00EC5B90">
              <w:rPr>
                <w:rFonts w:ascii="Times New Roman" w:hAnsi="Times New Roman" w:cs="Times New Roman"/>
                <w:noProof/>
                <w:webHidden/>
                <w:sz w:val="24"/>
                <w:szCs w:val="24"/>
              </w:rPr>
              <w:instrText xml:space="preserve"> PAGEREF _Toc140836008 \h </w:instrText>
            </w:r>
            <w:r w:rsidR="00EC5B90" w:rsidRPr="00EC5B90">
              <w:rPr>
                <w:rFonts w:ascii="Times New Roman" w:hAnsi="Times New Roman" w:cs="Times New Roman"/>
                <w:noProof/>
                <w:webHidden/>
                <w:sz w:val="24"/>
                <w:szCs w:val="24"/>
              </w:rPr>
            </w:r>
            <w:r w:rsidR="00EC5B90" w:rsidRPr="00EC5B90">
              <w:rPr>
                <w:rFonts w:ascii="Times New Roman" w:hAnsi="Times New Roman" w:cs="Times New Roman"/>
                <w:noProof/>
                <w:webHidden/>
                <w:sz w:val="24"/>
                <w:szCs w:val="24"/>
              </w:rPr>
              <w:fldChar w:fldCharType="separate"/>
            </w:r>
            <w:r w:rsidR="00EC5B90" w:rsidRPr="00EC5B90">
              <w:rPr>
                <w:rFonts w:ascii="Times New Roman" w:hAnsi="Times New Roman" w:cs="Times New Roman"/>
                <w:noProof/>
                <w:webHidden/>
                <w:sz w:val="24"/>
                <w:szCs w:val="24"/>
              </w:rPr>
              <w:t>11</w:t>
            </w:r>
            <w:r w:rsidR="00EC5B90" w:rsidRPr="00EC5B90">
              <w:rPr>
                <w:rFonts w:ascii="Times New Roman" w:hAnsi="Times New Roman" w:cs="Times New Roman"/>
                <w:noProof/>
                <w:webHidden/>
                <w:sz w:val="24"/>
                <w:szCs w:val="24"/>
              </w:rPr>
              <w:fldChar w:fldCharType="end"/>
            </w:r>
          </w:hyperlink>
        </w:p>
        <w:p w14:paraId="53567293" w14:textId="025DD7BC" w:rsidR="00EC5B90" w:rsidRDefault="00EC5B90" w:rsidP="00EC5B90">
          <w:pPr>
            <w:spacing w:line="480" w:lineRule="auto"/>
            <w:jc w:val="both"/>
          </w:pPr>
          <w:r w:rsidRPr="00EC5B90">
            <w:rPr>
              <w:rFonts w:ascii="Times New Roman" w:hAnsi="Times New Roman" w:cs="Times New Roman"/>
              <w:b/>
              <w:bCs/>
              <w:noProof/>
              <w:sz w:val="24"/>
              <w:szCs w:val="24"/>
            </w:rPr>
            <w:fldChar w:fldCharType="end"/>
          </w:r>
        </w:p>
      </w:sdtContent>
    </w:sdt>
    <w:p w14:paraId="38AFB324" w14:textId="77777777" w:rsidR="00F32915" w:rsidRPr="00AF431F" w:rsidRDefault="001A73C3">
      <w:pPr>
        <w:spacing w:line="480" w:lineRule="auto"/>
        <w:jc w:val="both"/>
        <w:rPr>
          <w:rFonts w:ascii="Times New Roman" w:eastAsia="Times New Roman" w:hAnsi="Times New Roman" w:cs="Times New Roman"/>
          <w:b/>
          <w:sz w:val="24"/>
          <w:szCs w:val="24"/>
          <w:lang w:val="en-GB"/>
        </w:rPr>
      </w:pPr>
      <w:r w:rsidRPr="00AF431F">
        <w:rPr>
          <w:lang w:val="en-GB"/>
        </w:rPr>
        <w:br w:type="page"/>
      </w:r>
    </w:p>
    <w:p w14:paraId="47784F48" w14:textId="77777777" w:rsidR="00F32915" w:rsidRPr="00AF431F" w:rsidRDefault="001A73C3" w:rsidP="00101820">
      <w:pPr>
        <w:pStyle w:val="Heading1"/>
        <w:rPr>
          <w:lang w:val="en-GB"/>
        </w:rPr>
      </w:pPr>
      <w:bookmarkStart w:id="0" w:name="_Toc140836003"/>
      <w:r w:rsidRPr="00AF431F">
        <w:rPr>
          <w:lang w:val="en-GB"/>
        </w:rPr>
        <w:t>Introduction</w:t>
      </w:r>
      <w:bookmarkEnd w:id="0"/>
      <w:r w:rsidRPr="00AF431F">
        <w:rPr>
          <w:lang w:val="en-GB"/>
        </w:rPr>
        <w:t xml:space="preserve"> </w:t>
      </w:r>
    </w:p>
    <w:p w14:paraId="6D8669E0" w14:textId="77777777" w:rsidR="00F32915" w:rsidRPr="00AF431F" w:rsidRDefault="001A73C3">
      <w:pPr>
        <w:spacing w:line="480" w:lineRule="auto"/>
        <w:jc w:val="both"/>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International financial management (IFM) signifies a core factor of the business operation that mainly discusses relevant issues with the monetary interaction of the organisation in at least two or more countries. Shell PLC is a multinational oil and gas company which is founded in 1907. This multinational company is primarily listed on the London stock exchange and secondary listed on the New York stock exchange and operated in over 99 countries with the help of 86000 employees. The main aim of the study is to evaluate the theoretical framework of IFM of Shell PLC organisation focusing on its various methods and techniques of business operations or appraising projects. </w:t>
      </w:r>
    </w:p>
    <w:p w14:paraId="39B9056C" w14:textId="77777777" w:rsidR="003963DD" w:rsidRDefault="003963DD">
      <w:pPr>
        <w:rPr>
          <w:rFonts w:ascii="Times New Roman" w:hAnsi="Times New Roman"/>
          <w:b/>
          <w:sz w:val="28"/>
          <w:szCs w:val="40"/>
          <w:lang w:val="en-GB"/>
        </w:rPr>
      </w:pPr>
      <w:bookmarkStart w:id="1" w:name="_Toc140836004"/>
      <w:r>
        <w:rPr>
          <w:lang w:val="en-GB"/>
        </w:rPr>
        <w:br w:type="page"/>
      </w:r>
    </w:p>
    <w:p w14:paraId="5898A5B8" w14:textId="5B85DE96" w:rsidR="00F32915" w:rsidRPr="00AF431F" w:rsidRDefault="001A73C3" w:rsidP="00101820">
      <w:pPr>
        <w:pStyle w:val="Heading1"/>
        <w:rPr>
          <w:lang w:val="en-GB"/>
        </w:rPr>
      </w:pPr>
      <w:r w:rsidRPr="00AF431F">
        <w:rPr>
          <w:lang w:val="en-GB"/>
        </w:rPr>
        <w:t>Critically Define the dividend distribution policy of the company</w:t>
      </w:r>
      <w:bookmarkEnd w:id="1"/>
    </w:p>
    <w:p w14:paraId="731A5AAF" w14:textId="77777777" w:rsidR="00F32915" w:rsidRPr="00AF431F" w:rsidRDefault="001A73C3">
      <w:pPr>
        <w:spacing w:line="480" w:lineRule="auto"/>
        <w:jc w:val="both"/>
        <w:rPr>
          <w:rFonts w:ascii="Times New Roman" w:eastAsia="Times New Roman" w:hAnsi="Times New Roman" w:cs="Times New Roman"/>
          <w:sz w:val="24"/>
          <w:szCs w:val="24"/>
          <w:lang w:val="en-GB"/>
        </w:rPr>
      </w:pPr>
      <w:r w:rsidRPr="00AF431F">
        <w:rPr>
          <w:rFonts w:ascii="Times New Roman" w:eastAsia="Times New Roman" w:hAnsi="Times New Roman" w:cs="Times New Roman"/>
          <w:b/>
          <w:i/>
          <w:sz w:val="24"/>
          <w:szCs w:val="24"/>
          <w:lang w:val="en-GB"/>
        </w:rPr>
        <w:t>Interest Rate Parity</w:t>
      </w:r>
      <w:r w:rsidRPr="00AF431F">
        <w:rPr>
          <w:rFonts w:ascii="Times New Roman" w:eastAsia="Times New Roman" w:hAnsi="Times New Roman" w:cs="Times New Roman"/>
          <w:sz w:val="24"/>
          <w:szCs w:val="24"/>
          <w:lang w:val="en-GB"/>
        </w:rPr>
        <w:t xml:space="preserve"> or IRP theory that is developed by Keynes in 1923. According to this theory, the interest rate differential between the two countries should be equal to the percentage of the overall differences between the spot exchange rate and the forward exchange rate. This theory holds that there is no restriction on moving money from one country or the economy or currency to another (</w:t>
      </w:r>
      <w:proofErr w:type="spellStart"/>
      <w:r w:rsidRPr="00AF431F">
        <w:rPr>
          <w:rFonts w:ascii="Times New Roman" w:eastAsia="Times New Roman" w:hAnsi="Times New Roman" w:cs="Times New Roman"/>
          <w:color w:val="222222"/>
          <w:sz w:val="24"/>
          <w:szCs w:val="24"/>
          <w:highlight w:val="white"/>
          <w:lang w:val="en-GB"/>
        </w:rPr>
        <w:t>Workingpapers</w:t>
      </w:r>
      <w:proofErr w:type="spellEnd"/>
      <w:r w:rsidRPr="00AF431F">
        <w:rPr>
          <w:rFonts w:ascii="Times New Roman" w:eastAsia="Times New Roman" w:hAnsi="Times New Roman" w:cs="Times New Roman"/>
          <w:color w:val="222222"/>
          <w:sz w:val="24"/>
          <w:szCs w:val="24"/>
          <w:highlight w:val="white"/>
          <w:lang w:val="en-GB"/>
        </w:rPr>
        <w:t>, 2022</w:t>
      </w:r>
      <w:r w:rsidRPr="00AF431F">
        <w:rPr>
          <w:rFonts w:ascii="Times New Roman" w:eastAsia="Times New Roman" w:hAnsi="Times New Roman" w:cs="Times New Roman"/>
          <w:sz w:val="24"/>
          <w:szCs w:val="24"/>
          <w:lang w:val="en-GB"/>
        </w:rPr>
        <w:t xml:space="preserve">). This particular theory mainly provides importance on the condition of the equality of return on market instruments in the aspect of comparable money that has been associated with the spot rate and forward rate of two countries. Following this particular theory, Shell PLC has adopted dividend reinvestment plans and policy in this subject of broad approval of dividend per share by 4% every year. </w:t>
      </w:r>
    </w:p>
    <w:p w14:paraId="5515D96B" w14:textId="77777777" w:rsidR="00F32915" w:rsidRPr="00AF431F" w:rsidRDefault="001A73C3">
      <w:pPr>
        <w:spacing w:line="480" w:lineRule="auto"/>
        <w:jc w:val="center"/>
        <w:rPr>
          <w:rFonts w:ascii="Times New Roman" w:eastAsia="Times New Roman" w:hAnsi="Times New Roman" w:cs="Times New Roman"/>
          <w:sz w:val="24"/>
          <w:szCs w:val="24"/>
          <w:lang w:val="en-GB"/>
        </w:rPr>
      </w:pPr>
      <w:r w:rsidRPr="00AF431F">
        <w:rPr>
          <w:rFonts w:ascii="Times New Roman" w:eastAsia="Times New Roman" w:hAnsi="Times New Roman" w:cs="Times New Roman"/>
          <w:noProof/>
          <w:sz w:val="24"/>
          <w:szCs w:val="24"/>
          <w:lang w:val="en-IN"/>
        </w:rPr>
        <w:drawing>
          <wp:inline distT="114300" distB="114300" distL="114300" distR="114300" wp14:anchorId="2506E0FB" wp14:editId="13F1CC89">
            <wp:extent cx="5943600" cy="30861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3086100"/>
                    </a:xfrm>
                    <a:prstGeom prst="rect">
                      <a:avLst/>
                    </a:prstGeom>
                    <a:ln w="25400">
                      <a:solidFill>
                        <a:srgbClr val="000000"/>
                      </a:solidFill>
                      <a:prstDash val="solid"/>
                    </a:ln>
                  </pic:spPr>
                </pic:pic>
              </a:graphicData>
            </a:graphic>
          </wp:inline>
        </w:drawing>
      </w:r>
    </w:p>
    <w:p w14:paraId="4242C2CD" w14:textId="77777777" w:rsidR="00F32915" w:rsidRPr="00AF431F" w:rsidRDefault="001A73C3">
      <w:pPr>
        <w:spacing w:line="480" w:lineRule="auto"/>
        <w:jc w:val="center"/>
        <w:rPr>
          <w:rFonts w:ascii="Times New Roman" w:eastAsia="Times New Roman" w:hAnsi="Times New Roman" w:cs="Times New Roman"/>
          <w:b/>
          <w:sz w:val="24"/>
          <w:szCs w:val="24"/>
          <w:lang w:val="en-GB"/>
        </w:rPr>
      </w:pPr>
      <w:r w:rsidRPr="00AF431F">
        <w:rPr>
          <w:rFonts w:ascii="Times New Roman" w:eastAsia="Times New Roman" w:hAnsi="Times New Roman" w:cs="Times New Roman"/>
          <w:b/>
          <w:sz w:val="24"/>
          <w:szCs w:val="24"/>
          <w:lang w:val="en-GB"/>
        </w:rPr>
        <w:t>Figure 1: Interest Rate Parity Theory</w:t>
      </w:r>
    </w:p>
    <w:p w14:paraId="1637FFA7" w14:textId="77777777" w:rsidR="00F32915" w:rsidRPr="00AF431F" w:rsidRDefault="001A73C3">
      <w:pPr>
        <w:spacing w:line="480" w:lineRule="auto"/>
        <w:jc w:val="center"/>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(Source: </w:t>
      </w:r>
      <w:proofErr w:type="spellStart"/>
      <w:r w:rsidRPr="00AF431F">
        <w:rPr>
          <w:rFonts w:ascii="Times New Roman" w:eastAsia="Times New Roman" w:hAnsi="Times New Roman" w:cs="Times New Roman"/>
          <w:color w:val="222222"/>
          <w:sz w:val="24"/>
          <w:szCs w:val="24"/>
          <w:highlight w:val="white"/>
          <w:lang w:val="en-GB"/>
        </w:rPr>
        <w:t>Workingpapers</w:t>
      </w:r>
      <w:proofErr w:type="spellEnd"/>
      <w:r w:rsidRPr="00AF431F">
        <w:rPr>
          <w:rFonts w:ascii="Times New Roman" w:eastAsia="Times New Roman" w:hAnsi="Times New Roman" w:cs="Times New Roman"/>
          <w:color w:val="222222"/>
          <w:sz w:val="24"/>
          <w:szCs w:val="24"/>
          <w:highlight w:val="white"/>
          <w:lang w:val="en-GB"/>
        </w:rPr>
        <w:t>, 2022</w:t>
      </w:r>
      <w:r w:rsidRPr="00AF431F">
        <w:rPr>
          <w:rFonts w:ascii="Times New Roman" w:eastAsia="Times New Roman" w:hAnsi="Times New Roman" w:cs="Times New Roman"/>
          <w:sz w:val="24"/>
          <w:szCs w:val="24"/>
          <w:lang w:val="en-GB"/>
        </w:rPr>
        <w:t>)</w:t>
      </w:r>
    </w:p>
    <w:p w14:paraId="7D576096" w14:textId="77777777" w:rsidR="00F32915" w:rsidRPr="00AF431F" w:rsidRDefault="001A73C3">
      <w:pPr>
        <w:spacing w:line="480" w:lineRule="auto"/>
        <w:jc w:val="both"/>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Adopting this particular policy this company will target overall distribution of 20 to 30% from its class cash flow cash flow with the help of proper operation to the shareholders. This particular policy manages overtime to return cash to the shareholder via a combination of share buybacks and dividends (</w:t>
      </w:r>
      <w:proofErr w:type="spellStart"/>
      <w:r w:rsidRPr="00AF431F">
        <w:rPr>
          <w:rFonts w:ascii="Times New Roman" w:eastAsia="Times New Roman" w:hAnsi="Times New Roman" w:cs="Times New Roman"/>
          <w:color w:val="222222"/>
          <w:sz w:val="24"/>
          <w:szCs w:val="24"/>
          <w:highlight w:val="white"/>
          <w:lang w:val="en-GB"/>
        </w:rPr>
        <w:t>Frömmel</w:t>
      </w:r>
      <w:proofErr w:type="spellEnd"/>
      <w:r w:rsidRPr="00AF431F">
        <w:rPr>
          <w:rFonts w:ascii="Times New Roman" w:eastAsia="Times New Roman" w:hAnsi="Times New Roman" w:cs="Times New Roman"/>
          <w:color w:val="222222"/>
          <w:sz w:val="24"/>
          <w:szCs w:val="24"/>
          <w:highlight w:val="white"/>
          <w:lang w:val="en-GB"/>
        </w:rPr>
        <w:t xml:space="preserve"> </w:t>
      </w:r>
      <w:r w:rsidRPr="00AF431F">
        <w:rPr>
          <w:rFonts w:ascii="Times New Roman" w:eastAsia="Times New Roman" w:hAnsi="Times New Roman" w:cs="Times New Roman"/>
          <w:i/>
          <w:color w:val="222222"/>
          <w:sz w:val="24"/>
          <w:szCs w:val="24"/>
          <w:highlight w:val="white"/>
          <w:lang w:val="en-GB"/>
        </w:rPr>
        <w:t>et. al.,</w:t>
      </w:r>
      <w:r w:rsidRPr="00AF431F">
        <w:rPr>
          <w:rFonts w:ascii="Times New Roman" w:eastAsia="Times New Roman" w:hAnsi="Times New Roman" w:cs="Times New Roman"/>
          <w:color w:val="222222"/>
          <w:sz w:val="24"/>
          <w:szCs w:val="24"/>
          <w:highlight w:val="white"/>
          <w:lang w:val="en-GB"/>
        </w:rPr>
        <w:t xml:space="preserve"> 2022</w:t>
      </w:r>
      <w:r w:rsidRPr="00AF431F">
        <w:rPr>
          <w:rFonts w:ascii="Times New Roman" w:eastAsia="Times New Roman" w:hAnsi="Times New Roman" w:cs="Times New Roman"/>
          <w:sz w:val="24"/>
          <w:szCs w:val="24"/>
          <w:lang w:val="en-GB"/>
        </w:rPr>
        <w:t xml:space="preserve">). This policy is associated with divided reinvestment plans or programs that consist of Equiniti Financial Service Limited. This particular policy declared that both US dollars and British dollars announce to adopt Euro as the sterling equivalent amount. On the other hand, this policy also declared that in the absence of any valid elections, shareholders can hold their share through the shell nominee services to maintain one economic unity between UK and US countries. </w:t>
      </w:r>
    </w:p>
    <w:p w14:paraId="1C21602B" w14:textId="77777777" w:rsidR="00F32915" w:rsidRPr="00AF431F" w:rsidRDefault="001A73C3">
      <w:pPr>
        <w:spacing w:line="480" w:lineRule="auto"/>
        <w:jc w:val="center"/>
        <w:rPr>
          <w:rFonts w:ascii="Times New Roman" w:eastAsia="Times New Roman" w:hAnsi="Times New Roman" w:cs="Times New Roman"/>
          <w:sz w:val="24"/>
          <w:szCs w:val="24"/>
          <w:lang w:val="en-GB"/>
        </w:rPr>
      </w:pPr>
      <w:r w:rsidRPr="00AF431F">
        <w:rPr>
          <w:rFonts w:ascii="Times New Roman" w:eastAsia="Times New Roman" w:hAnsi="Times New Roman" w:cs="Times New Roman"/>
          <w:noProof/>
          <w:sz w:val="24"/>
          <w:szCs w:val="24"/>
          <w:lang w:val="en-IN"/>
        </w:rPr>
        <w:drawing>
          <wp:inline distT="114300" distB="114300" distL="114300" distR="114300" wp14:anchorId="3E4064F5" wp14:editId="476DE5E4">
            <wp:extent cx="5943600" cy="30988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098800"/>
                    </a:xfrm>
                    <a:prstGeom prst="rect">
                      <a:avLst/>
                    </a:prstGeom>
                    <a:ln w="25400">
                      <a:solidFill>
                        <a:srgbClr val="000000"/>
                      </a:solidFill>
                      <a:prstDash val="solid"/>
                    </a:ln>
                  </pic:spPr>
                </pic:pic>
              </a:graphicData>
            </a:graphic>
          </wp:inline>
        </w:drawing>
      </w:r>
    </w:p>
    <w:p w14:paraId="477306E5" w14:textId="77777777" w:rsidR="00F32915" w:rsidRPr="00AF431F" w:rsidRDefault="001A73C3">
      <w:pPr>
        <w:spacing w:line="480" w:lineRule="auto"/>
        <w:jc w:val="center"/>
        <w:rPr>
          <w:rFonts w:ascii="Times New Roman" w:eastAsia="Times New Roman" w:hAnsi="Times New Roman" w:cs="Times New Roman"/>
          <w:b/>
          <w:sz w:val="24"/>
          <w:szCs w:val="24"/>
          <w:lang w:val="en-GB"/>
        </w:rPr>
      </w:pPr>
      <w:r w:rsidRPr="00AF431F">
        <w:rPr>
          <w:rFonts w:ascii="Times New Roman" w:eastAsia="Times New Roman" w:hAnsi="Times New Roman" w:cs="Times New Roman"/>
          <w:b/>
          <w:sz w:val="24"/>
          <w:szCs w:val="24"/>
          <w:lang w:val="en-GB"/>
        </w:rPr>
        <w:t>Figure 2: Dividend of Shell PLC</w:t>
      </w:r>
    </w:p>
    <w:p w14:paraId="22DC5EA7" w14:textId="77777777" w:rsidR="00F32915" w:rsidRPr="00AF431F" w:rsidRDefault="001A73C3">
      <w:pPr>
        <w:spacing w:line="480" w:lineRule="auto"/>
        <w:jc w:val="center"/>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(Source: </w:t>
      </w:r>
      <w:proofErr w:type="spellStart"/>
      <w:r w:rsidRPr="00AF431F">
        <w:rPr>
          <w:rFonts w:ascii="Times New Roman" w:eastAsia="Times New Roman" w:hAnsi="Times New Roman" w:cs="Times New Roman"/>
          <w:color w:val="222222"/>
          <w:sz w:val="24"/>
          <w:szCs w:val="24"/>
          <w:highlight w:val="white"/>
          <w:lang w:val="en-GB"/>
        </w:rPr>
        <w:t>Haberly</w:t>
      </w:r>
      <w:proofErr w:type="spellEnd"/>
      <w:r w:rsidRPr="00AF431F">
        <w:rPr>
          <w:rFonts w:ascii="Times New Roman" w:eastAsia="Times New Roman" w:hAnsi="Times New Roman" w:cs="Times New Roman"/>
          <w:color w:val="222222"/>
          <w:sz w:val="24"/>
          <w:szCs w:val="24"/>
          <w:highlight w:val="white"/>
          <w:lang w:val="en-GB"/>
        </w:rPr>
        <w:t xml:space="preserve"> and </w:t>
      </w:r>
      <w:proofErr w:type="spellStart"/>
      <w:r w:rsidRPr="00AF431F">
        <w:rPr>
          <w:rFonts w:ascii="Times New Roman" w:eastAsia="Times New Roman" w:hAnsi="Times New Roman" w:cs="Times New Roman"/>
          <w:color w:val="222222"/>
          <w:sz w:val="24"/>
          <w:szCs w:val="24"/>
          <w:highlight w:val="white"/>
          <w:lang w:val="en-GB"/>
        </w:rPr>
        <w:t>Wójcik</w:t>
      </w:r>
      <w:proofErr w:type="spellEnd"/>
      <w:r w:rsidRPr="00AF431F">
        <w:rPr>
          <w:rFonts w:ascii="Times New Roman" w:eastAsia="Times New Roman" w:hAnsi="Times New Roman" w:cs="Times New Roman"/>
          <w:color w:val="222222"/>
          <w:sz w:val="24"/>
          <w:szCs w:val="24"/>
          <w:highlight w:val="white"/>
          <w:lang w:val="en-GB"/>
        </w:rPr>
        <w:t>, 2022</w:t>
      </w:r>
      <w:r w:rsidRPr="00AF431F">
        <w:rPr>
          <w:rFonts w:ascii="Times New Roman" w:eastAsia="Times New Roman" w:hAnsi="Times New Roman" w:cs="Times New Roman"/>
          <w:sz w:val="24"/>
          <w:szCs w:val="24"/>
          <w:lang w:val="en-GB"/>
        </w:rPr>
        <w:t>)</w:t>
      </w:r>
    </w:p>
    <w:p w14:paraId="7B27EFE0" w14:textId="00E5230C" w:rsidR="00F32915" w:rsidRPr="00AF431F" w:rsidRDefault="001A73C3">
      <w:pPr>
        <w:spacing w:line="480" w:lineRule="auto"/>
        <w:jc w:val="both"/>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On the other hand, by adopting </w:t>
      </w:r>
      <w:r w:rsidRPr="00AF431F">
        <w:rPr>
          <w:rFonts w:ascii="Times New Roman" w:eastAsia="Times New Roman" w:hAnsi="Times New Roman" w:cs="Times New Roman"/>
          <w:b/>
          <w:i/>
          <w:sz w:val="24"/>
          <w:szCs w:val="24"/>
          <w:lang w:val="en-GB"/>
        </w:rPr>
        <w:t>Purchasing Power Parity Theory</w:t>
      </w:r>
      <w:r w:rsidRPr="00AF431F">
        <w:rPr>
          <w:rFonts w:ascii="Times New Roman" w:eastAsia="Times New Roman" w:hAnsi="Times New Roman" w:cs="Times New Roman"/>
          <w:sz w:val="24"/>
          <w:szCs w:val="24"/>
          <w:lang w:val="en-GB"/>
        </w:rPr>
        <w:t xml:space="preserve"> this company obtain its forward rate to maintain the transaction cost of trading and reduce the barrier of trading. Adoption of this particular theory helps this enterprise to maintain an absolute level of exchange rate with the help of dividend policy. In this way, it has been predicted that the overall gas flow of business operations can be improved by 40% in 2030 (</w:t>
      </w:r>
      <w:proofErr w:type="spellStart"/>
      <w:r w:rsidRPr="00AF431F">
        <w:rPr>
          <w:rFonts w:ascii="Times New Roman" w:eastAsia="Times New Roman" w:hAnsi="Times New Roman" w:cs="Times New Roman"/>
          <w:color w:val="222222"/>
          <w:sz w:val="24"/>
          <w:szCs w:val="24"/>
          <w:highlight w:val="white"/>
          <w:lang w:val="en-GB"/>
        </w:rPr>
        <w:t>Haberly</w:t>
      </w:r>
      <w:proofErr w:type="spellEnd"/>
      <w:r w:rsidRPr="00AF431F">
        <w:rPr>
          <w:rFonts w:ascii="Times New Roman" w:eastAsia="Times New Roman" w:hAnsi="Times New Roman" w:cs="Times New Roman"/>
          <w:color w:val="222222"/>
          <w:sz w:val="24"/>
          <w:szCs w:val="24"/>
          <w:highlight w:val="white"/>
          <w:lang w:val="en-GB"/>
        </w:rPr>
        <w:t xml:space="preserve"> and </w:t>
      </w:r>
      <w:proofErr w:type="spellStart"/>
      <w:r w:rsidRPr="00AF431F">
        <w:rPr>
          <w:rFonts w:ascii="Times New Roman" w:eastAsia="Times New Roman" w:hAnsi="Times New Roman" w:cs="Times New Roman"/>
          <w:color w:val="222222"/>
          <w:sz w:val="24"/>
          <w:szCs w:val="24"/>
          <w:highlight w:val="white"/>
          <w:lang w:val="en-GB"/>
        </w:rPr>
        <w:t>Wójcik</w:t>
      </w:r>
      <w:proofErr w:type="spellEnd"/>
      <w:r w:rsidRPr="00AF431F">
        <w:rPr>
          <w:rFonts w:ascii="Times New Roman" w:eastAsia="Times New Roman" w:hAnsi="Times New Roman" w:cs="Times New Roman"/>
          <w:color w:val="222222"/>
          <w:sz w:val="24"/>
          <w:szCs w:val="24"/>
          <w:highlight w:val="white"/>
          <w:lang w:val="en-GB"/>
        </w:rPr>
        <w:t>, 2022</w:t>
      </w:r>
      <w:r w:rsidRPr="00AF431F">
        <w:rPr>
          <w:rFonts w:ascii="Times New Roman" w:eastAsia="Times New Roman" w:hAnsi="Times New Roman" w:cs="Times New Roman"/>
          <w:sz w:val="24"/>
          <w:szCs w:val="24"/>
          <w:lang w:val="en-GB"/>
        </w:rPr>
        <w:t xml:space="preserve">). With the help of this theory following the 1.97% of inflation rate of the UK, this enterprise has made changes in its exchange rate and boosted 15% of dividends by increasing the rate of the share buybacks program. On the other </w:t>
      </w:r>
      <w:r w:rsidR="00101820" w:rsidRPr="00AF431F">
        <w:rPr>
          <w:rFonts w:ascii="Times New Roman" w:eastAsia="Times New Roman" w:hAnsi="Times New Roman" w:cs="Times New Roman"/>
          <w:sz w:val="24"/>
          <w:szCs w:val="24"/>
          <w:lang w:val="en-GB"/>
        </w:rPr>
        <w:t>hand,</w:t>
      </w:r>
      <w:r w:rsidRPr="00AF431F">
        <w:rPr>
          <w:rFonts w:ascii="Times New Roman" w:eastAsia="Times New Roman" w:hAnsi="Times New Roman" w:cs="Times New Roman"/>
          <w:sz w:val="24"/>
          <w:szCs w:val="24"/>
          <w:lang w:val="en-GB"/>
        </w:rPr>
        <w:t xml:space="preserve"> oils teddy policy of this company has targeted to cut oil output by 20% by 2030. Focusing on this particular target in this interior this company has produced around 1.5 million barrels of oil per day and become one of the largest liquefied natural gas players. </w:t>
      </w:r>
    </w:p>
    <w:p w14:paraId="6802126E" w14:textId="77777777" w:rsidR="003963DD" w:rsidRDefault="003963DD">
      <w:pPr>
        <w:rPr>
          <w:rFonts w:ascii="Times New Roman" w:hAnsi="Times New Roman"/>
          <w:b/>
          <w:sz w:val="28"/>
          <w:szCs w:val="40"/>
          <w:lang w:val="en-GB"/>
        </w:rPr>
      </w:pPr>
      <w:bookmarkStart w:id="2" w:name="_Toc140836005"/>
      <w:r>
        <w:rPr>
          <w:lang w:val="en-GB"/>
        </w:rPr>
        <w:br w:type="page"/>
      </w:r>
    </w:p>
    <w:p w14:paraId="462A61F4" w14:textId="0A11CD6A" w:rsidR="00F32915" w:rsidRPr="00AF431F" w:rsidRDefault="001A73C3" w:rsidP="00101820">
      <w:pPr>
        <w:pStyle w:val="Heading1"/>
        <w:rPr>
          <w:lang w:val="en-GB"/>
        </w:rPr>
      </w:pPr>
      <w:r w:rsidRPr="00AF431F">
        <w:rPr>
          <w:lang w:val="en-GB"/>
        </w:rPr>
        <w:t>Critically analyse market hypothesis theory in the context of Business operation</w:t>
      </w:r>
      <w:bookmarkEnd w:id="2"/>
      <w:r w:rsidRPr="00AF431F">
        <w:rPr>
          <w:lang w:val="en-GB"/>
        </w:rPr>
        <w:t xml:space="preserve"> </w:t>
      </w:r>
    </w:p>
    <w:p w14:paraId="62FCB7F6" w14:textId="77777777" w:rsidR="00F32915" w:rsidRPr="00AF431F" w:rsidRDefault="001A73C3">
      <w:pPr>
        <w:spacing w:line="480" w:lineRule="auto"/>
        <w:jc w:val="both"/>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Following the </w:t>
      </w:r>
      <w:r w:rsidRPr="00AF431F">
        <w:rPr>
          <w:rFonts w:ascii="Times New Roman" w:eastAsia="Times New Roman" w:hAnsi="Times New Roman" w:cs="Times New Roman"/>
          <w:b/>
          <w:i/>
          <w:sz w:val="24"/>
          <w:szCs w:val="24"/>
          <w:lang w:val="en-GB"/>
        </w:rPr>
        <w:t>New Trade Theory</w:t>
      </w:r>
      <w:r w:rsidRPr="00AF431F">
        <w:rPr>
          <w:rFonts w:ascii="Times New Roman" w:eastAsia="Times New Roman" w:hAnsi="Times New Roman" w:cs="Times New Roman"/>
          <w:sz w:val="24"/>
          <w:szCs w:val="24"/>
          <w:lang w:val="en-GB"/>
        </w:rPr>
        <w:t xml:space="preserve"> by Paul Krugman in 1970, Shell PLC company has predicted its international trade patterns for the maintaining of good service with comparable products from other countries. With the help of this particular theory, Shell PLC has adopted licensing international business expansion method with a strong efficient marketing hypothesis (</w:t>
      </w:r>
      <w:proofErr w:type="spellStart"/>
      <w:r w:rsidRPr="00AF431F">
        <w:rPr>
          <w:rFonts w:ascii="Times New Roman" w:eastAsia="Times New Roman" w:hAnsi="Times New Roman" w:cs="Times New Roman"/>
          <w:color w:val="222222"/>
          <w:sz w:val="24"/>
          <w:szCs w:val="24"/>
          <w:highlight w:val="white"/>
          <w:lang w:val="en-GB"/>
        </w:rPr>
        <w:t>Etter-Phoya</w:t>
      </w:r>
      <w:proofErr w:type="spellEnd"/>
      <w:r w:rsidRPr="00AF431F">
        <w:rPr>
          <w:rFonts w:ascii="Times New Roman" w:eastAsia="Times New Roman" w:hAnsi="Times New Roman" w:cs="Times New Roman"/>
          <w:color w:val="222222"/>
          <w:sz w:val="24"/>
          <w:szCs w:val="24"/>
          <w:highlight w:val="white"/>
          <w:lang w:val="en-GB"/>
        </w:rPr>
        <w:t xml:space="preserve"> </w:t>
      </w:r>
      <w:r w:rsidRPr="00AF431F">
        <w:rPr>
          <w:rFonts w:ascii="Times New Roman" w:eastAsia="Times New Roman" w:hAnsi="Times New Roman" w:cs="Times New Roman"/>
          <w:i/>
          <w:color w:val="222222"/>
          <w:sz w:val="24"/>
          <w:szCs w:val="24"/>
          <w:highlight w:val="white"/>
          <w:lang w:val="en-GB"/>
        </w:rPr>
        <w:t>et. al.</w:t>
      </w:r>
      <w:r w:rsidRPr="00AF431F">
        <w:rPr>
          <w:rFonts w:ascii="Times New Roman" w:eastAsia="Times New Roman" w:hAnsi="Times New Roman" w:cs="Times New Roman"/>
          <w:color w:val="222222"/>
          <w:sz w:val="24"/>
          <w:szCs w:val="24"/>
          <w:highlight w:val="white"/>
          <w:lang w:val="en-GB"/>
        </w:rPr>
        <w:t>, 2022</w:t>
      </w:r>
      <w:r w:rsidRPr="00AF431F">
        <w:rPr>
          <w:rFonts w:ascii="Times New Roman" w:eastAsia="Times New Roman" w:hAnsi="Times New Roman" w:cs="Times New Roman"/>
          <w:sz w:val="24"/>
          <w:szCs w:val="24"/>
          <w:lang w:val="en-GB"/>
        </w:rPr>
        <w:t xml:space="preserve">). With the help of licensing method, this company select the process of selling product under the aspect of licensing specifically during that time when the domestic production cost of the product is too high due to strict government regulation. This particular method helps these companies to sell their standardised product in other countries. </w:t>
      </w:r>
    </w:p>
    <w:p w14:paraId="142A4EE8" w14:textId="77777777" w:rsidR="00F32915" w:rsidRPr="00AF431F" w:rsidRDefault="001A73C3">
      <w:pPr>
        <w:spacing w:line="480" w:lineRule="auto"/>
        <w:jc w:val="center"/>
        <w:rPr>
          <w:rFonts w:ascii="Times New Roman" w:eastAsia="Times New Roman" w:hAnsi="Times New Roman" w:cs="Times New Roman"/>
          <w:sz w:val="24"/>
          <w:szCs w:val="24"/>
          <w:lang w:val="en-GB"/>
        </w:rPr>
      </w:pPr>
      <w:r w:rsidRPr="00AF431F">
        <w:rPr>
          <w:rFonts w:ascii="Times New Roman" w:eastAsia="Times New Roman" w:hAnsi="Times New Roman" w:cs="Times New Roman"/>
          <w:noProof/>
          <w:sz w:val="24"/>
          <w:szCs w:val="24"/>
          <w:lang w:val="en-IN"/>
        </w:rPr>
        <w:drawing>
          <wp:inline distT="114300" distB="114300" distL="114300" distR="114300" wp14:anchorId="5E194254" wp14:editId="0A127CF1">
            <wp:extent cx="5943600" cy="3111500"/>
            <wp:effectExtent l="25400" t="25400" r="25400" b="254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111500"/>
                    </a:xfrm>
                    <a:prstGeom prst="rect">
                      <a:avLst/>
                    </a:prstGeom>
                    <a:ln w="25400">
                      <a:solidFill>
                        <a:srgbClr val="000000"/>
                      </a:solidFill>
                      <a:prstDash val="solid"/>
                    </a:ln>
                  </pic:spPr>
                </pic:pic>
              </a:graphicData>
            </a:graphic>
          </wp:inline>
        </w:drawing>
      </w:r>
    </w:p>
    <w:p w14:paraId="3621DB65" w14:textId="77777777" w:rsidR="00F32915" w:rsidRPr="00AF431F" w:rsidRDefault="001A73C3">
      <w:pPr>
        <w:spacing w:line="480" w:lineRule="auto"/>
        <w:jc w:val="center"/>
        <w:rPr>
          <w:rFonts w:ascii="Times New Roman" w:eastAsia="Times New Roman" w:hAnsi="Times New Roman" w:cs="Times New Roman"/>
          <w:b/>
          <w:sz w:val="24"/>
          <w:szCs w:val="24"/>
          <w:lang w:val="en-GB"/>
        </w:rPr>
      </w:pPr>
      <w:r w:rsidRPr="00AF431F">
        <w:rPr>
          <w:rFonts w:ascii="Times New Roman" w:eastAsia="Times New Roman" w:hAnsi="Times New Roman" w:cs="Times New Roman"/>
          <w:b/>
          <w:sz w:val="24"/>
          <w:szCs w:val="24"/>
          <w:lang w:val="en-GB"/>
        </w:rPr>
        <w:t>Figure 3: New Trade Theory</w:t>
      </w:r>
    </w:p>
    <w:p w14:paraId="4BEA859C" w14:textId="75C3F951" w:rsidR="00F32915" w:rsidRPr="00AF431F" w:rsidRDefault="001A73C3">
      <w:pPr>
        <w:spacing w:line="480" w:lineRule="auto"/>
        <w:jc w:val="center"/>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(Source: </w:t>
      </w:r>
      <w:proofErr w:type="spellStart"/>
      <w:r w:rsidR="005617AB" w:rsidRPr="00AF431F">
        <w:rPr>
          <w:rFonts w:ascii="Times New Roman" w:eastAsia="Times New Roman" w:hAnsi="Times New Roman" w:cs="Times New Roman"/>
          <w:color w:val="222222"/>
          <w:sz w:val="24"/>
          <w:szCs w:val="24"/>
          <w:highlight w:val="white"/>
          <w:lang w:val="en-GB"/>
        </w:rPr>
        <w:t>Etter-Phoya</w:t>
      </w:r>
      <w:proofErr w:type="spellEnd"/>
      <w:r w:rsidR="005617AB" w:rsidRPr="00AF431F">
        <w:rPr>
          <w:rFonts w:ascii="Times New Roman" w:eastAsia="Times New Roman" w:hAnsi="Times New Roman" w:cs="Times New Roman"/>
          <w:color w:val="222222"/>
          <w:sz w:val="24"/>
          <w:szCs w:val="24"/>
          <w:highlight w:val="white"/>
          <w:lang w:val="en-GB"/>
        </w:rPr>
        <w:t xml:space="preserve"> </w:t>
      </w:r>
      <w:r w:rsidR="005617AB" w:rsidRPr="00AF431F">
        <w:rPr>
          <w:rFonts w:ascii="Times New Roman" w:eastAsia="Times New Roman" w:hAnsi="Times New Roman" w:cs="Times New Roman"/>
          <w:i/>
          <w:color w:val="222222"/>
          <w:sz w:val="24"/>
          <w:szCs w:val="24"/>
          <w:highlight w:val="white"/>
          <w:lang w:val="en-GB"/>
        </w:rPr>
        <w:t>et. al.</w:t>
      </w:r>
      <w:r w:rsidR="005617AB" w:rsidRPr="00AF431F">
        <w:rPr>
          <w:rFonts w:ascii="Times New Roman" w:eastAsia="Times New Roman" w:hAnsi="Times New Roman" w:cs="Times New Roman"/>
          <w:color w:val="222222"/>
          <w:sz w:val="24"/>
          <w:szCs w:val="24"/>
          <w:highlight w:val="white"/>
          <w:lang w:val="en-GB"/>
        </w:rPr>
        <w:t>, 2022</w:t>
      </w:r>
      <w:r w:rsidRPr="00AF431F">
        <w:rPr>
          <w:rFonts w:ascii="Times New Roman" w:eastAsia="Times New Roman" w:hAnsi="Times New Roman" w:cs="Times New Roman"/>
          <w:sz w:val="24"/>
          <w:szCs w:val="24"/>
          <w:lang w:val="en-GB"/>
        </w:rPr>
        <w:t>)</w:t>
      </w:r>
    </w:p>
    <w:p w14:paraId="7F149C4B" w14:textId="41A6532B" w:rsidR="00F32915" w:rsidRPr="00AF431F" w:rsidRDefault="001A73C3">
      <w:pPr>
        <w:spacing w:line="480" w:lineRule="auto"/>
        <w:jc w:val="both"/>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On the other </w:t>
      </w:r>
      <w:r w:rsidR="0042534A" w:rsidRPr="00AF431F">
        <w:rPr>
          <w:rFonts w:ascii="Times New Roman" w:eastAsia="Times New Roman" w:hAnsi="Times New Roman" w:cs="Times New Roman"/>
          <w:sz w:val="24"/>
          <w:szCs w:val="24"/>
          <w:lang w:val="en-GB"/>
        </w:rPr>
        <w:t>hand,</w:t>
      </w:r>
      <w:r w:rsidRPr="00AF431F">
        <w:rPr>
          <w:rFonts w:ascii="Times New Roman" w:eastAsia="Times New Roman" w:hAnsi="Times New Roman" w:cs="Times New Roman"/>
          <w:sz w:val="24"/>
          <w:szCs w:val="24"/>
          <w:lang w:val="en-GB"/>
        </w:rPr>
        <w:t xml:space="preserve"> following the </w:t>
      </w:r>
      <w:r w:rsidRPr="00AF431F">
        <w:rPr>
          <w:rFonts w:ascii="Times New Roman" w:eastAsia="Times New Roman" w:hAnsi="Times New Roman" w:cs="Times New Roman"/>
          <w:b/>
          <w:i/>
          <w:sz w:val="24"/>
          <w:szCs w:val="24"/>
          <w:lang w:val="en-GB"/>
        </w:rPr>
        <w:t>International Product Life Cycle Theory,</w:t>
      </w:r>
      <w:r w:rsidRPr="00AF431F">
        <w:rPr>
          <w:rFonts w:ascii="Times New Roman" w:eastAsia="Times New Roman" w:hAnsi="Times New Roman" w:cs="Times New Roman"/>
          <w:sz w:val="24"/>
          <w:szCs w:val="24"/>
          <w:lang w:val="en-GB"/>
        </w:rPr>
        <w:t xml:space="preserve"> this company effectively align the globalisation or internalisation process in global trade pattern by adopting the joint venture method (</w:t>
      </w:r>
      <w:r w:rsidRPr="00AF431F">
        <w:rPr>
          <w:rFonts w:ascii="Times New Roman" w:eastAsia="Times New Roman" w:hAnsi="Times New Roman" w:cs="Times New Roman"/>
          <w:color w:val="222222"/>
          <w:sz w:val="24"/>
          <w:szCs w:val="24"/>
          <w:highlight w:val="white"/>
          <w:lang w:val="en-GB"/>
        </w:rPr>
        <w:t xml:space="preserve">Böhm </w:t>
      </w:r>
      <w:r w:rsidRPr="00AF431F">
        <w:rPr>
          <w:rFonts w:ascii="Times New Roman" w:eastAsia="Times New Roman" w:hAnsi="Times New Roman" w:cs="Times New Roman"/>
          <w:i/>
          <w:color w:val="222222"/>
          <w:sz w:val="24"/>
          <w:szCs w:val="24"/>
          <w:highlight w:val="white"/>
          <w:lang w:val="en-GB"/>
        </w:rPr>
        <w:t>et. al.,</w:t>
      </w:r>
      <w:r w:rsidRPr="00AF431F">
        <w:rPr>
          <w:rFonts w:ascii="Times New Roman" w:eastAsia="Times New Roman" w:hAnsi="Times New Roman" w:cs="Times New Roman"/>
          <w:color w:val="222222"/>
          <w:sz w:val="24"/>
          <w:szCs w:val="24"/>
          <w:highlight w:val="white"/>
          <w:lang w:val="en-GB"/>
        </w:rPr>
        <w:t xml:space="preserve"> 2022</w:t>
      </w:r>
      <w:r w:rsidRPr="00AF431F">
        <w:rPr>
          <w:rFonts w:ascii="Times New Roman" w:eastAsia="Times New Roman" w:hAnsi="Times New Roman" w:cs="Times New Roman"/>
          <w:sz w:val="24"/>
          <w:szCs w:val="24"/>
          <w:lang w:val="en-GB"/>
        </w:rPr>
        <w:t>). With the help of a strong effective marketing hypothesis strategy, the joint venture method becomes effective for Shell PLC to immediately reflect on this stock price and generate excess returns. In this way falling the joint venture method this company maintain its mutual advantages with the other companies following the win-win situation and effectively marge the British-based Shell transport with the Netherland-based Royal Dutch (</w:t>
      </w:r>
      <w:proofErr w:type="spellStart"/>
      <w:r w:rsidRPr="00AF431F">
        <w:rPr>
          <w:rFonts w:ascii="Times New Roman" w:eastAsia="Times New Roman" w:hAnsi="Times New Roman" w:cs="Times New Roman"/>
          <w:color w:val="222222"/>
          <w:sz w:val="24"/>
          <w:szCs w:val="24"/>
          <w:highlight w:val="white"/>
          <w:lang w:val="en-GB"/>
        </w:rPr>
        <w:t>Behuria</w:t>
      </w:r>
      <w:proofErr w:type="spellEnd"/>
      <w:r w:rsidRPr="00AF431F">
        <w:rPr>
          <w:rFonts w:ascii="Times New Roman" w:eastAsia="Times New Roman" w:hAnsi="Times New Roman" w:cs="Times New Roman"/>
          <w:color w:val="222222"/>
          <w:sz w:val="24"/>
          <w:szCs w:val="24"/>
          <w:highlight w:val="white"/>
          <w:lang w:val="en-GB"/>
        </w:rPr>
        <w:t>, 2023</w:t>
      </w:r>
      <w:r w:rsidRPr="00AF431F">
        <w:rPr>
          <w:rFonts w:ascii="Times New Roman" w:eastAsia="Times New Roman" w:hAnsi="Times New Roman" w:cs="Times New Roman"/>
          <w:sz w:val="24"/>
          <w:szCs w:val="24"/>
          <w:lang w:val="en-GB"/>
        </w:rPr>
        <w:t xml:space="preserve">). In this way maintaining the core value of honesty respect and integrity this company maintain its business operation with the help of internalisation financial management. On the other </w:t>
      </w:r>
      <w:r w:rsidR="00803A4F" w:rsidRPr="00AF431F">
        <w:rPr>
          <w:rFonts w:ascii="Times New Roman" w:eastAsia="Times New Roman" w:hAnsi="Times New Roman" w:cs="Times New Roman"/>
          <w:sz w:val="24"/>
          <w:szCs w:val="24"/>
          <w:lang w:val="en-GB"/>
        </w:rPr>
        <w:t>hand,</w:t>
      </w:r>
      <w:r w:rsidRPr="00AF431F">
        <w:rPr>
          <w:rFonts w:ascii="Times New Roman" w:eastAsia="Times New Roman" w:hAnsi="Times New Roman" w:cs="Times New Roman"/>
          <w:sz w:val="24"/>
          <w:szCs w:val="24"/>
          <w:lang w:val="en-GB"/>
        </w:rPr>
        <w:t xml:space="preserve"> with the help of IFM, this company also reduce foreign exchange risk and political rays in an international monetary system with the help of licensing and joint venture mode of international business.</w:t>
      </w:r>
    </w:p>
    <w:p w14:paraId="54BCD54B" w14:textId="77777777" w:rsidR="00F32915" w:rsidRPr="00AF431F" w:rsidRDefault="001A73C3">
      <w:pPr>
        <w:spacing w:line="480" w:lineRule="auto"/>
        <w:jc w:val="center"/>
        <w:rPr>
          <w:rFonts w:ascii="Times New Roman" w:eastAsia="Times New Roman" w:hAnsi="Times New Roman" w:cs="Times New Roman"/>
          <w:sz w:val="24"/>
          <w:szCs w:val="24"/>
          <w:lang w:val="en-GB"/>
        </w:rPr>
      </w:pPr>
      <w:r w:rsidRPr="00AF431F">
        <w:rPr>
          <w:rFonts w:ascii="Times New Roman" w:eastAsia="Times New Roman" w:hAnsi="Times New Roman" w:cs="Times New Roman"/>
          <w:noProof/>
          <w:sz w:val="24"/>
          <w:szCs w:val="24"/>
          <w:lang w:val="en-IN"/>
        </w:rPr>
        <w:drawing>
          <wp:inline distT="114300" distB="114300" distL="114300" distR="114300" wp14:anchorId="024FD6A9" wp14:editId="4BEAD235">
            <wp:extent cx="5943600" cy="3657600"/>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657600"/>
                    </a:xfrm>
                    <a:prstGeom prst="rect">
                      <a:avLst/>
                    </a:prstGeom>
                    <a:ln w="25400">
                      <a:solidFill>
                        <a:srgbClr val="000000"/>
                      </a:solidFill>
                      <a:prstDash val="solid"/>
                    </a:ln>
                  </pic:spPr>
                </pic:pic>
              </a:graphicData>
            </a:graphic>
          </wp:inline>
        </w:drawing>
      </w:r>
    </w:p>
    <w:p w14:paraId="6B4F7563" w14:textId="77777777" w:rsidR="00F32915" w:rsidRPr="00AF431F" w:rsidRDefault="001A73C3">
      <w:pPr>
        <w:spacing w:line="480" w:lineRule="auto"/>
        <w:jc w:val="center"/>
        <w:rPr>
          <w:rFonts w:ascii="Times New Roman" w:eastAsia="Times New Roman" w:hAnsi="Times New Roman" w:cs="Times New Roman"/>
          <w:b/>
          <w:sz w:val="24"/>
          <w:szCs w:val="24"/>
          <w:lang w:val="en-GB"/>
        </w:rPr>
      </w:pPr>
      <w:r w:rsidRPr="00AF431F">
        <w:rPr>
          <w:rFonts w:ascii="Times New Roman" w:eastAsia="Times New Roman" w:hAnsi="Times New Roman" w:cs="Times New Roman"/>
          <w:b/>
          <w:sz w:val="24"/>
          <w:szCs w:val="24"/>
          <w:lang w:val="en-GB"/>
        </w:rPr>
        <w:t>Figure 4: Stock Chart of Shell PLC</w:t>
      </w:r>
    </w:p>
    <w:p w14:paraId="62573A51" w14:textId="77777777" w:rsidR="00F32915" w:rsidRPr="00AF431F" w:rsidRDefault="001A73C3">
      <w:pPr>
        <w:spacing w:line="480" w:lineRule="auto"/>
        <w:jc w:val="center"/>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(Source: </w:t>
      </w:r>
      <w:proofErr w:type="spellStart"/>
      <w:r w:rsidRPr="00AF431F">
        <w:rPr>
          <w:rFonts w:ascii="Times New Roman" w:eastAsia="Times New Roman" w:hAnsi="Times New Roman" w:cs="Times New Roman"/>
          <w:color w:val="222222"/>
          <w:sz w:val="24"/>
          <w:szCs w:val="24"/>
          <w:highlight w:val="white"/>
          <w:lang w:val="en-GB"/>
        </w:rPr>
        <w:t>Alami</w:t>
      </w:r>
      <w:proofErr w:type="spellEnd"/>
      <w:r w:rsidRPr="00AF431F">
        <w:rPr>
          <w:rFonts w:ascii="Times New Roman" w:eastAsia="Times New Roman" w:hAnsi="Times New Roman" w:cs="Times New Roman"/>
          <w:color w:val="222222"/>
          <w:sz w:val="24"/>
          <w:szCs w:val="24"/>
          <w:highlight w:val="white"/>
          <w:lang w:val="en-GB"/>
        </w:rPr>
        <w:t xml:space="preserve"> </w:t>
      </w:r>
      <w:r w:rsidRPr="00AF431F">
        <w:rPr>
          <w:rFonts w:ascii="Times New Roman" w:eastAsia="Times New Roman" w:hAnsi="Times New Roman" w:cs="Times New Roman"/>
          <w:i/>
          <w:color w:val="222222"/>
          <w:sz w:val="24"/>
          <w:szCs w:val="24"/>
          <w:highlight w:val="white"/>
          <w:lang w:val="en-GB"/>
        </w:rPr>
        <w:t>et. al.,</w:t>
      </w:r>
      <w:r w:rsidRPr="00AF431F">
        <w:rPr>
          <w:rFonts w:ascii="Times New Roman" w:eastAsia="Times New Roman" w:hAnsi="Times New Roman" w:cs="Times New Roman"/>
          <w:color w:val="222222"/>
          <w:sz w:val="24"/>
          <w:szCs w:val="24"/>
          <w:highlight w:val="white"/>
          <w:lang w:val="en-GB"/>
        </w:rPr>
        <w:t xml:space="preserve"> 2022</w:t>
      </w:r>
      <w:r w:rsidRPr="00AF431F">
        <w:rPr>
          <w:rFonts w:ascii="Times New Roman" w:eastAsia="Times New Roman" w:hAnsi="Times New Roman" w:cs="Times New Roman"/>
          <w:sz w:val="24"/>
          <w:szCs w:val="24"/>
          <w:lang w:val="en-GB"/>
        </w:rPr>
        <w:t>)</w:t>
      </w:r>
    </w:p>
    <w:p w14:paraId="4765303C" w14:textId="1FD77371" w:rsidR="00F32915" w:rsidRPr="00AF431F" w:rsidRDefault="001A73C3">
      <w:pPr>
        <w:spacing w:line="480" w:lineRule="auto"/>
        <w:jc w:val="both"/>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Following the global trend of the economy, this enterprise has adopted </w:t>
      </w:r>
      <w:r w:rsidRPr="00AF431F">
        <w:rPr>
          <w:rFonts w:ascii="Times New Roman" w:eastAsia="Times New Roman" w:hAnsi="Times New Roman" w:cs="Times New Roman"/>
          <w:b/>
          <w:i/>
          <w:sz w:val="24"/>
          <w:szCs w:val="24"/>
          <w:lang w:val="en-GB"/>
        </w:rPr>
        <w:t>Changes in Capital Market</w:t>
      </w:r>
      <w:r w:rsidRPr="00AF431F">
        <w:rPr>
          <w:rFonts w:ascii="Times New Roman" w:eastAsia="Times New Roman" w:hAnsi="Times New Roman" w:cs="Times New Roman"/>
          <w:sz w:val="24"/>
          <w:szCs w:val="24"/>
          <w:lang w:val="en-GB"/>
        </w:rPr>
        <w:t xml:space="preserve"> techniques to drive the forces of IFM. With the help of this particular technique, this company create a dramatic change in the structure of the national and international capital markets. With the help of this technique, the financial system of this company comes under the process of disintermediation which create tradable security by maintaining the funding requirement of this company (</w:t>
      </w:r>
      <w:proofErr w:type="spellStart"/>
      <w:r w:rsidRPr="00AF431F">
        <w:rPr>
          <w:rFonts w:ascii="Times New Roman" w:eastAsia="Times New Roman" w:hAnsi="Times New Roman" w:cs="Times New Roman"/>
          <w:color w:val="222222"/>
          <w:sz w:val="24"/>
          <w:szCs w:val="24"/>
          <w:highlight w:val="white"/>
          <w:lang w:val="en-GB"/>
        </w:rPr>
        <w:t>Alami</w:t>
      </w:r>
      <w:proofErr w:type="spellEnd"/>
      <w:r w:rsidRPr="00AF431F">
        <w:rPr>
          <w:rFonts w:ascii="Times New Roman" w:eastAsia="Times New Roman" w:hAnsi="Times New Roman" w:cs="Times New Roman"/>
          <w:color w:val="222222"/>
          <w:sz w:val="24"/>
          <w:szCs w:val="24"/>
          <w:highlight w:val="white"/>
          <w:lang w:val="en-GB"/>
        </w:rPr>
        <w:t xml:space="preserve"> </w:t>
      </w:r>
      <w:r w:rsidRPr="00AF431F">
        <w:rPr>
          <w:rFonts w:ascii="Times New Roman" w:eastAsia="Times New Roman" w:hAnsi="Times New Roman" w:cs="Times New Roman"/>
          <w:i/>
          <w:color w:val="222222"/>
          <w:sz w:val="24"/>
          <w:szCs w:val="24"/>
          <w:highlight w:val="white"/>
          <w:lang w:val="en-GB"/>
        </w:rPr>
        <w:t>et. al.,</w:t>
      </w:r>
      <w:r w:rsidRPr="00AF431F">
        <w:rPr>
          <w:rFonts w:ascii="Times New Roman" w:eastAsia="Times New Roman" w:hAnsi="Times New Roman" w:cs="Times New Roman"/>
          <w:color w:val="222222"/>
          <w:sz w:val="24"/>
          <w:szCs w:val="24"/>
          <w:highlight w:val="white"/>
          <w:lang w:val="en-GB"/>
        </w:rPr>
        <w:t xml:space="preserve"> 2022</w:t>
      </w:r>
      <w:r w:rsidRPr="00AF431F">
        <w:rPr>
          <w:rFonts w:ascii="Times New Roman" w:eastAsia="Times New Roman" w:hAnsi="Times New Roman" w:cs="Times New Roman"/>
          <w:sz w:val="24"/>
          <w:szCs w:val="24"/>
          <w:lang w:val="en-GB"/>
        </w:rPr>
        <w:t xml:space="preserve">). On the other </w:t>
      </w:r>
      <w:r w:rsidR="00803A4F" w:rsidRPr="00AF431F">
        <w:rPr>
          <w:rFonts w:ascii="Times New Roman" w:eastAsia="Times New Roman" w:hAnsi="Times New Roman" w:cs="Times New Roman"/>
          <w:sz w:val="24"/>
          <w:szCs w:val="24"/>
          <w:lang w:val="en-GB"/>
        </w:rPr>
        <w:t>hand,</w:t>
      </w:r>
      <w:r w:rsidRPr="00AF431F">
        <w:rPr>
          <w:rFonts w:ascii="Times New Roman" w:eastAsia="Times New Roman" w:hAnsi="Times New Roman" w:cs="Times New Roman"/>
          <w:sz w:val="24"/>
          <w:szCs w:val="24"/>
          <w:lang w:val="en-GB"/>
        </w:rPr>
        <w:t xml:space="preserve"> with the help of cross-border financing, this company increase its return by maintaining its diversified portfolio internationally. It also creates an investment opportunity for this company which helps to improve the integration of the NPV framework or net present value in the financial process. On the other hand, it also helps to support proper research and development functions of marketing to leverage its financial resources.</w:t>
      </w:r>
    </w:p>
    <w:p w14:paraId="6F2D63B3" w14:textId="77777777" w:rsidR="003963DD" w:rsidRDefault="003963DD">
      <w:pPr>
        <w:rPr>
          <w:rFonts w:ascii="Times New Roman" w:hAnsi="Times New Roman"/>
          <w:b/>
          <w:sz w:val="28"/>
          <w:szCs w:val="40"/>
          <w:lang w:val="en-GB"/>
        </w:rPr>
      </w:pPr>
      <w:bookmarkStart w:id="3" w:name="_Toc140836006"/>
      <w:r>
        <w:rPr>
          <w:lang w:val="en-GB"/>
        </w:rPr>
        <w:br w:type="page"/>
      </w:r>
    </w:p>
    <w:p w14:paraId="0FF83C7A" w14:textId="3289E545" w:rsidR="00F32915" w:rsidRPr="00AF431F" w:rsidRDefault="001A73C3" w:rsidP="00803A4F">
      <w:pPr>
        <w:pStyle w:val="Heading1"/>
        <w:rPr>
          <w:lang w:val="en-GB"/>
        </w:rPr>
      </w:pPr>
      <w:r w:rsidRPr="00AF431F">
        <w:rPr>
          <w:lang w:val="en-GB"/>
        </w:rPr>
        <w:t>Critically evaluate methods of appraising projects of the Company</w:t>
      </w:r>
      <w:bookmarkEnd w:id="3"/>
    </w:p>
    <w:p w14:paraId="4134BD28" w14:textId="31FB1772" w:rsidR="00F32915" w:rsidRPr="00AF431F" w:rsidRDefault="001A73C3">
      <w:pPr>
        <w:spacing w:line="480" w:lineRule="auto"/>
        <w:jc w:val="both"/>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Following the </w:t>
      </w:r>
      <w:r w:rsidRPr="00AF431F">
        <w:rPr>
          <w:rFonts w:ascii="Times New Roman" w:eastAsia="Times New Roman" w:hAnsi="Times New Roman" w:cs="Times New Roman"/>
          <w:b/>
          <w:i/>
          <w:sz w:val="24"/>
          <w:szCs w:val="24"/>
          <w:lang w:val="en-GB"/>
        </w:rPr>
        <w:t>Business Forecasting Model</w:t>
      </w:r>
      <w:r w:rsidRPr="00AF431F">
        <w:rPr>
          <w:rFonts w:ascii="Times New Roman" w:eastAsia="Times New Roman" w:hAnsi="Times New Roman" w:cs="Times New Roman"/>
          <w:sz w:val="24"/>
          <w:szCs w:val="24"/>
          <w:lang w:val="en-GB"/>
        </w:rPr>
        <w:t xml:space="preserve"> and the value theory, it has been identified that providing proper value to the financial system is essential for a company to maintain its revenue and profitability. In this regard, it has been identified that the overall corporation value of this company is 2398.50 GBX in 2022 (Grundy </w:t>
      </w:r>
      <w:r w:rsidRPr="00AF431F">
        <w:rPr>
          <w:rFonts w:ascii="Times New Roman" w:eastAsia="Times New Roman" w:hAnsi="Times New Roman" w:cs="Times New Roman"/>
          <w:i/>
          <w:sz w:val="24"/>
          <w:szCs w:val="24"/>
          <w:lang w:val="en-GB"/>
        </w:rPr>
        <w:t>et. al.,</w:t>
      </w:r>
      <w:r w:rsidRPr="00AF431F">
        <w:rPr>
          <w:rFonts w:ascii="Times New Roman" w:eastAsia="Times New Roman" w:hAnsi="Times New Roman" w:cs="Times New Roman"/>
          <w:sz w:val="24"/>
          <w:szCs w:val="24"/>
          <w:lang w:val="en-GB"/>
        </w:rPr>
        <w:t xml:space="preserve"> 2022). In 2022 the profit margin of this enterprise declined by 5.38% as a result the overall sales of this company dropped by 6.5% (</w:t>
      </w:r>
      <w:r w:rsidRPr="00AF431F">
        <w:rPr>
          <w:rFonts w:ascii="Times New Roman" w:eastAsia="Times New Roman" w:hAnsi="Times New Roman" w:cs="Times New Roman"/>
          <w:color w:val="222222"/>
          <w:sz w:val="24"/>
          <w:szCs w:val="24"/>
          <w:highlight w:val="white"/>
          <w:lang w:val="en-GB"/>
        </w:rPr>
        <w:t>Shell, 2023</w:t>
      </w:r>
      <w:r w:rsidRPr="00AF431F">
        <w:rPr>
          <w:rFonts w:ascii="Times New Roman" w:eastAsia="Times New Roman" w:hAnsi="Times New Roman" w:cs="Times New Roman"/>
          <w:sz w:val="24"/>
          <w:szCs w:val="24"/>
          <w:lang w:val="en-GB"/>
        </w:rPr>
        <w:t>). On the other hand, due to the sudden revenue drop regarding the no demand of the oil and gas industry for a high cost of living the value of this company also dropped by 7.89% (</w:t>
      </w:r>
      <w:r w:rsidRPr="00AF431F">
        <w:rPr>
          <w:rFonts w:ascii="Times New Roman" w:eastAsia="Times New Roman" w:hAnsi="Times New Roman" w:cs="Times New Roman"/>
          <w:color w:val="222222"/>
          <w:sz w:val="24"/>
          <w:szCs w:val="24"/>
          <w:highlight w:val="white"/>
          <w:lang w:val="en-GB"/>
        </w:rPr>
        <w:t>Shell, 2023</w:t>
      </w:r>
      <w:r w:rsidRPr="00AF431F">
        <w:rPr>
          <w:rFonts w:ascii="Times New Roman" w:eastAsia="Times New Roman" w:hAnsi="Times New Roman" w:cs="Times New Roman"/>
          <w:sz w:val="24"/>
          <w:szCs w:val="24"/>
          <w:lang w:val="en-GB"/>
        </w:rPr>
        <w:t xml:space="preserve">). This type of significant drop in the corporation value clarifies that the total income of this company is decreased. On the other hand, due to IFM the currency exchange rises become the cause of pricing fluctuation for this company as it </w:t>
      </w:r>
      <w:r w:rsidR="00803A4F" w:rsidRPr="00AF431F">
        <w:rPr>
          <w:rFonts w:ascii="Times New Roman" w:eastAsia="Times New Roman" w:hAnsi="Times New Roman" w:cs="Times New Roman"/>
          <w:sz w:val="24"/>
          <w:szCs w:val="24"/>
          <w:lang w:val="en-GB"/>
        </w:rPr>
        <w:t>results</w:t>
      </w:r>
      <w:r w:rsidRPr="00AF431F">
        <w:rPr>
          <w:rFonts w:ascii="Times New Roman" w:eastAsia="Times New Roman" w:hAnsi="Times New Roman" w:cs="Times New Roman"/>
          <w:sz w:val="24"/>
          <w:szCs w:val="24"/>
          <w:lang w:val="en-GB"/>
        </w:rPr>
        <w:t xml:space="preserve"> the current asset of this company dropped by 3.45% with 7.56% reduction of the current liabilities.</w:t>
      </w:r>
    </w:p>
    <w:p w14:paraId="1F498126" w14:textId="77777777" w:rsidR="00F32915" w:rsidRPr="00AF431F" w:rsidRDefault="001A73C3">
      <w:pPr>
        <w:spacing w:line="480" w:lineRule="auto"/>
        <w:jc w:val="center"/>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 </w:t>
      </w:r>
      <w:r w:rsidRPr="00AF431F">
        <w:rPr>
          <w:rFonts w:ascii="Times New Roman" w:eastAsia="Times New Roman" w:hAnsi="Times New Roman" w:cs="Times New Roman"/>
          <w:noProof/>
          <w:sz w:val="24"/>
          <w:szCs w:val="24"/>
          <w:lang w:val="en-IN"/>
        </w:rPr>
        <w:drawing>
          <wp:inline distT="114300" distB="114300" distL="114300" distR="114300" wp14:anchorId="0A8F19AB" wp14:editId="2ED87A82">
            <wp:extent cx="5943600" cy="4902200"/>
            <wp:effectExtent l="25400" t="25400" r="25400" b="2540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4902200"/>
                    </a:xfrm>
                    <a:prstGeom prst="rect">
                      <a:avLst/>
                    </a:prstGeom>
                    <a:ln w="25400">
                      <a:solidFill>
                        <a:srgbClr val="000000"/>
                      </a:solidFill>
                      <a:prstDash val="solid"/>
                    </a:ln>
                  </pic:spPr>
                </pic:pic>
              </a:graphicData>
            </a:graphic>
          </wp:inline>
        </w:drawing>
      </w:r>
    </w:p>
    <w:p w14:paraId="61EC4B92" w14:textId="77777777" w:rsidR="00F32915" w:rsidRPr="00AF431F" w:rsidRDefault="001A73C3">
      <w:pPr>
        <w:spacing w:line="480" w:lineRule="auto"/>
        <w:jc w:val="center"/>
        <w:rPr>
          <w:rFonts w:ascii="Times New Roman" w:eastAsia="Times New Roman" w:hAnsi="Times New Roman" w:cs="Times New Roman"/>
          <w:b/>
          <w:sz w:val="24"/>
          <w:szCs w:val="24"/>
          <w:lang w:val="en-GB"/>
        </w:rPr>
      </w:pPr>
      <w:r w:rsidRPr="00AF431F">
        <w:rPr>
          <w:rFonts w:ascii="Times New Roman" w:eastAsia="Times New Roman" w:hAnsi="Times New Roman" w:cs="Times New Roman"/>
          <w:b/>
          <w:sz w:val="24"/>
          <w:szCs w:val="24"/>
          <w:lang w:val="en-GB"/>
        </w:rPr>
        <w:t>Figure 5: Financial Statement of Shell PLC</w:t>
      </w:r>
    </w:p>
    <w:p w14:paraId="411C05CB" w14:textId="77777777" w:rsidR="00F32915" w:rsidRPr="00AF431F" w:rsidRDefault="001A73C3">
      <w:pPr>
        <w:spacing w:line="480" w:lineRule="auto"/>
        <w:jc w:val="center"/>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(Source: </w:t>
      </w:r>
      <w:r w:rsidRPr="00AF431F">
        <w:rPr>
          <w:rFonts w:ascii="Times New Roman" w:eastAsia="Times New Roman" w:hAnsi="Times New Roman" w:cs="Times New Roman"/>
          <w:color w:val="222222"/>
          <w:sz w:val="24"/>
          <w:szCs w:val="24"/>
          <w:highlight w:val="white"/>
          <w:lang w:val="en-GB"/>
        </w:rPr>
        <w:t>Shell, 2023</w:t>
      </w:r>
      <w:r w:rsidRPr="00AF431F">
        <w:rPr>
          <w:rFonts w:ascii="Times New Roman" w:eastAsia="Times New Roman" w:hAnsi="Times New Roman" w:cs="Times New Roman"/>
          <w:sz w:val="24"/>
          <w:szCs w:val="24"/>
          <w:lang w:val="en-GB"/>
        </w:rPr>
        <w:t>)</w:t>
      </w:r>
    </w:p>
    <w:p w14:paraId="6B1709D8" w14:textId="77777777" w:rsidR="00F32915" w:rsidRPr="00AF431F" w:rsidRDefault="001A73C3">
      <w:pPr>
        <w:spacing w:line="480" w:lineRule="auto"/>
        <w:jc w:val="both"/>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On the contrary, focusing on the </w:t>
      </w:r>
      <w:r w:rsidRPr="00AF431F">
        <w:rPr>
          <w:rFonts w:ascii="Times New Roman" w:eastAsia="Times New Roman" w:hAnsi="Times New Roman" w:cs="Times New Roman"/>
          <w:b/>
          <w:i/>
          <w:sz w:val="24"/>
          <w:szCs w:val="24"/>
          <w:lang w:val="en-GB"/>
        </w:rPr>
        <w:t>Three-Statement Model</w:t>
      </w:r>
      <w:r w:rsidRPr="00AF431F">
        <w:rPr>
          <w:rFonts w:ascii="Times New Roman" w:eastAsia="Times New Roman" w:hAnsi="Times New Roman" w:cs="Times New Roman"/>
          <w:sz w:val="24"/>
          <w:szCs w:val="24"/>
          <w:lang w:val="en-GB"/>
        </w:rPr>
        <w:t xml:space="preserve"> that involves cash flow, income and balance sheet statement, it has been generated that due to its international operating activities, the overall value of the financial condition has increased by 11.38% unfortunately, the net cash flow for investing activities is dropped by the 51.04% (</w:t>
      </w:r>
      <w:r w:rsidRPr="00AF431F">
        <w:rPr>
          <w:rFonts w:ascii="Times New Roman" w:eastAsia="Times New Roman" w:hAnsi="Times New Roman" w:cs="Times New Roman"/>
          <w:color w:val="222222"/>
          <w:sz w:val="24"/>
          <w:szCs w:val="24"/>
          <w:highlight w:val="white"/>
          <w:lang w:val="en-GB"/>
        </w:rPr>
        <w:t>Shell, 2023</w:t>
      </w:r>
      <w:r w:rsidRPr="00AF431F">
        <w:rPr>
          <w:rFonts w:ascii="Times New Roman" w:eastAsia="Times New Roman" w:hAnsi="Times New Roman" w:cs="Times New Roman"/>
          <w:sz w:val="24"/>
          <w:szCs w:val="24"/>
          <w:lang w:val="en-GB"/>
        </w:rPr>
        <w:t xml:space="preserve">). on the other hand, leading and lodging-related issues also create difficulties for this company to maintain their payment currencies and take benefit from the exchange rate variation. Instead of that with the help of IFM, this company improve its financial activities of production and marketing following the globalisation goal which help this company to maintain the international cost of capital by 6.23% following the higher returns on investment. </w:t>
      </w:r>
    </w:p>
    <w:p w14:paraId="6DE1A026" w14:textId="77777777" w:rsidR="00F32915" w:rsidRPr="00AF431F" w:rsidRDefault="001A73C3">
      <w:pPr>
        <w:spacing w:line="480" w:lineRule="auto"/>
        <w:jc w:val="both"/>
        <w:rPr>
          <w:rFonts w:ascii="Times New Roman" w:eastAsia="Times New Roman" w:hAnsi="Times New Roman" w:cs="Times New Roman"/>
          <w:sz w:val="24"/>
          <w:szCs w:val="24"/>
          <w:lang w:val="en-GB"/>
        </w:rPr>
      </w:pPr>
      <w:r w:rsidRPr="00AF431F">
        <w:rPr>
          <w:rFonts w:ascii="Times New Roman" w:eastAsia="Times New Roman" w:hAnsi="Times New Roman" w:cs="Times New Roman"/>
          <w:sz w:val="24"/>
          <w:szCs w:val="24"/>
          <w:lang w:val="en-GB"/>
        </w:rPr>
        <w:t xml:space="preserve">In this way, this company maintain its growth of capital investment and manages its earnings excess return. On the other hand, wholly-owned subsidiary financial structure of this firm 48 maintenance of IFM focusing on internalisation process helps to export oil in the international market by maintaining the significant role of this company in the development of local economy. This particular financial structure in support of the </w:t>
      </w:r>
      <w:r w:rsidRPr="00AF431F">
        <w:rPr>
          <w:rFonts w:ascii="Times New Roman" w:eastAsia="Times New Roman" w:hAnsi="Times New Roman" w:cs="Times New Roman"/>
          <w:b/>
          <w:i/>
          <w:sz w:val="24"/>
          <w:szCs w:val="24"/>
          <w:lang w:val="en-GB"/>
        </w:rPr>
        <w:t>Capital Structure Theory</w:t>
      </w:r>
      <w:r w:rsidRPr="00AF431F">
        <w:rPr>
          <w:rFonts w:ascii="Times New Roman" w:eastAsia="Times New Roman" w:hAnsi="Times New Roman" w:cs="Times New Roman"/>
          <w:sz w:val="24"/>
          <w:szCs w:val="24"/>
          <w:lang w:val="en-GB"/>
        </w:rPr>
        <w:t xml:space="preserve"> helps to minimise cost of capital for this company and improve its marketing value by utilising debt capital and equity. With the help of this particular theory, the financial structure of this company maintains appropriate production of gas and oil and ensures operation of the pipeline construction following the supply of the product.</w:t>
      </w:r>
    </w:p>
    <w:p w14:paraId="0C70A18F" w14:textId="77777777" w:rsidR="003963DD" w:rsidRDefault="003963DD">
      <w:pPr>
        <w:rPr>
          <w:rFonts w:ascii="Times New Roman" w:hAnsi="Times New Roman"/>
          <w:b/>
          <w:sz w:val="28"/>
          <w:szCs w:val="40"/>
          <w:lang w:val="en-GB"/>
        </w:rPr>
      </w:pPr>
      <w:bookmarkStart w:id="4" w:name="_Toc140836007"/>
      <w:r>
        <w:rPr>
          <w:lang w:val="en-GB"/>
        </w:rPr>
        <w:br w:type="page"/>
      </w:r>
    </w:p>
    <w:p w14:paraId="03C9B53D" w14:textId="3B56CFDA" w:rsidR="00F32915" w:rsidRPr="00AF431F" w:rsidRDefault="001A73C3" w:rsidP="00803A4F">
      <w:pPr>
        <w:pStyle w:val="Heading1"/>
        <w:rPr>
          <w:lang w:val="en-GB"/>
        </w:rPr>
      </w:pPr>
      <w:r w:rsidRPr="00AF431F">
        <w:rPr>
          <w:lang w:val="en-GB"/>
        </w:rPr>
        <w:t>Conclusion</w:t>
      </w:r>
      <w:bookmarkEnd w:id="4"/>
      <w:r w:rsidRPr="00AF431F">
        <w:rPr>
          <w:lang w:val="en-GB"/>
        </w:rPr>
        <w:t xml:space="preserve"> </w:t>
      </w:r>
    </w:p>
    <w:p w14:paraId="6C3A9A22" w14:textId="5E4358E0" w:rsidR="00F32915" w:rsidRPr="00AF431F" w:rsidRDefault="0032260B">
      <w:pPr>
        <w:spacing w:line="48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On the basis of the report</w:t>
      </w:r>
      <w:r w:rsidR="001A73C3" w:rsidRPr="00AF431F">
        <w:rPr>
          <w:rFonts w:ascii="Times New Roman" w:eastAsia="Times New Roman" w:hAnsi="Times New Roman" w:cs="Times New Roman"/>
          <w:sz w:val="24"/>
          <w:szCs w:val="24"/>
          <w:lang w:val="en-GB"/>
        </w:rPr>
        <w:t xml:space="preserve">, it can be concluded that a divide and distribution policy in support of interest rate parity theory and purchasing power parity theory can become effective for this company to improve its international </w:t>
      </w:r>
      <w:r w:rsidR="00803A4F" w:rsidRPr="00AF431F">
        <w:rPr>
          <w:rFonts w:ascii="Times New Roman" w:eastAsia="Times New Roman" w:hAnsi="Times New Roman" w:cs="Times New Roman"/>
          <w:sz w:val="24"/>
          <w:szCs w:val="24"/>
          <w:lang w:val="en-GB"/>
        </w:rPr>
        <w:t>financial</w:t>
      </w:r>
      <w:r w:rsidR="001A73C3" w:rsidRPr="00AF431F">
        <w:rPr>
          <w:rFonts w:ascii="Times New Roman" w:eastAsia="Times New Roman" w:hAnsi="Times New Roman" w:cs="Times New Roman"/>
          <w:sz w:val="24"/>
          <w:szCs w:val="24"/>
          <w:lang w:val="en-GB"/>
        </w:rPr>
        <w:t xml:space="preserve"> system with the help of an equity approach. The adoption of a strong market hypothesis helps Shell PLC to improve its trading system following the joint venture and licensing method. The owned subsidiary financial structure of this company improves its financial aspect following the international financial operating activities.</w:t>
      </w:r>
      <w:r w:rsidR="001A73C3" w:rsidRPr="00AF431F">
        <w:rPr>
          <w:lang w:val="en-GB"/>
        </w:rPr>
        <w:br w:type="page"/>
      </w:r>
    </w:p>
    <w:p w14:paraId="1F37F44D" w14:textId="77777777" w:rsidR="00F32915" w:rsidRPr="00AF431F" w:rsidRDefault="001A73C3" w:rsidP="00754E37">
      <w:pPr>
        <w:pStyle w:val="Heading1"/>
        <w:rPr>
          <w:lang w:val="en-GB"/>
        </w:rPr>
      </w:pPr>
      <w:bookmarkStart w:id="5" w:name="_Toc140836008"/>
      <w:r w:rsidRPr="00AF431F">
        <w:rPr>
          <w:lang w:val="en-GB"/>
        </w:rPr>
        <w:t>Reference</w:t>
      </w:r>
      <w:bookmarkEnd w:id="5"/>
      <w:r w:rsidRPr="00AF431F">
        <w:rPr>
          <w:lang w:val="en-GB"/>
        </w:rPr>
        <w:t xml:space="preserve"> </w:t>
      </w:r>
    </w:p>
    <w:p w14:paraId="7DFFBDB8" w14:textId="77777777" w:rsidR="00754E37" w:rsidRPr="00AF431F" w:rsidRDefault="00754E37">
      <w:pPr>
        <w:spacing w:before="240" w:after="240" w:line="480" w:lineRule="auto"/>
        <w:jc w:val="both"/>
        <w:rPr>
          <w:rFonts w:ascii="Times New Roman" w:eastAsia="Times New Roman" w:hAnsi="Times New Roman" w:cs="Times New Roman"/>
          <w:sz w:val="24"/>
          <w:szCs w:val="24"/>
          <w:lang w:val="en-GB"/>
        </w:rPr>
      </w:pPr>
      <w:proofErr w:type="spellStart"/>
      <w:r w:rsidRPr="00AF431F">
        <w:rPr>
          <w:rFonts w:ascii="Times New Roman" w:eastAsia="Times New Roman" w:hAnsi="Times New Roman" w:cs="Times New Roman"/>
          <w:color w:val="222222"/>
          <w:sz w:val="24"/>
          <w:szCs w:val="24"/>
          <w:highlight w:val="white"/>
          <w:lang w:val="en-GB"/>
        </w:rPr>
        <w:t>Alami</w:t>
      </w:r>
      <w:proofErr w:type="spellEnd"/>
      <w:r w:rsidRPr="00AF431F">
        <w:rPr>
          <w:rFonts w:ascii="Times New Roman" w:eastAsia="Times New Roman" w:hAnsi="Times New Roman" w:cs="Times New Roman"/>
          <w:color w:val="222222"/>
          <w:sz w:val="24"/>
          <w:szCs w:val="24"/>
          <w:highlight w:val="white"/>
          <w:lang w:val="en-GB"/>
        </w:rPr>
        <w:t xml:space="preserve">, I., Alves, C., </w:t>
      </w:r>
      <w:proofErr w:type="spellStart"/>
      <w:r w:rsidRPr="00AF431F">
        <w:rPr>
          <w:rFonts w:ascii="Times New Roman" w:eastAsia="Times New Roman" w:hAnsi="Times New Roman" w:cs="Times New Roman"/>
          <w:color w:val="222222"/>
          <w:sz w:val="24"/>
          <w:szCs w:val="24"/>
          <w:highlight w:val="white"/>
          <w:lang w:val="en-GB"/>
        </w:rPr>
        <w:t>Bonizzi</w:t>
      </w:r>
      <w:proofErr w:type="spellEnd"/>
      <w:r w:rsidRPr="00AF431F">
        <w:rPr>
          <w:rFonts w:ascii="Times New Roman" w:eastAsia="Times New Roman" w:hAnsi="Times New Roman" w:cs="Times New Roman"/>
          <w:color w:val="222222"/>
          <w:sz w:val="24"/>
          <w:szCs w:val="24"/>
          <w:highlight w:val="white"/>
          <w:lang w:val="en-GB"/>
        </w:rPr>
        <w:t xml:space="preserve">, B., Kaltenbrunner, A., </w:t>
      </w:r>
      <w:proofErr w:type="spellStart"/>
      <w:r w:rsidRPr="00AF431F">
        <w:rPr>
          <w:rFonts w:ascii="Times New Roman" w:eastAsia="Times New Roman" w:hAnsi="Times New Roman" w:cs="Times New Roman"/>
          <w:color w:val="222222"/>
          <w:sz w:val="24"/>
          <w:szCs w:val="24"/>
          <w:highlight w:val="white"/>
          <w:lang w:val="en-GB"/>
        </w:rPr>
        <w:t>Koddenbrock</w:t>
      </w:r>
      <w:proofErr w:type="spellEnd"/>
      <w:r w:rsidRPr="00AF431F">
        <w:rPr>
          <w:rFonts w:ascii="Times New Roman" w:eastAsia="Times New Roman" w:hAnsi="Times New Roman" w:cs="Times New Roman"/>
          <w:color w:val="222222"/>
          <w:sz w:val="24"/>
          <w:szCs w:val="24"/>
          <w:highlight w:val="white"/>
          <w:lang w:val="en-GB"/>
        </w:rPr>
        <w:t xml:space="preserve">, K., </w:t>
      </w:r>
      <w:proofErr w:type="spellStart"/>
      <w:r w:rsidRPr="00AF431F">
        <w:rPr>
          <w:rFonts w:ascii="Times New Roman" w:eastAsia="Times New Roman" w:hAnsi="Times New Roman" w:cs="Times New Roman"/>
          <w:color w:val="222222"/>
          <w:sz w:val="24"/>
          <w:szCs w:val="24"/>
          <w:highlight w:val="white"/>
          <w:lang w:val="en-GB"/>
        </w:rPr>
        <w:t>Kvangraven</w:t>
      </w:r>
      <w:proofErr w:type="spellEnd"/>
      <w:r w:rsidRPr="00AF431F">
        <w:rPr>
          <w:rFonts w:ascii="Times New Roman" w:eastAsia="Times New Roman" w:hAnsi="Times New Roman" w:cs="Times New Roman"/>
          <w:color w:val="222222"/>
          <w:sz w:val="24"/>
          <w:szCs w:val="24"/>
          <w:highlight w:val="white"/>
          <w:lang w:val="en-GB"/>
        </w:rPr>
        <w:t xml:space="preserve">, I. and Powell, J., 2022. International financial subordination: a critical research agenda. </w:t>
      </w:r>
      <w:r w:rsidRPr="00AF431F">
        <w:rPr>
          <w:rFonts w:ascii="Times New Roman" w:eastAsia="Times New Roman" w:hAnsi="Times New Roman" w:cs="Times New Roman"/>
          <w:i/>
          <w:sz w:val="24"/>
          <w:szCs w:val="24"/>
          <w:lang w:val="en-GB"/>
        </w:rPr>
        <w:t>Review of International Political Economy</w:t>
      </w:r>
      <w:r w:rsidRPr="00AF431F">
        <w:rPr>
          <w:rFonts w:ascii="Times New Roman" w:eastAsia="Times New Roman" w:hAnsi="Times New Roman" w:cs="Times New Roman"/>
          <w:sz w:val="24"/>
          <w:szCs w:val="24"/>
          <w:lang w:val="en-GB"/>
        </w:rPr>
        <w:t>, pp.1-27.</w:t>
      </w:r>
    </w:p>
    <w:p w14:paraId="571E4496" w14:textId="77777777" w:rsidR="00754E37" w:rsidRPr="00AF431F" w:rsidRDefault="00754E37">
      <w:pPr>
        <w:spacing w:before="240" w:after="240" w:line="480" w:lineRule="auto"/>
        <w:jc w:val="both"/>
        <w:rPr>
          <w:rFonts w:ascii="Times New Roman" w:eastAsia="Times New Roman" w:hAnsi="Times New Roman" w:cs="Times New Roman"/>
          <w:sz w:val="24"/>
          <w:szCs w:val="24"/>
          <w:lang w:val="en-GB"/>
        </w:rPr>
      </w:pPr>
      <w:proofErr w:type="spellStart"/>
      <w:r w:rsidRPr="00AF431F">
        <w:rPr>
          <w:rFonts w:ascii="Times New Roman" w:eastAsia="Times New Roman" w:hAnsi="Times New Roman" w:cs="Times New Roman"/>
          <w:color w:val="222222"/>
          <w:sz w:val="24"/>
          <w:szCs w:val="24"/>
          <w:highlight w:val="white"/>
          <w:lang w:val="en-GB"/>
        </w:rPr>
        <w:t>Behuria</w:t>
      </w:r>
      <w:proofErr w:type="spellEnd"/>
      <w:r w:rsidRPr="00AF431F">
        <w:rPr>
          <w:rFonts w:ascii="Times New Roman" w:eastAsia="Times New Roman" w:hAnsi="Times New Roman" w:cs="Times New Roman"/>
          <w:color w:val="222222"/>
          <w:sz w:val="24"/>
          <w:szCs w:val="24"/>
          <w:highlight w:val="white"/>
          <w:lang w:val="en-GB"/>
        </w:rPr>
        <w:t xml:space="preserve">, P., 2023. The political economy of a tax haven: the case of Mauritius. </w:t>
      </w:r>
      <w:r w:rsidRPr="00AF431F">
        <w:rPr>
          <w:rFonts w:ascii="Times New Roman" w:eastAsia="Times New Roman" w:hAnsi="Times New Roman" w:cs="Times New Roman"/>
          <w:i/>
          <w:sz w:val="24"/>
          <w:szCs w:val="24"/>
          <w:lang w:val="en-GB"/>
        </w:rPr>
        <w:t>Review of International Political Economy</w:t>
      </w:r>
      <w:r w:rsidRPr="00AF431F">
        <w:rPr>
          <w:rFonts w:ascii="Times New Roman" w:eastAsia="Times New Roman" w:hAnsi="Times New Roman" w:cs="Times New Roman"/>
          <w:sz w:val="24"/>
          <w:szCs w:val="24"/>
          <w:lang w:val="en-GB"/>
        </w:rPr>
        <w:t xml:space="preserve">, </w:t>
      </w:r>
      <w:r w:rsidRPr="00AF431F">
        <w:rPr>
          <w:rFonts w:ascii="Times New Roman" w:eastAsia="Times New Roman" w:hAnsi="Times New Roman" w:cs="Times New Roman"/>
          <w:i/>
          <w:sz w:val="24"/>
          <w:szCs w:val="24"/>
          <w:lang w:val="en-GB"/>
        </w:rPr>
        <w:t>30</w:t>
      </w:r>
      <w:r w:rsidRPr="00AF431F">
        <w:rPr>
          <w:rFonts w:ascii="Times New Roman" w:eastAsia="Times New Roman" w:hAnsi="Times New Roman" w:cs="Times New Roman"/>
          <w:sz w:val="24"/>
          <w:szCs w:val="24"/>
          <w:lang w:val="en-GB"/>
        </w:rPr>
        <w:t>(2), pp.772-800.</w:t>
      </w:r>
    </w:p>
    <w:p w14:paraId="3F3A1B5D" w14:textId="77777777" w:rsidR="00754E37" w:rsidRPr="00AF431F" w:rsidRDefault="00754E37">
      <w:pPr>
        <w:spacing w:before="240" w:after="240" w:line="480" w:lineRule="auto"/>
        <w:jc w:val="both"/>
        <w:rPr>
          <w:rFonts w:ascii="Times New Roman" w:eastAsia="Times New Roman" w:hAnsi="Times New Roman" w:cs="Times New Roman"/>
          <w:sz w:val="24"/>
          <w:szCs w:val="24"/>
          <w:lang w:val="en-GB"/>
        </w:rPr>
      </w:pPr>
      <w:r w:rsidRPr="00AF431F">
        <w:rPr>
          <w:rFonts w:ascii="Times New Roman" w:eastAsia="Times New Roman" w:hAnsi="Times New Roman" w:cs="Times New Roman"/>
          <w:color w:val="222222"/>
          <w:sz w:val="24"/>
          <w:szCs w:val="24"/>
          <w:highlight w:val="white"/>
          <w:lang w:val="en-GB"/>
        </w:rPr>
        <w:t xml:space="preserve">Böhm, S., Carrington, M., Cornelius, N., de Bruin, B., Greenwood, M., Hassan, L., Jain, T., Karam, C., </w:t>
      </w:r>
      <w:proofErr w:type="spellStart"/>
      <w:r w:rsidRPr="00AF431F">
        <w:rPr>
          <w:rFonts w:ascii="Times New Roman" w:eastAsia="Times New Roman" w:hAnsi="Times New Roman" w:cs="Times New Roman"/>
          <w:color w:val="222222"/>
          <w:sz w:val="24"/>
          <w:szCs w:val="24"/>
          <w:highlight w:val="white"/>
          <w:lang w:val="en-GB"/>
        </w:rPr>
        <w:t>Kourula</w:t>
      </w:r>
      <w:proofErr w:type="spellEnd"/>
      <w:r w:rsidRPr="00AF431F">
        <w:rPr>
          <w:rFonts w:ascii="Times New Roman" w:eastAsia="Times New Roman" w:hAnsi="Times New Roman" w:cs="Times New Roman"/>
          <w:color w:val="222222"/>
          <w:sz w:val="24"/>
          <w:szCs w:val="24"/>
          <w:highlight w:val="white"/>
          <w:lang w:val="en-GB"/>
        </w:rPr>
        <w:t xml:space="preserve">, A., Romani, L. and Riaz, S., 2022. Ethics at the centre of global and local challenges: Thoughts on the future of business ethics. </w:t>
      </w:r>
      <w:r w:rsidRPr="00AF431F">
        <w:rPr>
          <w:rFonts w:ascii="Times New Roman" w:eastAsia="Times New Roman" w:hAnsi="Times New Roman" w:cs="Times New Roman"/>
          <w:i/>
          <w:sz w:val="24"/>
          <w:szCs w:val="24"/>
          <w:lang w:val="en-GB"/>
        </w:rPr>
        <w:t>Journal of Business Ethics</w:t>
      </w:r>
      <w:r w:rsidRPr="00AF431F">
        <w:rPr>
          <w:rFonts w:ascii="Times New Roman" w:eastAsia="Times New Roman" w:hAnsi="Times New Roman" w:cs="Times New Roman"/>
          <w:sz w:val="24"/>
          <w:szCs w:val="24"/>
          <w:lang w:val="en-GB"/>
        </w:rPr>
        <w:t xml:space="preserve">, </w:t>
      </w:r>
      <w:r w:rsidRPr="00AF431F">
        <w:rPr>
          <w:rFonts w:ascii="Times New Roman" w:eastAsia="Times New Roman" w:hAnsi="Times New Roman" w:cs="Times New Roman"/>
          <w:i/>
          <w:sz w:val="24"/>
          <w:szCs w:val="24"/>
          <w:lang w:val="en-GB"/>
        </w:rPr>
        <w:t>180</w:t>
      </w:r>
      <w:r w:rsidRPr="00AF431F">
        <w:rPr>
          <w:rFonts w:ascii="Times New Roman" w:eastAsia="Times New Roman" w:hAnsi="Times New Roman" w:cs="Times New Roman"/>
          <w:sz w:val="24"/>
          <w:szCs w:val="24"/>
          <w:lang w:val="en-GB"/>
        </w:rPr>
        <w:t>(3), pp.835-861.</w:t>
      </w:r>
    </w:p>
    <w:p w14:paraId="333895B4" w14:textId="77777777" w:rsidR="00754E37" w:rsidRPr="00AF431F" w:rsidRDefault="00754E37">
      <w:pPr>
        <w:spacing w:before="240" w:after="240" w:line="480" w:lineRule="auto"/>
        <w:jc w:val="both"/>
        <w:rPr>
          <w:rFonts w:ascii="Times New Roman" w:eastAsia="Times New Roman" w:hAnsi="Times New Roman" w:cs="Times New Roman"/>
          <w:sz w:val="24"/>
          <w:szCs w:val="24"/>
          <w:lang w:val="en-GB"/>
        </w:rPr>
      </w:pPr>
      <w:proofErr w:type="spellStart"/>
      <w:r w:rsidRPr="00AF431F">
        <w:rPr>
          <w:rFonts w:ascii="Times New Roman" w:eastAsia="Times New Roman" w:hAnsi="Times New Roman" w:cs="Times New Roman"/>
          <w:color w:val="222222"/>
          <w:sz w:val="24"/>
          <w:szCs w:val="24"/>
          <w:highlight w:val="white"/>
          <w:lang w:val="en-GB"/>
        </w:rPr>
        <w:t>Etter-Phoya</w:t>
      </w:r>
      <w:proofErr w:type="spellEnd"/>
      <w:r w:rsidRPr="00AF431F">
        <w:rPr>
          <w:rFonts w:ascii="Times New Roman" w:eastAsia="Times New Roman" w:hAnsi="Times New Roman" w:cs="Times New Roman"/>
          <w:color w:val="222222"/>
          <w:sz w:val="24"/>
          <w:szCs w:val="24"/>
          <w:highlight w:val="white"/>
          <w:lang w:val="en-GB"/>
        </w:rPr>
        <w:t xml:space="preserve">, R., Harari, M., </w:t>
      </w:r>
      <w:proofErr w:type="spellStart"/>
      <w:r w:rsidRPr="00AF431F">
        <w:rPr>
          <w:rFonts w:ascii="Times New Roman" w:eastAsia="Times New Roman" w:hAnsi="Times New Roman" w:cs="Times New Roman"/>
          <w:color w:val="222222"/>
          <w:sz w:val="24"/>
          <w:szCs w:val="24"/>
          <w:highlight w:val="white"/>
          <w:lang w:val="en-GB"/>
        </w:rPr>
        <w:t>Meinzer</w:t>
      </w:r>
      <w:proofErr w:type="spellEnd"/>
      <w:r w:rsidRPr="00AF431F">
        <w:rPr>
          <w:rFonts w:ascii="Times New Roman" w:eastAsia="Times New Roman" w:hAnsi="Times New Roman" w:cs="Times New Roman"/>
          <w:color w:val="222222"/>
          <w:sz w:val="24"/>
          <w:szCs w:val="24"/>
          <w:highlight w:val="white"/>
          <w:lang w:val="en-GB"/>
        </w:rPr>
        <w:t xml:space="preserve">, M. and </w:t>
      </w:r>
      <w:proofErr w:type="spellStart"/>
      <w:r w:rsidRPr="00AF431F">
        <w:rPr>
          <w:rFonts w:ascii="Times New Roman" w:eastAsia="Times New Roman" w:hAnsi="Times New Roman" w:cs="Times New Roman"/>
          <w:color w:val="222222"/>
          <w:sz w:val="24"/>
          <w:szCs w:val="24"/>
          <w:highlight w:val="white"/>
          <w:lang w:val="en-GB"/>
        </w:rPr>
        <w:t>Palanský</w:t>
      </w:r>
      <w:proofErr w:type="spellEnd"/>
      <w:r w:rsidRPr="00AF431F">
        <w:rPr>
          <w:rFonts w:ascii="Times New Roman" w:eastAsia="Times New Roman" w:hAnsi="Times New Roman" w:cs="Times New Roman"/>
          <w:color w:val="222222"/>
          <w:sz w:val="24"/>
          <w:szCs w:val="24"/>
          <w:highlight w:val="white"/>
          <w:lang w:val="en-GB"/>
        </w:rPr>
        <w:t xml:space="preserve">, M., 2022. Global financial systems and tax avoidance. </w:t>
      </w:r>
      <w:r w:rsidRPr="00AF431F">
        <w:rPr>
          <w:rFonts w:ascii="Times New Roman" w:eastAsia="Times New Roman" w:hAnsi="Times New Roman" w:cs="Times New Roman"/>
          <w:i/>
          <w:sz w:val="24"/>
          <w:szCs w:val="24"/>
          <w:lang w:val="en-GB"/>
        </w:rPr>
        <w:t>The Routledge Handbook of Global Development</w:t>
      </w:r>
      <w:r w:rsidRPr="00AF431F">
        <w:rPr>
          <w:rFonts w:ascii="Times New Roman" w:eastAsia="Times New Roman" w:hAnsi="Times New Roman" w:cs="Times New Roman"/>
          <w:sz w:val="24"/>
          <w:szCs w:val="24"/>
          <w:lang w:val="en-GB"/>
        </w:rPr>
        <w:t>, pp.326-340.</w:t>
      </w:r>
    </w:p>
    <w:p w14:paraId="1CD3E8D8" w14:textId="77777777" w:rsidR="00754E37" w:rsidRPr="00AF431F" w:rsidRDefault="00754E37">
      <w:pPr>
        <w:spacing w:before="240" w:after="240" w:line="480" w:lineRule="auto"/>
        <w:jc w:val="both"/>
        <w:rPr>
          <w:rFonts w:ascii="Times New Roman" w:eastAsia="Times New Roman" w:hAnsi="Times New Roman" w:cs="Times New Roman"/>
          <w:sz w:val="24"/>
          <w:szCs w:val="24"/>
          <w:lang w:val="en-GB"/>
        </w:rPr>
      </w:pPr>
      <w:proofErr w:type="spellStart"/>
      <w:r w:rsidRPr="00AF431F">
        <w:rPr>
          <w:rFonts w:ascii="Times New Roman" w:eastAsia="Times New Roman" w:hAnsi="Times New Roman" w:cs="Times New Roman"/>
          <w:color w:val="222222"/>
          <w:sz w:val="24"/>
          <w:szCs w:val="24"/>
          <w:highlight w:val="white"/>
          <w:lang w:val="en-GB"/>
        </w:rPr>
        <w:t>Frömmel</w:t>
      </w:r>
      <w:proofErr w:type="spellEnd"/>
      <w:r w:rsidRPr="00AF431F">
        <w:rPr>
          <w:rFonts w:ascii="Times New Roman" w:eastAsia="Times New Roman" w:hAnsi="Times New Roman" w:cs="Times New Roman"/>
          <w:color w:val="222222"/>
          <w:sz w:val="24"/>
          <w:szCs w:val="24"/>
          <w:highlight w:val="white"/>
          <w:lang w:val="en-GB"/>
        </w:rPr>
        <w:t xml:space="preserve">, M., </w:t>
      </w:r>
      <w:proofErr w:type="spellStart"/>
      <w:r w:rsidRPr="00AF431F">
        <w:rPr>
          <w:rFonts w:ascii="Times New Roman" w:eastAsia="Times New Roman" w:hAnsi="Times New Roman" w:cs="Times New Roman"/>
          <w:color w:val="222222"/>
          <w:sz w:val="24"/>
          <w:szCs w:val="24"/>
          <w:highlight w:val="white"/>
          <w:lang w:val="en-GB"/>
        </w:rPr>
        <w:t>Vukovic</w:t>
      </w:r>
      <w:proofErr w:type="spellEnd"/>
      <w:r w:rsidRPr="00AF431F">
        <w:rPr>
          <w:rFonts w:ascii="Times New Roman" w:eastAsia="Times New Roman" w:hAnsi="Times New Roman" w:cs="Times New Roman"/>
          <w:color w:val="222222"/>
          <w:sz w:val="24"/>
          <w:szCs w:val="24"/>
          <w:highlight w:val="white"/>
          <w:lang w:val="en-GB"/>
        </w:rPr>
        <w:t xml:space="preserve">, D.B. and Wu, J., 2022. The Dollar Exchange Rate, Adjustment to the Purchasing Power Parity, and the Interest Rate Differential. </w:t>
      </w:r>
      <w:r w:rsidRPr="00AF431F">
        <w:rPr>
          <w:rFonts w:ascii="Times New Roman" w:eastAsia="Times New Roman" w:hAnsi="Times New Roman" w:cs="Times New Roman"/>
          <w:i/>
          <w:sz w:val="24"/>
          <w:szCs w:val="24"/>
          <w:lang w:val="en-GB"/>
        </w:rPr>
        <w:t>Mathematics</w:t>
      </w:r>
      <w:r w:rsidRPr="00AF431F">
        <w:rPr>
          <w:rFonts w:ascii="Times New Roman" w:eastAsia="Times New Roman" w:hAnsi="Times New Roman" w:cs="Times New Roman"/>
          <w:sz w:val="24"/>
          <w:szCs w:val="24"/>
          <w:lang w:val="en-GB"/>
        </w:rPr>
        <w:t xml:space="preserve">, </w:t>
      </w:r>
      <w:r w:rsidRPr="00AF431F">
        <w:rPr>
          <w:rFonts w:ascii="Times New Roman" w:eastAsia="Times New Roman" w:hAnsi="Times New Roman" w:cs="Times New Roman"/>
          <w:i/>
          <w:sz w:val="24"/>
          <w:szCs w:val="24"/>
          <w:lang w:val="en-GB"/>
        </w:rPr>
        <w:t>10</w:t>
      </w:r>
      <w:r w:rsidRPr="00AF431F">
        <w:rPr>
          <w:rFonts w:ascii="Times New Roman" w:eastAsia="Times New Roman" w:hAnsi="Times New Roman" w:cs="Times New Roman"/>
          <w:sz w:val="24"/>
          <w:szCs w:val="24"/>
          <w:lang w:val="en-GB"/>
        </w:rPr>
        <w:t>(23), p.4504.</w:t>
      </w:r>
    </w:p>
    <w:p w14:paraId="089860C4" w14:textId="77777777" w:rsidR="00754E37" w:rsidRPr="00AF431F" w:rsidRDefault="00754E37">
      <w:pPr>
        <w:spacing w:before="240" w:after="240" w:line="480" w:lineRule="auto"/>
        <w:jc w:val="both"/>
        <w:rPr>
          <w:rFonts w:ascii="Times New Roman" w:eastAsia="Times New Roman" w:hAnsi="Times New Roman" w:cs="Times New Roman"/>
          <w:sz w:val="24"/>
          <w:szCs w:val="24"/>
          <w:lang w:val="en-GB"/>
        </w:rPr>
      </w:pPr>
      <w:r w:rsidRPr="00AF431F">
        <w:rPr>
          <w:rFonts w:ascii="Times New Roman" w:eastAsia="Times New Roman" w:hAnsi="Times New Roman" w:cs="Times New Roman"/>
          <w:color w:val="222222"/>
          <w:sz w:val="24"/>
          <w:szCs w:val="24"/>
          <w:highlight w:val="white"/>
          <w:lang w:val="en-GB"/>
        </w:rPr>
        <w:t xml:space="preserve">Grundy, T., Johnson, G. and Scholes, K., 2022. Strategic Financial Management. </w:t>
      </w:r>
      <w:r w:rsidRPr="00AF431F">
        <w:rPr>
          <w:rFonts w:ascii="Times New Roman" w:eastAsia="Times New Roman" w:hAnsi="Times New Roman" w:cs="Times New Roman"/>
          <w:i/>
          <w:sz w:val="24"/>
          <w:szCs w:val="24"/>
          <w:lang w:val="en-GB"/>
        </w:rPr>
        <w:t>Bachelor of Business Administration Programme Code: BBA Duration–3 Years Full Time</w:t>
      </w:r>
      <w:r w:rsidRPr="00AF431F">
        <w:rPr>
          <w:rFonts w:ascii="Times New Roman" w:eastAsia="Times New Roman" w:hAnsi="Times New Roman" w:cs="Times New Roman"/>
          <w:sz w:val="24"/>
          <w:szCs w:val="24"/>
          <w:lang w:val="en-GB"/>
        </w:rPr>
        <w:t xml:space="preserve">, </w:t>
      </w:r>
      <w:r w:rsidRPr="00AF431F">
        <w:rPr>
          <w:rFonts w:ascii="Times New Roman" w:eastAsia="Times New Roman" w:hAnsi="Times New Roman" w:cs="Times New Roman"/>
          <w:i/>
          <w:sz w:val="24"/>
          <w:szCs w:val="24"/>
          <w:lang w:val="en-GB"/>
        </w:rPr>
        <w:t>2</w:t>
      </w:r>
      <w:r w:rsidRPr="00AF431F">
        <w:rPr>
          <w:rFonts w:ascii="Times New Roman" w:eastAsia="Times New Roman" w:hAnsi="Times New Roman" w:cs="Times New Roman"/>
          <w:sz w:val="24"/>
          <w:szCs w:val="24"/>
          <w:lang w:val="en-GB"/>
        </w:rPr>
        <w:t>(1).</w:t>
      </w:r>
    </w:p>
    <w:p w14:paraId="58C4FED1" w14:textId="77777777" w:rsidR="00754E37" w:rsidRPr="00AF431F" w:rsidRDefault="00754E37">
      <w:pPr>
        <w:spacing w:before="240" w:after="240" w:line="480" w:lineRule="auto"/>
        <w:jc w:val="both"/>
        <w:rPr>
          <w:rFonts w:ascii="Times New Roman" w:eastAsia="Times New Roman" w:hAnsi="Times New Roman" w:cs="Times New Roman"/>
          <w:sz w:val="24"/>
          <w:szCs w:val="24"/>
          <w:lang w:val="en-GB"/>
        </w:rPr>
      </w:pPr>
      <w:proofErr w:type="spellStart"/>
      <w:r w:rsidRPr="00AF431F">
        <w:rPr>
          <w:rFonts w:ascii="Times New Roman" w:eastAsia="Times New Roman" w:hAnsi="Times New Roman" w:cs="Times New Roman"/>
          <w:color w:val="222222"/>
          <w:sz w:val="24"/>
          <w:szCs w:val="24"/>
          <w:highlight w:val="white"/>
          <w:lang w:val="en-GB"/>
        </w:rPr>
        <w:t>Haberly</w:t>
      </w:r>
      <w:proofErr w:type="spellEnd"/>
      <w:r w:rsidRPr="00AF431F">
        <w:rPr>
          <w:rFonts w:ascii="Times New Roman" w:eastAsia="Times New Roman" w:hAnsi="Times New Roman" w:cs="Times New Roman"/>
          <w:color w:val="222222"/>
          <w:sz w:val="24"/>
          <w:szCs w:val="24"/>
          <w:highlight w:val="white"/>
          <w:lang w:val="en-GB"/>
        </w:rPr>
        <w:t xml:space="preserve">, D. and </w:t>
      </w:r>
      <w:proofErr w:type="spellStart"/>
      <w:r w:rsidRPr="00AF431F">
        <w:rPr>
          <w:rFonts w:ascii="Times New Roman" w:eastAsia="Times New Roman" w:hAnsi="Times New Roman" w:cs="Times New Roman"/>
          <w:color w:val="222222"/>
          <w:sz w:val="24"/>
          <w:szCs w:val="24"/>
          <w:highlight w:val="white"/>
          <w:lang w:val="en-GB"/>
        </w:rPr>
        <w:t>Wójcik</w:t>
      </w:r>
      <w:proofErr w:type="spellEnd"/>
      <w:r w:rsidRPr="00AF431F">
        <w:rPr>
          <w:rFonts w:ascii="Times New Roman" w:eastAsia="Times New Roman" w:hAnsi="Times New Roman" w:cs="Times New Roman"/>
          <w:color w:val="222222"/>
          <w:sz w:val="24"/>
          <w:szCs w:val="24"/>
          <w:highlight w:val="white"/>
          <w:lang w:val="en-GB"/>
        </w:rPr>
        <w:t xml:space="preserve">, D., 2022. </w:t>
      </w:r>
      <w:r w:rsidRPr="00AF431F">
        <w:rPr>
          <w:rFonts w:ascii="Times New Roman" w:eastAsia="Times New Roman" w:hAnsi="Times New Roman" w:cs="Times New Roman"/>
          <w:i/>
          <w:sz w:val="24"/>
          <w:szCs w:val="24"/>
          <w:lang w:val="en-GB"/>
        </w:rPr>
        <w:t>Sticky power: Global financial networks in the world economy</w:t>
      </w:r>
      <w:r w:rsidRPr="00AF431F">
        <w:rPr>
          <w:rFonts w:ascii="Times New Roman" w:eastAsia="Times New Roman" w:hAnsi="Times New Roman" w:cs="Times New Roman"/>
          <w:sz w:val="24"/>
          <w:szCs w:val="24"/>
          <w:lang w:val="en-GB"/>
        </w:rPr>
        <w:t xml:space="preserve"> (p. 400). Oxford University Press. UK.</w:t>
      </w:r>
    </w:p>
    <w:p w14:paraId="187079EF" w14:textId="77777777" w:rsidR="00754E37" w:rsidRPr="00AF431F" w:rsidRDefault="00754E37">
      <w:pPr>
        <w:spacing w:before="240" w:after="240" w:line="480" w:lineRule="auto"/>
        <w:jc w:val="both"/>
        <w:rPr>
          <w:rFonts w:ascii="Times New Roman" w:eastAsia="Times New Roman" w:hAnsi="Times New Roman" w:cs="Times New Roman"/>
          <w:color w:val="222222"/>
          <w:sz w:val="24"/>
          <w:szCs w:val="24"/>
          <w:highlight w:val="white"/>
          <w:lang w:val="en-GB"/>
        </w:rPr>
      </w:pPr>
      <w:r w:rsidRPr="00AF431F">
        <w:rPr>
          <w:rFonts w:ascii="Times New Roman" w:eastAsia="Times New Roman" w:hAnsi="Times New Roman" w:cs="Times New Roman"/>
          <w:color w:val="222222"/>
          <w:sz w:val="24"/>
          <w:szCs w:val="24"/>
          <w:highlight w:val="white"/>
          <w:lang w:val="en-GB"/>
        </w:rPr>
        <w:t xml:space="preserve">Shell, 2023 </w:t>
      </w:r>
      <w:r w:rsidRPr="00AF431F">
        <w:rPr>
          <w:rFonts w:ascii="Times New Roman" w:eastAsia="Times New Roman" w:hAnsi="Times New Roman" w:cs="Times New Roman"/>
          <w:i/>
          <w:color w:val="222222"/>
          <w:sz w:val="24"/>
          <w:szCs w:val="24"/>
          <w:highlight w:val="white"/>
          <w:lang w:val="en-GB"/>
        </w:rPr>
        <w:t>Company Overview</w:t>
      </w:r>
      <w:r w:rsidRPr="00AF431F">
        <w:rPr>
          <w:rFonts w:ascii="Times New Roman" w:eastAsia="Times New Roman" w:hAnsi="Times New Roman" w:cs="Times New Roman"/>
          <w:color w:val="222222"/>
          <w:sz w:val="24"/>
          <w:szCs w:val="24"/>
          <w:highlight w:val="white"/>
          <w:lang w:val="en-GB"/>
        </w:rPr>
        <w:t xml:space="preserve"> [Online] Available At:</w:t>
      </w:r>
      <w:hyperlink r:id="rId12">
        <w:r w:rsidRPr="00AF431F">
          <w:rPr>
            <w:rFonts w:ascii="Times New Roman" w:eastAsia="Times New Roman" w:hAnsi="Times New Roman" w:cs="Times New Roman"/>
            <w:color w:val="222222"/>
            <w:sz w:val="24"/>
            <w:szCs w:val="24"/>
            <w:highlight w:val="white"/>
            <w:lang w:val="en-GB"/>
          </w:rPr>
          <w:t xml:space="preserve"> </w:t>
        </w:r>
      </w:hyperlink>
      <w:hyperlink r:id="rId13">
        <w:r w:rsidRPr="00AF431F">
          <w:rPr>
            <w:rFonts w:ascii="Times New Roman" w:eastAsia="Times New Roman" w:hAnsi="Times New Roman" w:cs="Times New Roman"/>
            <w:color w:val="1155CC"/>
            <w:sz w:val="24"/>
            <w:szCs w:val="24"/>
            <w:highlight w:val="white"/>
            <w:u w:val="single"/>
            <w:lang w:val="en-GB"/>
          </w:rPr>
          <w:t>https://www.shell.com/</w:t>
        </w:r>
      </w:hyperlink>
      <w:r w:rsidRPr="00AF431F">
        <w:rPr>
          <w:rFonts w:ascii="Times New Roman" w:eastAsia="Times New Roman" w:hAnsi="Times New Roman" w:cs="Times New Roman"/>
          <w:color w:val="222222"/>
          <w:sz w:val="24"/>
          <w:szCs w:val="24"/>
          <w:highlight w:val="white"/>
          <w:lang w:val="en-GB"/>
        </w:rPr>
        <w:t xml:space="preserve"> [Accessed On: 21/07/2023]</w:t>
      </w:r>
    </w:p>
    <w:p w14:paraId="2E028FC8" w14:textId="77777777" w:rsidR="00754E37" w:rsidRPr="00AF431F" w:rsidRDefault="00754E37">
      <w:pPr>
        <w:spacing w:before="240" w:after="240" w:line="480" w:lineRule="auto"/>
        <w:jc w:val="both"/>
        <w:rPr>
          <w:rFonts w:ascii="Times New Roman" w:eastAsia="Times New Roman" w:hAnsi="Times New Roman" w:cs="Times New Roman"/>
          <w:color w:val="222222"/>
          <w:sz w:val="24"/>
          <w:szCs w:val="24"/>
          <w:highlight w:val="white"/>
          <w:lang w:val="en-GB"/>
        </w:rPr>
      </w:pPr>
      <w:r w:rsidRPr="00AF431F">
        <w:rPr>
          <w:rFonts w:ascii="Times New Roman" w:eastAsia="Times New Roman" w:hAnsi="Times New Roman" w:cs="Times New Roman"/>
          <w:color w:val="222222"/>
          <w:sz w:val="24"/>
          <w:szCs w:val="24"/>
          <w:highlight w:val="white"/>
          <w:lang w:val="en-GB"/>
        </w:rPr>
        <w:t xml:space="preserve">Shell, 2023 </w:t>
      </w:r>
      <w:r w:rsidRPr="00AF431F">
        <w:rPr>
          <w:rFonts w:ascii="Times New Roman" w:eastAsia="Times New Roman" w:hAnsi="Times New Roman" w:cs="Times New Roman"/>
          <w:i/>
          <w:color w:val="222222"/>
          <w:sz w:val="24"/>
          <w:szCs w:val="24"/>
          <w:highlight w:val="white"/>
          <w:lang w:val="en-GB"/>
        </w:rPr>
        <w:t>Financial Statement of Shell PLC</w:t>
      </w:r>
      <w:r w:rsidRPr="00AF431F">
        <w:rPr>
          <w:rFonts w:ascii="Times New Roman" w:eastAsia="Times New Roman" w:hAnsi="Times New Roman" w:cs="Times New Roman"/>
          <w:color w:val="222222"/>
          <w:sz w:val="24"/>
          <w:szCs w:val="24"/>
          <w:highlight w:val="white"/>
          <w:lang w:val="en-GB"/>
        </w:rPr>
        <w:t xml:space="preserve"> [Online] Available At:</w:t>
      </w:r>
      <w:hyperlink r:id="rId14" w:anchor="/datasheet-shell-ar22/table/22,23/0,1,2,3/periods/0">
        <w:r w:rsidRPr="00AF431F">
          <w:rPr>
            <w:rFonts w:ascii="Times New Roman" w:eastAsia="Times New Roman" w:hAnsi="Times New Roman" w:cs="Times New Roman"/>
            <w:color w:val="222222"/>
            <w:sz w:val="24"/>
            <w:szCs w:val="24"/>
            <w:highlight w:val="white"/>
            <w:lang w:val="en-GB"/>
          </w:rPr>
          <w:t xml:space="preserve"> </w:t>
        </w:r>
      </w:hyperlink>
      <w:hyperlink r:id="rId15" w:anchor="/datasheet-shell-ar22/table/22,23/0,1,2,3/periods/0">
        <w:r w:rsidRPr="00AF431F">
          <w:rPr>
            <w:rFonts w:ascii="Times New Roman" w:eastAsia="Times New Roman" w:hAnsi="Times New Roman" w:cs="Times New Roman"/>
            <w:color w:val="1155CC"/>
            <w:sz w:val="24"/>
            <w:szCs w:val="24"/>
            <w:highlight w:val="white"/>
            <w:u w:val="single"/>
            <w:lang w:val="en-GB"/>
          </w:rPr>
          <w:t>https://reports.shell.com/annual-report/2022/services/chart-generator.html#/datasheet-shell-ar22/table/22,23/0,1,2,3/periods/0</w:t>
        </w:r>
      </w:hyperlink>
      <w:r w:rsidRPr="00AF431F">
        <w:rPr>
          <w:rFonts w:ascii="Times New Roman" w:eastAsia="Times New Roman" w:hAnsi="Times New Roman" w:cs="Times New Roman"/>
          <w:color w:val="222222"/>
          <w:sz w:val="24"/>
          <w:szCs w:val="24"/>
          <w:highlight w:val="white"/>
          <w:lang w:val="en-GB"/>
        </w:rPr>
        <w:t xml:space="preserve"> [Accessed On: 21/07/2023]</w:t>
      </w:r>
    </w:p>
    <w:p w14:paraId="3352A9D9" w14:textId="77777777" w:rsidR="00754E37" w:rsidRPr="00AF431F" w:rsidRDefault="00754E37">
      <w:pPr>
        <w:spacing w:before="240" w:after="240" w:line="480" w:lineRule="auto"/>
        <w:jc w:val="both"/>
        <w:rPr>
          <w:rFonts w:ascii="Times New Roman" w:eastAsia="Times New Roman" w:hAnsi="Times New Roman" w:cs="Times New Roman"/>
          <w:sz w:val="24"/>
          <w:szCs w:val="24"/>
          <w:lang w:val="en-GB"/>
        </w:rPr>
      </w:pPr>
      <w:proofErr w:type="spellStart"/>
      <w:r w:rsidRPr="00AF431F">
        <w:rPr>
          <w:rFonts w:ascii="Times New Roman" w:eastAsia="Times New Roman" w:hAnsi="Times New Roman" w:cs="Times New Roman"/>
          <w:color w:val="222222"/>
          <w:sz w:val="24"/>
          <w:szCs w:val="24"/>
          <w:highlight w:val="white"/>
          <w:lang w:val="en-GB"/>
        </w:rPr>
        <w:t>Workingpapers</w:t>
      </w:r>
      <w:proofErr w:type="spellEnd"/>
      <w:r w:rsidRPr="00AF431F">
        <w:rPr>
          <w:rFonts w:ascii="Times New Roman" w:eastAsia="Times New Roman" w:hAnsi="Times New Roman" w:cs="Times New Roman"/>
          <w:color w:val="222222"/>
          <w:sz w:val="24"/>
          <w:szCs w:val="24"/>
          <w:highlight w:val="white"/>
          <w:lang w:val="en-GB"/>
        </w:rPr>
        <w:t xml:space="preserve">, B.T., 2022. A New Testable Theory on Deviations from Covered Interest Rate Parity. </w:t>
      </w:r>
      <w:r w:rsidRPr="00AF431F">
        <w:rPr>
          <w:rFonts w:ascii="Times New Roman" w:eastAsia="Times New Roman" w:hAnsi="Times New Roman" w:cs="Times New Roman"/>
          <w:i/>
          <w:sz w:val="24"/>
          <w:szCs w:val="24"/>
          <w:lang w:val="en-GB"/>
        </w:rPr>
        <w:t>Available at SSRN</w:t>
      </w:r>
      <w:r w:rsidRPr="00AF431F">
        <w:rPr>
          <w:rFonts w:ascii="Times New Roman" w:eastAsia="Times New Roman" w:hAnsi="Times New Roman" w:cs="Times New Roman"/>
          <w:sz w:val="24"/>
          <w:szCs w:val="24"/>
          <w:lang w:val="en-GB"/>
        </w:rPr>
        <w:t>.</w:t>
      </w:r>
    </w:p>
    <w:p w14:paraId="71D8CB94" w14:textId="77777777" w:rsidR="00F32915" w:rsidRPr="00AF431F" w:rsidRDefault="00F32915">
      <w:pPr>
        <w:spacing w:line="480" w:lineRule="auto"/>
        <w:jc w:val="both"/>
        <w:rPr>
          <w:rFonts w:ascii="Times New Roman" w:eastAsia="Times New Roman" w:hAnsi="Times New Roman" w:cs="Times New Roman"/>
          <w:sz w:val="24"/>
          <w:szCs w:val="24"/>
          <w:lang w:val="en-GB"/>
        </w:rPr>
      </w:pPr>
    </w:p>
    <w:sectPr w:rsidR="00F32915" w:rsidRPr="00AF431F" w:rsidSect="0097116F">
      <w:headerReference w:type="default" r:id="rId16"/>
      <w:footerReference w:type="default" r:id="rId17"/>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F8B557" w14:textId="77777777" w:rsidR="00BE59C9" w:rsidRDefault="00BE59C9" w:rsidP="0097116F">
      <w:pPr>
        <w:spacing w:line="240" w:lineRule="auto"/>
      </w:pPr>
      <w:r>
        <w:separator/>
      </w:r>
    </w:p>
  </w:endnote>
  <w:endnote w:type="continuationSeparator" w:id="0">
    <w:p w14:paraId="1A86A479" w14:textId="77777777" w:rsidR="00BE59C9" w:rsidRDefault="00BE59C9" w:rsidP="009711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57588302"/>
      <w:docPartObj>
        <w:docPartGallery w:val="Page Numbers (Bottom of Page)"/>
        <w:docPartUnique/>
      </w:docPartObj>
    </w:sdtPr>
    <w:sdtEndPr/>
    <w:sdtContent>
      <w:sdt>
        <w:sdtPr>
          <w:id w:val="-1769616900"/>
          <w:docPartObj>
            <w:docPartGallery w:val="Page Numbers (Top of Page)"/>
            <w:docPartUnique/>
          </w:docPartObj>
        </w:sdtPr>
        <w:sdtEndPr/>
        <w:sdtContent>
          <w:p w14:paraId="4CEF6BC5" w14:textId="4477D7BA" w:rsidR="0097116F" w:rsidRDefault="0097116F">
            <w:pPr>
              <w:pStyle w:val="Footer"/>
              <w:jc w:val="right"/>
            </w:pPr>
            <w:r w:rsidRPr="0097116F">
              <w:rPr>
                <w:rFonts w:ascii="Times New Roman" w:hAnsi="Times New Roman" w:cs="Times New Roman"/>
                <w:sz w:val="20"/>
                <w:szCs w:val="20"/>
              </w:rPr>
              <w:t xml:space="preserve">Page </w:t>
            </w:r>
            <w:r w:rsidRPr="0097116F">
              <w:rPr>
                <w:rFonts w:ascii="Times New Roman" w:hAnsi="Times New Roman" w:cs="Times New Roman"/>
                <w:b/>
                <w:bCs/>
                <w:sz w:val="20"/>
                <w:szCs w:val="20"/>
              </w:rPr>
              <w:fldChar w:fldCharType="begin"/>
            </w:r>
            <w:r w:rsidRPr="0097116F">
              <w:rPr>
                <w:rFonts w:ascii="Times New Roman" w:hAnsi="Times New Roman" w:cs="Times New Roman"/>
                <w:b/>
                <w:bCs/>
                <w:sz w:val="20"/>
                <w:szCs w:val="20"/>
              </w:rPr>
              <w:instrText xml:space="preserve"> PAGE </w:instrText>
            </w:r>
            <w:r w:rsidRPr="0097116F">
              <w:rPr>
                <w:rFonts w:ascii="Times New Roman" w:hAnsi="Times New Roman" w:cs="Times New Roman"/>
                <w:b/>
                <w:bCs/>
                <w:sz w:val="20"/>
                <w:szCs w:val="20"/>
              </w:rPr>
              <w:fldChar w:fldCharType="separate"/>
            </w:r>
            <w:r w:rsidR="00142D1C">
              <w:rPr>
                <w:rFonts w:ascii="Times New Roman" w:hAnsi="Times New Roman" w:cs="Times New Roman"/>
                <w:b/>
                <w:bCs/>
                <w:noProof/>
                <w:sz w:val="20"/>
                <w:szCs w:val="20"/>
              </w:rPr>
              <w:t>2</w:t>
            </w:r>
            <w:r w:rsidRPr="0097116F">
              <w:rPr>
                <w:rFonts w:ascii="Times New Roman" w:hAnsi="Times New Roman" w:cs="Times New Roman"/>
                <w:b/>
                <w:bCs/>
                <w:sz w:val="20"/>
                <w:szCs w:val="20"/>
              </w:rPr>
              <w:fldChar w:fldCharType="end"/>
            </w:r>
            <w:r w:rsidRPr="0097116F">
              <w:rPr>
                <w:rFonts w:ascii="Times New Roman" w:hAnsi="Times New Roman" w:cs="Times New Roman"/>
                <w:sz w:val="20"/>
                <w:szCs w:val="20"/>
              </w:rPr>
              <w:t xml:space="preserve"> of </w:t>
            </w:r>
            <w:r w:rsidRPr="0097116F">
              <w:rPr>
                <w:rFonts w:ascii="Times New Roman" w:hAnsi="Times New Roman" w:cs="Times New Roman"/>
                <w:b/>
                <w:bCs/>
                <w:sz w:val="20"/>
                <w:szCs w:val="20"/>
              </w:rPr>
              <w:fldChar w:fldCharType="begin"/>
            </w:r>
            <w:r w:rsidRPr="0097116F">
              <w:rPr>
                <w:rFonts w:ascii="Times New Roman" w:hAnsi="Times New Roman" w:cs="Times New Roman"/>
                <w:b/>
                <w:bCs/>
                <w:sz w:val="20"/>
                <w:szCs w:val="20"/>
              </w:rPr>
              <w:instrText xml:space="preserve"> NUMPAGES  </w:instrText>
            </w:r>
            <w:r w:rsidRPr="0097116F">
              <w:rPr>
                <w:rFonts w:ascii="Times New Roman" w:hAnsi="Times New Roman" w:cs="Times New Roman"/>
                <w:b/>
                <w:bCs/>
                <w:sz w:val="20"/>
                <w:szCs w:val="20"/>
              </w:rPr>
              <w:fldChar w:fldCharType="separate"/>
            </w:r>
            <w:r w:rsidR="00142D1C">
              <w:rPr>
                <w:rFonts w:ascii="Times New Roman" w:hAnsi="Times New Roman" w:cs="Times New Roman"/>
                <w:b/>
                <w:bCs/>
                <w:noProof/>
                <w:sz w:val="20"/>
                <w:szCs w:val="20"/>
              </w:rPr>
              <w:t>15</w:t>
            </w:r>
            <w:r w:rsidRPr="0097116F">
              <w:rPr>
                <w:rFonts w:ascii="Times New Roman" w:hAnsi="Times New Roman" w:cs="Times New Roman"/>
                <w:b/>
                <w:bCs/>
                <w:sz w:val="20"/>
                <w:szCs w:val="20"/>
              </w:rPr>
              <w:fldChar w:fldCharType="end"/>
            </w:r>
          </w:p>
        </w:sdtContent>
      </w:sdt>
    </w:sdtContent>
  </w:sdt>
  <w:p w14:paraId="4D611D7C" w14:textId="77777777" w:rsidR="0097116F" w:rsidRDefault="009711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BC660E" w14:textId="77777777" w:rsidR="00BE59C9" w:rsidRDefault="00BE59C9" w:rsidP="0097116F">
      <w:pPr>
        <w:spacing w:line="240" w:lineRule="auto"/>
      </w:pPr>
      <w:r>
        <w:separator/>
      </w:r>
    </w:p>
  </w:footnote>
  <w:footnote w:type="continuationSeparator" w:id="0">
    <w:p w14:paraId="769937B5" w14:textId="77777777" w:rsidR="00BE59C9" w:rsidRDefault="00BE59C9" w:rsidP="0097116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4B82D9" w14:textId="75114054" w:rsidR="0097116F" w:rsidRPr="0097116F" w:rsidRDefault="0097116F" w:rsidP="0097116F">
    <w:pPr>
      <w:pStyle w:val="Header"/>
      <w:jc w:val="right"/>
      <w:rPr>
        <w:sz w:val="20"/>
        <w:szCs w:val="20"/>
      </w:rPr>
    </w:pPr>
    <w:r w:rsidRPr="0097116F">
      <w:rPr>
        <w:rFonts w:ascii="Times New Roman" w:eastAsia="Times New Roman" w:hAnsi="Times New Roman" w:cs="Times New Roman"/>
        <w:b/>
        <w:sz w:val="20"/>
        <w:szCs w:val="20"/>
      </w:rPr>
      <w:t>International Financial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32915"/>
    <w:rsid w:val="00101820"/>
    <w:rsid w:val="00142D1C"/>
    <w:rsid w:val="001A73C3"/>
    <w:rsid w:val="00267637"/>
    <w:rsid w:val="0032260B"/>
    <w:rsid w:val="003963DD"/>
    <w:rsid w:val="0042534A"/>
    <w:rsid w:val="005617AB"/>
    <w:rsid w:val="00574950"/>
    <w:rsid w:val="00754E37"/>
    <w:rsid w:val="007E56CF"/>
    <w:rsid w:val="00803A4F"/>
    <w:rsid w:val="00821DF0"/>
    <w:rsid w:val="0097116F"/>
    <w:rsid w:val="00A4642F"/>
    <w:rsid w:val="00AF431F"/>
    <w:rsid w:val="00BE59C9"/>
    <w:rsid w:val="00EC5B90"/>
    <w:rsid w:val="00F329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B7DDF"/>
  <w15:docId w15:val="{3928CE02-C440-4FF5-96DB-668FA9FE5C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01820"/>
    <w:pPr>
      <w:keepNext/>
      <w:keepLines/>
      <w:spacing w:before="400" w:after="120" w:line="48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7116F"/>
    <w:pPr>
      <w:tabs>
        <w:tab w:val="center" w:pos="4513"/>
        <w:tab w:val="right" w:pos="9026"/>
      </w:tabs>
      <w:spacing w:line="240" w:lineRule="auto"/>
    </w:pPr>
  </w:style>
  <w:style w:type="character" w:customStyle="1" w:styleId="HeaderChar">
    <w:name w:val="Header Char"/>
    <w:basedOn w:val="DefaultParagraphFont"/>
    <w:link w:val="Header"/>
    <w:uiPriority w:val="99"/>
    <w:rsid w:val="0097116F"/>
  </w:style>
  <w:style w:type="paragraph" w:styleId="Footer">
    <w:name w:val="footer"/>
    <w:basedOn w:val="Normal"/>
    <w:link w:val="FooterChar"/>
    <w:uiPriority w:val="99"/>
    <w:unhideWhenUsed/>
    <w:rsid w:val="0097116F"/>
    <w:pPr>
      <w:tabs>
        <w:tab w:val="center" w:pos="4513"/>
        <w:tab w:val="right" w:pos="9026"/>
      </w:tabs>
      <w:spacing w:line="240" w:lineRule="auto"/>
    </w:pPr>
  </w:style>
  <w:style w:type="character" w:customStyle="1" w:styleId="FooterChar">
    <w:name w:val="Footer Char"/>
    <w:basedOn w:val="DefaultParagraphFont"/>
    <w:link w:val="Footer"/>
    <w:uiPriority w:val="99"/>
    <w:rsid w:val="0097116F"/>
  </w:style>
  <w:style w:type="paragraph" w:styleId="TOCHeading">
    <w:name w:val="TOC Heading"/>
    <w:basedOn w:val="Heading1"/>
    <w:next w:val="Normal"/>
    <w:uiPriority w:val="39"/>
    <w:unhideWhenUsed/>
    <w:qFormat/>
    <w:rsid w:val="00EC5B9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C5B90"/>
    <w:pPr>
      <w:spacing w:after="100"/>
    </w:pPr>
  </w:style>
  <w:style w:type="character" w:styleId="Hyperlink">
    <w:name w:val="Hyperlink"/>
    <w:basedOn w:val="DefaultParagraphFont"/>
    <w:uiPriority w:val="99"/>
    <w:unhideWhenUsed/>
    <w:rsid w:val="00EC5B9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hell.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hell.co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reports.shell.com/annual-report/2022/services/chart-generator.html"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reports.shell.com/annual-report/2022/services/chart-generato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FC5609-207F-4579-9E4C-EFBB23BE2F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1901</Words>
  <Characters>10840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claudia macarie</cp:lastModifiedBy>
  <cp:revision>4</cp:revision>
  <dcterms:created xsi:type="dcterms:W3CDTF">2023-07-21T19:40:00Z</dcterms:created>
  <dcterms:modified xsi:type="dcterms:W3CDTF">2023-08-17T13:55:00Z</dcterms:modified>
</cp:coreProperties>
</file>