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02E07" w14:textId="77777777" w:rsidR="00902022" w:rsidRPr="00902022" w:rsidRDefault="00902022" w:rsidP="00902022">
      <w:pPr>
        <w:numPr>
          <w:ilvl w:val="0"/>
          <w:numId w:val="1"/>
        </w:numPr>
      </w:pPr>
      <w:r w:rsidRPr="00902022">
        <w:rPr>
          <w:b/>
          <w:bCs/>
        </w:rPr>
        <w:t>Biological factors</w:t>
      </w:r>
      <w:r w:rsidRPr="00902022">
        <w:t xml:space="preserve"> </w:t>
      </w:r>
      <w:r w:rsidRPr="00902022">
        <w:br/>
        <w:t xml:space="preserve">Children under five are more vulnerable to meningitis because their immune systems are still developing. Bacterial meningitis is also more commonly found in people under 20 years </w:t>
      </w:r>
      <w:proofErr w:type="gramStart"/>
      <w:r w:rsidRPr="00902022">
        <w:t>old.</w:t>
      </w:r>
      <w:r w:rsidRPr="00902022">
        <w:rPr>
          <w:b/>
          <w:bCs/>
        </w:rPr>
        <w:t>(</w:t>
      </w:r>
      <w:proofErr w:type="gramEnd"/>
      <w:r w:rsidRPr="00902022">
        <w:rPr>
          <w:b/>
          <w:bCs/>
        </w:rPr>
        <w:t>Mayo Clinic, 2024)</w:t>
      </w:r>
      <w:r w:rsidRPr="00902022">
        <w:t>.</w:t>
      </w:r>
    </w:p>
    <w:p w14:paraId="7082C358" w14:textId="77777777" w:rsidR="00902022" w:rsidRPr="00902022" w:rsidRDefault="00902022" w:rsidP="00902022">
      <w:pPr>
        <w:numPr>
          <w:ilvl w:val="0"/>
          <w:numId w:val="1"/>
        </w:numPr>
      </w:pPr>
      <w:r w:rsidRPr="00902022">
        <w:rPr>
          <w:b/>
          <w:bCs/>
        </w:rPr>
        <w:t>Environmental factors</w:t>
      </w:r>
      <w:r w:rsidRPr="00902022">
        <w:t xml:space="preserve"> </w:t>
      </w:r>
      <w:r w:rsidRPr="00902022">
        <w:br/>
        <w:t xml:space="preserve">Living in a crowded setting, such as a college dormitory or military barracks, increases the risk of meningitis disease.” </w:t>
      </w:r>
      <w:r w:rsidRPr="00902022">
        <w:rPr>
          <w:b/>
          <w:bCs/>
        </w:rPr>
        <w:t>(Centres for Disease Control and Prevention, 2024).</w:t>
      </w:r>
      <w:r w:rsidRPr="00902022">
        <w:t>"</w:t>
      </w:r>
    </w:p>
    <w:p w14:paraId="638D0106" w14:textId="77777777" w:rsidR="00902022" w:rsidRPr="00902022" w:rsidRDefault="00902022" w:rsidP="00902022">
      <w:pPr>
        <w:numPr>
          <w:ilvl w:val="0"/>
          <w:numId w:val="1"/>
        </w:numPr>
      </w:pPr>
      <w:r w:rsidRPr="00902022">
        <w:rPr>
          <w:b/>
          <w:bCs/>
        </w:rPr>
        <w:t>Social factors</w:t>
      </w:r>
      <w:r w:rsidRPr="00902022">
        <w:rPr>
          <w:b/>
          <w:bCs/>
        </w:rPr>
        <w:br/>
      </w:r>
      <w:r w:rsidRPr="00902022">
        <w:t xml:space="preserve">A 2024 summary in the </w:t>
      </w:r>
      <w:r w:rsidRPr="00902022">
        <w:rPr>
          <w:i/>
          <w:iCs/>
        </w:rPr>
        <w:t>BMJ</w:t>
      </w:r>
      <w:r w:rsidRPr="00902022">
        <w:t xml:space="preserve"> of the NICE guideline highlights that bacterial meningitis and meningococcal disease are life-threatening conditions, and early recognition is important because symptoms may be non-specific, making family observation essential (</w:t>
      </w:r>
      <w:r w:rsidRPr="00902022">
        <w:rPr>
          <w:b/>
          <w:bCs/>
        </w:rPr>
        <w:t>NICE, 2024</w:t>
      </w:r>
      <w:r w:rsidRPr="00902022">
        <w:t xml:space="preserve">). </w:t>
      </w:r>
    </w:p>
    <w:p w14:paraId="336D3F56" w14:textId="77777777" w:rsidR="00902022" w:rsidRDefault="00902022" w:rsidP="00902022">
      <w:pPr>
        <w:numPr>
          <w:ilvl w:val="0"/>
          <w:numId w:val="1"/>
        </w:numPr>
      </w:pPr>
      <w:r w:rsidRPr="00902022">
        <w:rPr>
          <w:b/>
          <w:bCs/>
        </w:rPr>
        <w:t>healthcare access</w:t>
      </w:r>
      <w:r w:rsidRPr="00902022">
        <w:t xml:space="preserve"> is an important factor. </w:t>
      </w:r>
      <w:r w:rsidRPr="00902022">
        <w:br/>
        <w:t>Clinical guidance on meningitis emphasises that diagnostic access, including laboratory testing and cranial imaging, and prompt treatment are essential parts of meningitis care. It also identifies vaccination as a key strategy for preventing bacterial meningitis (</w:t>
      </w:r>
      <w:r w:rsidRPr="00902022">
        <w:rPr>
          <w:b/>
          <w:bCs/>
        </w:rPr>
        <w:t>World Health Organization, 2023</w:t>
      </w:r>
      <w:r w:rsidRPr="00902022">
        <w:t>).</w:t>
      </w:r>
    </w:p>
    <w:p w14:paraId="529AF0D3" w14:textId="77777777" w:rsidR="00902022" w:rsidRPr="00902022" w:rsidRDefault="00902022" w:rsidP="00902022">
      <w:pPr>
        <w:numPr>
          <w:ilvl w:val="0"/>
          <w:numId w:val="1"/>
        </w:numPr>
      </w:pPr>
      <w:r w:rsidRPr="00902022">
        <w:rPr>
          <w:b/>
          <w:bCs/>
        </w:rPr>
        <w:t>Practice good hygiene</w:t>
      </w:r>
      <w:r w:rsidRPr="00902022">
        <w:br/>
        <w:t>UK Health Security Agency guidance for children and young people’s settings emphasises that good hygiene practices, particularly handwashing and environmental cleaning, are important to reduce the spread of infections. This recommendation applies to many infectious diseases, including meningococcal disease (</w:t>
      </w:r>
      <w:r w:rsidRPr="00902022">
        <w:rPr>
          <w:b/>
          <w:bCs/>
        </w:rPr>
        <w:t>UKHSA, 2023</w:t>
      </w:r>
      <w:r w:rsidRPr="00902022">
        <w:t>).</w:t>
      </w:r>
    </w:p>
    <w:p w14:paraId="1D15B4C8" w14:textId="77777777" w:rsidR="00902022" w:rsidRPr="00902022" w:rsidRDefault="00902022" w:rsidP="00902022">
      <w:pPr>
        <w:numPr>
          <w:ilvl w:val="0"/>
          <w:numId w:val="1"/>
        </w:numPr>
      </w:pPr>
      <w:r w:rsidRPr="00902022">
        <w:rPr>
          <w:b/>
          <w:bCs/>
        </w:rPr>
        <w:t>Leaflets and Poster</w:t>
      </w:r>
      <w:r w:rsidRPr="00902022">
        <w:br/>
        <w:t xml:space="preserve">The UKHSA publishes a </w:t>
      </w:r>
      <w:r w:rsidRPr="00902022">
        <w:rPr>
          <w:i/>
          <w:iCs/>
        </w:rPr>
        <w:t>“Meningitis: signs and symptoms”</w:t>
      </w:r>
      <w:r w:rsidRPr="00902022">
        <w:t xml:space="preserve"> leaflet and poster for teenagers and young people, particularly new college and university students, which highlights the symptoms they should be aware of (</w:t>
      </w:r>
      <w:r w:rsidRPr="00902022">
        <w:rPr>
          <w:b/>
          <w:bCs/>
        </w:rPr>
        <w:t>UKHSA, 2023</w:t>
      </w:r>
      <w:r w:rsidRPr="00902022">
        <w:t>).</w:t>
      </w:r>
    </w:p>
    <w:p w14:paraId="64C5263C" w14:textId="77777777" w:rsidR="00902022" w:rsidRPr="00902022" w:rsidRDefault="00902022" w:rsidP="00902022">
      <w:pPr>
        <w:numPr>
          <w:ilvl w:val="0"/>
          <w:numId w:val="1"/>
        </w:numPr>
      </w:pPr>
      <w:r w:rsidRPr="00902022">
        <w:rPr>
          <w:b/>
          <w:bCs/>
        </w:rPr>
        <w:t>vaccination awareness</w:t>
      </w:r>
      <w:r w:rsidRPr="00902022">
        <w:t xml:space="preserve"> </w:t>
      </w:r>
      <w:r w:rsidRPr="00902022">
        <w:br/>
        <w:t>“Vaccination is the key public health action to reduce the risk of infection” (NHS Scotland, 2024).</w:t>
      </w:r>
    </w:p>
    <w:p w14:paraId="67610942" w14:textId="77777777" w:rsidR="00902022" w:rsidRPr="00902022" w:rsidRDefault="00902022" w:rsidP="00902022"/>
    <w:p w14:paraId="115ECE30" w14:textId="77777777" w:rsidR="00B2433C" w:rsidRDefault="00B2433C"/>
    <w:sectPr w:rsidR="00B243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122B98"/>
    <w:multiLevelType w:val="hybridMultilevel"/>
    <w:tmpl w:val="689CB7FE"/>
    <w:lvl w:ilvl="0" w:tplc="F9247908">
      <w:start w:val="1"/>
      <w:numFmt w:val="bullet"/>
      <w:lvlText w:val="u"/>
      <w:lvlJc w:val="left"/>
      <w:pPr>
        <w:tabs>
          <w:tab w:val="num" w:pos="720"/>
        </w:tabs>
        <w:ind w:left="720" w:hanging="360"/>
      </w:pPr>
      <w:rPr>
        <w:rFonts w:ascii="Wingdings 3" w:hAnsi="Wingdings 3" w:hint="default"/>
      </w:rPr>
    </w:lvl>
    <w:lvl w:ilvl="1" w:tplc="B25CE39A" w:tentative="1">
      <w:start w:val="1"/>
      <w:numFmt w:val="bullet"/>
      <w:lvlText w:val="u"/>
      <w:lvlJc w:val="left"/>
      <w:pPr>
        <w:tabs>
          <w:tab w:val="num" w:pos="1440"/>
        </w:tabs>
        <w:ind w:left="1440" w:hanging="360"/>
      </w:pPr>
      <w:rPr>
        <w:rFonts w:ascii="Wingdings 3" w:hAnsi="Wingdings 3" w:hint="default"/>
      </w:rPr>
    </w:lvl>
    <w:lvl w:ilvl="2" w:tplc="32F65A52" w:tentative="1">
      <w:start w:val="1"/>
      <w:numFmt w:val="bullet"/>
      <w:lvlText w:val="u"/>
      <w:lvlJc w:val="left"/>
      <w:pPr>
        <w:tabs>
          <w:tab w:val="num" w:pos="2160"/>
        </w:tabs>
        <w:ind w:left="2160" w:hanging="360"/>
      </w:pPr>
      <w:rPr>
        <w:rFonts w:ascii="Wingdings 3" w:hAnsi="Wingdings 3" w:hint="default"/>
      </w:rPr>
    </w:lvl>
    <w:lvl w:ilvl="3" w:tplc="699C1C56" w:tentative="1">
      <w:start w:val="1"/>
      <w:numFmt w:val="bullet"/>
      <w:lvlText w:val="u"/>
      <w:lvlJc w:val="left"/>
      <w:pPr>
        <w:tabs>
          <w:tab w:val="num" w:pos="2880"/>
        </w:tabs>
        <w:ind w:left="2880" w:hanging="360"/>
      </w:pPr>
      <w:rPr>
        <w:rFonts w:ascii="Wingdings 3" w:hAnsi="Wingdings 3" w:hint="default"/>
      </w:rPr>
    </w:lvl>
    <w:lvl w:ilvl="4" w:tplc="59D47E22" w:tentative="1">
      <w:start w:val="1"/>
      <w:numFmt w:val="bullet"/>
      <w:lvlText w:val="u"/>
      <w:lvlJc w:val="left"/>
      <w:pPr>
        <w:tabs>
          <w:tab w:val="num" w:pos="3600"/>
        </w:tabs>
        <w:ind w:left="3600" w:hanging="360"/>
      </w:pPr>
      <w:rPr>
        <w:rFonts w:ascii="Wingdings 3" w:hAnsi="Wingdings 3" w:hint="default"/>
      </w:rPr>
    </w:lvl>
    <w:lvl w:ilvl="5" w:tplc="7F5083EE" w:tentative="1">
      <w:start w:val="1"/>
      <w:numFmt w:val="bullet"/>
      <w:lvlText w:val="u"/>
      <w:lvlJc w:val="left"/>
      <w:pPr>
        <w:tabs>
          <w:tab w:val="num" w:pos="4320"/>
        </w:tabs>
        <w:ind w:left="4320" w:hanging="360"/>
      </w:pPr>
      <w:rPr>
        <w:rFonts w:ascii="Wingdings 3" w:hAnsi="Wingdings 3" w:hint="default"/>
      </w:rPr>
    </w:lvl>
    <w:lvl w:ilvl="6" w:tplc="A1524CE4" w:tentative="1">
      <w:start w:val="1"/>
      <w:numFmt w:val="bullet"/>
      <w:lvlText w:val="u"/>
      <w:lvlJc w:val="left"/>
      <w:pPr>
        <w:tabs>
          <w:tab w:val="num" w:pos="5040"/>
        </w:tabs>
        <w:ind w:left="5040" w:hanging="360"/>
      </w:pPr>
      <w:rPr>
        <w:rFonts w:ascii="Wingdings 3" w:hAnsi="Wingdings 3" w:hint="default"/>
      </w:rPr>
    </w:lvl>
    <w:lvl w:ilvl="7" w:tplc="5C4C678E" w:tentative="1">
      <w:start w:val="1"/>
      <w:numFmt w:val="bullet"/>
      <w:lvlText w:val="u"/>
      <w:lvlJc w:val="left"/>
      <w:pPr>
        <w:tabs>
          <w:tab w:val="num" w:pos="5760"/>
        </w:tabs>
        <w:ind w:left="5760" w:hanging="360"/>
      </w:pPr>
      <w:rPr>
        <w:rFonts w:ascii="Wingdings 3" w:hAnsi="Wingdings 3" w:hint="default"/>
      </w:rPr>
    </w:lvl>
    <w:lvl w:ilvl="8" w:tplc="26FAA8A8"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767D72D9"/>
    <w:multiLevelType w:val="hybridMultilevel"/>
    <w:tmpl w:val="6106931E"/>
    <w:lvl w:ilvl="0" w:tplc="77A0A566">
      <w:start w:val="1"/>
      <w:numFmt w:val="bullet"/>
      <w:lvlText w:val="u"/>
      <w:lvlJc w:val="left"/>
      <w:pPr>
        <w:tabs>
          <w:tab w:val="num" w:pos="720"/>
        </w:tabs>
        <w:ind w:left="720" w:hanging="360"/>
      </w:pPr>
      <w:rPr>
        <w:rFonts w:ascii="Wingdings 3" w:hAnsi="Wingdings 3" w:hint="default"/>
      </w:rPr>
    </w:lvl>
    <w:lvl w:ilvl="1" w:tplc="CCAEC6C2" w:tentative="1">
      <w:start w:val="1"/>
      <w:numFmt w:val="bullet"/>
      <w:lvlText w:val="u"/>
      <w:lvlJc w:val="left"/>
      <w:pPr>
        <w:tabs>
          <w:tab w:val="num" w:pos="1440"/>
        </w:tabs>
        <w:ind w:left="1440" w:hanging="360"/>
      </w:pPr>
      <w:rPr>
        <w:rFonts w:ascii="Wingdings 3" w:hAnsi="Wingdings 3" w:hint="default"/>
      </w:rPr>
    </w:lvl>
    <w:lvl w:ilvl="2" w:tplc="B00895B2" w:tentative="1">
      <w:start w:val="1"/>
      <w:numFmt w:val="bullet"/>
      <w:lvlText w:val="u"/>
      <w:lvlJc w:val="left"/>
      <w:pPr>
        <w:tabs>
          <w:tab w:val="num" w:pos="2160"/>
        </w:tabs>
        <w:ind w:left="2160" w:hanging="360"/>
      </w:pPr>
      <w:rPr>
        <w:rFonts w:ascii="Wingdings 3" w:hAnsi="Wingdings 3" w:hint="default"/>
      </w:rPr>
    </w:lvl>
    <w:lvl w:ilvl="3" w:tplc="4118A1A4" w:tentative="1">
      <w:start w:val="1"/>
      <w:numFmt w:val="bullet"/>
      <w:lvlText w:val="u"/>
      <w:lvlJc w:val="left"/>
      <w:pPr>
        <w:tabs>
          <w:tab w:val="num" w:pos="2880"/>
        </w:tabs>
        <w:ind w:left="2880" w:hanging="360"/>
      </w:pPr>
      <w:rPr>
        <w:rFonts w:ascii="Wingdings 3" w:hAnsi="Wingdings 3" w:hint="default"/>
      </w:rPr>
    </w:lvl>
    <w:lvl w:ilvl="4" w:tplc="909E9898" w:tentative="1">
      <w:start w:val="1"/>
      <w:numFmt w:val="bullet"/>
      <w:lvlText w:val="u"/>
      <w:lvlJc w:val="left"/>
      <w:pPr>
        <w:tabs>
          <w:tab w:val="num" w:pos="3600"/>
        </w:tabs>
        <w:ind w:left="3600" w:hanging="360"/>
      </w:pPr>
      <w:rPr>
        <w:rFonts w:ascii="Wingdings 3" w:hAnsi="Wingdings 3" w:hint="default"/>
      </w:rPr>
    </w:lvl>
    <w:lvl w:ilvl="5" w:tplc="79E6FDFE" w:tentative="1">
      <w:start w:val="1"/>
      <w:numFmt w:val="bullet"/>
      <w:lvlText w:val="u"/>
      <w:lvlJc w:val="left"/>
      <w:pPr>
        <w:tabs>
          <w:tab w:val="num" w:pos="4320"/>
        </w:tabs>
        <w:ind w:left="4320" w:hanging="360"/>
      </w:pPr>
      <w:rPr>
        <w:rFonts w:ascii="Wingdings 3" w:hAnsi="Wingdings 3" w:hint="default"/>
      </w:rPr>
    </w:lvl>
    <w:lvl w:ilvl="6" w:tplc="C0D89FB0" w:tentative="1">
      <w:start w:val="1"/>
      <w:numFmt w:val="bullet"/>
      <w:lvlText w:val="u"/>
      <w:lvlJc w:val="left"/>
      <w:pPr>
        <w:tabs>
          <w:tab w:val="num" w:pos="5040"/>
        </w:tabs>
        <w:ind w:left="5040" w:hanging="360"/>
      </w:pPr>
      <w:rPr>
        <w:rFonts w:ascii="Wingdings 3" w:hAnsi="Wingdings 3" w:hint="default"/>
      </w:rPr>
    </w:lvl>
    <w:lvl w:ilvl="7" w:tplc="93BE5720" w:tentative="1">
      <w:start w:val="1"/>
      <w:numFmt w:val="bullet"/>
      <w:lvlText w:val="u"/>
      <w:lvlJc w:val="left"/>
      <w:pPr>
        <w:tabs>
          <w:tab w:val="num" w:pos="5760"/>
        </w:tabs>
        <w:ind w:left="5760" w:hanging="360"/>
      </w:pPr>
      <w:rPr>
        <w:rFonts w:ascii="Wingdings 3" w:hAnsi="Wingdings 3" w:hint="default"/>
      </w:rPr>
    </w:lvl>
    <w:lvl w:ilvl="8" w:tplc="CE588626" w:tentative="1">
      <w:start w:val="1"/>
      <w:numFmt w:val="bullet"/>
      <w:lvlText w:val="u"/>
      <w:lvlJc w:val="left"/>
      <w:pPr>
        <w:tabs>
          <w:tab w:val="num" w:pos="6480"/>
        </w:tabs>
        <w:ind w:left="6480" w:hanging="360"/>
      </w:pPr>
      <w:rPr>
        <w:rFonts w:ascii="Wingdings 3" w:hAnsi="Wingdings 3" w:hint="default"/>
      </w:rPr>
    </w:lvl>
  </w:abstractNum>
  <w:num w:numId="1" w16cid:durableId="1927226604">
    <w:abstractNumId w:val="0"/>
  </w:num>
  <w:num w:numId="2" w16cid:durableId="15954353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022"/>
    <w:rsid w:val="00055769"/>
    <w:rsid w:val="005E4878"/>
    <w:rsid w:val="00902022"/>
    <w:rsid w:val="009E7DE1"/>
    <w:rsid w:val="00AC07A7"/>
    <w:rsid w:val="00B2433C"/>
    <w:rsid w:val="00E41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6FC7"/>
  <w15:chartTrackingRefBased/>
  <w15:docId w15:val="{197C3ADA-81A9-5C48-B89C-5EB05AEB4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0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20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0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0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0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0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0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0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0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0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20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0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0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0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0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0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0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022"/>
    <w:rPr>
      <w:rFonts w:eastAsiaTheme="majorEastAsia" w:cstheme="majorBidi"/>
      <w:color w:val="272727" w:themeColor="text1" w:themeTint="D8"/>
    </w:rPr>
  </w:style>
  <w:style w:type="paragraph" w:styleId="Title">
    <w:name w:val="Title"/>
    <w:basedOn w:val="Normal"/>
    <w:next w:val="Normal"/>
    <w:link w:val="TitleChar"/>
    <w:uiPriority w:val="10"/>
    <w:qFormat/>
    <w:rsid w:val="009020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0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0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0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022"/>
    <w:pPr>
      <w:spacing w:before="160"/>
      <w:jc w:val="center"/>
    </w:pPr>
    <w:rPr>
      <w:i/>
      <w:iCs/>
      <w:color w:val="404040" w:themeColor="text1" w:themeTint="BF"/>
    </w:rPr>
  </w:style>
  <w:style w:type="character" w:customStyle="1" w:styleId="QuoteChar">
    <w:name w:val="Quote Char"/>
    <w:basedOn w:val="DefaultParagraphFont"/>
    <w:link w:val="Quote"/>
    <w:uiPriority w:val="29"/>
    <w:rsid w:val="00902022"/>
    <w:rPr>
      <w:i/>
      <w:iCs/>
      <w:color w:val="404040" w:themeColor="text1" w:themeTint="BF"/>
    </w:rPr>
  </w:style>
  <w:style w:type="paragraph" w:styleId="ListParagraph">
    <w:name w:val="List Paragraph"/>
    <w:basedOn w:val="Normal"/>
    <w:uiPriority w:val="34"/>
    <w:qFormat/>
    <w:rsid w:val="00902022"/>
    <w:pPr>
      <w:ind w:left="720"/>
      <w:contextualSpacing/>
    </w:pPr>
  </w:style>
  <w:style w:type="character" w:styleId="IntenseEmphasis">
    <w:name w:val="Intense Emphasis"/>
    <w:basedOn w:val="DefaultParagraphFont"/>
    <w:uiPriority w:val="21"/>
    <w:qFormat/>
    <w:rsid w:val="00902022"/>
    <w:rPr>
      <w:i/>
      <w:iCs/>
      <w:color w:val="0F4761" w:themeColor="accent1" w:themeShade="BF"/>
    </w:rPr>
  </w:style>
  <w:style w:type="paragraph" w:styleId="IntenseQuote">
    <w:name w:val="Intense Quote"/>
    <w:basedOn w:val="Normal"/>
    <w:next w:val="Normal"/>
    <w:link w:val="IntenseQuoteChar"/>
    <w:uiPriority w:val="30"/>
    <w:qFormat/>
    <w:rsid w:val="009020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022"/>
    <w:rPr>
      <w:i/>
      <w:iCs/>
      <w:color w:val="0F4761" w:themeColor="accent1" w:themeShade="BF"/>
    </w:rPr>
  </w:style>
  <w:style w:type="character" w:styleId="IntenseReference">
    <w:name w:val="Intense Reference"/>
    <w:basedOn w:val="DefaultParagraphFont"/>
    <w:uiPriority w:val="32"/>
    <w:qFormat/>
    <w:rsid w:val="009020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235</Words>
  <Characters>1526</Characters>
  <Application>Microsoft Office Word</Application>
  <DocSecurity>0</DocSecurity>
  <Lines>36</Lines>
  <Paragraphs>16</Paragraphs>
  <ScaleCrop>false</ScaleCrop>
  <Company/>
  <LinksUpToDate>false</LinksUpToDate>
  <CharactersWithSpaces>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Galaus Anniever Malibiran (2508028)</dc:creator>
  <cp:keywords/>
  <dc:description/>
  <cp:lastModifiedBy>Galaus Anniever Malibiran (2508028)</cp:lastModifiedBy>
  <cp:revision>1</cp:revision>
  <dcterms:created xsi:type="dcterms:W3CDTF">2026-03-10T12:28:00Z</dcterms:created>
  <dcterms:modified xsi:type="dcterms:W3CDTF">2026-03-10T12:29:00Z</dcterms:modified>
</cp:coreProperties>
</file>