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3C1803" w14:textId="1157F702" w:rsidR="00C77D2A" w:rsidRPr="00BD7B3C" w:rsidRDefault="00C77D2A" w:rsidP="002070C5">
      <w:pPr>
        <w:jc w:val="center"/>
        <w:rPr>
          <w:sz w:val="32"/>
          <w:szCs w:val="32"/>
          <w:lang w:val="en-US"/>
        </w:rPr>
      </w:pPr>
      <w:r w:rsidRPr="00BD7B3C">
        <w:rPr>
          <w:b/>
          <w:bCs/>
          <w:sz w:val="32"/>
          <w:szCs w:val="32"/>
          <w:lang w:val="en-US"/>
        </w:rPr>
        <w:t>RESEARCH PROPOSAL</w:t>
      </w:r>
    </w:p>
    <w:p w14:paraId="44720B39" w14:textId="76ABCE62" w:rsidR="00C77D2A" w:rsidRPr="00C77D2A" w:rsidRDefault="00C77D2A" w:rsidP="002070C5">
      <w:pPr>
        <w:jc w:val="center"/>
        <w:rPr>
          <w:sz w:val="32"/>
          <w:szCs w:val="32"/>
          <w:lang w:val="en-US"/>
        </w:rPr>
      </w:pPr>
    </w:p>
    <w:p w14:paraId="66256544" w14:textId="38196A75" w:rsidR="00C77D2A" w:rsidRPr="00C77D2A" w:rsidRDefault="00C77D2A" w:rsidP="002070C5">
      <w:pPr>
        <w:jc w:val="center"/>
        <w:rPr>
          <w:sz w:val="32"/>
          <w:szCs w:val="32"/>
          <w:lang w:val="en-US"/>
        </w:rPr>
      </w:pPr>
    </w:p>
    <w:p w14:paraId="43AAE08F" w14:textId="4215D0DD" w:rsidR="00C77D2A" w:rsidRPr="00C77D2A" w:rsidRDefault="00C77D2A" w:rsidP="002070C5">
      <w:pPr>
        <w:jc w:val="center"/>
        <w:rPr>
          <w:sz w:val="32"/>
          <w:szCs w:val="32"/>
          <w:lang w:val="en-US"/>
        </w:rPr>
      </w:pPr>
    </w:p>
    <w:p w14:paraId="0D759549" w14:textId="59FA7744" w:rsidR="00C77D2A" w:rsidRPr="00C77D2A" w:rsidRDefault="00C77D2A" w:rsidP="002070C5">
      <w:pPr>
        <w:jc w:val="center"/>
        <w:rPr>
          <w:sz w:val="32"/>
          <w:szCs w:val="32"/>
          <w:lang w:val="en-US"/>
        </w:rPr>
      </w:pPr>
    </w:p>
    <w:p w14:paraId="72ECC1FF" w14:textId="78BE4264" w:rsidR="00C77D2A" w:rsidRPr="00C77D2A" w:rsidRDefault="00C77D2A" w:rsidP="002070C5">
      <w:pPr>
        <w:jc w:val="center"/>
        <w:rPr>
          <w:sz w:val="32"/>
          <w:szCs w:val="32"/>
          <w:lang w:val="en-US"/>
        </w:rPr>
      </w:pPr>
      <w:r w:rsidRPr="00C77D2A">
        <w:rPr>
          <w:b/>
          <w:bCs/>
          <w:sz w:val="32"/>
          <w:szCs w:val="32"/>
          <w:lang w:val="en-US"/>
        </w:rPr>
        <w:t>Module:</w:t>
      </w:r>
      <w:r w:rsidRPr="00C77D2A">
        <w:rPr>
          <w:sz w:val="32"/>
          <w:szCs w:val="32"/>
          <w:lang w:val="en-US"/>
        </w:rPr>
        <w:t xml:space="preserve"> Introduction to Independent Research Skills</w:t>
      </w:r>
    </w:p>
    <w:p w14:paraId="7FDB417A" w14:textId="3605FC9A" w:rsidR="00C77D2A" w:rsidRPr="00C77D2A" w:rsidRDefault="00C77D2A" w:rsidP="002070C5">
      <w:pPr>
        <w:jc w:val="center"/>
        <w:rPr>
          <w:sz w:val="32"/>
          <w:szCs w:val="32"/>
          <w:lang w:val="en-US"/>
        </w:rPr>
      </w:pPr>
      <w:r w:rsidRPr="00C77D2A">
        <w:rPr>
          <w:b/>
          <w:bCs/>
          <w:sz w:val="32"/>
          <w:szCs w:val="32"/>
          <w:lang w:val="en-US"/>
        </w:rPr>
        <w:t>Module Code:</w:t>
      </w:r>
      <w:r w:rsidRPr="00C77D2A">
        <w:rPr>
          <w:sz w:val="32"/>
          <w:szCs w:val="32"/>
          <w:lang w:val="en-US"/>
        </w:rPr>
        <w:t xml:space="preserve"> BMHP5019</w:t>
      </w:r>
    </w:p>
    <w:p w14:paraId="196BF09D" w14:textId="1EB8669B" w:rsidR="00C77D2A" w:rsidRPr="00C77D2A" w:rsidRDefault="00C77D2A" w:rsidP="002070C5">
      <w:pPr>
        <w:jc w:val="center"/>
        <w:rPr>
          <w:sz w:val="32"/>
          <w:szCs w:val="32"/>
          <w:lang w:val="en-US"/>
        </w:rPr>
      </w:pPr>
      <w:r w:rsidRPr="00C77D2A">
        <w:rPr>
          <w:b/>
          <w:bCs/>
          <w:sz w:val="32"/>
          <w:szCs w:val="32"/>
          <w:lang w:val="en-US"/>
        </w:rPr>
        <w:t>Assignment Title:</w:t>
      </w:r>
      <w:r w:rsidRPr="00C77D2A">
        <w:rPr>
          <w:sz w:val="32"/>
          <w:szCs w:val="32"/>
          <w:lang w:val="en-US"/>
        </w:rPr>
        <w:t>  Component 1, Written assignment</w:t>
      </w:r>
    </w:p>
    <w:p w14:paraId="5CFA8449" w14:textId="234506CD" w:rsidR="00C77D2A" w:rsidRPr="00C77D2A" w:rsidRDefault="00C77D2A" w:rsidP="002070C5">
      <w:pPr>
        <w:jc w:val="center"/>
        <w:rPr>
          <w:sz w:val="32"/>
          <w:szCs w:val="32"/>
          <w:lang w:val="en-US"/>
        </w:rPr>
      </w:pPr>
      <w:r w:rsidRPr="00C77D2A">
        <w:rPr>
          <w:b/>
          <w:bCs/>
          <w:sz w:val="32"/>
          <w:szCs w:val="32"/>
          <w:lang w:val="en-US"/>
        </w:rPr>
        <w:t>Student Name:</w:t>
      </w:r>
      <w:r w:rsidRPr="00C77D2A">
        <w:rPr>
          <w:sz w:val="32"/>
          <w:szCs w:val="32"/>
          <w:lang w:val="en-US"/>
        </w:rPr>
        <w:t xml:space="preserve"> Bouchra El Imrani Taidi</w:t>
      </w:r>
    </w:p>
    <w:p w14:paraId="11B1C8C7" w14:textId="2A22ACAF" w:rsidR="00C77D2A" w:rsidRPr="00C77D2A" w:rsidRDefault="00C77D2A" w:rsidP="002070C5">
      <w:pPr>
        <w:jc w:val="center"/>
        <w:rPr>
          <w:sz w:val="32"/>
          <w:szCs w:val="32"/>
          <w:lang w:val="en-US"/>
        </w:rPr>
      </w:pPr>
      <w:r w:rsidRPr="00C77D2A">
        <w:rPr>
          <w:b/>
          <w:bCs/>
          <w:sz w:val="32"/>
          <w:szCs w:val="32"/>
          <w:lang w:val="en-US"/>
        </w:rPr>
        <w:t xml:space="preserve">Student Number: </w:t>
      </w:r>
      <w:r w:rsidRPr="00C77D2A">
        <w:rPr>
          <w:sz w:val="32"/>
          <w:szCs w:val="32"/>
          <w:lang w:val="en-US"/>
        </w:rPr>
        <w:t>2321157</w:t>
      </w:r>
    </w:p>
    <w:p w14:paraId="6C702F1D" w14:textId="0F47709F" w:rsidR="00C77D2A" w:rsidRPr="00C77D2A" w:rsidRDefault="00C77D2A" w:rsidP="002070C5">
      <w:pPr>
        <w:jc w:val="center"/>
        <w:rPr>
          <w:sz w:val="32"/>
          <w:szCs w:val="32"/>
          <w:lang w:val="en-US"/>
        </w:rPr>
      </w:pPr>
    </w:p>
    <w:p w14:paraId="26CC6DEA" w14:textId="42B83C55" w:rsidR="00C77D2A" w:rsidRPr="00C77D2A" w:rsidRDefault="00C77D2A" w:rsidP="002070C5">
      <w:pPr>
        <w:jc w:val="center"/>
        <w:rPr>
          <w:sz w:val="32"/>
          <w:szCs w:val="32"/>
          <w:lang w:val="en-US"/>
        </w:rPr>
      </w:pPr>
    </w:p>
    <w:p w14:paraId="0BA15F96" w14:textId="30EF680A" w:rsidR="00C77D2A" w:rsidRPr="00C77D2A" w:rsidRDefault="00C77D2A" w:rsidP="002070C5">
      <w:pPr>
        <w:jc w:val="center"/>
        <w:rPr>
          <w:sz w:val="32"/>
          <w:szCs w:val="32"/>
          <w:lang w:val="en-US"/>
        </w:rPr>
      </w:pPr>
    </w:p>
    <w:p w14:paraId="48DCAC19" w14:textId="6B771555" w:rsidR="00C77D2A" w:rsidRPr="00C77D2A" w:rsidRDefault="00C77D2A" w:rsidP="002070C5">
      <w:pPr>
        <w:jc w:val="center"/>
        <w:rPr>
          <w:sz w:val="32"/>
          <w:szCs w:val="32"/>
          <w:lang w:val="en-US"/>
        </w:rPr>
      </w:pPr>
      <w:r w:rsidRPr="00C77D2A">
        <w:rPr>
          <w:b/>
          <w:bCs/>
          <w:sz w:val="32"/>
          <w:szCs w:val="32"/>
          <w:u w:val="single"/>
          <w:lang w:val="en-US"/>
        </w:rPr>
        <w:t>Title</w:t>
      </w:r>
    </w:p>
    <w:p w14:paraId="54C3142C" w14:textId="527A4594" w:rsidR="00C77D2A" w:rsidRPr="00C77D2A" w:rsidRDefault="00C77D2A" w:rsidP="002070C5">
      <w:pPr>
        <w:jc w:val="center"/>
        <w:rPr>
          <w:sz w:val="32"/>
          <w:szCs w:val="32"/>
          <w:lang w:val="en-US"/>
        </w:rPr>
      </w:pPr>
      <w:r w:rsidRPr="00C77D2A">
        <w:rPr>
          <w:sz w:val="32"/>
          <w:szCs w:val="32"/>
          <w:lang w:val="en-US"/>
        </w:rPr>
        <w:t>A scoping review of:</w:t>
      </w:r>
      <w:r w:rsidRPr="00C77D2A">
        <w:rPr>
          <w:b/>
          <w:bCs/>
          <w:sz w:val="32"/>
          <w:szCs w:val="32"/>
          <w:lang w:val="en-US"/>
        </w:rPr>
        <w:t xml:space="preserve"> </w:t>
      </w:r>
      <w:r w:rsidRPr="00C77D2A">
        <w:rPr>
          <w:sz w:val="32"/>
          <w:szCs w:val="32"/>
          <w:lang w:val="en-US"/>
        </w:rPr>
        <w:t>The role of telerehabilitation for adults with long COVID in UK health and social care</w:t>
      </w:r>
    </w:p>
    <w:p w14:paraId="5AE9B4B3" w14:textId="77777777" w:rsidR="00C77D2A" w:rsidRPr="00C77D2A" w:rsidRDefault="00C77D2A" w:rsidP="00C77D2A">
      <w:pPr>
        <w:rPr>
          <w:sz w:val="32"/>
          <w:szCs w:val="32"/>
          <w:lang w:val="en-US"/>
        </w:rPr>
      </w:pPr>
      <w:r w:rsidRPr="00C77D2A">
        <w:rPr>
          <w:sz w:val="32"/>
          <w:szCs w:val="32"/>
          <w:lang w:val="en-US"/>
        </w:rPr>
        <w:t>  </w:t>
      </w:r>
    </w:p>
    <w:p w14:paraId="52C61343" w14:textId="77777777" w:rsidR="00C77D2A" w:rsidRPr="00C77D2A" w:rsidRDefault="00C77D2A" w:rsidP="00C77D2A">
      <w:pPr>
        <w:rPr>
          <w:sz w:val="32"/>
          <w:szCs w:val="32"/>
          <w:lang w:val="en-US"/>
        </w:rPr>
      </w:pPr>
      <w:r w:rsidRPr="00C77D2A">
        <w:rPr>
          <w:sz w:val="32"/>
          <w:szCs w:val="32"/>
          <w:lang w:val="en-US"/>
        </w:rPr>
        <w:t>  </w:t>
      </w:r>
    </w:p>
    <w:p w14:paraId="13DDE22F" w14:textId="77777777" w:rsidR="00C77D2A" w:rsidRPr="00C77D2A" w:rsidRDefault="00C77D2A" w:rsidP="00C77D2A">
      <w:pPr>
        <w:rPr>
          <w:sz w:val="32"/>
          <w:szCs w:val="32"/>
          <w:lang w:val="en-US"/>
        </w:rPr>
      </w:pPr>
      <w:r w:rsidRPr="00C77D2A">
        <w:rPr>
          <w:sz w:val="32"/>
          <w:szCs w:val="32"/>
          <w:lang w:val="en-US"/>
        </w:rPr>
        <w:t> </w:t>
      </w:r>
    </w:p>
    <w:p w14:paraId="423AEDAE" w14:textId="77777777" w:rsidR="00C77D2A" w:rsidRPr="00C77D2A" w:rsidRDefault="00C77D2A" w:rsidP="00C77D2A">
      <w:pPr>
        <w:rPr>
          <w:sz w:val="32"/>
          <w:szCs w:val="32"/>
          <w:lang w:val="en-US"/>
        </w:rPr>
      </w:pPr>
      <w:r w:rsidRPr="00C77D2A">
        <w:rPr>
          <w:sz w:val="32"/>
          <w:szCs w:val="32"/>
          <w:lang w:val="en-US"/>
        </w:rPr>
        <w:t>  </w:t>
      </w:r>
    </w:p>
    <w:p w14:paraId="69BD066C" w14:textId="77777777" w:rsidR="00C77D2A" w:rsidRPr="00C77D2A" w:rsidRDefault="00C77D2A" w:rsidP="00C77D2A">
      <w:pPr>
        <w:rPr>
          <w:sz w:val="32"/>
          <w:szCs w:val="32"/>
          <w:lang w:val="en-US"/>
        </w:rPr>
      </w:pPr>
      <w:r w:rsidRPr="00C77D2A">
        <w:rPr>
          <w:sz w:val="32"/>
          <w:szCs w:val="32"/>
          <w:lang w:val="en-US"/>
        </w:rPr>
        <w:t>  </w:t>
      </w:r>
    </w:p>
    <w:p w14:paraId="13AC51C0" w14:textId="77777777" w:rsidR="00C77D2A" w:rsidRPr="00C77D2A" w:rsidRDefault="00C77D2A" w:rsidP="00C77D2A">
      <w:pPr>
        <w:rPr>
          <w:sz w:val="32"/>
          <w:szCs w:val="32"/>
          <w:lang w:val="en-US"/>
        </w:rPr>
      </w:pPr>
      <w:r w:rsidRPr="00C77D2A">
        <w:rPr>
          <w:sz w:val="32"/>
          <w:szCs w:val="32"/>
          <w:lang w:val="en-US"/>
        </w:rPr>
        <w:t>  </w:t>
      </w:r>
    </w:p>
    <w:p w14:paraId="54C8F789" w14:textId="77777777" w:rsidR="00C77D2A" w:rsidRPr="00C77D2A" w:rsidRDefault="00C77D2A" w:rsidP="00C77D2A">
      <w:pPr>
        <w:rPr>
          <w:sz w:val="32"/>
          <w:szCs w:val="32"/>
          <w:lang w:val="en-US"/>
        </w:rPr>
      </w:pPr>
      <w:r w:rsidRPr="00C77D2A">
        <w:rPr>
          <w:sz w:val="32"/>
          <w:szCs w:val="32"/>
          <w:lang w:val="en-US"/>
        </w:rPr>
        <w:t> </w:t>
      </w:r>
    </w:p>
    <w:p w14:paraId="70118E75" w14:textId="77777777" w:rsidR="00BD7B3C" w:rsidRDefault="00C77D2A" w:rsidP="00BD7B3C">
      <w:pPr>
        <w:rPr>
          <w:sz w:val="32"/>
          <w:szCs w:val="32"/>
          <w:lang w:val="en-US"/>
        </w:rPr>
      </w:pPr>
      <w:r w:rsidRPr="00C77D2A">
        <w:rPr>
          <w:sz w:val="32"/>
          <w:szCs w:val="32"/>
          <w:lang w:val="en-US"/>
        </w:rPr>
        <w:t> </w:t>
      </w:r>
    </w:p>
    <w:p w14:paraId="2259AF29" w14:textId="6A44E4FC" w:rsidR="00C77D2A" w:rsidRPr="00C77D2A" w:rsidRDefault="00C77D2A" w:rsidP="00BD7B3C">
      <w:pPr>
        <w:rPr>
          <w:sz w:val="32"/>
          <w:szCs w:val="32"/>
          <w:lang w:val="en-US"/>
        </w:rPr>
      </w:pPr>
      <w:r w:rsidRPr="00C77D2A">
        <w:rPr>
          <w:rFonts w:ascii="Arial" w:hAnsi="Arial" w:cs="Arial"/>
          <w:b/>
          <w:bCs/>
          <w:lang w:val="en-US"/>
        </w:rPr>
        <w:lastRenderedPageBreak/>
        <w:t>Background and Rationale</w:t>
      </w:r>
      <w:r w:rsidRPr="00C77D2A">
        <w:rPr>
          <w:rFonts w:ascii="Arial" w:hAnsi="Arial" w:cs="Arial"/>
          <w:lang w:val="en-US"/>
        </w:rPr>
        <w:t> </w:t>
      </w:r>
    </w:p>
    <w:p w14:paraId="7C5BF049" w14:textId="4D102ADA" w:rsidR="00C77D2A" w:rsidRPr="00C77D2A" w:rsidRDefault="00C77D2A" w:rsidP="002070C5">
      <w:pPr>
        <w:jc w:val="both"/>
        <w:rPr>
          <w:rFonts w:ascii="Arial" w:hAnsi="Arial" w:cs="Arial"/>
          <w:lang w:val="en-US"/>
        </w:rPr>
      </w:pPr>
      <w:r w:rsidRPr="00C77D2A">
        <w:rPr>
          <w:rFonts w:ascii="Arial" w:hAnsi="Arial" w:cs="Arial"/>
          <w:lang w:val="en-US"/>
        </w:rPr>
        <w:t>Long COVID is described as a condition when a person experience symptoms such as breathlessness, shortness of breath, fatigue, muscle weakness and pain for weeks or months following a COVID-19 infection (NHS, 2024). These can limit their ability to engage in activities of daily living (ADL’s). NHS England and NICE (2024) highlight the importance of providing effective rehabilitation for these patients.  However, services also face challenges due to short staffing, high demand, and geographical barriers.  The use of digital platforms to deliver therapy remotely, can help overcome these issues by increasing access and support to people quickly and efficiently</w:t>
      </w:r>
      <w:r w:rsidR="003A18C7">
        <w:rPr>
          <w:rFonts w:ascii="Arial" w:hAnsi="Arial" w:cs="Arial"/>
          <w:lang w:val="en-US"/>
        </w:rPr>
        <w:t xml:space="preserve"> (Samper et al., 2023).</w:t>
      </w:r>
      <w:r w:rsidRPr="00C77D2A">
        <w:rPr>
          <w:rFonts w:ascii="Arial" w:hAnsi="Arial" w:cs="Arial"/>
          <w:lang w:val="en-US"/>
        </w:rPr>
        <w:t xml:space="preserve">  Studies indicate that telerehabilitation can improve physical and emotional wellbeing in people, however there is still limited evidence on effectiveness and deliverance of these services (Calvache-Mateo et al</w:t>
      </w:r>
      <w:r w:rsidRPr="00C77D2A">
        <w:rPr>
          <w:rFonts w:ascii="Arial" w:hAnsi="Arial" w:cs="Arial"/>
          <w:i/>
          <w:iCs/>
          <w:lang w:val="en-US"/>
        </w:rPr>
        <w:t xml:space="preserve">., 2023). </w:t>
      </w:r>
      <w:r w:rsidRPr="00C77D2A">
        <w:rPr>
          <w:rFonts w:ascii="Arial" w:hAnsi="Arial" w:cs="Arial"/>
          <w:lang w:val="en-US"/>
        </w:rPr>
        <w:t> </w:t>
      </w:r>
    </w:p>
    <w:p w14:paraId="6F9EDF58" w14:textId="6A8F0A47" w:rsidR="00C77D2A" w:rsidRPr="00C77D2A" w:rsidRDefault="00C77D2A" w:rsidP="002070C5">
      <w:pPr>
        <w:jc w:val="both"/>
        <w:rPr>
          <w:rFonts w:ascii="Arial" w:hAnsi="Arial" w:cs="Arial"/>
          <w:lang w:val="en-US"/>
        </w:rPr>
      </w:pPr>
      <w:r w:rsidRPr="00C77D2A">
        <w:rPr>
          <w:rFonts w:ascii="Arial" w:hAnsi="Arial" w:cs="Arial"/>
          <w:b/>
          <w:bCs/>
          <w:lang w:val="en-US"/>
        </w:rPr>
        <w:t>Research Aim and Objectives</w:t>
      </w:r>
      <w:r w:rsidRPr="00C77D2A">
        <w:rPr>
          <w:rFonts w:ascii="Arial" w:hAnsi="Arial" w:cs="Arial"/>
          <w:lang w:val="en-US"/>
        </w:rPr>
        <w:t> </w:t>
      </w:r>
    </w:p>
    <w:p w14:paraId="3CEB23F6" w14:textId="3C96F2A6" w:rsidR="00C77D2A" w:rsidRPr="00C77D2A" w:rsidRDefault="00C77D2A" w:rsidP="002070C5">
      <w:pPr>
        <w:jc w:val="both"/>
        <w:rPr>
          <w:rFonts w:ascii="Arial" w:hAnsi="Arial" w:cs="Arial"/>
          <w:lang w:val="en-US"/>
        </w:rPr>
      </w:pPr>
      <w:r w:rsidRPr="00C77D2A">
        <w:rPr>
          <w:rFonts w:ascii="Arial" w:hAnsi="Arial" w:cs="Arial"/>
          <w:b/>
          <w:bCs/>
          <w:lang w:val="en-US"/>
        </w:rPr>
        <w:t xml:space="preserve">Aim: </w:t>
      </w:r>
      <w:r w:rsidRPr="00C77D2A">
        <w:rPr>
          <w:rFonts w:ascii="Arial" w:hAnsi="Arial" w:cs="Arial"/>
          <w:lang w:val="en-US"/>
        </w:rPr>
        <w:t> To investigate the current evidence regarding the role of telerehabilitation for adults with Long COVID in UK health and social care. </w:t>
      </w:r>
    </w:p>
    <w:p w14:paraId="23CF6AE9" w14:textId="77777777" w:rsidR="00C77D2A" w:rsidRPr="00C77D2A" w:rsidRDefault="00C77D2A" w:rsidP="002070C5">
      <w:pPr>
        <w:jc w:val="both"/>
        <w:rPr>
          <w:rFonts w:ascii="Arial" w:hAnsi="Arial" w:cs="Arial"/>
          <w:lang w:val="en-US"/>
        </w:rPr>
      </w:pPr>
      <w:r w:rsidRPr="00C77D2A">
        <w:rPr>
          <w:rFonts w:ascii="Arial" w:hAnsi="Arial" w:cs="Arial"/>
          <w:b/>
          <w:bCs/>
          <w:lang w:val="en-US"/>
        </w:rPr>
        <w:t>Objectives:</w:t>
      </w:r>
      <w:r w:rsidRPr="00C77D2A">
        <w:rPr>
          <w:rFonts w:ascii="Arial" w:hAnsi="Arial" w:cs="Arial"/>
          <w:lang w:val="en-US"/>
        </w:rPr>
        <w:t> </w:t>
      </w:r>
    </w:p>
    <w:p w14:paraId="67453E9D" w14:textId="77777777" w:rsidR="00C77D2A" w:rsidRPr="00C77D2A" w:rsidRDefault="00C77D2A" w:rsidP="00E506A3">
      <w:pPr>
        <w:numPr>
          <w:ilvl w:val="0"/>
          <w:numId w:val="8"/>
        </w:numPr>
        <w:jc w:val="both"/>
        <w:rPr>
          <w:rFonts w:ascii="Arial" w:hAnsi="Arial" w:cs="Arial"/>
          <w:lang w:val="en-US"/>
        </w:rPr>
      </w:pPr>
      <w:r w:rsidRPr="00C77D2A">
        <w:rPr>
          <w:rFonts w:ascii="Arial" w:hAnsi="Arial" w:cs="Arial"/>
          <w:lang w:val="en-US"/>
        </w:rPr>
        <w:t>To identify different types of telerehabilitation used for adults with Long COVID. </w:t>
      </w:r>
    </w:p>
    <w:p w14:paraId="57E501B6" w14:textId="77777777" w:rsidR="00C77D2A" w:rsidRDefault="00C77D2A" w:rsidP="00E506A3">
      <w:pPr>
        <w:pStyle w:val="ListParagraph"/>
        <w:numPr>
          <w:ilvl w:val="0"/>
          <w:numId w:val="8"/>
        </w:numPr>
        <w:jc w:val="both"/>
        <w:rPr>
          <w:rFonts w:ascii="Arial" w:hAnsi="Arial" w:cs="Arial"/>
          <w:lang w:val="en-US"/>
        </w:rPr>
      </w:pPr>
      <w:r w:rsidRPr="00E506A3">
        <w:rPr>
          <w:rFonts w:ascii="Arial" w:hAnsi="Arial" w:cs="Arial"/>
          <w:lang w:val="en-US"/>
        </w:rPr>
        <w:t>To explore barriers and facilitators to using telerehabilitation. </w:t>
      </w:r>
    </w:p>
    <w:p w14:paraId="6BBAFB46" w14:textId="77777777" w:rsidR="00E506A3" w:rsidRPr="00E506A3" w:rsidRDefault="00E506A3" w:rsidP="00E506A3">
      <w:pPr>
        <w:pStyle w:val="ListParagraph"/>
        <w:jc w:val="both"/>
        <w:rPr>
          <w:rFonts w:ascii="Arial" w:hAnsi="Arial" w:cs="Arial"/>
          <w:lang w:val="en-US"/>
        </w:rPr>
      </w:pPr>
    </w:p>
    <w:p w14:paraId="5DF421F9" w14:textId="77777777" w:rsidR="00BD7B3C" w:rsidRPr="00E506A3" w:rsidRDefault="00C77D2A" w:rsidP="00E506A3">
      <w:pPr>
        <w:pStyle w:val="ListParagraph"/>
        <w:numPr>
          <w:ilvl w:val="0"/>
          <w:numId w:val="8"/>
        </w:numPr>
        <w:jc w:val="both"/>
        <w:rPr>
          <w:rFonts w:ascii="Arial" w:hAnsi="Arial" w:cs="Arial"/>
          <w:lang w:val="en-US"/>
        </w:rPr>
      </w:pPr>
      <w:r w:rsidRPr="00E506A3">
        <w:rPr>
          <w:rFonts w:ascii="Arial" w:hAnsi="Arial" w:cs="Arial"/>
          <w:lang w:val="en-US"/>
        </w:rPr>
        <w:t>To highlight gaps in evidence for future research and service development. </w:t>
      </w:r>
    </w:p>
    <w:p w14:paraId="0A97D4A1" w14:textId="70789B8B" w:rsidR="00C77D2A" w:rsidRPr="00C77D2A" w:rsidRDefault="00C77D2A" w:rsidP="00BD7B3C">
      <w:pPr>
        <w:jc w:val="both"/>
        <w:rPr>
          <w:rFonts w:ascii="Arial" w:hAnsi="Arial" w:cs="Arial"/>
          <w:lang w:val="en-US"/>
        </w:rPr>
      </w:pPr>
      <w:r w:rsidRPr="00C77D2A">
        <w:rPr>
          <w:rFonts w:ascii="Arial" w:hAnsi="Arial" w:cs="Arial"/>
          <w:b/>
          <w:bCs/>
          <w:lang w:val="en-US"/>
        </w:rPr>
        <w:t>Methodology</w:t>
      </w:r>
      <w:r w:rsidRPr="00C77D2A">
        <w:rPr>
          <w:rFonts w:ascii="Arial" w:hAnsi="Arial" w:cs="Arial"/>
          <w:lang w:val="en-US"/>
        </w:rPr>
        <w:t> </w:t>
      </w:r>
    </w:p>
    <w:p w14:paraId="03F14CA8" w14:textId="38D468EC" w:rsidR="00C77D2A" w:rsidRPr="00C77D2A" w:rsidRDefault="00BD7B3C" w:rsidP="002070C5">
      <w:pPr>
        <w:jc w:val="both"/>
        <w:rPr>
          <w:rFonts w:ascii="Arial" w:hAnsi="Arial" w:cs="Arial"/>
          <w:lang w:val="en-US"/>
        </w:rPr>
      </w:pPr>
      <w:r>
        <w:rPr>
          <w:rFonts w:ascii="Arial" w:hAnsi="Arial" w:cs="Arial"/>
          <w:lang w:val="en-US"/>
        </w:rPr>
        <w:t>T</w:t>
      </w:r>
      <w:r w:rsidR="00C77D2A" w:rsidRPr="00C77D2A">
        <w:rPr>
          <w:rFonts w:ascii="Arial" w:hAnsi="Arial" w:cs="Arial"/>
          <w:lang w:val="en-US"/>
        </w:rPr>
        <w:t>he study will use scoping review design to explore and summarise existing evidence on telerehabilitation for adults with Long COVID. The review will follow the five-stage framework proposed by Arksey and O’Malley (2005</w:t>
      </w:r>
      <w:r w:rsidR="00780AE6">
        <w:rPr>
          <w:rFonts w:ascii="Arial" w:hAnsi="Arial" w:cs="Arial"/>
          <w:lang w:val="en-US"/>
        </w:rPr>
        <w:t>)</w:t>
      </w:r>
      <w:r w:rsidR="00BE08B0">
        <w:rPr>
          <w:rFonts w:ascii="Arial" w:hAnsi="Arial" w:cs="Arial"/>
          <w:lang w:val="en-US"/>
        </w:rPr>
        <w:t xml:space="preserve"> and follow </w:t>
      </w:r>
      <w:r w:rsidR="00C77D2A" w:rsidRPr="00C77D2A">
        <w:rPr>
          <w:rFonts w:ascii="Arial" w:hAnsi="Arial" w:cs="Arial"/>
          <w:lang w:val="en-US"/>
        </w:rPr>
        <w:t>PRISMA-ScR guidelines (Tricco et al., 2018). </w:t>
      </w:r>
    </w:p>
    <w:p w14:paraId="5B1677B6" w14:textId="77777777" w:rsidR="00C77D2A" w:rsidRPr="00C77D2A" w:rsidRDefault="00C77D2A" w:rsidP="002070C5">
      <w:pPr>
        <w:jc w:val="both"/>
        <w:rPr>
          <w:rFonts w:ascii="Arial" w:hAnsi="Arial" w:cs="Arial"/>
          <w:lang w:val="en-US"/>
        </w:rPr>
      </w:pPr>
      <w:r w:rsidRPr="00C77D2A">
        <w:rPr>
          <w:rFonts w:ascii="Arial" w:hAnsi="Arial" w:cs="Arial"/>
          <w:b/>
          <w:bCs/>
          <w:lang w:val="en-US"/>
        </w:rPr>
        <w:t>Research Question:</w:t>
      </w:r>
      <w:r w:rsidRPr="00C77D2A">
        <w:rPr>
          <w:rFonts w:ascii="Arial" w:hAnsi="Arial" w:cs="Arial"/>
          <w:lang w:val="en-US"/>
        </w:rPr>
        <w:t xml:space="preserve">  </w:t>
      </w:r>
    </w:p>
    <w:p w14:paraId="07FB612E" w14:textId="77777777" w:rsidR="00C77D2A" w:rsidRPr="00C77D2A" w:rsidRDefault="00C77D2A" w:rsidP="002070C5">
      <w:pPr>
        <w:jc w:val="both"/>
        <w:rPr>
          <w:rFonts w:ascii="Arial" w:hAnsi="Arial" w:cs="Arial"/>
          <w:lang w:val="en-US"/>
        </w:rPr>
      </w:pPr>
      <w:r w:rsidRPr="00C77D2A">
        <w:rPr>
          <w:rFonts w:ascii="Arial" w:hAnsi="Arial" w:cs="Arial"/>
          <w:lang w:val="en-US"/>
        </w:rPr>
        <w:t>What are the types of telerehabilitation used for adults, outcomes, benefits and challenges of telerehabilitation for adults with Long COVID in UK health and social care? </w:t>
      </w:r>
    </w:p>
    <w:p w14:paraId="51CBCFF1" w14:textId="50F5F7DC" w:rsidR="00C77D2A" w:rsidRPr="00C77D2A" w:rsidRDefault="00C77D2A" w:rsidP="002070C5">
      <w:pPr>
        <w:jc w:val="both"/>
        <w:rPr>
          <w:rFonts w:ascii="Arial" w:hAnsi="Arial" w:cs="Arial"/>
          <w:lang w:val="en-US"/>
        </w:rPr>
      </w:pPr>
      <w:r w:rsidRPr="00C77D2A">
        <w:rPr>
          <w:rFonts w:ascii="Arial" w:hAnsi="Arial" w:cs="Arial"/>
          <w:b/>
          <w:bCs/>
          <w:lang w:val="en-US"/>
        </w:rPr>
        <w:t xml:space="preserve">Inclusion Criteria: </w:t>
      </w:r>
      <w:r w:rsidRPr="00C77D2A">
        <w:rPr>
          <w:rFonts w:ascii="Arial" w:hAnsi="Arial" w:cs="Arial"/>
          <w:lang w:val="en-US"/>
        </w:rPr>
        <w:t>Studies involving adults (18 years or older) with Long COVID and incorporating the use of telerehabilitation</w:t>
      </w:r>
      <w:r w:rsidR="00205A0B">
        <w:rPr>
          <w:rFonts w:ascii="Arial" w:hAnsi="Arial" w:cs="Arial"/>
          <w:lang w:val="en-US"/>
        </w:rPr>
        <w:t>.</w:t>
      </w:r>
    </w:p>
    <w:p w14:paraId="12F52D2A" w14:textId="3D381370" w:rsidR="00C77D2A" w:rsidRDefault="00C77D2A" w:rsidP="002070C5">
      <w:pPr>
        <w:jc w:val="both"/>
        <w:rPr>
          <w:rFonts w:ascii="Arial" w:hAnsi="Arial" w:cs="Arial"/>
          <w:lang w:val="en-US"/>
        </w:rPr>
      </w:pPr>
      <w:r w:rsidRPr="00C77D2A">
        <w:rPr>
          <w:rFonts w:ascii="Arial" w:hAnsi="Arial" w:cs="Arial"/>
          <w:b/>
          <w:bCs/>
          <w:lang w:val="en-US"/>
        </w:rPr>
        <w:t xml:space="preserve">Exclusion Criteria: </w:t>
      </w:r>
      <w:r w:rsidRPr="00C77D2A">
        <w:rPr>
          <w:rFonts w:ascii="Arial" w:hAnsi="Arial" w:cs="Arial"/>
          <w:lang w:val="en-US"/>
        </w:rPr>
        <w:t xml:space="preserve">Studies on children, </w:t>
      </w:r>
      <w:r w:rsidR="00C7325E" w:rsidRPr="00C77D2A">
        <w:rPr>
          <w:rFonts w:ascii="Arial" w:hAnsi="Arial" w:cs="Arial"/>
          <w:lang w:val="en-US"/>
        </w:rPr>
        <w:t>non-</w:t>
      </w:r>
      <w:r w:rsidR="00C7325E">
        <w:rPr>
          <w:rFonts w:ascii="Arial" w:hAnsi="Arial" w:cs="Arial"/>
          <w:lang w:val="en-US"/>
        </w:rPr>
        <w:t>E</w:t>
      </w:r>
      <w:r w:rsidR="00C7325E" w:rsidRPr="00C77D2A">
        <w:rPr>
          <w:rFonts w:ascii="Arial" w:hAnsi="Arial" w:cs="Arial"/>
          <w:lang w:val="en-US"/>
        </w:rPr>
        <w:t>nglish</w:t>
      </w:r>
      <w:r w:rsidRPr="00C77D2A">
        <w:rPr>
          <w:rFonts w:ascii="Arial" w:hAnsi="Arial" w:cs="Arial"/>
          <w:lang w:val="en-US"/>
        </w:rPr>
        <w:t xml:space="preserve"> papers, and publications without research data. </w:t>
      </w:r>
    </w:p>
    <w:p w14:paraId="13F3DEF5" w14:textId="4AA12838" w:rsidR="00BD7B3C" w:rsidRPr="00C77D2A" w:rsidRDefault="00BD7B3C" w:rsidP="002070C5">
      <w:pPr>
        <w:jc w:val="both"/>
        <w:rPr>
          <w:rFonts w:ascii="Arial" w:hAnsi="Arial" w:cs="Arial"/>
          <w:b/>
          <w:bCs/>
          <w:lang w:val="en-US"/>
        </w:rPr>
      </w:pPr>
      <w:r>
        <w:rPr>
          <w:rFonts w:ascii="Arial" w:hAnsi="Arial" w:cs="Arial"/>
          <w:b/>
          <w:bCs/>
          <w:lang w:val="en-US"/>
        </w:rPr>
        <w:t>Data Collection and Analysis:</w:t>
      </w:r>
    </w:p>
    <w:p w14:paraId="62D26B37" w14:textId="0EBE8F6D" w:rsidR="00C77D2A" w:rsidRDefault="00C77D2A" w:rsidP="002070C5">
      <w:pPr>
        <w:jc w:val="both"/>
        <w:rPr>
          <w:rFonts w:ascii="Arial" w:hAnsi="Arial" w:cs="Arial"/>
          <w:lang w:val="en-US"/>
        </w:rPr>
      </w:pPr>
      <w:r w:rsidRPr="00C77D2A">
        <w:rPr>
          <w:rFonts w:ascii="Arial" w:hAnsi="Arial" w:cs="Arial"/>
          <w:lang w:val="en-US"/>
        </w:rPr>
        <w:t>Databases such as PubMed, Scopus, MEDLINE, and Cochrane Library will be searched for articles from 2020–2025. The use of literature from professional sources will also be incorporated. Data will be collected on the basis of study design, outcomes, and key findings. Descriptive tables and simple thematic analysis will be used to summarize the results and find recurring themes. </w:t>
      </w:r>
    </w:p>
    <w:p w14:paraId="41E97BC5" w14:textId="77777777" w:rsidR="00BD7B3C" w:rsidRDefault="00BD7B3C" w:rsidP="002070C5">
      <w:pPr>
        <w:jc w:val="both"/>
        <w:rPr>
          <w:rFonts w:ascii="Arial" w:hAnsi="Arial" w:cs="Arial"/>
          <w:b/>
          <w:bCs/>
          <w:lang w:val="en-US"/>
        </w:rPr>
      </w:pPr>
      <w:r>
        <w:rPr>
          <w:rFonts w:ascii="Arial" w:hAnsi="Arial" w:cs="Arial"/>
          <w:b/>
          <w:bCs/>
          <w:lang w:val="en-US"/>
        </w:rPr>
        <w:t>Expected Outcomes:</w:t>
      </w:r>
    </w:p>
    <w:p w14:paraId="3D67F758" w14:textId="1483D8F4" w:rsidR="00C77D2A" w:rsidRPr="00C77D2A" w:rsidRDefault="00C77D2A" w:rsidP="002070C5">
      <w:pPr>
        <w:jc w:val="both"/>
        <w:rPr>
          <w:rFonts w:ascii="Arial" w:hAnsi="Arial" w:cs="Arial"/>
          <w:b/>
          <w:bCs/>
          <w:lang w:val="en-US"/>
        </w:rPr>
      </w:pPr>
      <w:r w:rsidRPr="00C77D2A">
        <w:rPr>
          <w:rFonts w:ascii="Arial" w:hAnsi="Arial" w:cs="Arial"/>
          <w:lang w:val="en-US"/>
        </w:rPr>
        <w:t>This review will provide an overview of how telerehabilitation is used for Long COVID in the UK. The findings will help inform future practice and service planning. </w:t>
      </w:r>
    </w:p>
    <w:p w14:paraId="5888C70E" w14:textId="77777777" w:rsidR="00C77D2A" w:rsidRPr="00C77D2A" w:rsidRDefault="00C77D2A" w:rsidP="002070C5">
      <w:pPr>
        <w:jc w:val="both"/>
        <w:rPr>
          <w:rFonts w:ascii="Arial" w:hAnsi="Arial" w:cs="Arial"/>
          <w:lang w:val="en-US"/>
        </w:rPr>
      </w:pPr>
      <w:r w:rsidRPr="00C77D2A">
        <w:rPr>
          <w:rFonts w:ascii="Arial" w:hAnsi="Arial" w:cs="Arial"/>
          <w:b/>
          <w:bCs/>
          <w:lang w:val="en-US"/>
        </w:rPr>
        <w:t>Ethical Considerations</w:t>
      </w:r>
      <w:r w:rsidRPr="00C77D2A">
        <w:rPr>
          <w:rFonts w:ascii="Arial" w:hAnsi="Arial" w:cs="Arial"/>
          <w:lang w:val="en-US"/>
        </w:rPr>
        <w:t> </w:t>
      </w:r>
    </w:p>
    <w:p w14:paraId="04D6E2A5" w14:textId="031C8867" w:rsidR="00C46F23" w:rsidRPr="00C46F23" w:rsidRDefault="00C77D2A" w:rsidP="00C46F23">
      <w:pPr>
        <w:jc w:val="both"/>
        <w:rPr>
          <w:rFonts w:ascii="Arial" w:hAnsi="Arial" w:cs="Arial"/>
        </w:rPr>
      </w:pPr>
      <w:r w:rsidRPr="00C77D2A">
        <w:rPr>
          <w:rFonts w:ascii="Arial" w:hAnsi="Arial" w:cs="Arial"/>
          <w:lang w:val="en-US"/>
        </w:rPr>
        <w:lastRenderedPageBreak/>
        <w:t>The review will utilise publicly available literature therefore, ethical approval is not required. Ethical integrity will be maintained through transparent reporting, avoidance of plagiarism, and disclosing any conflicts of interest. Sensitivity to equity, inclusion, and digital accessibility for vulnerable</w:t>
      </w:r>
      <w:r w:rsidR="00787352">
        <w:rPr>
          <w:rFonts w:ascii="Arial" w:hAnsi="Arial" w:cs="Arial"/>
          <w:lang w:val="en-US"/>
        </w:rPr>
        <w:t xml:space="preserve"> </w:t>
      </w:r>
      <w:r w:rsidRPr="00C77D2A">
        <w:rPr>
          <w:rFonts w:ascii="Arial" w:hAnsi="Arial" w:cs="Arial"/>
          <w:lang w:val="en-US"/>
        </w:rPr>
        <w:t>populations will be prioriti</w:t>
      </w:r>
      <w:r w:rsidR="00787352">
        <w:rPr>
          <w:rFonts w:ascii="Arial" w:hAnsi="Arial" w:cs="Arial"/>
          <w:lang w:val="en-US"/>
        </w:rPr>
        <w:t>z</w:t>
      </w:r>
      <w:r w:rsidRPr="00C77D2A">
        <w:rPr>
          <w:rFonts w:ascii="Arial" w:hAnsi="Arial" w:cs="Arial"/>
          <w:lang w:val="en-US"/>
        </w:rPr>
        <w:t>ed</w:t>
      </w:r>
      <w:r w:rsidR="00CA2D01">
        <w:rPr>
          <w:rFonts w:ascii="Arial" w:hAnsi="Arial" w:cs="Arial"/>
          <w:lang w:val="en-US"/>
        </w:rPr>
        <w:t xml:space="preserve">, with submission </w:t>
      </w:r>
      <w:r w:rsidR="00C46F23" w:rsidRPr="00C46F23">
        <w:rPr>
          <w:rFonts w:ascii="Arial" w:hAnsi="Arial" w:cs="Arial"/>
        </w:rPr>
        <w:t xml:space="preserve">in accordance </w:t>
      </w:r>
      <w:r w:rsidR="00DA0389">
        <w:rPr>
          <w:rFonts w:ascii="Arial" w:hAnsi="Arial" w:cs="Arial"/>
        </w:rPr>
        <w:t xml:space="preserve">to </w:t>
      </w:r>
      <w:r w:rsidR="00C46F23" w:rsidRPr="00C46F23">
        <w:rPr>
          <w:rFonts w:ascii="Arial" w:hAnsi="Arial" w:cs="Arial"/>
        </w:rPr>
        <w:t>PRISMA-ScR guidelines</w:t>
      </w:r>
      <w:r w:rsidR="002074F9">
        <w:rPr>
          <w:rFonts w:ascii="Arial" w:hAnsi="Arial" w:cs="Arial"/>
        </w:rPr>
        <w:t>.</w:t>
      </w:r>
      <w:r w:rsidR="00C46F23" w:rsidRPr="00C46F23">
        <w:rPr>
          <w:rFonts w:ascii="Arial" w:hAnsi="Arial" w:cs="Arial"/>
        </w:rPr>
        <w:t xml:space="preserve"> </w:t>
      </w:r>
    </w:p>
    <w:p w14:paraId="124946FF" w14:textId="42C18C36" w:rsidR="00C77D2A" w:rsidRPr="00C77D2A" w:rsidRDefault="00C77D2A" w:rsidP="002070C5">
      <w:pPr>
        <w:jc w:val="both"/>
        <w:rPr>
          <w:rFonts w:ascii="Arial" w:hAnsi="Arial" w:cs="Arial"/>
          <w:lang w:val="en-US"/>
        </w:rPr>
      </w:pPr>
    </w:p>
    <w:p w14:paraId="20354F20" w14:textId="77777777" w:rsidR="00C77D2A" w:rsidRPr="00C77D2A" w:rsidRDefault="00C77D2A" w:rsidP="002070C5">
      <w:pPr>
        <w:jc w:val="both"/>
        <w:rPr>
          <w:rFonts w:ascii="Arial" w:hAnsi="Arial" w:cs="Arial"/>
          <w:lang w:val="en-US"/>
        </w:rPr>
      </w:pPr>
      <w:r w:rsidRPr="00C77D2A">
        <w:rPr>
          <w:rFonts w:ascii="Arial" w:hAnsi="Arial" w:cs="Arial"/>
          <w:lang w:val="en-US"/>
        </w:rPr>
        <w:t> </w:t>
      </w:r>
    </w:p>
    <w:p w14:paraId="3C66532F" w14:textId="77777777" w:rsidR="00BD7B3C" w:rsidRDefault="00BD7B3C">
      <w:pPr>
        <w:rPr>
          <w:rFonts w:ascii="Arial" w:hAnsi="Arial" w:cs="Arial"/>
          <w:b/>
          <w:bCs/>
          <w:lang w:val="en-US"/>
        </w:rPr>
      </w:pPr>
      <w:r>
        <w:rPr>
          <w:rFonts w:ascii="Arial" w:hAnsi="Arial" w:cs="Arial"/>
          <w:b/>
          <w:bCs/>
          <w:lang w:val="en-US"/>
        </w:rPr>
        <w:br w:type="page"/>
      </w:r>
    </w:p>
    <w:p w14:paraId="382931BA" w14:textId="0D6A26FC" w:rsidR="00C77D2A" w:rsidRPr="00C77D2A" w:rsidRDefault="00C77D2A" w:rsidP="002070C5">
      <w:pPr>
        <w:jc w:val="both"/>
        <w:rPr>
          <w:rFonts w:ascii="Arial" w:hAnsi="Arial" w:cs="Arial"/>
          <w:lang w:val="en-US"/>
        </w:rPr>
      </w:pPr>
      <w:r w:rsidRPr="00C77D2A">
        <w:rPr>
          <w:rFonts w:ascii="Arial" w:hAnsi="Arial" w:cs="Arial"/>
          <w:b/>
          <w:bCs/>
          <w:lang w:val="en-US"/>
        </w:rPr>
        <w:lastRenderedPageBreak/>
        <w:t>References</w:t>
      </w:r>
      <w:r w:rsidR="00BD7B3C">
        <w:rPr>
          <w:rFonts w:ascii="Arial" w:hAnsi="Arial" w:cs="Arial"/>
          <w:b/>
          <w:bCs/>
          <w:lang w:val="en-US"/>
        </w:rPr>
        <w:t>:</w:t>
      </w:r>
    </w:p>
    <w:p w14:paraId="1F6581C4" w14:textId="77777777" w:rsidR="00C77D2A" w:rsidRPr="00C77D2A" w:rsidRDefault="00C77D2A" w:rsidP="002070C5">
      <w:pPr>
        <w:jc w:val="both"/>
        <w:rPr>
          <w:rFonts w:ascii="Arial" w:hAnsi="Arial" w:cs="Arial"/>
          <w:lang w:val="en-US"/>
        </w:rPr>
      </w:pPr>
      <w:r w:rsidRPr="00C77D2A">
        <w:rPr>
          <w:rFonts w:ascii="Arial" w:hAnsi="Arial" w:cs="Arial"/>
          <w:b/>
          <w:bCs/>
          <w:lang w:val="en-US"/>
        </w:rPr>
        <w:t> </w:t>
      </w:r>
      <w:r w:rsidRPr="00C77D2A">
        <w:rPr>
          <w:rFonts w:ascii="Arial" w:hAnsi="Arial" w:cs="Arial"/>
          <w:lang w:val="en-US"/>
        </w:rPr>
        <w:t> </w:t>
      </w:r>
    </w:p>
    <w:p w14:paraId="1D707F7D" w14:textId="1C624C3D" w:rsidR="00945461" w:rsidRDefault="00C77D2A" w:rsidP="002070C5">
      <w:pPr>
        <w:jc w:val="both"/>
        <w:rPr>
          <w:rFonts w:ascii="Arial" w:hAnsi="Arial" w:cs="Arial"/>
          <w:lang w:val="en-US"/>
        </w:rPr>
      </w:pPr>
      <w:r w:rsidRPr="00C77D2A">
        <w:rPr>
          <w:rFonts w:ascii="Arial" w:hAnsi="Arial" w:cs="Arial"/>
          <w:lang w:val="en-US"/>
        </w:rPr>
        <w:t xml:space="preserve">Arksey, H. and O’Malley, L. (2005) ‘Scoping studies: towards a methodological framework’, </w:t>
      </w:r>
      <w:r w:rsidRPr="00C77D2A">
        <w:rPr>
          <w:rFonts w:ascii="Arial" w:hAnsi="Arial" w:cs="Arial"/>
          <w:i/>
          <w:iCs/>
          <w:lang w:val="en-US"/>
        </w:rPr>
        <w:t>International Journal of Social Research Methodology</w:t>
      </w:r>
      <w:r w:rsidRPr="00C77D2A">
        <w:rPr>
          <w:rFonts w:ascii="Arial" w:hAnsi="Arial" w:cs="Arial"/>
          <w:lang w:val="en-US"/>
        </w:rPr>
        <w:t>, 8(1), pp. 19–32. </w:t>
      </w:r>
    </w:p>
    <w:p w14:paraId="5BEA9673" w14:textId="358905AB" w:rsidR="00735A60" w:rsidRDefault="00735A60" w:rsidP="002070C5">
      <w:pPr>
        <w:jc w:val="both"/>
        <w:rPr>
          <w:rFonts w:ascii="Arial" w:hAnsi="Arial" w:cs="Arial"/>
          <w:lang w:val="en-US"/>
        </w:rPr>
      </w:pPr>
      <w:r w:rsidRPr="00C77D2A">
        <w:rPr>
          <w:rFonts w:ascii="Arial" w:hAnsi="Arial" w:cs="Arial"/>
          <w:lang w:val="en-US"/>
        </w:rPr>
        <w:t>Calvache-Mateo, A., Heredia-Ciuro, A., Martin-Nunez, J., Hernandez-Hernandez, S., Reychler, G., Lopez-Lopez, L. and Valenza, M.C., 2023, September. Efficacy and safety of respiratory telerehabilitation in patients with long COVID-19: A systematic review and meta-analysis. In </w:t>
      </w:r>
      <w:r w:rsidRPr="00C77D2A">
        <w:rPr>
          <w:rFonts w:ascii="Arial" w:hAnsi="Arial" w:cs="Arial"/>
          <w:i/>
          <w:iCs/>
          <w:lang w:val="en-US"/>
        </w:rPr>
        <w:t>Healthcare</w:t>
      </w:r>
      <w:r w:rsidRPr="00C77D2A">
        <w:rPr>
          <w:rFonts w:ascii="Arial" w:hAnsi="Arial" w:cs="Arial"/>
          <w:lang w:val="en-US"/>
        </w:rPr>
        <w:t> (Vol. 11, No. 18, p. 2519). MDPI. </w:t>
      </w:r>
    </w:p>
    <w:p w14:paraId="46D4F64A" w14:textId="3F33E6CB" w:rsidR="00945461" w:rsidRDefault="00C77D2A" w:rsidP="002070C5">
      <w:pPr>
        <w:jc w:val="both"/>
        <w:rPr>
          <w:rFonts w:ascii="Arial" w:hAnsi="Arial" w:cs="Arial"/>
          <w:lang w:val="en-US"/>
        </w:rPr>
      </w:pPr>
      <w:r w:rsidRPr="00C77D2A">
        <w:rPr>
          <w:rFonts w:ascii="Arial" w:hAnsi="Arial" w:cs="Arial"/>
          <w:lang w:val="en-US"/>
        </w:rPr>
        <w:t xml:space="preserve">Levac, D., Colquhoun, H. and O’Brien, K.K. (2010) ‘Scoping studies: advancing the methodology’, </w:t>
      </w:r>
      <w:r w:rsidRPr="00C77D2A">
        <w:rPr>
          <w:rFonts w:ascii="Arial" w:hAnsi="Arial" w:cs="Arial"/>
          <w:i/>
          <w:iCs/>
          <w:lang w:val="en-US"/>
        </w:rPr>
        <w:t>Implementation Science</w:t>
      </w:r>
      <w:r w:rsidRPr="00C77D2A">
        <w:rPr>
          <w:rFonts w:ascii="Arial" w:hAnsi="Arial" w:cs="Arial"/>
          <w:lang w:val="en-US"/>
        </w:rPr>
        <w:t>, 5(1), p. 69. </w:t>
      </w:r>
    </w:p>
    <w:p w14:paraId="5EB2FEE2" w14:textId="4529C99F" w:rsidR="00945461" w:rsidRDefault="00C77D2A" w:rsidP="002070C5">
      <w:pPr>
        <w:jc w:val="both"/>
        <w:rPr>
          <w:rFonts w:ascii="Arial" w:hAnsi="Arial" w:cs="Arial"/>
          <w:lang w:val="en-US"/>
        </w:rPr>
      </w:pPr>
      <w:r w:rsidRPr="00C77D2A">
        <w:rPr>
          <w:rFonts w:ascii="Arial" w:hAnsi="Arial" w:cs="Arial"/>
          <w:lang w:val="en-US"/>
        </w:rPr>
        <w:t xml:space="preserve">National Institute for Health and Care Excellence (NICE) (2024) </w:t>
      </w:r>
      <w:r w:rsidRPr="00C77D2A">
        <w:rPr>
          <w:rFonts w:ascii="Arial" w:hAnsi="Arial" w:cs="Arial"/>
          <w:i/>
          <w:iCs/>
          <w:lang w:val="en-US"/>
        </w:rPr>
        <w:t>COVID-19 Rapid Guideline: Managing the Long-Term Effects of COVID-19 (NG188)</w:t>
      </w:r>
      <w:r w:rsidRPr="00C77D2A">
        <w:rPr>
          <w:rFonts w:ascii="Arial" w:hAnsi="Arial" w:cs="Arial"/>
          <w:lang w:val="en-US"/>
        </w:rPr>
        <w:t xml:space="preserve">. </w:t>
      </w:r>
    </w:p>
    <w:p w14:paraId="326816C9" w14:textId="1B7BC14B" w:rsidR="002D1A25" w:rsidRDefault="002D1A25" w:rsidP="002070C5">
      <w:pPr>
        <w:jc w:val="both"/>
        <w:rPr>
          <w:rFonts w:ascii="Arial" w:hAnsi="Arial" w:cs="Arial"/>
          <w:lang w:val="en-US"/>
        </w:rPr>
      </w:pPr>
      <w:r w:rsidRPr="002D1A25">
        <w:rPr>
          <w:rFonts w:ascii="Arial" w:hAnsi="Arial" w:cs="Arial"/>
        </w:rPr>
        <w:t>Munn, Z., Peters, M.D., Stern, C., Tufanaru, C., McArthur, A. and Aromataris, E., 2018. Systematic review or scoping review? Guidance for authors when choosing between a systematic or scoping review approach. </w:t>
      </w:r>
      <w:r w:rsidRPr="002D1A25">
        <w:rPr>
          <w:rFonts w:ascii="Arial" w:hAnsi="Arial" w:cs="Arial"/>
          <w:i/>
          <w:iCs/>
        </w:rPr>
        <w:t>BMC medical research methodology</w:t>
      </w:r>
      <w:r w:rsidRPr="002D1A25">
        <w:rPr>
          <w:rFonts w:ascii="Arial" w:hAnsi="Arial" w:cs="Arial"/>
        </w:rPr>
        <w:t>, </w:t>
      </w:r>
      <w:r w:rsidRPr="002D1A25">
        <w:rPr>
          <w:rFonts w:ascii="Arial" w:hAnsi="Arial" w:cs="Arial"/>
          <w:i/>
          <w:iCs/>
        </w:rPr>
        <w:t>18</w:t>
      </w:r>
      <w:r w:rsidRPr="002D1A25">
        <w:rPr>
          <w:rFonts w:ascii="Arial" w:hAnsi="Arial" w:cs="Arial"/>
        </w:rPr>
        <w:t>(1), p.143.</w:t>
      </w:r>
    </w:p>
    <w:p w14:paraId="44C0431A" w14:textId="77777777" w:rsidR="00AC19AD" w:rsidRDefault="00C77D2A" w:rsidP="002070C5">
      <w:pPr>
        <w:jc w:val="both"/>
        <w:rPr>
          <w:rFonts w:ascii="Arial" w:hAnsi="Arial" w:cs="Arial"/>
          <w:lang w:val="en-US"/>
        </w:rPr>
      </w:pPr>
      <w:r w:rsidRPr="00C77D2A">
        <w:rPr>
          <w:rFonts w:ascii="Arial" w:hAnsi="Arial" w:cs="Arial"/>
          <w:lang w:val="en-US"/>
        </w:rPr>
        <w:t xml:space="preserve">NHS England (2022) </w:t>
      </w:r>
      <w:r w:rsidRPr="00C77D2A">
        <w:rPr>
          <w:rFonts w:ascii="Arial" w:hAnsi="Arial" w:cs="Arial"/>
          <w:i/>
          <w:iCs/>
          <w:lang w:val="en-US"/>
        </w:rPr>
        <w:t>Long COVID: National Service Plan 2022/23</w:t>
      </w:r>
      <w:r w:rsidRPr="00C77D2A">
        <w:rPr>
          <w:rFonts w:ascii="Arial" w:hAnsi="Arial" w:cs="Arial"/>
          <w:lang w:val="en-US"/>
        </w:rPr>
        <w:t>. London: NHS England. </w:t>
      </w:r>
    </w:p>
    <w:p w14:paraId="59F7208B" w14:textId="6F28BB5D" w:rsidR="00C77D2A" w:rsidRDefault="00C77D2A" w:rsidP="002070C5">
      <w:pPr>
        <w:jc w:val="both"/>
        <w:rPr>
          <w:rFonts w:ascii="Arial" w:hAnsi="Arial" w:cs="Arial"/>
          <w:lang w:val="en-US"/>
        </w:rPr>
      </w:pPr>
      <w:r w:rsidRPr="00C77D2A">
        <w:rPr>
          <w:rFonts w:ascii="Arial" w:hAnsi="Arial" w:cs="Arial"/>
          <w:lang w:val="en-US"/>
        </w:rPr>
        <w:t xml:space="preserve">Tricco, A.C. et al. (2018) ‘PRISMA extension for scoping reviews (PRISMA-ScR): checklist and explanation’, </w:t>
      </w:r>
      <w:r w:rsidRPr="00C77D2A">
        <w:rPr>
          <w:rFonts w:ascii="Arial" w:hAnsi="Arial" w:cs="Arial"/>
          <w:i/>
          <w:iCs/>
          <w:lang w:val="en-US"/>
        </w:rPr>
        <w:t>Annals of Internal Medicine</w:t>
      </w:r>
      <w:r w:rsidRPr="00C77D2A">
        <w:rPr>
          <w:rFonts w:ascii="Arial" w:hAnsi="Arial" w:cs="Arial"/>
          <w:lang w:val="en-US"/>
        </w:rPr>
        <w:t>, 169(7), pp. 467–473. </w:t>
      </w:r>
    </w:p>
    <w:p w14:paraId="4BD95384" w14:textId="77777777" w:rsidR="00110915" w:rsidRPr="00C77D2A" w:rsidRDefault="00110915" w:rsidP="00110915">
      <w:pPr>
        <w:jc w:val="both"/>
        <w:rPr>
          <w:rFonts w:ascii="Arial" w:hAnsi="Arial" w:cs="Arial"/>
          <w:lang w:val="en-US"/>
        </w:rPr>
      </w:pPr>
      <w:r w:rsidRPr="00C77D2A">
        <w:rPr>
          <w:rFonts w:ascii="Arial" w:hAnsi="Arial" w:cs="Arial"/>
          <w:lang w:val="en-US"/>
        </w:rPr>
        <w:t>Samper-Pardo, M., León-Herrera, S., Oliván-Blázquez, B., Méndez-López, F., Domínguez-García, M. and Sánchez-Recio, R., 2023. Effectiveness of a telerehabilitation intervention using ReCOVery APP of long COVID patients: a randomized, 3-month follow-up clinical trial. </w:t>
      </w:r>
      <w:r w:rsidRPr="00C77D2A">
        <w:rPr>
          <w:rFonts w:ascii="Arial" w:hAnsi="Arial" w:cs="Arial"/>
          <w:i/>
          <w:iCs/>
          <w:lang w:val="en-US"/>
        </w:rPr>
        <w:t>Scientific Reports</w:t>
      </w:r>
      <w:r w:rsidRPr="00C77D2A">
        <w:rPr>
          <w:rFonts w:ascii="Arial" w:hAnsi="Arial" w:cs="Arial"/>
          <w:lang w:val="en-US"/>
        </w:rPr>
        <w:t>, </w:t>
      </w:r>
      <w:r w:rsidRPr="00C77D2A">
        <w:rPr>
          <w:rFonts w:ascii="Arial" w:hAnsi="Arial" w:cs="Arial"/>
          <w:i/>
          <w:iCs/>
          <w:lang w:val="en-US"/>
        </w:rPr>
        <w:t>13</w:t>
      </w:r>
      <w:r w:rsidRPr="00C77D2A">
        <w:rPr>
          <w:rFonts w:ascii="Arial" w:hAnsi="Arial" w:cs="Arial"/>
          <w:lang w:val="en-US"/>
        </w:rPr>
        <w:t>(1), p.7943. </w:t>
      </w:r>
    </w:p>
    <w:p w14:paraId="137D6005" w14:textId="77777777" w:rsidR="00110915" w:rsidRPr="00C77D2A" w:rsidRDefault="00110915" w:rsidP="002070C5">
      <w:pPr>
        <w:jc w:val="both"/>
        <w:rPr>
          <w:rFonts w:ascii="Arial" w:hAnsi="Arial" w:cs="Arial"/>
          <w:lang w:val="en-US"/>
        </w:rPr>
      </w:pPr>
    </w:p>
    <w:p w14:paraId="78A84C02" w14:textId="77777777" w:rsidR="00C77D2A" w:rsidRPr="00C77D2A" w:rsidRDefault="00C77D2A" w:rsidP="002070C5">
      <w:pPr>
        <w:jc w:val="both"/>
        <w:rPr>
          <w:rFonts w:ascii="Arial" w:hAnsi="Arial" w:cs="Arial"/>
          <w:lang w:val="en-US"/>
        </w:rPr>
      </w:pPr>
      <w:r w:rsidRPr="00C77D2A">
        <w:rPr>
          <w:rFonts w:ascii="Arial" w:hAnsi="Arial" w:cs="Arial"/>
          <w:lang w:val="en-US"/>
        </w:rPr>
        <w:t>  </w:t>
      </w:r>
    </w:p>
    <w:p w14:paraId="6B78EEEC" w14:textId="77777777" w:rsidR="00C77D2A" w:rsidRPr="00C77D2A" w:rsidRDefault="00C77D2A" w:rsidP="002070C5">
      <w:pPr>
        <w:jc w:val="both"/>
        <w:rPr>
          <w:rFonts w:ascii="Arial" w:hAnsi="Arial" w:cs="Arial"/>
          <w:lang w:val="en-US"/>
        </w:rPr>
      </w:pPr>
      <w:r w:rsidRPr="00C77D2A">
        <w:rPr>
          <w:rFonts w:ascii="Arial" w:hAnsi="Arial" w:cs="Arial"/>
          <w:lang w:val="en-US"/>
        </w:rPr>
        <w:t> </w:t>
      </w:r>
    </w:p>
    <w:p w14:paraId="1972B9DD" w14:textId="77777777" w:rsidR="00C77D2A" w:rsidRPr="00C77D2A" w:rsidRDefault="00C77D2A" w:rsidP="002070C5">
      <w:pPr>
        <w:jc w:val="both"/>
        <w:rPr>
          <w:rFonts w:ascii="Arial" w:hAnsi="Arial" w:cs="Arial"/>
          <w:lang w:val="en-US"/>
        </w:rPr>
      </w:pPr>
      <w:r w:rsidRPr="00C77D2A">
        <w:rPr>
          <w:rFonts w:ascii="Arial" w:hAnsi="Arial" w:cs="Arial"/>
          <w:lang w:val="en-US"/>
        </w:rPr>
        <w:t> </w:t>
      </w:r>
    </w:p>
    <w:p w14:paraId="3D531ADF" w14:textId="61511CF0" w:rsidR="00DF65D1" w:rsidRPr="002070C5" w:rsidRDefault="00DF65D1" w:rsidP="002070C5">
      <w:pPr>
        <w:jc w:val="both"/>
        <w:rPr>
          <w:rFonts w:ascii="Arial" w:hAnsi="Arial" w:cs="Arial"/>
          <w:lang w:val="en-US"/>
        </w:rPr>
      </w:pPr>
    </w:p>
    <w:p w14:paraId="5AE6EBEE" w14:textId="77777777" w:rsidR="00B775EA" w:rsidRPr="002070C5" w:rsidRDefault="00B775EA" w:rsidP="002070C5">
      <w:pPr>
        <w:jc w:val="both"/>
        <w:rPr>
          <w:rFonts w:ascii="Arial" w:hAnsi="Arial" w:cs="Arial"/>
          <w:lang w:val="en-US"/>
        </w:rPr>
      </w:pPr>
    </w:p>
    <w:p w14:paraId="6E00ADB3" w14:textId="77777777" w:rsidR="002A1E0A" w:rsidRPr="002070C5" w:rsidRDefault="002A1E0A" w:rsidP="002070C5">
      <w:pPr>
        <w:jc w:val="both"/>
        <w:rPr>
          <w:rFonts w:ascii="Arial" w:hAnsi="Arial" w:cs="Arial"/>
          <w:lang w:val="en-US"/>
        </w:rPr>
      </w:pPr>
    </w:p>
    <w:p w14:paraId="7278369F" w14:textId="77777777" w:rsidR="00B775EA" w:rsidRPr="002070C5" w:rsidRDefault="00B775EA" w:rsidP="002070C5">
      <w:pPr>
        <w:jc w:val="both"/>
        <w:rPr>
          <w:rFonts w:ascii="Arial" w:hAnsi="Arial" w:cs="Arial"/>
          <w:lang w:val="en-US"/>
        </w:rPr>
      </w:pPr>
    </w:p>
    <w:sectPr w:rsidR="00B775EA" w:rsidRPr="002070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708A9"/>
    <w:multiLevelType w:val="multilevel"/>
    <w:tmpl w:val="EF16B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827C07"/>
    <w:multiLevelType w:val="hybridMultilevel"/>
    <w:tmpl w:val="823471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2803935"/>
    <w:multiLevelType w:val="multilevel"/>
    <w:tmpl w:val="AA840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9309C9"/>
    <w:multiLevelType w:val="multilevel"/>
    <w:tmpl w:val="3E688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D13521"/>
    <w:multiLevelType w:val="multilevel"/>
    <w:tmpl w:val="DA08F44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D027EB"/>
    <w:multiLevelType w:val="multilevel"/>
    <w:tmpl w:val="39DE53B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001238"/>
    <w:multiLevelType w:val="multilevel"/>
    <w:tmpl w:val="5030A90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E123E33"/>
    <w:multiLevelType w:val="multilevel"/>
    <w:tmpl w:val="C42A2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9210857">
    <w:abstractNumId w:val="0"/>
  </w:num>
  <w:num w:numId="2" w16cid:durableId="313143877">
    <w:abstractNumId w:val="7"/>
  </w:num>
  <w:num w:numId="3" w16cid:durableId="1992832652">
    <w:abstractNumId w:val="2"/>
  </w:num>
  <w:num w:numId="4" w16cid:durableId="1011301841">
    <w:abstractNumId w:val="3"/>
  </w:num>
  <w:num w:numId="5" w16cid:durableId="1102148239">
    <w:abstractNumId w:val="6"/>
  </w:num>
  <w:num w:numId="6" w16cid:durableId="34552533">
    <w:abstractNumId w:val="4"/>
  </w:num>
  <w:num w:numId="7" w16cid:durableId="1980262668">
    <w:abstractNumId w:val="5"/>
  </w:num>
  <w:num w:numId="8" w16cid:durableId="10671426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5EA"/>
    <w:rsid w:val="000B03D2"/>
    <w:rsid w:val="000B4709"/>
    <w:rsid w:val="000F55CD"/>
    <w:rsid w:val="00110915"/>
    <w:rsid w:val="001D4A72"/>
    <w:rsid w:val="00205A0B"/>
    <w:rsid w:val="002070C5"/>
    <w:rsid w:val="002074F9"/>
    <w:rsid w:val="0025432E"/>
    <w:rsid w:val="002A1E0A"/>
    <w:rsid w:val="002D1A25"/>
    <w:rsid w:val="00344D27"/>
    <w:rsid w:val="003A18C7"/>
    <w:rsid w:val="00412051"/>
    <w:rsid w:val="00452F45"/>
    <w:rsid w:val="00563BD9"/>
    <w:rsid w:val="0063528D"/>
    <w:rsid w:val="006E2992"/>
    <w:rsid w:val="00735A60"/>
    <w:rsid w:val="00780AE6"/>
    <w:rsid w:val="00787352"/>
    <w:rsid w:val="007B169C"/>
    <w:rsid w:val="00824124"/>
    <w:rsid w:val="008A2A15"/>
    <w:rsid w:val="008C6210"/>
    <w:rsid w:val="009275FC"/>
    <w:rsid w:val="00945461"/>
    <w:rsid w:val="009D36D7"/>
    <w:rsid w:val="00A31ED8"/>
    <w:rsid w:val="00A5068E"/>
    <w:rsid w:val="00AC19AD"/>
    <w:rsid w:val="00AF749B"/>
    <w:rsid w:val="00B03A98"/>
    <w:rsid w:val="00B5631A"/>
    <w:rsid w:val="00B775EA"/>
    <w:rsid w:val="00BC01FC"/>
    <w:rsid w:val="00BD7B3C"/>
    <w:rsid w:val="00BE08B0"/>
    <w:rsid w:val="00C46F23"/>
    <w:rsid w:val="00C7325E"/>
    <w:rsid w:val="00C77D2A"/>
    <w:rsid w:val="00CA2D01"/>
    <w:rsid w:val="00D31511"/>
    <w:rsid w:val="00DA0389"/>
    <w:rsid w:val="00DF65D1"/>
    <w:rsid w:val="00E506A3"/>
    <w:rsid w:val="00E62DAC"/>
    <w:rsid w:val="00E84E21"/>
    <w:rsid w:val="00EA7E56"/>
    <w:rsid w:val="00EB3615"/>
    <w:rsid w:val="00EB5748"/>
    <w:rsid w:val="00EB7DCD"/>
    <w:rsid w:val="00F31D5D"/>
    <w:rsid w:val="00F56C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32AA8"/>
  <w15:chartTrackingRefBased/>
  <w15:docId w15:val="{70EB185B-6759-4B52-939D-90E5DCB03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06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4</Pages>
  <Words>749</Words>
  <Characters>4275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Prabhnoor singh</dc:creator>
  <cp:keywords/>
  <dc:description/>
  <cp:lastModifiedBy>Prince Nanreh</cp:lastModifiedBy>
  <cp:revision>31</cp:revision>
  <dcterms:created xsi:type="dcterms:W3CDTF">2025-10-05T19:11:00Z</dcterms:created>
  <dcterms:modified xsi:type="dcterms:W3CDTF">2025-10-05T19:44:00Z</dcterms:modified>
</cp:coreProperties>
</file>