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84C2E3" w14:textId="77777777" w:rsidR="00F55435" w:rsidRPr="0042624D" w:rsidRDefault="00F55435">
      <w:pPr>
        <w:jc w:val="center"/>
        <w:rPr>
          <w:rFonts w:ascii="Times New Roman" w:eastAsia="Times New Roman" w:hAnsi="Times New Roman" w:cs="Times New Roman"/>
          <w:b/>
          <w:sz w:val="36"/>
          <w:szCs w:val="36"/>
        </w:rPr>
      </w:pPr>
    </w:p>
    <w:p w14:paraId="3B3581BD" w14:textId="77777777" w:rsidR="00F55435" w:rsidRPr="0042624D" w:rsidRDefault="00F55435">
      <w:pPr>
        <w:jc w:val="center"/>
        <w:rPr>
          <w:rFonts w:ascii="Times New Roman" w:eastAsia="Times New Roman" w:hAnsi="Times New Roman" w:cs="Times New Roman"/>
          <w:b/>
          <w:sz w:val="36"/>
          <w:szCs w:val="36"/>
        </w:rPr>
      </w:pPr>
    </w:p>
    <w:p w14:paraId="0EBF127E" w14:textId="77777777" w:rsidR="00F55435" w:rsidRPr="0042624D" w:rsidRDefault="00F55435">
      <w:pPr>
        <w:jc w:val="center"/>
        <w:rPr>
          <w:rFonts w:ascii="Times New Roman" w:eastAsia="Times New Roman" w:hAnsi="Times New Roman" w:cs="Times New Roman"/>
          <w:b/>
          <w:sz w:val="36"/>
          <w:szCs w:val="36"/>
        </w:rPr>
      </w:pPr>
    </w:p>
    <w:p w14:paraId="533535A7" w14:textId="77777777" w:rsidR="00F55435" w:rsidRPr="0042624D" w:rsidRDefault="00F55435">
      <w:pPr>
        <w:jc w:val="center"/>
        <w:rPr>
          <w:rFonts w:ascii="Times New Roman" w:eastAsia="Times New Roman" w:hAnsi="Times New Roman" w:cs="Times New Roman"/>
          <w:b/>
          <w:sz w:val="36"/>
          <w:szCs w:val="36"/>
        </w:rPr>
      </w:pPr>
    </w:p>
    <w:p w14:paraId="3B582541" w14:textId="77777777" w:rsidR="00F55435" w:rsidRPr="0042624D" w:rsidRDefault="00F55435">
      <w:pPr>
        <w:jc w:val="center"/>
        <w:rPr>
          <w:rFonts w:ascii="Times New Roman" w:eastAsia="Times New Roman" w:hAnsi="Times New Roman" w:cs="Times New Roman"/>
          <w:b/>
          <w:sz w:val="36"/>
          <w:szCs w:val="36"/>
        </w:rPr>
      </w:pPr>
    </w:p>
    <w:p w14:paraId="3F9A036F" w14:textId="77777777" w:rsidR="00F55435" w:rsidRPr="0042624D" w:rsidRDefault="00F55435">
      <w:pPr>
        <w:jc w:val="center"/>
        <w:rPr>
          <w:rFonts w:ascii="Times New Roman" w:eastAsia="Times New Roman" w:hAnsi="Times New Roman" w:cs="Times New Roman"/>
          <w:b/>
          <w:sz w:val="36"/>
          <w:szCs w:val="36"/>
        </w:rPr>
      </w:pPr>
    </w:p>
    <w:p w14:paraId="1282847B" w14:textId="77777777" w:rsidR="00F55435" w:rsidRPr="0042624D" w:rsidRDefault="00F55435">
      <w:pPr>
        <w:jc w:val="center"/>
        <w:rPr>
          <w:rFonts w:ascii="Times New Roman" w:eastAsia="Times New Roman" w:hAnsi="Times New Roman" w:cs="Times New Roman"/>
          <w:b/>
          <w:sz w:val="36"/>
          <w:szCs w:val="36"/>
        </w:rPr>
      </w:pPr>
    </w:p>
    <w:p w14:paraId="34211D47" w14:textId="77777777" w:rsidR="00F55435" w:rsidRPr="0042624D" w:rsidRDefault="00791884" w:rsidP="00F434FC">
      <w:pPr>
        <w:jc w:val="center"/>
        <w:rPr>
          <w:b/>
          <w:sz w:val="36"/>
          <w:szCs w:val="36"/>
        </w:rPr>
      </w:pPr>
      <w:r w:rsidRPr="0042624D">
        <w:rPr>
          <w:b/>
          <w:sz w:val="36"/>
          <w:szCs w:val="36"/>
        </w:rPr>
        <w:t>LCHS4004</w:t>
      </w:r>
    </w:p>
    <w:p w14:paraId="756D0847" w14:textId="77777777" w:rsidR="00F55435" w:rsidRPr="0042624D" w:rsidRDefault="00791884" w:rsidP="00F434FC">
      <w:pPr>
        <w:jc w:val="center"/>
        <w:rPr>
          <w:b/>
          <w:sz w:val="36"/>
          <w:szCs w:val="36"/>
        </w:rPr>
      </w:pPr>
      <w:r w:rsidRPr="0042624D">
        <w:rPr>
          <w:b/>
          <w:sz w:val="36"/>
          <w:szCs w:val="36"/>
        </w:rPr>
        <w:t>Introduction to Public Health</w:t>
      </w:r>
    </w:p>
    <w:p w14:paraId="72E383AD" w14:textId="77777777" w:rsidR="00F55435" w:rsidRPr="0042624D" w:rsidRDefault="00791884" w:rsidP="00F434FC">
      <w:pPr>
        <w:jc w:val="center"/>
        <w:rPr>
          <w:b/>
          <w:sz w:val="36"/>
          <w:szCs w:val="36"/>
        </w:rPr>
      </w:pPr>
      <w:r w:rsidRPr="0042624D">
        <w:rPr>
          <w:b/>
          <w:sz w:val="36"/>
          <w:szCs w:val="36"/>
        </w:rPr>
        <w:t>Assessment Component 2 -Major Health Issue</w:t>
      </w:r>
    </w:p>
    <w:p w14:paraId="1D3F75AB" w14:textId="6CADF6EF" w:rsidR="00F55435" w:rsidRPr="0042624D" w:rsidRDefault="00791884" w:rsidP="00F434FC">
      <w:pPr>
        <w:jc w:val="center"/>
        <w:rPr>
          <w:b/>
          <w:sz w:val="36"/>
          <w:szCs w:val="36"/>
        </w:rPr>
      </w:pPr>
      <w:r w:rsidRPr="0042624D">
        <w:rPr>
          <w:b/>
          <w:sz w:val="36"/>
          <w:szCs w:val="36"/>
        </w:rPr>
        <w:t>Student Name:</w:t>
      </w:r>
      <w:r w:rsidR="00F434FC">
        <w:rPr>
          <w:b/>
          <w:sz w:val="36"/>
          <w:szCs w:val="36"/>
        </w:rPr>
        <w:t xml:space="preserve"> Nagina </w:t>
      </w:r>
      <w:proofErr w:type="spellStart"/>
      <w:r w:rsidR="00F434FC">
        <w:rPr>
          <w:b/>
          <w:sz w:val="36"/>
          <w:szCs w:val="36"/>
        </w:rPr>
        <w:t>Koser</w:t>
      </w:r>
      <w:proofErr w:type="spellEnd"/>
    </w:p>
    <w:p w14:paraId="2691D14D" w14:textId="54770A4A" w:rsidR="00F55435" w:rsidRPr="0042624D" w:rsidRDefault="00791884" w:rsidP="00F434FC">
      <w:pPr>
        <w:jc w:val="center"/>
        <w:rPr>
          <w:b/>
          <w:sz w:val="36"/>
          <w:szCs w:val="36"/>
        </w:rPr>
      </w:pPr>
      <w:r w:rsidRPr="0042624D">
        <w:rPr>
          <w:b/>
          <w:sz w:val="36"/>
          <w:szCs w:val="36"/>
        </w:rPr>
        <w:t>Student ID:</w:t>
      </w:r>
      <w:r w:rsidR="00F434FC">
        <w:rPr>
          <w:b/>
          <w:sz w:val="36"/>
          <w:szCs w:val="36"/>
        </w:rPr>
        <w:t xml:space="preserve"> 2207175</w:t>
      </w:r>
    </w:p>
    <w:p w14:paraId="431748F2" w14:textId="35AEF62E" w:rsidR="00821F93" w:rsidRPr="0042624D" w:rsidRDefault="00791884" w:rsidP="00F434FC">
      <w:pPr>
        <w:jc w:val="center"/>
        <w:rPr>
          <w:b/>
          <w:sz w:val="36"/>
          <w:szCs w:val="36"/>
        </w:rPr>
      </w:pPr>
      <w:r w:rsidRPr="0042624D">
        <w:rPr>
          <w:b/>
          <w:sz w:val="36"/>
          <w:szCs w:val="36"/>
        </w:rPr>
        <w:t>Lecturer Name:</w:t>
      </w:r>
      <w:r w:rsidR="00F434FC">
        <w:rPr>
          <w:b/>
          <w:sz w:val="36"/>
          <w:szCs w:val="36"/>
        </w:rPr>
        <w:t xml:space="preserve"> </w:t>
      </w:r>
      <w:proofErr w:type="spellStart"/>
      <w:r w:rsidR="00F434FC">
        <w:rPr>
          <w:b/>
          <w:sz w:val="36"/>
          <w:szCs w:val="36"/>
        </w:rPr>
        <w:t>Aishat</w:t>
      </w:r>
      <w:proofErr w:type="spellEnd"/>
      <w:r w:rsidR="00F434FC">
        <w:rPr>
          <w:b/>
          <w:sz w:val="36"/>
          <w:szCs w:val="36"/>
        </w:rPr>
        <w:t xml:space="preserve"> </w:t>
      </w:r>
      <w:proofErr w:type="spellStart"/>
      <w:r w:rsidR="00F434FC">
        <w:rPr>
          <w:b/>
          <w:sz w:val="36"/>
          <w:szCs w:val="36"/>
        </w:rPr>
        <w:t>Bakre</w:t>
      </w:r>
      <w:proofErr w:type="spellEnd"/>
    </w:p>
    <w:p w14:paraId="6F563AD0" w14:textId="77777777" w:rsidR="00821F93" w:rsidRPr="0042624D" w:rsidRDefault="00821F93">
      <w:pPr>
        <w:rPr>
          <w:b/>
          <w:sz w:val="36"/>
          <w:szCs w:val="36"/>
        </w:rPr>
      </w:pPr>
      <w:r w:rsidRPr="0042624D">
        <w:rPr>
          <w:b/>
          <w:sz w:val="36"/>
          <w:szCs w:val="36"/>
        </w:rPr>
        <w:br w:type="page"/>
      </w:r>
    </w:p>
    <w:sdt>
      <w:sdtPr>
        <w:rPr>
          <w:rFonts w:ascii="Arial" w:eastAsia="Arial" w:hAnsi="Arial" w:cs="Arial"/>
          <w:b/>
          <w:color w:val="auto"/>
          <w:sz w:val="22"/>
          <w:szCs w:val="22"/>
          <w:lang w:val="en-GB"/>
        </w:rPr>
        <w:id w:val="-549617596"/>
        <w:docPartObj>
          <w:docPartGallery w:val="Table of Contents"/>
          <w:docPartUnique/>
        </w:docPartObj>
      </w:sdtPr>
      <w:sdtEndPr>
        <w:rPr>
          <w:bCs/>
          <w:noProof/>
        </w:rPr>
      </w:sdtEndPr>
      <w:sdtContent>
        <w:p w14:paraId="5A1B21AA" w14:textId="77777777" w:rsidR="00821F93" w:rsidRPr="0042624D" w:rsidRDefault="00821F93" w:rsidP="00821F93">
          <w:pPr>
            <w:pStyle w:val="TOCHeading"/>
            <w:jc w:val="center"/>
            <w:rPr>
              <w:rFonts w:ascii="Arial" w:hAnsi="Arial" w:cs="Arial"/>
              <w:b/>
              <w:color w:val="auto"/>
              <w:sz w:val="28"/>
              <w:lang w:val="en-GB"/>
            </w:rPr>
          </w:pPr>
          <w:r w:rsidRPr="0042624D">
            <w:rPr>
              <w:rFonts w:ascii="Arial" w:hAnsi="Arial" w:cs="Arial"/>
              <w:b/>
              <w:color w:val="auto"/>
              <w:sz w:val="28"/>
              <w:lang w:val="en-GB"/>
            </w:rPr>
            <w:t>Table of Contents</w:t>
          </w:r>
        </w:p>
        <w:p w14:paraId="5DE76A5F" w14:textId="77777777" w:rsidR="00310317" w:rsidRPr="0042624D" w:rsidRDefault="00093EB8">
          <w:pPr>
            <w:pStyle w:val="TOC1"/>
            <w:tabs>
              <w:tab w:val="right" w:leader="dot" w:pos="9350"/>
            </w:tabs>
            <w:rPr>
              <w:rFonts w:asciiTheme="minorHAnsi" w:eastAsiaTheme="minorEastAsia" w:hAnsiTheme="minorHAnsi" w:cstheme="minorBidi"/>
              <w:noProof/>
            </w:rPr>
          </w:pPr>
          <w:r w:rsidRPr="0042624D">
            <w:fldChar w:fldCharType="begin"/>
          </w:r>
          <w:r w:rsidR="00821F93" w:rsidRPr="0042624D">
            <w:instrText xml:space="preserve"> TOC \o "1-3" \h \z \u </w:instrText>
          </w:r>
          <w:r w:rsidRPr="0042624D">
            <w:fldChar w:fldCharType="separate"/>
          </w:r>
          <w:hyperlink w:anchor="_Toc129961103" w:history="1">
            <w:r w:rsidR="00310317" w:rsidRPr="0042624D">
              <w:rPr>
                <w:rStyle w:val="Hyperlink"/>
                <w:noProof/>
              </w:rPr>
              <w:t>Introduction</w:t>
            </w:r>
            <w:r w:rsidR="00310317" w:rsidRPr="0042624D">
              <w:rPr>
                <w:noProof/>
                <w:webHidden/>
              </w:rPr>
              <w:tab/>
            </w:r>
            <w:r w:rsidRPr="0042624D">
              <w:rPr>
                <w:noProof/>
                <w:webHidden/>
              </w:rPr>
              <w:fldChar w:fldCharType="begin"/>
            </w:r>
            <w:r w:rsidR="00310317" w:rsidRPr="0042624D">
              <w:rPr>
                <w:noProof/>
                <w:webHidden/>
              </w:rPr>
              <w:instrText xml:space="preserve"> PAGEREF _Toc129961103 \h </w:instrText>
            </w:r>
            <w:r w:rsidRPr="0042624D">
              <w:rPr>
                <w:noProof/>
                <w:webHidden/>
              </w:rPr>
            </w:r>
            <w:r w:rsidRPr="0042624D">
              <w:rPr>
                <w:noProof/>
                <w:webHidden/>
              </w:rPr>
              <w:fldChar w:fldCharType="separate"/>
            </w:r>
            <w:r w:rsidR="0042624D">
              <w:rPr>
                <w:noProof/>
                <w:webHidden/>
              </w:rPr>
              <w:t>3</w:t>
            </w:r>
            <w:r w:rsidRPr="0042624D">
              <w:rPr>
                <w:noProof/>
                <w:webHidden/>
              </w:rPr>
              <w:fldChar w:fldCharType="end"/>
            </w:r>
          </w:hyperlink>
        </w:p>
        <w:p w14:paraId="11E8A2C5" w14:textId="77777777" w:rsidR="00310317" w:rsidRPr="0042624D" w:rsidRDefault="00000000">
          <w:pPr>
            <w:pStyle w:val="TOC1"/>
            <w:tabs>
              <w:tab w:val="right" w:leader="dot" w:pos="9350"/>
            </w:tabs>
            <w:rPr>
              <w:rFonts w:asciiTheme="minorHAnsi" w:eastAsiaTheme="minorEastAsia" w:hAnsiTheme="minorHAnsi" w:cstheme="minorBidi"/>
              <w:noProof/>
            </w:rPr>
          </w:pPr>
          <w:hyperlink w:anchor="_Toc129961104" w:history="1">
            <w:r w:rsidR="00310317" w:rsidRPr="0042624D">
              <w:rPr>
                <w:rStyle w:val="Hyperlink"/>
                <w:noProof/>
              </w:rPr>
              <w:t>Main body</w:t>
            </w:r>
            <w:r w:rsidR="00310317" w:rsidRPr="0042624D">
              <w:rPr>
                <w:noProof/>
                <w:webHidden/>
              </w:rPr>
              <w:tab/>
            </w:r>
            <w:r w:rsidR="00093EB8" w:rsidRPr="0042624D">
              <w:rPr>
                <w:noProof/>
                <w:webHidden/>
              </w:rPr>
              <w:fldChar w:fldCharType="begin"/>
            </w:r>
            <w:r w:rsidR="00310317" w:rsidRPr="0042624D">
              <w:rPr>
                <w:noProof/>
                <w:webHidden/>
              </w:rPr>
              <w:instrText xml:space="preserve"> PAGEREF _Toc129961104 \h </w:instrText>
            </w:r>
            <w:r w:rsidR="00093EB8" w:rsidRPr="0042624D">
              <w:rPr>
                <w:noProof/>
                <w:webHidden/>
              </w:rPr>
            </w:r>
            <w:r w:rsidR="00093EB8" w:rsidRPr="0042624D">
              <w:rPr>
                <w:noProof/>
                <w:webHidden/>
              </w:rPr>
              <w:fldChar w:fldCharType="separate"/>
            </w:r>
            <w:r w:rsidR="0042624D">
              <w:rPr>
                <w:noProof/>
                <w:webHidden/>
              </w:rPr>
              <w:t>3</w:t>
            </w:r>
            <w:r w:rsidR="00093EB8" w:rsidRPr="0042624D">
              <w:rPr>
                <w:noProof/>
                <w:webHidden/>
              </w:rPr>
              <w:fldChar w:fldCharType="end"/>
            </w:r>
          </w:hyperlink>
        </w:p>
        <w:p w14:paraId="24B91465" w14:textId="77777777" w:rsidR="00310317" w:rsidRPr="0042624D" w:rsidRDefault="00000000">
          <w:pPr>
            <w:pStyle w:val="TOC2"/>
            <w:tabs>
              <w:tab w:val="right" w:leader="dot" w:pos="9350"/>
            </w:tabs>
            <w:rPr>
              <w:rFonts w:asciiTheme="minorHAnsi" w:eastAsiaTheme="minorEastAsia" w:hAnsiTheme="minorHAnsi" w:cstheme="minorBidi"/>
              <w:noProof/>
            </w:rPr>
          </w:pPr>
          <w:hyperlink w:anchor="_Toc129961105" w:history="1">
            <w:r w:rsidR="00310317" w:rsidRPr="0042624D">
              <w:rPr>
                <w:rStyle w:val="Hyperlink"/>
                <w:noProof/>
              </w:rPr>
              <w:t>Public health approaches to monitor, minimise, and control the disease</w:t>
            </w:r>
            <w:r w:rsidR="00310317" w:rsidRPr="0042624D">
              <w:rPr>
                <w:noProof/>
                <w:webHidden/>
              </w:rPr>
              <w:tab/>
            </w:r>
            <w:r w:rsidR="00093EB8" w:rsidRPr="0042624D">
              <w:rPr>
                <w:noProof/>
                <w:webHidden/>
              </w:rPr>
              <w:fldChar w:fldCharType="begin"/>
            </w:r>
            <w:r w:rsidR="00310317" w:rsidRPr="0042624D">
              <w:rPr>
                <w:noProof/>
                <w:webHidden/>
              </w:rPr>
              <w:instrText xml:space="preserve"> PAGEREF _Toc129961105 \h </w:instrText>
            </w:r>
            <w:r w:rsidR="00093EB8" w:rsidRPr="0042624D">
              <w:rPr>
                <w:noProof/>
                <w:webHidden/>
              </w:rPr>
            </w:r>
            <w:r w:rsidR="00093EB8" w:rsidRPr="0042624D">
              <w:rPr>
                <w:noProof/>
                <w:webHidden/>
              </w:rPr>
              <w:fldChar w:fldCharType="separate"/>
            </w:r>
            <w:r w:rsidR="0042624D">
              <w:rPr>
                <w:noProof/>
                <w:webHidden/>
              </w:rPr>
              <w:t>3</w:t>
            </w:r>
            <w:r w:rsidR="00093EB8" w:rsidRPr="0042624D">
              <w:rPr>
                <w:noProof/>
                <w:webHidden/>
              </w:rPr>
              <w:fldChar w:fldCharType="end"/>
            </w:r>
          </w:hyperlink>
        </w:p>
        <w:p w14:paraId="6B501C56" w14:textId="77777777" w:rsidR="00310317" w:rsidRPr="0042624D" w:rsidRDefault="00000000">
          <w:pPr>
            <w:pStyle w:val="TOC2"/>
            <w:tabs>
              <w:tab w:val="right" w:leader="dot" w:pos="9350"/>
            </w:tabs>
            <w:rPr>
              <w:rFonts w:asciiTheme="minorHAnsi" w:eastAsiaTheme="minorEastAsia" w:hAnsiTheme="minorHAnsi" w:cstheme="minorBidi"/>
              <w:noProof/>
            </w:rPr>
          </w:pPr>
          <w:hyperlink w:anchor="_Toc129961106" w:history="1">
            <w:r w:rsidR="00310317" w:rsidRPr="0042624D">
              <w:rPr>
                <w:rStyle w:val="Hyperlink"/>
                <w:noProof/>
              </w:rPr>
              <w:t>The main causes or risk factors of the chosen disease</w:t>
            </w:r>
            <w:r w:rsidR="00310317" w:rsidRPr="0042624D">
              <w:rPr>
                <w:noProof/>
                <w:webHidden/>
              </w:rPr>
              <w:tab/>
            </w:r>
            <w:r w:rsidR="00093EB8" w:rsidRPr="0042624D">
              <w:rPr>
                <w:noProof/>
                <w:webHidden/>
              </w:rPr>
              <w:fldChar w:fldCharType="begin"/>
            </w:r>
            <w:r w:rsidR="00310317" w:rsidRPr="0042624D">
              <w:rPr>
                <w:noProof/>
                <w:webHidden/>
              </w:rPr>
              <w:instrText xml:space="preserve"> PAGEREF _Toc129961106 \h </w:instrText>
            </w:r>
            <w:r w:rsidR="00093EB8" w:rsidRPr="0042624D">
              <w:rPr>
                <w:noProof/>
                <w:webHidden/>
              </w:rPr>
            </w:r>
            <w:r w:rsidR="00093EB8" w:rsidRPr="0042624D">
              <w:rPr>
                <w:noProof/>
                <w:webHidden/>
              </w:rPr>
              <w:fldChar w:fldCharType="separate"/>
            </w:r>
            <w:r w:rsidR="0042624D">
              <w:rPr>
                <w:noProof/>
                <w:webHidden/>
              </w:rPr>
              <w:t>4</w:t>
            </w:r>
            <w:r w:rsidR="00093EB8" w:rsidRPr="0042624D">
              <w:rPr>
                <w:noProof/>
                <w:webHidden/>
              </w:rPr>
              <w:fldChar w:fldCharType="end"/>
            </w:r>
          </w:hyperlink>
        </w:p>
        <w:p w14:paraId="7B5C118A" w14:textId="77777777" w:rsidR="00310317" w:rsidRPr="0042624D" w:rsidRDefault="00000000">
          <w:pPr>
            <w:pStyle w:val="TOC2"/>
            <w:tabs>
              <w:tab w:val="right" w:leader="dot" w:pos="9350"/>
            </w:tabs>
            <w:rPr>
              <w:rFonts w:asciiTheme="minorHAnsi" w:eastAsiaTheme="minorEastAsia" w:hAnsiTheme="minorHAnsi" w:cstheme="minorBidi"/>
              <w:noProof/>
            </w:rPr>
          </w:pPr>
          <w:hyperlink w:anchor="_Toc129961107" w:history="1">
            <w:r w:rsidR="00310317" w:rsidRPr="0042624D">
              <w:rPr>
                <w:rStyle w:val="Hyperlink"/>
                <w:noProof/>
              </w:rPr>
              <w:t>Short-term effects of the disease on public health</w:t>
            </w:r>
            <w:r w:rsidR="00310317" w:rsidRPr="0042624D">
              <w:rPr>
                <w:noProof/>
                <w:webHidden/>
              </w:rPr>
              <w:tab/>
            </w:r>
            <w:r w:rsidR="00093EB8" w:rsidRPr="0042624D">
              <w:rPr>
                <w:noProof/>
                <w:webHidden/>
              </w:rPr>
              <w:fldChar w:fldCharType="begin"/>
            </w:r>
            <w:r w:rsidR="00310317" w:rsidRPr="0042624D">
              <w:rPr>
                <w:noProof/>
                <w:webHidden/>
              </w:rPr>
              <w:instrText xml:space="preserve"> PAGEREF _Toc129961107 \h </w:instrText>
            </w:r>
            <w:r w:rsidR="00093EB8" w:rsidRPr="0042624D">
              <w:rPr>
                <w:noProof/>
                <w:webHidden/>
              </w:rPr>
            </w:r>
            <w:r w:rsidR="00093EB8" w:rsidRPr="0042624D">
              <w:rPr>
                <w:noProof/>
                <w:webHidden/>
              </w:rPr>
              <w:fldChar w:fldCharType="separate"/>
            </w:r>
            <w:r w:rsidR="0042624D">
              <w:rPr>
                <w:noProof/>
                <w:webHidden/>
              </w:rPr>
              <w:t>5</w:t>
            </w:r>
            <w:r w:rsidR="00093EB8" w:rsidRPr="0042624D">
              <w:rPr>
                <w:noProof/>
                <w:webHidden/>
              </w:rPr>
              <w:fldChar w:fldCharType="end"/>
            </w:r>
          </w:hyperlink>
        </w:p>
        <w:p w14:paraId="1619D68B" w14:textId="77777777" w:rsidR="00310317" w:rsidRPr="0042624D" w:rsidRDefault="00000000">
          <w:pPr>
            <w:pStyle w:val="TOC2"/>
            <w:tabs>
              <w:tab w:val="right" w:leader="dot" w:pos="9350"/>
            </w:tabs>
            <w:rPr>
              <w:rFonts w:asciiTheme="minorHAnsi" w:eastAsiaTheme="minorEastAsia" w:hAnsiTheme="minorHAnsi" w:cstheme="minorBidi"/>
              <w:noProof/>
            </w:rPr>
          </w:pPr>
          <w:hyperlink w:anchor="_Toc129961108" w:history="1">
            <w:r w:rsidR="00310317" w:rsidRPr="0042624D">
              <w:rPr>
                <w:rStyle w:val="Hyperlink"/>
                <w:noProof/>
              </w:rPr>
              <w:t>Long-term effects of the disease on public health</w:t>
            </w:r>
            <w:r w:rsidR="00310317" w:rsidRPr="0042624D">
              <w:rPr>
                <w:noProof/>
                <w:webHidden/>
              </w:rPr>
              <w:tab/>
            </w:r>
            <w:r w:rsidR="00093EB8" w:rsidRPr="0042624D">
              <w:rPr>
                <w:noProof/>
                <w:webHidden/>
              </w:rPr>
              <w:fldChar w:fldCharType="begin"/>
            </w:r>
            <w:r w:rsidR="00310317" w:rsidRPr="0042624D">
              <w:rPr>
                <w:noProof/>
                <w:webHidden/>
              </w:rPr>
              <w:instrText xml:space="preserve"> PAGEREF _Toc129961108 \h </w:instrText>
            </w:r>
            <w:r w:rsidR="00093EB8" w:rsidRPr="0042624D">
              <w:rPr>
                <w:noProof/>
                <w:webHidden/>
              </w:rPr>
            </w:r>
            <w:r w:rsidR="00093EB8" w:rsidRPr="0042624D">
              <w:rPr>
                <w:noProof/>
                <w:webHidden/>
              </w:rPr>
              <w:fldChar w:fldCharType="separate"/>
            </w:r>
            <w:r w:rsidR="0042624D">
              <w:rPr>
                <w:noProof/>
                <w:webHidden/>
              </w:rPr>
              <w:t>6</w:t>
            </w:r>
            <w:r w:rsidR="00093EB8" w:rsidRPr="0042624D">
              <w:rPr>
                <w:noProof/>
                <w:webHidden/>
              </w:rPr>
              <w:fldChar w:fldCharType="end"/>
            </w:r>
          </w:hyperlink>
        </w:p>
        <w:p w14:paraId="78484C43" w14:textId="77777777" w:rsidR="00310317" w:rsidRPr="0042624D" w:rsidRDefault="00000000">
          <w:pPr>
            <w:pStyle w:val="TOC2"/>
            <w:tabs>
              <w:tab w:val="right" w:leader="dot" w:pos="9350"/>
            </w:tabs>
            <w:rPr>
              <w:rFonts w:asciiTheme="minorHAnsi" w:eastAsiaTheme="minorEastAsia" w:hAnsiTheme="minorHAnsi" w:cstheme="minorBidi"/>
              <w:noProof/>
            </w:rPr>
          </w:pPr>
          <w:hyperlink w:anchor="_Toc129961109" w:history="1">
            <w:r w:rsidR="00310317" w:rsidRPr="0042624D">
              <w:rPr>
                <w:rStyle w:val="Hyperlink"/>
                <w:noProof/>
              </w:rPr>
              <w:t>Factors that affect well-being and health of people with the chosen disease</w:t>
            </w:r>
            <w:r w:rsidR="00310317" w:rsidRPr="0042624D">
              <w:rPr>
                <w:noProof/>
                <w:webHidden/>
              </w:rPr>
              <w:tab/>
            </w:r>
            <w:r w:rsidR="00093EB8" w:rsidRPr="0042624D">
              <w:rPr>
                <w:noProof/>
                <w:webHidden/>
              </w:rPr>
              <w:fldChar w:fldCharType="begin"/>
            </w:r>
            <w:r w:rsidR="00310317" w:rsidRPr="0042624D">
              <w:rPr>
                <w:noProof/>
                <w:webHidden/>
              </w:rPr>
              <w:instrText xml:space="preserve"> PAGEREF _Toc129961109 \h </w:instrText>
            </w:r>
            <w:r w:rsidR="00093EB8" w:rsidRPr="0042624D">
              <w:rPr>
                <w:noProof/>
                <w:webHidden/>
              </w:rPr>
            </w:r>
            <w:r w:rsidR="00093EB8" w:rsidRPr="0042624D">
              <w:rPr>
                <w:noProof/>
                <w:webHidden/>
              </w:rPr>
              <w:fldChar w:fldCharType="separate"/>
            </w:r>
            <w:r w:rsidR="0042624D">
              <w:rPr>
                <w:noProof/>
                <w:webHidden/>
              </w:rPr>
              <w:t>6</w:t>
            </w:r>
            <w:r w:rsidR="00093EB8" w:rsidRPr="0042624D">
              <w:rPr>
                <w:noProof/>
                <w:webHidden/>
              </w:rPr>
              <w:fldChar w:fldCharType="end"/>
            </w:r>
          </w:hyperlink>
        </w:p>
        <w:p w14:paraId="08A2A845" w14:textId="77777777" w:rsidR="00310317" w:rsidRPr="0042624D" w:rsidRDefault="00000000">
          <w:pPr>
            <w:pStyle w:val="TOC1"/>
            <w:tabs>
              <w:tab w:val="right" w:leader="dot" w:pos="9350"/>
            </w:tabs>
            <w:rPr>
              <w:rFonts w:asciiTheme="minorHAnsi" w:eastAsiaTheme="minorEastAsia" w:hAnsiTheme="minorHAnsi" w:cstheme="minorBidi"/>
              <w:noProof/>
            </w:rPr>
          </w:pPr>
          <w:hyperlink w:anchor="_Toc129961110" w:history="1">
            <w:r w:rsidR="00310317" w:rsidRPr="0042624D">
              <w:rPr>
                <w:rStyle w:val="Hyperlink"/>
                <w:noProof/>
              </w:rPr>
              <w:t>Conclusion</w:t>
            </w:r>
            <w:r w:rsidR="00310317" w:rsidRPr="0042624D">
              <w:rPr>
                <w:noProof/>
                <w:webHidden/>
              </w:rPr>
              <w:tab/>
            </w:r>
            <w:r w:rsidR="00093EB8" w:rsidRPr="0042624D">
              <w:rPr>
                <w:noProof/>
                <w:webHidden/>
              </w:rPr>
              <w:fldChar w:fldCharType="begin"/>
            </w:r>
            <w:r w:rsidR="00310317" w:rsidRPr="0042624D">
              <w:rPr>
                <w:noProof/>
                <w:webHidden/>
              </w:rPr>
              <w:instrText xml:space="preserve"> PAGEREF _Toc129961110 \h </w:instrText>
            </w:r>
            <w:r w:rsidR="00093EB8" w:rsidRPr="0042624D">
              <w:rPr>
                <w:noProof/>
                <w:webHidden/>
              </w:rPr>
            </w:r>
            <w:r w:rsidR="00093EB8" w:rsidRPr="0042624D">
              <w:rPr>
                <w:noProof/>
                <w:webHidden/>
              </w:rPr>
              <w:fldChar w:fldCharType="separate"/>
            </w:r>
            <w:r w:rsidR="0042624D">
              <w:rPr>
                <w:noProof/>
                <w:webHidden/>
              </w:rPr>
              <w:t>7</w:t>
            </w:r>
            <w:r w:rsidR="00093EB8" w:rsidRPr="0042624D">
              <w:rPr>
                <w:noProof/>
                <w:webHidden/>
              </w:rPr>
              <w:fldChar w:fldCharType="end"/>
            </w:r>
          </w:hyperlink>
        </w:p>
        <w:p w14:paraId="631E1157" w14:textId="77777777" w:rsidR="00310317" w:rsidRPr="0042624D" w:rsidRDefault="00000000">
          <w:pPr>
            <w:pStyle w:val="TOC1"/>
            <w:tabs>
              <w:tab w:val="right" w:leader="dot" w:pos="9350"/>
            </w:tabs>
            <w:rPr>
              <w:rFonts w:asciiTheme="minorHAnsi" w:eastAsiaTheme="minorEastAsia" w:hAnsiTheme="minorHAnsi" w:cstheme="minorBidi"/>
              <w:noProof/>
            </w:rPr>
          </w:pPr>
          <w:hyperlink w:anchor="_Toc129961111" w:history="1">
            <w:r w:rsidR="00310317" w:rsidRPr="0042624D">
              <w:rPr>
                <w:rStyle w:val="Hyperlink"/>
                <w:noProof/>
              </w:rPr>
              <w:t>References</w:t>
            </w:r>
            <w:r w:rsidR="00310317" w:rsidRPr="0042624D">
              <w:rPr>
                <w:noProof/>
                <w:webHidden/>
              </w:rPr>
              <w:tab/>
            </w:r>
            <w:r w:rsidR="00093EB8" w:rsidRPr="0042624D">
              <w:rPr>
                <w:noProof/>
                <w:webHidden/>
              </w:rPr>
              <w:fldChar w:fldCharType="begin"/>
            </w:r>
            <w:r w:rsidR="00310317" w:rsidRPr="0042624D">
              <w:rPr>
                <w:noProof/>
                <w:webHidden/>
              </w:rPr>
              <w:instrText xml:space="preserve"> PAGEREF _Toc129961111 \h </w:instrText>
            </w:r>
            <w:r w:rsidR="00093EB8" w:rsidRPr="0042624D">
              <w:rPr>
                <w:noProof/>
                <w:webHidden/>
              </w:rPr>
            </w:r>
            <w:r w:rsidR="00093EB8" w:rsidRPr="0042624D">
              <w:rPr>
                <w:noProof/>
                <w:webHidden/>
              </w:rPr>
              <w:fldChar w:fldCharType="separate"/>
            </w:r>
            <w:r w:rsidR="0042624D">
              <w:rPr>
                <w:noProof/>
                <w:webHidden/>
              </w:rPr>
              <w:t>8</w:t>
            </w:r>
            <w:r w:rsidR="00093EB8" w:rsidRPr="0042624D">
              <w:rPr>
                <w:noProof/>
                <w:webHidden/>
              </w:rPr>
              <w:fldChar w:fldCharType="end"/>
            </w:r>
          </w:hyperlink>
        </w:p>
        <w:p w14:paraId="138C323D" w14:textId="77777777" w:rsidR="00821F93" w:rsidRPr="0042624D" w:rsidRDefault="00093EB8">
          <w:r w:rsidRPr="0042624D">
            <w:rPr>
              <w:b/>
              <w:bCs/>
              <w:noProof/>
            </w:rPr>
            <w:fldChar w:fldCharType="end"/>
          </w:r>
        </w:p>
      </w:sdtContent>
    </w:sdt>
    <w:p w14:paraId="04701CC4" w14:textId="77777777" w:rsidR="00F55435" w:rsidRPr="0042624D" w:rsidRDefault="00791884">
      <w:pPr>
        <w:rPr>
          <w:b/>
          <w:sz w:val="36"/>
          <w:szCs w:val="36"/>
        </w:rPr>
      </w:pPr>
      <w:r w:rsidRPr="0042624D">
        <w:br w:type="page"/>
      </w:r>
    </w:p>
    <w:p w14:paraId="5C0C2D12" w14:textId="77777777" w:rsidR="00F55435" w:rsidRPr="0042624D" w:rsidRDefault="00791884">
      <w:pPr>
        <w:pStyle w:val="Heading1"/>
      </w:pPr>
      <w:bookmarkStart w:id="0" w:name="_fu307fdv0y94" w:colFirst="0" w:colLast="0"/>
      <w:bookmarkStart w:id="1" w:name="_Toc129961103"/>
      <w:bookmarkEnd w:id="0"/>
      <w:r w:rsidRPr="0042624D">
        <w:lastRenderedPageBreak/>
        <w:t>Introduction</w:t>
      </w:r>
      <w:bookmarkEnd w:id="1"/>
    </w:p>
    <w:p w14:paraId="5A29E946" w14:textId="77777777" w:rsidR="00F55435" w:rsidRPr="0042624D" w:rsidRDefault="00791884" w:rsidP="00F434FC">
      <w:pPr>
        <w:jc w:val="left"/>
      </w:pPr>
      <w:r w:rsidRPr="0042624D">
        <w:t>An inability to properly use insulin or make enough use of it characterises</w:t>
      </w:r>
      <w:r w:rsidRPr="0042624D">
        <w:rPr>
          <w:b/>
        </w:rPr>
        <w:t xml:space="preserve"> Type 2 diabetes</w:t>
      </w:r>
      <w:r w:rsidRPr="0042624D">
        <w:t xml:space="preserve">, which is a chronic, </w:t>
      </w:r>
      <w:r w:rsidRPr="0042624D">
        <w:rPr>
          <w:b/>
        </w:rPr>
        <w:t>non-infectious disease</w:t>
      </w:r>
      <w:r w:rsidRPr="0042624D">
        <w:t xml:space="preserve">. High blood sugar levels, which are the result of insulin malfunction, can have serious long-term consequences. Insulin is a hormone generated by the pancreas that controls blood sugar levels. Obesity, sedentary behaviour, and poor eating habits are all risk factors for developing type 2 diabetes. </w:t>
      </w:r>
      <w:r w:rsidR="00D2198E" w:rsidRPr="0042624D">
        <w:t xml:space="preserve">This disease has recently become very common </w:t>
      </w:r>
      <w:r w:rsidRPr="0042624D">
        <w:t>across the world (</w:t>
      </w:r>
      <w:r w:rsidRPr="0042624D">
        <w:rPr>
          <w:color w:val="222222"/>
          <w:highlight w:val="white"/>
        </w:rPr>
        <w:t>Schneider, 2020)</w:t>
      </w:r>
      <w:r w:rsidRPr="0042624D">
        <w:t>. In 2021, type 2 diabetes accounted for roughly 90 to 95% of all cases of diabetes in adults of age 20 to 75 (</w:t>
      </w:r>
      <w:r w:rsidRPr="0042624D">
        <w:rPr>
          <w:color w:val="222222"/>
          <w:highlight w:val="white"/>
        </w:rPr>
        <w:t xml:space="preserve">Sharma and </w:t>
      </w:r>
      <w:proofErr w:type="spellStart"/>
      <w:r w:rsidRPr="0042624D">
        <w:rPr>
          <w:color w:val="222222"/>
          <w:highlight w:val="white"/>
        </w:rPr>
        <w:t>Branscum</w:t>
      </w:r>
      <w:proofErr w:type="spellEnd"/>
      <w:r w:rsidRPr="0042624D">
        <w:rPr>
          <w:color w:val="222222"/>
          <w:highlight w:val="white"/>
        </w:rPr>
        <w:t>, 2020)</w:t>
      </w:r>
      <w:r w:rsidRPr="0042624D">
        <w:t>. By 2030, this figure is expected to rise to an astounding 640 million (</w:t>
      </w:r>
      <w:r w:rsidRPr="0042624D">
        <w:rPr>
          <w:color w:val="222222"/>
          <w:highlight w:val="white"/>
        </w:rPr>
        <w:t>Porter, 2020)</w:t>
      </w:r>
      <w:r w:rsidR="00D2198E" w:rsidRPr="0042624D">
        <w:t xml:space="preserve">. </w:t>
      </w:r>
      <w:r w:rsidRPr="0042624D">
        <w:t>There were predicted to be 4.87 million diabetics in the UK in 2021, with over 90% of them having type 2 diabetes (</w:t>
      </w:r>
      <w:r w:rsidRPr="0042624D">
        <w:rPr>
          <w:color w:val="222222"/>
          <w:highlight w:val="white"/>
        </w:rPr>
        <w:t xml:space="preserve">Barron </w:t>
      </w:r>
      <w:r w:rsidRPr="0042624D">
        <w:rPr>
          <w:i/>
          <w:color w:val="222222"/>
          <w:highlight w:val="white"/>
        </w:rPr>
        <w:t xml:space="preserve">et al., </w:t>
      </w:r>
      <w:r w:rsidRPr="0042624D">
        <w:rPr>
          <w:color w:val="222222"/>
          <w:highlight w:val="white"/>
        </w:rPr>
        <w:t>2020)</w:t>
      </w:r>
      <w:r w:rsidRPr="0042624D">
        <w:t xml:space="preserve">. The rising prevalence of this health problem places a heavy strain on healthcare institutions, individuals, and </w:t>
      </w:r>
      <w:proofErr w:type="gramStart"/>
      <w:r w:rsidRPr="0042624D">
        <w:t>society as a whole</w:t>
      </w:r>
      <w:proofErr w:type="gramEnd"/>
      <w:r w:rsidRPr="0042624D">
        <w:t>.</w:t>
      </w:r>
    </w:p>
    <w:p w14:paraId="14E70530" w14:textId="77777777" w:rsidR="00F55435" w:rsidRPr="0042624D" w:rsidRDefault="00791884">
      <w:pPr>
        <w:pStyle w:val="Heading1"/>
      </w:pPr>
      <w:bookmarkStart w:id="2" w:name="_mv3p3bei6sav" w:colFirst="0" w:colLast="0"/>
      <w:bookmarkStart w:id="3" w:name="_Toc129961104"/>
      <w:bookmarkEnd w:id="2"/>
      <w:r w:rsidRPr="0042624D">
        <w:t>Main body</w:t>
      </w:r>
      <w:bookmarkEnd w:id="3"/>
    </w:p>
    <w:p w14:paraId="7DBEC558" w14:textId="77777777" w:rsidR="006E4A0D" w:rsidRPr="0042624D" w:rsidRDefault="006E4A0D" w:rsidP="006E4A0D">
      <w:pPr>
        <w:pStyle w:val="Heading2"/>
      </w:pPr>
      <w:bookmarkStart w:id="4" w:name="_rwiw2h2d38kb" w:colFirst="0" w:colLast="0"/>
      <w:bookmarkStart w:id="5" w:name="_Toc129961105"/>
      <w:bookmarkEnd w:id="4"/>
      <w:r w:rsidRPr="0042624D">
        <w:t xml:space="preserve">Public health approaches to monitor, minimise, and control the </w:t>
      </w:r>
      <w:proofErr w:type="gramStart"/>
      <w:r w:rsidRPr="0042624D">
        <w:t>disease</w:t>
      </w:r>
      <w:bookmarkEnd w:id="5"/>
      <w:proofErr w:type="gramEnd"/>
    </w:p>
    <w:p w14:paraId="1AA5C90B" w14:textId="77777777" w:rsidR="00F55435" w:rsidRPr="0042624D" w:rsidRDefault="00791884" w:rsidP="00F434FC">
      <w:r w:rsidRPr="0042624D">
        <w:t>Reducing the frequency and severity of type 2 diabetes requires a multifaceted approach that emphasises prevention, early diagnosis, and effective treatment. Effective public health initiatives include changing one's personal behaviour, implementing and enforcing governmental norms, and introducing healthcare innovations. People will be better able to estimate their personal risk for developing type 2 diabetes if they are informed about the disease's origins, symptoms, and consequences (</w:t>
      </w:r>
      <w:r w:rsidRPr="0042624D">
        <w:rPr>
          <w:color w:val="222222"/>
          <w:highlight w:val="white"/>
        </w:rPr>
        <w:t xml:space="preserve">Lawler </w:t>
      </w:r>
      <w:r w:rsidRPr="0042624D">
        <w:rPr>
          <w:i/>
          <w:color w:val="222222"/>
          <w:highlight w:val="white"/>
        </w:rPr>
        <w:t xml:space="preserve">et al., </w:t>
      </w:r>
      <w:r w:rsidRPr="0042624D">
        <w:rPr>
          <w:color w:val="222222"/>
          <w:highlight w:val="white"/>
        </w:rPr>
        <w:t>2019)</w:t>
      </w:r>
      <w:r w:rsidRPr="0042624D">
        <w:t xml:space="preserve">. </w:t>
      </w:r>
      <w:r w:rsidR="00D2198E" w:rsidRPr="0042624D">
        <w:t xml:space="preserve">Several physical activity and diet improvement </w:t>
      </w:r>
      <w:r w:rsidR="00DB0649" w:rsidRPr="0042624D">
        <w:t>and weight control are key to manage and prevent</w:t>
      </w:r>
      <w:r w:rsidRPr="0042624D">
        <w:t xml:space="preserve"> type 2 diabetes.</w:t>
      </w:r>
      <w:r w:rsidRPr="0042624D">
        <w:rPr>
          <w:b/>
        </w:rPr>
        <w:t xml:space="preserve"> Public health programmes and measures</w:t>
      </w:r>
      <w:r w:rsidRPr="0042624D">
        <w:t xml:space="preserve"> may help fund and support </w:t>
      </w:r>
      <w:proofErr w:type="gramStart"/>
      <w:r w:rsidRPr="0042624D">
        <w:t>locally-led</w:t>
      </w:r>
      <w:proofErr w:type="gramEnd"/>
      <w:r w:rsidRPr="0042624D">
        <w:t xml:space="preserve"> efforts to increase physical activity, such as the creation of fitness centres, and sports hubs. It is important to educate medical professionals on how to spot the first signs of the condition, and public health campaigns can encourage individuals to be checked </w:t>
      </w:r>
      <w:r w:rsidR="00821F93" w:rsidRPr="0042624D">
        <w:t>out (</w:t>
      </w:r>
      <w:r w:rsidRPr="0042624D">
        <w:rPr>
          <w:color w:val="222222"/>
          <w:highlight w:val="white"/>
        </w:rPr>
        <w:t xml:space="preserve">Barron </w:t>
      </w:r>
      <w:r w:rsidRPr="0042624D">
        <w:rPr>
          <w:i/>
          <w:color w:val="222222"/>
          <w:highlight w:val="white"/>
        </w:rPr>
        <w:t xml:space="preserve">et al., </w:t>
      </w:r>
      <w:r w:rsidRPr="0042624D">
        <w:rPr>
          <w:color w:val="222222"/>
          <w:highlight w:val="white"/>
        </w:rPr>
        <w:t>2020)</w:t>
      </w:r>
      <w:r w:rsidRPr="0042624D">
        <w:t>. If the government and healthcare providers collaborate it can lead to improved access to medication, monitoring technologies, and self-management education at reduced costs.</w:t>
      </w:r>
    </w:p>
    <w:p w14:paraId="651E5913" w14:textId="77777777" w:rsidR="00F55435" w:rsidRPr="0042624D" w:rsidRDefault="00791884" w:rsidP="00F434FC">
      <w:r w:rsidRPr="0042624D">
        <w:rPr>
          <w:b/>
        </w:rPr>
        <w:t>Prevention, protection, and promotion</w:t>
      </w:r>
      <w:r w:rsidRPr="0042624D">
        <w:t xml:space="preserve"> ("3Ps") are the cornerstones of public health and offer a holistic framework for addressing the causes and contributors to Type 2 diabetes (</w:t>
      </w:r>
      <w:proofErr w:type="spellStart"/>
      <w:r w:rsidRPr="0042624D">
        <w:rPr>
          <w:color w:val="222222"/>
          <w:highlight w:val="white"/>
        </w:rPr>
        <w:t>Seidu</w:t>
      </w:r>
      <w:r w:rsidRPr="0042624D">
        <w:rPr>
          <w:i/>
          <w:color w:val="222222"/>
          <w:highlight w:val="white"/>
        </w:rPr>
        <w:t>et</w:t>
      </w:r>
      <w:proofErr w:type="spellEnd"/>
      <w:r w:rsidRPr="0042624D">
        <w:rPr>
          <w:i/>
          <w:color w:val="222222"/>
          <w:highlight w:val="white"/>
        </w:rPr>
        <w:t xml:space="preserve"> al., </w:t>
      </w:r>
      <w:r w:rsidRPr="0042624D">
        <w:rPr>
          <w:color w:val="222222"/>
          <w:highlight w:val="white"/>
        </w:rPr>
        <w:t xml:space="preserve">2022). </w:t>
      </w:r>
      <w:r w:rsidRPr="0042624D">
        <w:t>Integrating the 3Ps allows public health professionals to more precisely address the many facets of type 2 diabetes care and prevention. Taking</w:t>
      </w:r>
      <w:r w:rsidRPr="0042624D">
        <w:rPr>
          <w:b/>
        </w:rPr>
        <w:t xml:space="preserve"> prevention </w:t>
      </w:r>
      <w:r w:rsidRPr="0042624D">
        <w:t xml:space="preserve">for type 2 diabetes entails lowering the prevalence of the disease by addressing its modifiable risk factors. Health education programmes are a part of the attempt to prevent health problems by spreading knowledge about </w:t>
      </w:r>
      <w:r w:rsidRPr="0042624D">
        <w:lastRenderedPageBreak/>
        <w:t>the value of maintaining a healthy weight, eating right, and exercising regularly (</w:t>
      </w:r>
      <w:r w:rsidRPr="0042624D">
        <w:rPr>
          <w:color w:val="222222"/>
          <w:highlight w:val="white"/>
        </w:rPr>
        <w:t xml:space="preserve">Hartmann-Boyce </w:t>
      </w:r>
      <w:r w:rsidRPr="0042624D">
        <w:rPr>
          <w:i/>
          <w:color w:val="222222"/>
          <w:highlight w:val="white"/>
        </w:rPr>
        <w:t xml:space="preserve">et al., </w:t>
      </w:r>
      <w:r w:rsidRPr="0042624D">
        <w:rPr>
          <w:color w:val="222222"/>
          <w:highlight w:val="white"/>
        </w:rPr>
        <w:t>2020)</w:t>
      </w:r>
      <w:r w:rsidRPr="0042624D">
        <w:t xml:space="preserve">. As a part of the </w:t>
      </w:r>
      <w:r w:rsidRPr="0042624D">
        <w:rPr>
          <w:b/>
        </w:rPr>
        <w:t>protection</w:t>
      </w:r>
      <w:r w:rsidRPr="0042624D">
        <w:t xml:space="preserve"> plan, patients with type 2 diabetes need to have ready access to healthcare services such as frequent monitoring, medical treatment, and self-management assistance as part of any prevention strategy. Health </w:t>
      </w:r>
      <w:r w:rsidRPr="0042624D">
        <w:rPr>
          <w:b/>
        </w:rPr>
        <w:t>promotion</w:t>
      </w:r>
      <w:r w:rsidRPr="0042624D">
        <w:t xml:space="preserve"> is the branch of public health that works to facilitate the adoption of positive lifestyle choices by establishing enabling </w:t>
      </w:r>
      <w:r w:rsidR="00821F93" w:rsidRPr="0042624D">
        <w:t>conditions (</w:t>
      </w:r>
      <w:r w:rsidRPr="0042624D">
        <w:rPr>
          <w:color w:val="222222"/>
          <w:highlight w:val="white"/>
        </w:rPr>
        <w:t xml:space="preserve">Xin </w:t>
      </w:r>
      <w:r w:rsidRPr="0042624D">
        <w:rPr>
          <w:i/>
          <w:color w:val="222222"/>
          <w:highlight w:val="white"/>
        </w:rPr>
        <w:t xml:space="preserve">et al., </w:t>
      </w:r>
      <w:r w:rsidRPr="0042624D">
        <w:rPr>
          <w:color w:val="222222"/>
          <w:highlight w:val="white"/>
        </w:rPr>
        <w:t>2020)</w:t>
      </w:r>
      <w:r w:rsidRPr="0042624D">
        <w:t xml:space="preserve">. Methods of raising awareness of type 2 diabetes lobbying for laws that promote healthy eating conditions, such as expanding students' access to low-cost, wholesome meal alternatives at </w:t>
      </w:r>
      <w:proofErr w:type="gramStart"/>
      <w:r w:rsidRPr="0042624D">
        <w:t>school</w:t>
      </w:r>
      <w:proofErr w:type="gramEnd"/>
    </w:p>
    <w:p w14:paraId="584C22F0" w14:textId="77777777" w:rsidR="00F55435" w:rsidRPr="0042624D" w:rsidRDefault="00791884" w:rsidP="00F434FC">
      <w:r w:rsidRPr="0042624D">
        <w:t>Numerous public health efforts aimed at reducing type 2 diabetes prevalence often receive official backing through legislative measures. The International Diabetes Federation (IDF) was established to tackle the widespread diabetes epidemic. As a non-governmental organisation, the IDF strives to improve diabetes care, prevention, and research by disseminating accurate information,</w:t>
      </w:r>
      <w:r w:rsidR="0042624D">
        <w:t xml:space="preserve"> </w:t>
      </w:r>
      <w:r w:rsidRPr="0042624D">
        <w:t xml:space="preserve">advocating for impactful policies, and educating the public and healthcare professionals (IDF, 2023). Addressing the type 2 diabetes epidemic necessitates a collaborative approach involving governments, medical professionals, NGOs, the private sector, and </w:t>
      </w:r>
      <w:r w:rsidR="00821F93" w:rsidRPr="0042624D">
        <w:t>communities (</w:t>
      </w:r>
      <w:r w:rsidRPr="0042624D">
        <w:rPr>
          <w:color w:val="222222"/>
          <w:highlight w:val="white"/>
        </w:rPr>
        <w:t xml:space="preserve">Xin </w:t>
      </w:r>
      <w:r w:rsidRPr="0042624D">
        <w:rPr>
          <w:i/>
          <w:color w:val="222222"/>
          <w:highlight w:val="white"/>
        </w:rPr>
        <w:t xml:space="preserve">et al., </w:t>
      </w:r>
      <w:r w:rsidRPr="0042624D">
        <w:rPr>
          <w:color w:val="222222"/>
          <w:highlight w:val="white"/>
        </w:rPr>
        <w:t>2020)</w:t>
      </w:r>
      <w:r w:rsidRPr="0042624D">
        <w:t>. The most effective method for combatting the type 2 diabetes epidemic is through united efforts, where diverse stakeholders of several healthcare sectors exchange ideas, pool resources, and devise all-encompassing strategies to eliminate the disease.</w:t>
      </w:r>
    </w:p>
    <w:p w14:paraId="7BE546BF" w14:textId="77777777" w:rsidR="006E4A0D" w:rsidRPr="0042624D" w:rsidRDefault="006E4A0D" w:rsidP="006E4A0D">
      <w:pPr>
        <w:pStyle w:val="Heading2"/>
      </w:pPr>
      <w:bookmarkStart w:id="6" w:name="_8mr5f6qrwly1" w:colFirst="0" w:colLast="0"/>
      <w:bookmarkStart w:id="7" w:name="_Toc129961106"/>
      <w:bookmarkEnd w:id="6"/>
      <w:r w:rsidRPr="0042624D">
        <w:t>The main causes or risk factors of the chosen disease</w:t>
      </w:r>
      <w:bookmarkEnd w:id="7"/>
    </w:p>
    <w:p w14:paraId="25D80D5E" w14:textId="77777777" w:rsidR="00F55435" w:rsidRPr="0042624D" w:rsidRDefault="00791884">
      <w:r w:rsidRPr="0042624D">
        <w:t>High blood sugar levels caused by poor insulin action, insulin resistance or insufficient insulin synthesis by the pancreas define type 2 diabetes mellitus, a complicated metabolic condition. Heart disease, renal failure, nerve damage, vision loss, and infectious complications are only some of the long-term effects of this disorder. The development of efficient preventive and management strategies for type 2 diabetes requires an understanding of the major drivers and risk factors linked with the disease. An increased chance of acquiring type 2 diabetes is associated with having a parent or sibling who also has the disease (</w:t>
      </w:r>
      <w:proofErr w:type="spellStart"/>
      <w:r w:rsidRPr="0042624D">
        <w:rPr>
          <w:color w:val="222222"/>
          <w:highlight w:val="white"/>
        </w:rPr>
        <w:t>Bilous</w:t>
      </w:r>
      <w:proofErr w:type="spellEnd"/>
      <w:r w:rsidR="0042624D">
        <w:rPr>
          <w:color w:val="222222"/>
          <w:highlight w:val="white"/>
        </w:rPr>
        <w:t xml:space="preserve"> </w:t>
      </w:r>
      <w:r w:rsidRPr="0042624D">
        <w:rPr>
          <w:i/>
          <w:color w:val="222222"/>
          <w:highlight w:val="white"/>
        </w:rPr>
        <w:t xml:space="preserve">et al., </w:t>
      </w:r>
      <w:r w:rsidRPr="0042624D">
        <w:rPr>
          <w:color w:val="222222"/>
          <w:highlight w:val="white"/>
        </w:rPr>
        <w:t>2021)</w:t>
      </w:r>
      <w:r w:rsidRPr="0042624D">
        <w:t>. The onset of type 2 diabetes</w:t>
      </w:r>
      <w:r w:rsidR="001732A8" w:rsidRPr="0042624D">
        <w:t xml:space="preserve"> is effectively associated with </w:t>
      </w:r>
      <w:r w:rsidRPr="0042624D">
        <w:t>genetic abnormalities and variants. Saturated and trans fatty acids, refined carbs, and added sugars all have a role in insulin resistance, which in turn increases the risk of type 2 diabetes (</w:t>
      </w:r>
      <w:r w:rsidRPr="0042624D">
        <w:rPr>
          <w:color w:val="222222"/>
          <w:highlight w:val="white"/>
        </w:rPr>
        <w:t xml:space="preserve">Xin </w:t>
      </w:r>
      <w:r w:rsidRPr="0042624D">
        <w:rPr>
          <w:i/>
          <w:color w:val="222222"/>
          <w:highlight w:val="white"/>
        </w:rPr>
        <w:t xml:space="preserve">et al., </w:t>
      </w:r>
      <w:r w:rsidRPr="0042624D">
        <w:rPr>
          <w:color w:val="222222"/>
          <w:highlight w:val="white"/>
        </w:rPr>
        <w:t>2020)</w:t>
      </w:r>
      <w:r w:rsidRPr="0042624D">
        <w:t xml:space="preserve">. </w:t>
      </w:r>
    </w:p>
    <w:p w14:paraId="6C858BEA" w14:textId="77777777" w:rsidR="00F55435" w:rsidRPr="0042624D" w:rsidRDefault="00791884">
      <w:r w:rsidRPr="0042624D">
        <w:t>The chance of the illness occurring in their progeny may also be elevated. Complications of type 2 diabetes, such as heart and renal disease, can</w:t>
      </w:r>
      <w:r w:rsidR="00EF7B6D" w:rsidRPr="0042624D">
        <w:t xml:space="preserve"> be made worse by hypertension </w:t>
      </w:r>
      <w:r w:rsidRPr="0042624D">
        <w:t>(</w:t>
      </w:r>
      <w:r w:rsidRPr="0042624D">
        <w:rPr>
          <w:color w:val="222222"/>
          <w:highlight w:val="white"/>
        </w:rPr>
        <w:t>Sarma</w:t>
      </w:r>
      <w:r w:rsidR="0042624D">
        <w:rPr>
          <w:color w:val="222222"/>
          <w:highlight w:val="white"/>
        </w:rPr>
        <w:t xml:space="preserve"> </w:t>
      </w:r>
      <w:r w:rsidRPr="0042624D">
        <w:rPr>
          <w:i/>
          <w:color w:val="222222"/>
          <w:highlight w:val="white"/>
        </w:rPr>
        <w:t xml:space="preserve">et al., </w:t>
      </w:r>
      <w:r w:rsidRPr="0042624D">
        <w:rPr>
          <w:color w:val="222222"/>
          <w:highlight w:val="white"/>
        </w:rPr>
        <w:t>2022</w:t>
      </w:r>
      <w:proofErr w:type="gramStart"/>
      <w:r w:rsidRPr="0042624D">
        <w:rPr>
          <w:color w:val="222222"/>
          <w:highlight w:val="white"/>
        </w:rPr>
        <w:t>)</w:t>
      </w:r>
      <w:r w:rsidRPr="0042624D">
        <w:t>.Moreover</w:t>
      </w:r>
      <w:proofErr w:type="gramEnd"/>
      <w:r w:rsidRPr="0042624D">
        <w:t>, governments might allocate resources for research and development to enhance the comprehension of diabetes and expedite the creation of more efficient treatments.</w:t>
      </w:r>
    </w:p>
    <w:p w14:paraId="5A5575C2" w14:textId="77777777" w:rsidR="006E4A0D" w:rsidRPr="0042624D" w:rsidRDefault="006E4A0D" w:rsidP="006E4A0D">
      <w:pPr>
        <w:pStyle w:val="Heading2"/>
      </w:pPr>
      <w:bookmarkStart w:id="8" w:name="_m4eblxhz4tw1" w:colFirst="0" w:colLast="0"/>
      <w:bookmarkStart w:id="9" w:name="_Toc129961107"/>
      <w:bookmarkEnd w:id="8"/>
      <w:r w:rsidRPr="0042624D">
        <w:lastRenderedPageBreak/>
        <w:t>Short-term effects of the disease on public health</w:t>
      </w:r>
      <w:bookmarkEnd w:id="9"/>
    </w:p>
    <w:p w14:paraId="1B938718" w14:textId="77777777" w:rsidR="00F55435" w:rsidRPr="0042624D" w:rsidRDefault="00791884">
      <w:r w:rsidRPr="0042624D">
        <w:t>The immediate public health implications of type 2 diabetes in health or social care environments are substantial, affecting both patients and healthcare practitioners. Diagnosing and initially managing type 2 diabetes necessitates an array of healthcare services, including consultations with primary care doctors, endocrinologists, and other specialists, as well as laboratory testing and medical imaging (</w:t>
      </w:r>
      <w:proofErr w:type="spellStart"/>
      <w:r w:rsidRPr="0042624D">
        <w:rPr>
          <w:color w:val="222222"/>
          <w:highlight w:val="white"/>
        </w:rPr>
        <w:t>Ampofo</w:t>
      </w:r>
      <w:proofErr w:type="spellEnd"/>
      <w:r w:rsidRPr="0042624D">
        <w:rPr>
          <w:color w:val="222222"/>
          <w:highlight w:val="white"/>
        </w:rPr>
        <w:t xml:space="preserve"> and Boateng, 2020)</w:t>
      </w:r>
      <w:r w:rsidRPr="0042624D">
        <w:t xml:space="preserve">. It is essential for healthcare providers to instruct patients on the proper use of medications, like oral </w:t>
      </w:r>
      <w:proofErr w:type="spellStart"/>
      <w:r w:rsidRPr="0042624D">
        <w:t>hypoglycemic</w:t>
      </w:r>
      <w:proofErr w:type="spellEnd"/>
      <w:r w:rsidRPr="0042624D">
        <w:t xml:space="preserve"> drugs or insulin, while also monitoring their treatment responses. This might entail regular modifications to medication plans, increasing the workload for healthcare professionals and pharmacists (</w:t>
      </w:r>
      <w:r w:rsidRPr="0042624D">
        <w:rPr>
          <w:color w:val="222222"/>
          <w:highlight w:val="white"/>
        </w:rPr>
        <w:t xml:space="preserve">Xin </w:t>
      </w:r>
      <w:r w:rsidRPr="0042624D">
        <w:rPr>
          <w:i/>
          <w:color w:val="222222"/>
          <w:highlight w:val="white"/>
        </w:rPr>
        <w:t xml:space="preserve">et al., </w:t>
      </w:r>
      <w:r w:rsidRPr="0042624D">
        <w:rPr>
          <w:color w:val="222222"/>
          <w:highlight w:val="white"/>
        </w:rPr>
        <w:t>2020)</w:t>
      </w:r>
      <w:r w:rsidRPr="0042624D">
        <w:t>. Healthcare providers have a vital role in educating newly diagnosed patients about type 2 diabetes, emphasizing the significance of self-monitoring blood sugar levels, maintaining a nutritious diet, and participating in consistent physical activity. Several</w:t>
      </w:r>
      <w:r w:rsidRPr="0042624D">
        <w:rPr>
          <w:b/>
        </w:rPr>
        <w:t xml:space="preserve"> short-term public health consequences</w:t>
      </w:r>
      <w:r w:rsidRPr="0042624D">
        <w:t xml:space="preserve"> are related to type 2 diabetes such as can increase headaches and frequent urination (</w:t>
      </w:r>
      <w:proofErr w:type="spellStart"/>
      <w:r w:rsidRPr="0042624D">
        <w:rPr>
          <w:color w:val="222222"/>
          <w:highlight w:val="white"/>
        </w:rPr>
        <w:t>Adu</w:t>
      </w:r>
      <w:proofErr w:type="spellEnd"/>
      <w:r w:rsidR="0042624D">
        <w:rPr>
          <w:color w:val="222222"/>
          <w:highlight w:val="white"/>
        </w:rPr>
        <w:t xml:space="preserve"> </w:t>
      </w:r>
      <w:r w:rsidRPr="0042624D">
        <w:rPr>
          <w:i/>
          <w:color w:val="222222"/>
          <w:highlight w:val="white"/>
        </w:rPr>
        <w:t xml:space="preserve">et al., </w:t>
      </w:r>
      <w:r w:rsidRPr="0042624D">
        <w:rPr>
          <w:color w:val="222222"/>
          <w:highlight w:val="white"/>
        </w:rPr>
        <w:t>2019)</w:t>
      </w:r>
      <w:r w:rsidRPr="0042624D">
        <w:t xml:space="preserve">. Sometimes it can also lead to several health-related consequences such as blurred vision. It will also lead to kidney failure, stroke and heart disease. </w:t>
      </w:r>
    </w:p>
    <w:p w14:paraId="05B2619D" w14:textId="77777777" w:rsidR="00F55435" w:rsidRPr="0042624D" w:rsidRDefault="00791884">
      <w:r w:rsidRPr="0042624D">
        <w:t xml:space="preserve">This endeavour demands dedicated resources, such as diabetes educators and </w:t>
      </w:r>
      <w:r w:rsidR="0042624D" w:rsidRPr="0042624D">
        <w:t>dieticians</w:t>
      </w:r>
      <w:r w:rsidRPr="0042624D">
        <w:t xml:space="preserve">, to assist patients in managing their illnesses. Receiving a type 2 diabetes diagnosis can be emotionally taxing for patients, potentially evoking anxiety, depression, or </w:t>
      </w:r>
      <w:r w:rsidR="00A30CBE" w:rsidRPr="0042624D">
        <w:t>denial (</w:t>
      </w:r>
      <w:r w:rsidRPr="0042624D">
        <w:rPr>
          <w:color w:val="222222"/>
          <w:highlight w:val="white"/>
        </w:rPr>
        <w:t xml:space="preserve">Barron </w:t>
      </w:r>
      <w:r w:rsidRPr="0042624D">
        <w:rPr>
          <w:i/>
          <w:color w:val="222222"/>
          <w:highlight w:val="white"/>
        </w:rPr>
        <w:t xml:space="preserve">et al., </w:t>
      </w:r>
      <w:r w:rsidRPr="0042624D">
        <w:rPr>
          <w:color w:val="222222"/>
          <w:highlight w:val="white"/>
        </w:rPr>
        <w:t>2020)</w:t>
      </w:r>
      <w:r w:rsidRPr="0042624D">
        <w:t>. Healthcare professionals may need to offer psychological support or referrals to mental health specialists to help patients deal with their diagnosis and adapt to the required lifestyle modifications (</w:t>
      </w:r>
      <w:r w:rsidRPr="0042624D">
        <w:rPr>
          <w:color w:val="222222"/>
          <w:highlight w:val="white"/>
        </w:rPr>
        <w:t xml:space="preserve">Sinclair </w:t>
      </w:r>
      <w:r w:rsidRPr="0042624D">
        <w:rPr>
          <w:i/>
          <w:color w:val="222222"/>
          <w:highlight w:val="white"/>
        </w:rPr>
        <w:t xml:space="preserve">et al., </w:t>
      </w:r>
      <w:r w:rsidRPr="0042624D">
        <w:rPr>
          <w:color w:val="222222"/>
          <w:highlight w:val="white"/>
        </w:rPr>
        <w:t>2021)</w:t>
      </w:r>
      <w:r w:rsidRPr="0042624D">
        <w:t>. Managing type 2 diabetes typically calls for a multidisciplinary strategy that involves various healthcare experts. This approach mandates efficient communication and cooperation among care providers, ensuring that patients obtain comprehensive and coordinated care.</w:t>
      </w:r>
    </w:p>
    <w:p w14:paraId="275778DD" w14:textId="77777777" w:rsidR="00EF7B6D" w:rsidRPr="0042624D" w:rsidRDefault="00EF7B6D">
      <w:r w:rsidRPr="0042624D">
        <w:t xml:space="preserve">Dedicated personnel, such as diabetes educators and nutritionists, are needed for this endeavour to succeed in helping patients take control of their conditions. Patients may experience worry, despair, or disbelief after being told they have type 2 diabetes (Barron </w:t>
      </w:r>
      <w:r w:rsidRPr="0042624D">
        <w:rPr>
          <w:i/>
        </w:rPr>
        <w:t>et al.,</w:t>
      </w:r>
      <w:r w:rsidRPr="0042624D">
        <w:t xml:space="preserve"> 2020). To assist </w:t>
      </w:r>
      <w:proofErr w:type="gramStart"/>
      <w:r w:rsidRPr="0042624D">
        <w:t>patients</w:t>
      </w:r>
      <w:proofErr w:type="gramEnd"/>
      <w:r w:rsidRPr="0042624D">
        <w:t xml:space="preserve"> cope with their diagnosis and adjust to the necessary lifestyle changes, healthcare providers may need to provide psychological support or refer them to mental health specialists (Sinclair </w:t>
      </w:r>
      <w:r w:rsidRPr="0042624D">
        <w:rPr>
          <w:i/>
        </w:rPr>
        <w:t>et al.,</w:t>
      </w:r>
      <w:r w:rsidRPr="0042624D">
        <w:t xml:space="preserve"> 2021). Including a wide range of medical professionals, a multidisciplinary approach is sometimes necessary for controlling type 2 diabetes. Comprehensive and coordinated care for patients is the goal of this method, which necessitates effective communication and collaboration among care professionals.</w:t>
      </w:r>
    </w:p>
    <w:p w14:paraId="61C46BEF" w14:textId="77777777" w:rsidR="006E4A0D" w:rsidRPr="0042624D" w:rsidRDefault="006E4A0D" w:rsidP="006E4A0D">
      <w:pPr>
        <w:pStyle w:val="Heading2"/>
      </w:pPr>
      <w:bookmarkStart w:id="10" w:name="_34lm91dhp8e0" w:colFirst="0" w:colLast="0"/>
      <w:bookmarkStart w:id="11" w:name="_Toc129961108"/>
      <w:bookmarkEnd w:id="10"/>
      <w:r w:rsidRPr="0042624D">
        <w:lastRenderedPageBreak/>
        <w:t>Long-term effects of the disease on public health</w:t>
      </w:r>
      <w:bookmarkEnd w:id="11"/>
    </w:p>
    <w:p w14:paraId="476D8BC3" w14:textId="77777777" w:rsidR="00F55435" w:rsidRPr="0042624D" w:rsidRDefault="00791884">
      <w:r w:rsidRPr="0042624D">
        <w:t>Consistently</w:t>
      </w:r>
      <w:r w:rsidR="0042624D">
        <w:t xml:space="preserve"> elevated blood sugar levels </w:t>
      </w:r>
      <w:proofErr w:type="gramStart"/>
      <w:r w:rsidR="0042624D">
        <w:t>is</w:t>
      </w:r>
      <w:proofErr w:type="gramEnd"/>
      <w:r w:rsidRPr="0042624D">
        <w:t xml:space="preserve"> the main symptom of type 2 diabetes, a chronic metabolic condition </w:t>
      </w:r>
      <w:r w:rsidR="002E513D" w:rsidRPr="0042624D">
        <w:t xml:space="preserve">that can be effectively </w:t>
      </w:r>
      <w:r w:rsidRPr="0042624D">
        <w:t>cha</w:t>
      </w:r>
      <w:r w:rsidR="002E513D" w:rsidRPr="0042624D">
        <w:t>racterised by resistance of insulin and shortage of insulin</w:t>
      </w:r>
      <w:r w:rsidRPr="0042624D">
        <w:t>. The effects of type 2 diabetes on patients and the healthcare system, in the long run, can be disastrous. Damage to or failure of the kidneys can develop from diabetes, necessitating dialysis or a kidney transplant. Damage to the retinal blood vessels, known as diabetic retinopathy, can cause permanent visual impairment or even blindness (</w:t>
      </w:r>
      <w:proofErr w:type="spellStart"/>
      <w:r w:rsidRPr="0042624D">
        <w:rPr>
          <w:color w:val="222222"/>
          <w:highlight w:val="white"/>
        </w:rPr>
        <w:t>Crasto</w:t>
      </w:r>
      <w:proofErr w:type="spellEnd"/>
      <w:r w:rsidR="0042624D">
        <w:rPr>
          <w:color w:val="222222"/>
          <w:highlight w:val="white"/>
        </w:rPr>
        <w:t xml:space="preserve"> </w:t>
      </w:r>
      <w:r w:rsidRPr="0042624D">
        <w:rPr>
          <w:i/>
          <w:color w:val="222222"/>
          <w:highlight w:val="white"/>
        </w:rPr>
        <w:t xml:space="preserve">et al., </w:t>
      </w:r>
      <w:r w:rsidRPr="0042624D">
        <w:rPr>
          <w:color w:val="222222"/>
          <w:highlight w:val="white"/>
        </w:rPr>
        <w:t>2021)</w:t>
      </w:r>
      <w:r w:rsidRPr="0042624D">
        <w:t xml:space="preserve">. Depression, anxiety, and other mental health issues are more common in people with type 2 diabetes and can have a devastating effect on an individual's quality of </w:t>
      </w:r>
      <w:r w:rsidR="00821F93" w:rsidRPr="0042624D">
        <w:t>life (</w:t>
      </w:r>
      <w:r w:rsidRPr="0042624D">
        <w:rPr>
          <w:color w:val="222222"/>
          <w:highlight w:val="white"/>
        </w:rPr>
        <w:t xml:space="preserve">Barron </w:t>
      </w:r>
      <w:r w:rsidRPr="0042624D">
        <w:rPr>
          <w:i/>
          <w:color w:val="222222"/>
          <w:highlight w:val="white"/>
        </w:rPr>
        <w:t xml:space="preserve">et al., </w:t>
      </w:r>
      <w:r w:rsidRPr="0042624D">
        <w:rPr>
          <w:color w:val="222222"/>
          <w:highlight w:val="white"/>
        </w:rPr>
        <w:t>2020)</w:t>
      </w:r>
      <w:r w:rsidRPr="0042624D">
        <w:t>. High blood sugar levels cause nerve damage, a condition known as diabetic neuropathy. Symptoms include discomfort, numbness or weakening in the affected limb, and in extreme circumstances, amputation (</w:t>
      </w:r>
      <w:proofErr w:type="spellStart"/>
      <w:r w:rsidRPr="0042624D">
        <w:rPr>
          <w:color w:val="222222"/>
          <w:highlight w:val="white"/>
        </w:rPr>
        <w:t>Ampofo</w:t>
      </w:r>
      <w:proofErr w:type="spellEnd"/>
      <w:r w:rsidRPr="0042624D">
        <w:rPr>
          <w:color w:val="222222"/>
          <w:highlight w:val="white"/>
        </w:rPr>
        <w:t xml:space="preserve"> and Boateng, 2020)</w:t>
      </w:r>
      <w:r w:rsidRPr="0042624D">
        <w:t xml:space="preserve">. </w:t>
      </w:r>
    </w:p>
    <w:p w14:paraId="50978CCF" w14:textId="77777777" w:rsidR="00F55435" w:rsidRPr="0042624D" w:rsidRDefault="00791884">
      <w:r w:rsidRPr="0042624D">
        <w:t xml:space="preserve">Owing to the substantial expenses linked to type 2 diabetes and its ensuing complications, healthcare systems are compelled to allocate considerable resources to manage and treat the condition. These expenditures encompass medications, hospital stays, dialysis, surgical procedures, and various other remedial approaches (Bostock-Cox, 2020). The escalating incidence of type 2 diabetes, along with its concomitant health issues, imposes a significant load on primary care practitioners, endocrinologists, ophthalmologists, podiatrists, and additional specialized medical </w:t>
      </w:r>
      <w:r w:rsidR="00821F93" w:rsidRPr="0042624D">
        <w:t>professionals (</w:t>
      </w:r>
      <w:r w:rsidRPr="0042624D">
        <w:rPr>
          <w:color w:val="222222"/>
          <w:highlight w:val="white"/>
        </w:rPr>
        <w:t xml:space="preserve">Xin </w:t>
      </w:r>
      <w:r w:rsidRPr="0042624D">
        <w:rPr>
          <w:i/>
          <w:color w:val="222222"/>
          <w:highlight w:val="white"/>
        </w:rPr>
        <w:t xml:space="preserve">et al., </w:t>
      </w:r>
      <w:r w:rsidRPr="0042624D">
        <w:rPr>
          <w:color w:val="222222"/>
          <w:highlight w:val="white"/>
        </w:rPr>
        <w:t>2020)</w:t>
      </w:r>
      <w:r w:rsidRPr="0042624D">
        <w:t>. It is imperative for healthcare systems to dedicate resources to initiatives promoting diabetes awareness and prevention in order to mitigate the prevalence and impact of the disease. Individuals diagnosed with diabetes can benefit from learning self-care strategies, such as adopting healthier diets and engaging in regular physical activity (</w:t>
      </w:r>
      <w:proofErr w:type="spellStart"/>
      <w:r w:rsidRPr="0042624D">
        <w:rPr>
          <w:color w:val="222222"/>
          <w:highlight w:val="white"/>
        </w:rPr>
        <w:t>Ampofo</w:t>
      </w:r>
      <w:proofErr w:type="spellEnd"/>
      <w:r w:rsidRPr="0042624D">
        <w:rPr>
          <w:color w:val="222222"/>
          <w:highlight w:val="white"/>
        </w:rPr>
        <w:t xml:space="preserve"> and Boateng, 2020)</w:t>
      </w:r>
      <w:r w:rsidRPr="0042624D">
        <w:t>. In response to the growing ubiquity of type 2 diabetes, further investigation into its aetiology and the enhancement of diagnostic, therapeutic, and management methodologies are necessary.</w:t>
      </w:r>
    </w:p>
    <w:p w14:paraId="6101BA4A" w14:textId="77777777" w:rsidR="006E4A0D" w:rsidRPr="0042624D" w:rsidRDefault="006E4A0D" w:rsidP="006E4A0D">
      <w:pPr>
        <w:pStyle w:val="Heading2"/>
      </w:pPr>
      <w:bookmarkStart w:id="12" w:name="_8so9lof5ru74" w:colFirst="0" w:colLast="0"/>
      <w:bookmarkStart w:id="13" w:name="_Toc129961109"/>
      <w:bookmarkEnd w:id="12"/>
      <w:r w:rsidRPr="0042624D">
        <w:t>Factors that affect well-being and health of people with the chosen disease</w:t>
      </w:r>
      <w:bookmarkEnd w:id="13"/>
    </w:p>
    <w:p w14:paraId="1A54819A" w14:textId="77777777" w:rsidR="00F55435" w:rsidRPr="0042624D" w:rsidRDefault="00791884">
      <w:r w:rsidRPr="0042624D">
        <w:t>Type 2 diabetes is a complex disorder with numerous elements affecting its onset and the overall health and well-being of those it impacts. These components can be divided into genetic, environmental, lifestyle, and psychosocial categories. A strong predisposition for the disease is associated with a family history of type 2 diabetes (</w:t>
      </w:r>
      <w:proofErr w:type="spellStart"/>
      <w:r w:rsidRPr="0042624D">
        <w:rPr>
          <w:color w:val="222222"/>
          <w:highlight w:val="white"/>
        </w:rPr>
        <w:t>Crasto</w:t>
      </w:r>
      <w:r w:rsidRPr="0042624D">
        <w:rPr>
          <w:i/>
          <w:color w:val="222222"/>
          <w:highlight w:val="white"/>
        </w:rPr>
        <w:t>et</w:t>
      </w:r>
      <w:proofErr w:type="spellEnd"/>
      <w:r w:rsidRPr="0042624D">
        <w:rPr>
          <w:i/>
          <w:color w:val="222222"/>
          <w:highlight w:val="white"/>
        </w:rPr>
        <w:t xml:space="preserve"> al., </w:t>
      </w:r>
      <w:r w:rsidRPr="0042624D">
        <w:rPr>
          <w:color w:val="222222"/>
          <w:highlight w:val="white"/>
        </w:rPr>
        <w:t>2021)</w:t>
      </w:r>
      <w:r w:rsidRPr="0042624D">
        <w:t>. Various genetic variations have been identified as contributors to type 2 diabetes risk. Sedentary habits, poor nutrition, and obesity are all crucial risk factors for the disease (</w:t>
      </w:r>
      <w:proofErr w:type="spellStart"/>
      <w:r w:rsidRPr="0042624D">
        <w:rPr>
          <w:color w:val="222222"/>
          <w:highlight w:val="white"/>
        </w:rPr>
        <w:t>Ampofo</w:t>
      </w:r>
      <w:proofErr w:type="spellEnd"/>
      <w:r w:rsidRPr="0042624D">
        <w:rPr>
          <w:color w:val="222222"/>
          <w:highlight w:val="white"/>
        </w:rPr>
        <w:t xml:space="preserve"> and Boateng, 2020)</w:t>
      </w:r>
      <w:r w:rsidRPr="0042624D">
        <w:t xml:space="preserve">. Diets rich in </w:t>
      </w:r>
      <w:r w:rsidRPr="0042624D">
        <w:lastRenderedPageBreak/>
        <w:t xml:space="preserve">processed foods, sugar, and unhealthy fats may lead to insulin resistance and weight gain, heightening the likelihood of type 2 </w:t>
      </w:r>
      <w:r w:rsidR="00821F93" w:rsidRPr="0042624D">
        <w:t>diabetes (</w:t>
      </w:r>
      <w:r w:rsidRPr="0042624D">
        <w:rPr>
          <w:color w:val="222222"/>
          <w:highlight w:val="white"/>
        </w:rPr>
        <w:t xml:space="preserve">Xin </w:t>
      </w:r>
      <w:r w:rsidRPr="0042624D">
        <w:rPr>
          <w:i/>
          <w:color w:val="222222"/>
          <w:highlight w:val="white"/>
        </w:rPr>
        <w:t xml:space="preserve">et al., </w:t>
      </w:r>
      <w:r w:rsidRPr="0042624D">
        <w:rPr>
          <w:color w:val="222222"/>
          <w:highlight w:val="white"/>
        </w:rPr>
        <w:t>2020)</w:t>
      </w:r>
      <w:r w:rsidRPr="0042624D">
        <w:t xml:space="preserve">. The risk is further intensified by physical inactivity. Stress, depression, and anxiety can adversely affect individuals with type 2 diabetes, not only by contributing to the disease's development but also by impeding self-management and overall wellness (Bostock-Cox, 2020). Lower socioeconomic status, restricted healthcare access, and insufficient health literacy may play a role in the development and control of type 2 </w:t>
      </w:r>
      <w:r w:rsidR="00821F93" w:rsidRPr="0042624D">
        <w:t>diabetes (</w:t>
      </w:r>
      <w:r w:rsidRPr="0042624D">
        <w:rPr>
          <w:color w:val="222222"/>
          <w:highlight w:val="white"/>
        </w:rPr>
        <w:t xml:space="preserve">Xin </w:t>
      </w:r>
      <w:r w:rsidRPr="0042624D">
        <w:rPr>
          <w:i/>
          <w:color w:val="222222"/>
          <w:highlight w:val="white"/>
        </w:rPr>
        <w:t xml:space="preserve">et al., </w:t>
      </w:r>
      <w:r w:rsidRPr="0042624D">
        <w:rPr>
          <w:color w:val="222222"/>
          <w:highlight w:val="white"/>
        </w:rPr>
        <w:t>2020)</w:t>
      </w:r>
      <w:r w:rsidRPr="0042624D">
        <w:t xml:space="preserve">. Cultural values, attitudes, and dietary customs can sway the probability of acquiring type 2 diabetes and the capacity to effectively manage the </w:t>
      </w:r>
      <w:r w:rsidR="00821F93" w:rsidRPr="0042624D">
        <w:t>condition (</w:t>
      </w:r>
      <w:r w:rsidRPr="0042624D">
        <w:rPr>
          <w:color w:val="222222"/>
          <w:highlight w:val="white"/>
        </w:rPr>
        <w:t xml:space="preserve">Barron </w:t>
      </w:r>
      <w:r w:rsidRPr="0042624D">
        <w:rPr>
          <w:i/>
          <w:color w:val="222222"/>
          <w:highlight w:val="white"/>
        </w:rPr>
        <w:t xml:space="preserve">et al., </w:t>
      </w:r>
      <w:r w:rsidRPr="0042624D">
        <w:rPr>
          <w:color w:val="222222"/>
          <w:highlight w:val="white"/>
        </w:rPr>
        <w:t>2020)</w:t>
      </w:r>
      <w:r w:rsidRPr="0042624D">
        <w:t>.</w:t>
      </w:r>
    </w:p>
    <w:p w14:paraId="36FCA6D2" w14:textId="77777777" w:rsidR="00F55435" w:rsidRPr="0042624D" w:rsidRDefault="00791884">
      <w:pPr>
        <w:pStyle w:val="Heading1"/>
      </w:pPr>
      <w:bookmarkStart w:id="14" w:name="_a2gfp9ylj1rw" w:colFirst="0" w:colLast="0"/>
      <w:bookmarkStart w:id="15" w:name="_Toc129961110"/>
      <w:bookmarkEnd w:id="14"/>
      <w:r w:rsidRPr="0042624D">
        <w:t>Conclusion</w:t>
      </w:r>
      <w:bookmarkEnd w:id="15"/>
    </w:p>
    <w:p w14:paraId="159890C5" w14:textId="77777777" w:rsidR="00F55435" w:rsidRPr="0042624D" w:rsidRDefault="00791884">
      <w:r w:rsidRPr="0042624D">
        <w:t>Early diagnosis of type 2 diabetes considerably improves treatment outcomes and lowers the risk of complications. Those who are at very high risk, such as those with a family history of diabetes, obesity, or other risk factors, can take advantage of routine tests offered by healthcare professionals. Maintaining a healthy weight, participating in regular physical exercise, and adopting a balanced diet are all proven ways to lower the likelihood of acquiring type 2 diabetes and its consequences. Policies focused on equipping consumers with the knowledge to make informed decisions encompass taxes on sugar-laden beverages, restrictions on advertising food to children, and compulsory food labelling.  Effective management of diabetes requires the widespread availability of high-quality medical treatment and related services. Patients should have access to a whole spectrum of medical professionals, including endocrinologists, diabetes educators, nutritionists, and mental health professionals.</w:t>
      </w:r>
      <w:r w:rsidRPr="0042624D">
        <w:br w:type="page"/>
      </w:r>
    </w:p>
    <w:p w14:paraId="18F69E2D" w14:textId="77777777" w:rsidR="00F55435" w:rsidRPr="0042624D" w:rsidRDefault="00791884">
      <w:pPr>
        <w:pStyle w:val="Heading1"/>
      </w:pPr>
      <w:bookmarkStart w:id="16" w:name="_8ur2f6pzve20" w:colFirst="0" w:colLast="0"/>
      <w:bookmarkStart w:id="17" w:name="_Toc129961111"/>
      <w:bookmarkEnd w:id="16"/>
      <w:r w:rsidRPr="0042624D">
        <w:lastRenderedPageBreak/>
        <w:t>References</w:t>
      </w:r>
      <w:bookmarkEnd w:id="17"/>
    </w:p>
    <w:p w14:paraId="481ED833" w14:textId="77777777" w:rsidR="00821F93" w:rsidRPr="0042624D" w:rsidRDefault="00821F93" w:rsidP="00821F93">
      <w:pPr>
        <w:rPr>
          <w:color w:val="222222"/>
          <w:highlight w:val="white"/>
        </w:rPr>
      </w:pPr>
      <w:proofErr w:type="spellStart"/>
      <w:r w:rsidRPr="0042624D">
        <w:rPr>
          <w:color w:val="222222"/>
          <w:highlight w:val="white"/>
        </w:rPr>
        <w:t>Adu</w:t>
      </w:r>
      <w:proofErr w:type="spellEnd"/>
      <w:r w:rsidRPr="0042624D">
        <w:rPr>
          <w:color w:val="222222"/>
          <w:highlight w:val="white"/>
        </w:rPr>
        <w:t xml:space="preserve">, M.D., </w:t>
      </w:r>
      <w:proofErr w:type="spellStart"/>
      <w:r w:rsidRPr="0042624D">
        <w:rPr>
          <w:color w:val="222222"/>
          <w:highlight w:val="white"/>
        </w:rPr>
        <w:t>Malabu</w:t>
      </w:r>
      <w:proofErr w:type="spellEnd"/>
      <w:r w:rsidRPr="0042624D">
        <w:rPr>
          <w:color w:val="222222"/>
          <w:highlight w:val="white"/>
        </w:rPr>
        <w:t xml:space="preserve">, U.H., </w:t>
      </w:r>
      <w:proofErr w:type="spellStart"/>
      <w:r w:rsidRPr="0042624D">
        <w:rPr>
          <w:color w:val="222222"/>
          <w:highlight w:val="white"/>
        </w:rPr>
        <w:t>Malau-Aduli</w:t>
      </w:r>
      <w:proofErr w:type="spellEnd"/>
      <w:r w:rsidRPr="0042624D">
        <w:rPr>
          <w:color w:val="222222"/>
          <w:highlight w:val="white"/>
        </w:rPr>
        <w:t xml:space="preserve">, A.E. and </w:t>
      </w:r>
      <w:proofErr w:type="spellStart"/>
      <w:r w:rsidRPr="0042624D">
        <w:rPr>
          <w:color w:val="222222"/>
          <w:highlight w:val="white"/>
        </w:rPr>
        <w:t>Malau-Aduli</w:t>
      </w:r>
      <w:proofErr w:type="spellEnd"/>
      <w:r w:rsidRPr="0042624D">
        <w:rPr>
          <w:color w:val="222222"/>
          <w:highlight w:val="white"/>
        </w:rPr>
        <w:t xml:space="preserve">, B.S., 2019. Enablers and barriers to effective diabetes self-management: A multi-national investigation. </w:t>
      </w:r>
      <w:proofErr w:type="spellStart"/>
      <w:r w:rsidRPr="0042624D">
        <w:rPr>
          <w:i/>
          <w:color w:val="222222"/>
          <w:highlight w:val="white"/>
        </w:rPr>
        <w:t>PloS</w:t>
      </w:r>
      <w:proofErr w:type="spellEnd"/>
      <w:r w:rsidRPr="0042624D">
        <w:rPr>
          <w:i/>
          <w:color w:val="222222"/>
          <w:highlight w:val="white"/>
        </w:rPr>
        <w:t xml:space="preserve"> one</w:t>
      </w:r>
      <w:r w:rsidRPr="0042624D">
        <w:rPr>
          <w:color w:val="222222"/>
          <w:highlight w:val="white"/>
        </w:rPr>
        <w:t xml:space="preserve">, </w:t>
      </w:r>
      <w:r w:rsidRPr="0042624D">
        <w:rPr>
          <w:i/>
          <w:color w:val="222222"/>
          <w:highlight w:val="white"/>
        </w:rPr>
        <w:t>14</w:t>
      </w:r>
      <w:r w:rsidRPr="0042624D">
        <w:rPr>
          <w:color w:val="222222"/>
          <w:highlight w:val="white"/>
        </w:rPr>
        <w:t>(6), p.e0217771.</w:t>
      </w:r>
    </w:p>
    <w:p w14:paraId="6258EAAD" w14:textId="77777777" w:rsidR="00821F93" w:rsidRPr="0042624D" w:rsidRDefault="00821F93" w:rsidP="00821F93">
      <w:pPr>
        <w:rPr>
          <w:color w:val="222222"/>
          <w:highlight w:val="white"/>
        </w:rPr>
      </w:pPr>
      <w:proofErr w:type="spellStart"/>
      <w:r w:rsidRPr="0042624D">
        <w:rPr>
          <w:color w:val="222222"/>
          <w:highlight w:val="white"/>
        </w:rPr>
        <w:t>Ampofo</w:t>
      </w:r>
      <w:proofErr w:type="spellEnd"/>
      <w:r w:rsidRPr="0042624D">
        <w:rPr>
          <w:color w:val="222222"/>
          <w:highlight w:val="white"/>
        </w:rPr>
        <w:t xml:space="preserve">, A.G. and Boateng, E.B., 2020. Beyond 2020: Modelling obesity and diabetes prevalence. </w:t>
      </w:r>
      <w:r w:rsidRPr="0042624D">
        <w:rPr>
          <w:i/>
          <w:color w:val="222222"/>
          <w:highlight w:val="white"/>
        </w:rPr>
        <w:t>Diabetes research and clinical practice</w:t>
      </w:r>
      <w:r w:rsidRPr="0042624D">
        <w:rPr>
          <w:color w:val="222222"/>
          <w:highlight w:val="white"/>
        </w:rPr>
        <w:t xml:space="preserve">, </w:t>
      </w:r>
      <w:r w:rsidRPr="0042624D">
        <w:rPr>
          <w:i/>
          <w:color w:val="222222"/>
          <w:highlight w:val="white"/>
        </w:rPr>
        <w:t>167</w:t>
      </w:r>
      <w:r w:rsidRPr="0042624D">
        <w:rPr>
          <w:color w:val="222222"/>
          <w:highlight w:val="white"/>
        </w:rPr>
        <w:t>, p.108362.</w:t>
      </w:r>
    </w:p>
    <w:p w14:paraId="082FDA00" w14:textId="77777777" w:rsidR="00821F93" w:rsidRPr="0042624D" w:rsidRDefault="00821F93" w:rsidP="00821F93">
      <w:pPr>
        <w:rPr>
          <w:color w:val="222222"/>
          <w:highlight w:val="white"/>
        </w:rPr>
      </w:pPr>
      <w:r w:rsidRPr="0042624D">
        <w:rPr>
          <w:color w:val="222222"/>
          <w:highlight w:val="white"/>
        </w:rPr>
        <w:t xml:space="preserve">Barron, E., </w:t>
      </w:r>
      <w:proofErr w:type="spellStart"/>
      <w:r w:rsidRPr="0042624D">
        <w:rPr>
          <w:color w:val="222222"/>
          <w:highlight w:val="white"/>
        </w:rPr>
        <w:t>Bakhai</w:t>
      </w:r>
      <w:proofErr w:type="spellEnd"/>
      <w:r w:rsidRPr="0042624D">
        <w:rPr>
          <w:color w:val="222222"/>
          <w:highlight w:val="white"/>
        </w:rPr>
        <w:t xml:space="preserve">, C., Kar, P., Weaver, A., Bradley, D., Ismail, H., Knighton, P., Holman, N., </w:t>
      </w:r>
      <w:proofErr w:type="spellStart"/>
      <w:r w:rsidRPr="0042624D">
        <w:rPr>
          <w:color w:val="222222"/>
          <w:highlight w:val="white"/>
        </w:rPr>
        <w:t>Khunti</w:t>
      </w:r>
      <w:proofErr w:type="spellEnd"/>
      <w:r w:rsidRPr="0042624D">
        <w:rPr>
          <w:color w:val="222222"/>
          <w:highlight w:val="white"/>
        </w:rPr>
        <w:t xml:space="preserve">, K., Sattar, N. and Wareham, N.J., 2020. Associations of type 1 and type 2 diabetes with COVID-19-related mortality in England: a whole-population study. </w:t>
      </w:r>
      <w:r w:rsidRPr="0042624D">
        <w:rPr>
          <w:i/>
          <w:color w:val="222222"/>
          <w:highlight w:val="white"/>
        </w:rPr>
        <w:t>The lancet Diabetes &amp; endocrinology</w:t>
      </w:r>
      <w:r w:rsidRPr="0042624D">
        <w:rPr>
          <w:color w:val="222222"/>
          <w:highlight w:val="white"/>
        </w:rPr>
        <w:t xml:space="preserve">, </w:t>
      </w:r>
      <w:r w:rsidRPr="0042624D">
        <w:rPr>
          <w:i/>
          <w:color w:val="222222"/>
          <w:highlight w:val="white"/>
        </w:rPr>
        <w:t>8</w:t>
      </w:r>
      <w:r w:rsidRPr="0042624D">
        <w:rPr>
          <w:color w:val="222222"/>
          <w:highlight w:val="white"/>
        </w:rPr>
        <w:t>(10), pp.813-822.</w:t>
      </w:r>
    </w:p>
    <w:p w14:paraId="2ECADBBD" w14:textId="77777777" w:rsidR="00821F93" w:rsidRPr="0042624D" w:rsidRDefault="00821F93" w:rsidP="00821F93">
      <w:pPr>
        <w:rPr>
          <w:color w:val="222222"/>
          <w:highlight w:val="white"/>
        </w:rPr>
      </w:pPr>
      <w:proofErr w:type="spellStart"/>
      <w:r w:rsidRPr="0042624D">
        <w:rPr>
          <w:color w:val="222222"/>
          <w:highlight w:val="white"/>
        </w:rPr>
        <w:t>Bilous</w:t>
      </w:r>
      <w:proofErr w:type="spellEnd"/>
      <w:r w:rsidRPr="0042624D">
        <w:rPr>
          <w:color w:val="222222"/>
          <w:highlight w:val="white"/>
        </w:rPr>
        <w:t xml:space="preserve">, R., Donnelly, R. and Idris, I., 2021. </w:t>
      </w:r>
      <w:r w:rsidRPr="0042624D">
        <w:rPr>
          <w:i/>
          <w:color w:val="222222"/>
          <w:highlight w:val="white"/>
        </w:rPr>
        <w:t>Handbook of diabetes</w:t>
      </w:r>
      <w:r w:rsidRPr="0042624D">
        <w:rPr>
          <w:color w:val="222222"/>
          <w:highlight w:val="white"/>
        </w:rPr>
        <w:t>. John Wiley &amp; Sons.</w:t>
      </w:r>
    </w:p>
    <w:p w14:paraId="375C9BCE" w14:textId="77777777" w:rsidR="00821F93" w:rsidRPr="0042624D" w:rsidRDefault="00821F93" w:rsidP="00821F93">
      <w:pPr>
        <w:rPr>
          <w:color w:val="222222"/>
          <w:highlight w:val="white"/>
        </w:rPr>
      </w:pPr>
      <w:r w:rsidRPr="0042624D">
        <w:rPr>
          <w:color w:val="222222"/>
          <w:highlight w:val="white"/>
        </w:rPr>
        <w:t xml:space="preserve">Bostock-Cox, B., 2020. Pre-diabetes and cardiovascular risk: detonating the time bomb. </w:t>
      </w:r>
      <w:r w:rsidRPr="0042624D">
        <w:rPr>
          <w:i/>
          <w:color w:val="222222"/>
          <w:highlight w:val="white"/>
        </w:rPr>
        <w:t>Practice Nursing</w:t>
      </w:r>
      <w:r w:rsidRPr="0042624D">
        <w:rPr>
          <w:color w:val="222222"/>
          <w:highlight w:val="white"/>
        </w:rPr>
        <w:t xml:space="preserve">, </w:t>
      </w:r>
      <w:r w:rsidRPr="0042624D">
        <w:rPr>
          <w:i/>
          <w:color w:val="222222"/>
          <w:highlight w:val="white"/>
        </w:rPr>
        <w:t>31</w:t>
      </w:r>
      <w:r w:rsidRPr="0042624D">
        <w:rPr>
          <w:color w:val="222222"/>
          <w:highlight w:val="white"/>
        </w:rPr>
        <w:t>(5), pp.200-205.</w:t>
      </w:r>
    </w:p>
    <w:p w14:paraId="76D205E0" w14:textId="77777777" w:rsidR="00821F93" w:rsidRPr="0042624D" w:rsidRDefault="00821F93" w:rsidP="00821F93">
      <w:pPr>
        <w:rPr>
          <w:color w:val="222222"/>
          <w:highlight w:val="white"/>
        </w:rPr>
      </w:pPr>
      <w:proofErr w:type="spellStart"/>
      <w:r w:rsidRPr="0042624D">
        <w:rPr>
          <w:color w:val="222222"/>
          <w:highlight w:val="white"/>
        </w:rPr>
        <w:t>Crasto</w:t>
      </w:r>
      <w:proofErr w:type="spellEnd"/>
      <w:r w:rsidRPr="0042624D">
        <w:rPr>
          <w:color w:val="222222"/>
          <w:highlight w:val="white"/>
        </w:rPr>
        <w:t xml:space="preserve">, W., Patel, V., Davies, M.J. and </w:t>
      </w:r>
      <w:proofErr w:type="spellStart"/>
      <w:r w:rsidRPr="0042624D">
        <w:rPr>
          <w:color w:val="222222"/>
          <w:highlight w:val="white"/>
        </w:rPr>
        <w:t>Khunti</w:t>
      </w:r>
      <w:proofErr w:type="spellEnd"/>
      <w:r w:rsidRPr="0042624D">
        <w:rPr>
          <w:color w:val="222222"/>
          <w:highlight w:val="white"/>
        </w:rPr>
        <w:t xml:space="preserve">, K., 2021. Prevention of microvascular complications of diabetes. </w:t>
      </w:r>
      <w:r w:rsidRPr="0042624D">
        <w:rPr>
          <w:i/>
          <w:color w:val="222222"/>
          <w:highlight w:val="white"/>
        </w:rPr>
        <w:t>Endocrinology and Metabolism Clinics</w:t>
      </w:r>
      <w:r w:rsidRPr="0042624D">
        <w:rPr>
          <w:color w:val="222222"/>
          <w:highlight w:val="white"/>
        </w:rPr>
        <w:t xml:space="preserve">, </w:t>
      </w:r>
      <w:r w:rsidRPr="0042624D">
        <w:rPr>
          <w:i/>
          <w:color w:val="222222"/>
          <w:highlight w:val="white"/>
        </w:rPr>
        <w:t>50</w:t>
      </w:r>
      <w:r w:rsidRPr="0042624D">
        <w:rPr>
          <w:color w:val="222222"/>
          <w:highlight w:val="white"/>
        </w:rPr>
        <w:t>(3), pp.431-455.</w:t>
      </w:r>
    </w:p>
    <w:p w14:paraId="72384C9F" w14:textId="77777777" w:rsidR="00821F93" w:rsidRPr="0042624D" w:rsidRDefault="00821F93" w:rsidP="00821F93">
      <w:pPr>
        <w:rPr>
          <w:color w:val="222222"/>
          <w:highlight w:val="white"/>
        </w:rPr>
      </w:pPr>
      <w:r w:rsidRPr="0042624D">
        <w:rPr>
          <w:color w:val="222222"/>
          <w:highlight w:val="white"/>
        </w:rPr>
        <w:t xml:space="preserve">Hartmann-Boyce, J., Morris, E., Goyder, C., </w:t>
      </w:r>
      <w:proofErr w:type="spellStart"/>
      <w:r w:rsidRPr="0042624D">
        <w:rPr>
          <w:color w:val="222222"/>
          <w:highlight w:val="white"/>
        </w:rPr>
        <w:t>Kinton</w:t>
      </w:r>
      <w:proofErr w:type="spellEnd"/>
      <w:r w:rsidRPr="0042624D">
        <w:rPr>
          <w:color w:val="222222"/>
          <w:highlight w:val="white"/>
        </w:rPr>
        <w:t xml:space="preserve">, J., Perring, J., Nunan, D., Mahtani, K., Buse, J.B., Del Prato, S., Ji, L. and Roussel, R., 2020. Diabetes and COVID-19: risks, management, and learnings from other national disasters. </w:t>
      </w:r>
      <w:r w:rsidRPr="0042624D">
        <w:rPr>
          <w:i/>
          <w:color w:val="222222"/>
          <w:highlight w:val="white"/>
        </w:rPr>
        <w:t>Diabetes care</w:t>
      </w:r>
      <w:r w:rsidRPr="0042624D">
        <w:rPr>
          <w:color w:val="222222"/>
          <w:highlight w:val="white"/>
        </w:rPr>
        <w:t xml:space="preserve">, </w:t>
      </w:r>
      <w:r w:rsidRPr="0042624D">
        <w:rPr>
          <w:i/>
          <w:color w:val="222222"/>
          <w:highlight w:val="white"/>
        </w:rPr>
        <w:t>43</w:t>
      </w:r>
      <w:r w:rsidRPr="0042624D">
        <w:rPr>
          <w:color w:val="222222"/>
          <w:highlight w:val="white"/>
        </w:rPr>
        <w:t>(8), pp.1695-1703.</w:t>
      </w:r>
    </w:p>
    <w:p w14:paraId="74E05F7A" w14:textId="77777777" w:rsidR="00821F93" w:rsidRPr="0042624D" w:rsidRDefault="00821F93" w:rsidP="00821F93">
      <w:pPr>
        <w:rPr>
          <w:color w:val="222222"/>
          <w:highlight w:val="white"/>
        </w:rPr>
      </w:pPr>
      <w:r w:rsidRPr="0042624D">
        <w:rPr>
          <w:color w:val="222222"/>
          <w:highlight w:val="white"/>
        </w:rPr>
        <w:t xml:space="preserve">IDF.com. 2023. </w:t>
      </w:r>
      <w:r w:rsidRPr="0042624D">
        <w:rPr>
          <w:i/>
          <w:color w:val="222222"/>
          <w:highlight w:val="white"/>
        </w:rPr>
        <w:t xml:space="preserve">Type 2 Diabetes. </w:t>
      </w:r>
      <w:r w:rsidRPr="0042624D">
        <w:rPr>
          <w:color w:val="222222"/>
          <w:highlight w:val="white"/>
        </w:rPr>
        <w:t>[online] Available at: https://www.idf.org/aboutdiabetes/type-2-diabetes.html [</w:t>
      </w:r>
      <w:proofErr w:type="spellStart"/>
      <w:r w:rsidRPr="0042624D">
        <w:rPr>
          <w:color w:val="222222"/>
          <w:highlight w:val="white"/>
        </w:rPr>
        <w:t>Accessesd</w:t>
      </w:r>
      <w:proofErr w:type="spellEnd"/>
      <w:r w:rsidRPr="0042624D">
        <w:rPr>
          <w:color w:val="222222"/>
          <w:highlight w:val="white"/>
        </w:rPr>
        <w:t xml:space="preserve"> 17 March 2023]</w:t>
      </w:r>
    </w:p>
    <w:p w14:paraId="5EBBC4ED" w14:textId="77777777" w:rsidR="00821F93" w:rsidRPr="0042624D" w:rsidRDefault="00821F93" w:rsidP="00821F93">
      <w:pPr>
        <w:rPr>
          <w:color w:val="222222"/>
          <w:highlight w:val="white"/>
        </w:rPr>
      </w:pPr>
      <w:r w:rsidRPr="0042624D">
        <w:rPr>
          <w:color w:val="222222"/>
          <w:highlight w:val="white"/>
        </w:rPr>
        <w:t xml:space="preserve">Lawler, J., </w:t>
      </w:r>
      <w:proofErr w:type="spellStart"/>
      <w:r w:rsidRPr="0042624D">
        <w:rPr>
          <w:color w:val="222222"/>
          <w:highlight w:val="white"/>
        </w:rPr>
        <w:t>Trevatt</w:t>
      </w:r>
      <w:proofErr w:type="spellEnd"/>
      <w:r w:rsidRPr="0042624D">
        <w:rPr>
          <w:color w:val="222222"/>
          <w:highlight w:val="white"/>
        </w:rPr>
        <w:t xml:space="preserve">, P., Elliot, C. and Leary, A., 2019. Does the Diabetes Specialist Nursing workforce impact the experiences and outcomes of people with diabetes? A hermeneutic review of the evidence. </w:t>
      </w:r>
      <w:r w:rsidRPr="0042624D">
        <w:rPr>
          <w:i/>
          <w:color w:val="222222"/>
          <w:highlight w:val="white"/>
        </w:rPr>
        <w:t>Human resources for health</w:t>
      </w:r>
      <w:r w:rsidRPr="0042624D">
        <w:rPr>
          <w:color w:val="222222"/>
          <w:highlight w:val="white"/>
        </w:rPr>
        <w:t xml:space="preserve">, </w:t>
      </w:r>
      <w:r w:rsidRPr="0042624D">
        <w:rPr>
          <w:i/>
          <w:color w:val="222222"/>
          <w:highlight w:val="white"/>
        </w:rPr>
        <w:t>17</w:t>
      </w:r>
      <w:r w:rsidRPr="0042624D">
        <w:rPr>
          <w:color w:val="222222"/>
          <w:highlight w:val="white"/>
        </w:rPr>
        <w:t>, pp.1-9.</w:t>
      </w:r>
    </w:p>
    <w:p w14:paraId="647EB0CE" w14:textId="77777777" w:rsidR="00821F93" w:rsidRPr="0042624D" w:rsidRDefault="00821F93" w:rsidP="00821F93">
      <w:pPr>
        <w:rPr>
          <w:color w:val="222222"/>
          <w:highlight w:val="white"/>
        </w:rPr>
      </w:pPr>
      <w:r w:rsidRPr="0042624D">
        <w:rPr>
          <w:color w:val="222222"/>
          <w:highlight w:val="white"/>
        </w:rPr>
        <w:t xml:space="preserve">Porter, D., 2020. </w:t>
      </w:r>
      <w:r w:rsidRPr="0042624D">
        <w:rPr>
          <w:i/>
          <w:color w:val="222222"/>
          <w:highlight w:val="white"/>
        </w:rPr>
        <w:t>The history of public health and the modern state</w:t>
      </w:r>
      <w:r w:rsidRPr="0042624D">
        <w:rPr>
          <w:color w:val="222222"/>
          <w:highlight w:val="white"/>
        </w:rPr>
        <w:t>. Brill.</w:t>
      </w:r>
    </w:p>
    <w:p w14:paraId="6B51C093" w14:textId="77777777" w:rsidR="00821F93" w:rsidRPr="0042624D" w:rsidRDefault="00821F93" w:rsidP="00821F93">
      <w:pPr>
        <w:rPr>
          <w:color w:val="222222"/>
          <w:highlight w:val="white"/>
        </w:rPr>
      </w:pPr>
      <w:proofErr w:type="spellStart"/>
      <w:r w:rsidRPr="0042624D">
        <w:rPr>
          <w:color w:val="222222"/>
          <w:highlight w:val="white"/>
        </w:rPr>
        <w:t>Preshaw</w:t>
      </w:r>
      <w:proofErr w:type="spellEnd"/>
      <w:r w:rsidRPr="0042624D">
        <w:rPr>
          <w:color w:val="222222"/>
          <w:highlight w:val="white"/>
        </w:rPr>
        <w:t xml:space="preserve">, P.M. and Bissett, S.M., 2019. Periodontitis and diabetes. </w:t>
      </w:r>
      <w:r w:rsidRPr="0042624D">
        <w:rPr>
          <w:i/>
          <w:color w:val="222222"/>
          <w:highlight w:val="white"/>
        </w:rPr>
        <w:t>British dental journal</w:t>
      </w:r>
      <w:r w:rsidRPr="0042624D">
        <w:rPr>
          <w:color w:val="222222"/>
          <w:highlight w:val="white"/>
        </w:rPr>
        <w:t xml:space="preserve">, </w:t>
      </w:r>
      <w:r w:rsidRPr="0042624D">
        <w:rPr>
          <w:i/>
          <w:color w:val="222222"/>
          <w:highlight w:val="white"/>
        </w:rPr>
        <w:t>227</w:t>
      </w:r>
      <w:r w:rsidRPr="0042624D">
        <w:rPr>
          <w:color w:val="222222"/>
          <w:highlight w:val="white"/>
        </w:rPr>
        <w:t>(7), pp.577-584.</w:t>
      </w:r>
    </w:p>
    <w:p w14:paraId="3A55BD44" w14:textId="77777777" w:rsidR="00821F93" w:rsidRPr="0042624D" w:rsidRDefault="00821F93" w:rsidP="00821F93">
      <w:pPr>
        <w:rPr>
          <w:color w:val="222222"/>
          <w:highlight w:val="white"/>
        </w:rPr>
      </w:pPr>
      <w:r w:rsidRPr="0042624D">
        <w:rPr>
          <w:color w:val="222222"/>
          <w:highlight w:val="white"/>
        </w:rPr>
        <w:t xml:space="preserve">Sarma, S., Richardson, L. and Neary, J., 2022. One hundred years of solitude—underrepresentation of Indigenous and minority groups in diabetes trials. </w:t>
      </w:r>
      <w:r w:rsidRPr="0042624D">
        <w:rPr>
          <w:i/>
          <w:color w:val="222222"/>
          <w:highlight w:val="white"/>
        </w:rPr>
        <w:t>The Lancet Global Health</w:t>
      </w:r>
      <w:r w:rsidRPr="0042624D">
        <w:rPr>
          <w:color w:val="222222"/>
          <w:highlight w:val="white"/>
        </w:rPr>
        <w:t xml:space="preserve">, </w:t>
      </w:r>
      <w:r w:rsidRPr="0042624D">
        <w:rPr>
          <w:i/>
          <w:color w:val="222222"/>
          <w:highlight w:val="white"/>
        </w:rPr>
        <w:t>10</w:t>
      </w:r>
      <w:r w:rsidRPr="0042624D">
        <w:rPr>
          <w:color w:val="222222"/>
          <w:highlight w:val="white"/>
        </w:rPr>
        <w:t xml:space="preserve">(10), </w:t>
      </w:r>
      <w:proofErr w:type="gramStart"/>
      <w:r w:rsidRPr="0042624D">
        <w:rPr>
          <w:color w:val="222222"/>
          <w:highlight w:val="white"/>
        </w:rPr>
        <w:t>pp.e</w:t>
      </w:r>
      <w:proofErr w:type="gramEnd"/>
      <w:r w:rsidRPr="0042624D">
        <w:rPr>
          <w:color w:val="222222"/>
          <w:highlight w:val="white"/>
        </w:rPr>
        <w:t>1383-e1384.</w:t>
      </w:r>
    </w:p>
    <w:p w14:paraId="064AA8E8" w14:textId="77777777" w:rsidR="00821F93" w:rsidRPr="0042624D" w:rsidRDefault="00821F93" w:rsidP="00821F93">
      <w:pPr>
        <w:rPr>
          <w:color w:val="222222"/>
          <w:highlight w:val="white"/>
        </w:rPr>
      </w:pPr>
      <w:r w:rsidRPr="0042624D">
        <w:rPr>
          <w:color w:val="222222"/>
          <w:highlight w:val="white"/>
        </w:rPr>
        <w:t xml:space="preserve">Schneider, M.J., 2020. </w:t>
      </w:r>
      <w:r w:rsidRPr="0042624D">
        <w:rPr>
          <w:i/>
          <w:color w:val="222222"/>
          <w:highlight w:val="white"/>
        </w:rPr>
        <w:t>Introduction to public health</w:t>
      </w:r>
      <w:r w:rsidRPr="0042624D">
        <w:rPr>
          <w:color w:val="222222"/>
          <w:highlight w:val="white"/>
        </w:rPr>
        <w:t>. Jones &amp; Bartlett Learning.</w:t>
      </w:r>
    </w:p>
    <w:p w14:paraId="793E7F87" w14:textId="77777777" w:rsidR="00821F93" w:rsidRPr="0042624D" w:rsidRDefault="00821F93" w:rsidP="00821F93">
      <w:pPr>
        <w:rPr>
          <w:color w:val="222222"/>
          <w:highlight w:val="white"/>
        </w:rPr>
      </w:pPr>
      <w:r w:rsidRPr="0042624D">
        <w:rPr>
          <w:color w:val="222222"/>
          <w:highlight w:val="white"/>
        </w:rPr>
        <w:t xml:space="preserve">Seidu, S., Hambling, C., Holmes, P., Fernando, K., Campbell, N.S., Davies, S., </w:t>
      </w:r>
      <w:proofErr w:type="spellStart"/>
      <w:r w:rsidRPr="0042624D">
        <w:rPr>
          <w:color w:val="222222"/>
          <w:highlight w:val="white"/>
        </w:rPr>
        <w:t>Khunti</w:t>
      </w:r>
      <w:proofErr w:type="spellEnd"/>
      <w:r w:rsidRPr="0042624D">
        <w:rPr>
          <w:color w:val="222222"/>
          <w:highlight w:val="white"/>
        </w:rPr>
        <w:t xml:space="preserve">, K. and PCDS Research Group, 2022. The impact of the COVID pandemic on primary care diabetes services in the UK: a cross-sectional national survey of views of health professionals delivering diabetes care. </w:t>
      </w:r>
      <w:r w:rsidRPr="0042624D">
        <w:rPr>
          <w:i/>
          <w:color w:val="222222"/>
          <w:highlight w:val="white"/>
        </w:rPr>
        <w:t>Primary Care Diabetes</w:t>
      </w:r>
      <w:r w:rsidRPr="0042624D">
        <w:rPr>
          <w:color w:val="222222"/>
          <w:highlight w:val="white"/>
        </w:rPr>
        <w:t xml:space="preserve">, </w:t>
      </w:r>
      <w:r w:rsidRPr="0042624D">
        <w:rPr>
          <w:i/>
          <w:color w:val="222222"/>
          <w:highlight w:val="white"/>
        </w:rPr>
        <w:t>16</w:t>
      </w:r>
      <w:r w:rsidRPr="0042624D">
        <w:rPr>
          <w:color w:val="222222"/>
          <w:highlight w:val="white"/>
        </w:rPr>
        <w:t>(2), pp.257-263.</w:t>
      </w:r>
    </w:p>
    <w:p w14:paraId="6DAF6789" w14:textId="77777777" w:rsidR="00821F93" w:rsidRPr="0042624D" w:rsidRDefault="00821F93" w:rsidP="00821F93">
      <w:pPr>
        <w:rPr>
          <w:color w:val="222222"/>
          <w:highlight w:val="white"/>
        </w:rPr>
      </w:pPr>
      <w:r w:rsidRPr="0042624D">
        <w:rPr>
          <w:color w:val="222222"/>
          <w:highlight w:val="white"/>
        </w:rPr>
        <w:lastRenderedPageBreak/>
        <w:t xml:space="preserve">Sharma, M. and </w:t>
      </w:r>
      <w:proofErr w:type="spellStart"/>
      <w:r w:rsidRPr="0042624D">
        <w:rPr>
          <w:color w:val="222222"/>
          <w:highlight w:val="white"/>
        </w:rPr>
        <w:t>Branscum</w:t>
      </w:r>
      <w:proofErr w:type="spellEnd"/>
      <w:r w:rsidRPr="0042624D">
        <w:rPr>
          <w:color w:val="222222"/>
          <w:highlight w:val="white"/>
        </w:rPr>
        <w:t xml:space="preserve">, P.W., 2020. </w:t>
      </w:r>
      <w:r w:rsidRPr="0042624D">
        <w:rPr>
          <w:i/>
          <w:color w:val="222222"/>
          <w:highlight w:val="white"/>
        </w:rPr>
        <w:t>Introduction to community and public health</w:t>
      </w:r>
      <w:r w:rsidRPr="0042624D">
        <w:rPr>
          <w:color w:val="222222"/>
          <w:highlight w:val="white"/>
        </w:rPr>
        <w:t>. John Wiley &amp; Sons.</w:t>
      </w:r>
    </w:p>
    <w:p w14:paraId="7D23D898" w14:textId="77777777" w:rsidR="00821F93" w:rsidRPr="0042624D" w:rsidRDefault="00821F93" w:rsidP="00821F93">
      <w:pPr>
        <w:rPr>
          <w:color w:val="222222"/>
          <w:highlight w:val="white"/>
        </w:rPr>
      </w:pPr>
      <w:r w:rsidRPr="0042624D">
        <w:rPr>
          <w:color w:val="222222"/>
          <w:highlight w:val="white"/>
        </w:rPr>
        <w:t xml:space="preserve">Sinclair, A., Bellary, S. and </w:t>
      </w:r>
      <w:proofErr w:type="spellStart"/>
      <w:r w:rsidRPr="0042624D">
        <w:rPr>
          <w:color w:val="222222"/>
          <w:highlight w:val="white"/>
        </w:rPr>
        <w:t>Dhatariya</w:t>
      </w:r>
      <w:proofErr w:type="spellEnd"/>
      <w:r w:rsidRPr="0042624D">
        <w:rPr>
          <w:color w:val="222222"/>
          <w:highlight w:val="white"/>
        </w:rPr>
        <w:t xml:space="preserve">, K.K., 2021. Diabetes in older adults–time to include frailty as a care indicator. </w:t>
      </w:r>
      <w:r w:rsidRPr="0042624D">
        <w:rPr>
          <w:i/>
          <w:color w:val="222222"/>
          <w:highlight w:val="white"/>
        </w:rPr>
        <w:t>Diabetic medicine</w:t>
      </w:r>
      <w:r w:rsidRPr="0042624D">
        <w:rPr>
          <w:color w:val="222222"/>
          <w:highlight w:val="white"/>
        </w:rPr>
        <w:t xml:space="preserve">, </w:t>
      </w:r>
      <w:r w:rsidRPr="0042624D">
        <w:rPr>
          <w:i/>
          <w:color w:val="222222"/>
          <w:highlight w:val="white"/>
        </w:rPr>
        <w:t>38</w:t>
      </w:r>
      <w:r w:rsidRPr="0042624D">
        <w:rPr>
          <w:color w:val="222222"/>
          <w:highlight w:val="white"/>
        </w:rPr>
        <w:t>(5).</w:t>
      </w:r>
    </w:p>
    <w:p w14:paraId="633939BA" w14:textId="77777777" w:rsidR="00821F93" w:rsidRPr="0042624D" w:rsidRDefault="00821F93" w:rsidP="00821F93">
      <w:pPr>
        <w:rPr>
          <w:i/>
          <w:color w:val="222222"/>
          <w:highlight w:val="white"/>
        </w:rPr>
      </w:pPr>
      <w:r w:rsidRPr="0042624D">
        <w:rPr>
          <w:color w:val="222222"/>
          <w:highlight w:val="white"/>
        </w:rPr>
        <w:t xml:space="preserve">Xin, Y., Davies, A., Briggs, A., McCombie, L., </w:t>
      </w:r>
      <w:proofErr w:type="spellStart"/>
      <w:r w:rsidRPr="0042624D">
        <w:rPr>
          <w:color w:val="222222"/>
          <w:highlight w:val="white"/>
        </w:rPr>
        <w:t>Messow</w:t>
      </w:r>
      <w:proofErr w:type="spellEnd"/>
      <w:r w:rsidRPr="0042624D">
        <w:rPr>
          <w:color w:val="222222"/>
          <w:highlight w:val="white"/>
        </w:rPr>
        <w:t>, C.M., Grieve, E., Leslie, W.S., Taylor, R. and Lean, M.E., 2020. Type 2 diabetes remission: 2 year within-trial and lifetime-horizon cost-effectiveness of the Diabetes Remission Clinical Trial (</w:t>
      </w:r>
      <w:proofErr w:type="spellStart"/>
      <w:r w:rsidRPr="0042624D">
        <w:rPr>
          <w:color w:val="222222"/>
          <w:highlight w:val="white"/>
        </w:rPr>
        <w:t>DiRECT</w:t>
      </w:r>
      <w:proofErr w:type="spellEnd"/>
      <w:r w:rsidRPr="0042624D">
        <w:rPr>
          <w:color w:val="222222"/>
          <w:highlight w:val="white"/>
        </w:rPr>
        <w:t xml:space="preserve">)/Counterweight-Plus weight management programme. </w:t>
      </w:r>
      <w:proofErr w:type="spellStart"/>
      <w:r w:rsidRPr="0042624D">
        <w:rPr>
          <w:i/>
          <w:color w:val="222222"/>
          <w:highlight w:val="white"/>
        </w:rPr>
        <w:t>Diabetologia</w:t>
      </w:r>
      <w:proofErr w:type="spellEnd"/>
      <w:r w:rsidRPr="0042624D">
        <w:rPr>
          <w:color w:val="222222"/>
          <w:highlight w:val="white"/>
        </w:rPr>
        <w:t xml:space="preserve">, </w:t>
      </w:r>
      <w:r w:rsidRPr="0042624D">
        <w:rPr>
          <w:i/>
          <w:color w:val="222222"/>
          <w:highlight w:val="white"/>
        </w:rPr>
        <w:t>63</w:t>
      </w:r>
      <w:r w:rsidRPr="0042624D">
        <w:rPr>
          <w:color w:val="222222"/>
          <w:highlight w:val="white"/>
        </w:rPr>
        <w:t>, pp.2112-2122.et</w:t>
      </w:r>
    </w:p>
    <w:sectPr w:rsidR="00821F93" w:rsidRPr="0042624D" w:rsidSect="00093EB8">
      <w:footerReference w:type="default" r:id="rId8"/>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1D8A2B" w14:textId="77777777" w:rsidR="00DC7618" w:rsidRDefault="00DC7618" w:rsidP="00821F93">
      <w:pPr>
        <w:spacing w:line="240" w:lineRule="auto"/>
      </w:pPr>
      <w:r>
        <w:separator/>
      </w:r>
    </w:p>
  </w:endnote>
  <w:endnote w:type="continuationSeparator" w:id="0">
    <w:p w14:paraId="4121D956" w14:textId="77777777" w:rsidR="00DC7618" w:rsidRDefault="00DC7618" w:rsidP="00821F9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08856428"/>
      <w:docPartObj>
        <w:docPartGallery w:val="Page Numbers (Bottom of Page)"/>
        <w:docPartUnique/>
      </w:docPartObj>
    </w:sdtPr>
    <w:sdtEndPr>
      <w:rPr>
        <w:noProof/>
      </w:rPr>
    </w:sdtEndPr>
    <w:sdtContent>
      <w:p w14:paraId="6BC6EE47" w14:textId="77777777" w:rsidR="00821F93" w:rsidRDefault="00093EB8">
        <w:pPr>
          <w:pStyle w:val="Footer"/>
          <w:jc w:val="right"/>
        </w:pPr>
        <w:r>
          <w:fldChar w:fldCharType="begin"/>
        </w:r>
        <w:r w:rsidR="00821F93">
          <w:instrText xml:space="preserve"> PAGE   \* MERGEFORMAT </w:instrText>
        </w:r>
        <w:r>
          <w:fldChar w:fldCharType="separate"/>
        </w:r>
        <w:r w:rsidR="0042624D">
          <w:rPr>
            <w:noProof/>
          </w:rPr>
          <w:t>1</w:t>
        </w:r>
        <w:r>
          <w:rPr>
            <w:noProof/>
          </w:rPr>
          <w:fldChar w:fldCharType="end"/>
        </w:r>
      </w:p>
    </w:sdtContent>
  </w:sdt>
  <w:p w14:paraId="49B00983" w14:textId="77777777" w:rsidR="00821F93" w:rsidRDefault="00821F9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AB08E8" w14:textId="77777777" w:rsidR="00DC7618" w:rsidRDefault="00DC7618" w:rsidP="00821F93">
      <w:pPr>
        <w:spacing w:line="240" w:lineRule="auto"/>
      </w:pPr>
      <w:r>
        <w:separator/>
      </w:r>
    </w:p>
  </w:footnote>
  <w:footnote w:type="continuationSeparator" w:id="0">
    <w:p w14:paraId="7A902A1A" w14:textId="77777777" w:rsidR="00DC7618" w:rsidRDefault="00DC7618" w:rsidP="00821F93">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BE91ED4"/>
    <w:multiLevelType w:val="hybridMultilevel"/>
    <w:tmpl w:val="E92CBAC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645E311B"/>
    <w:multiLevelType w:val="hybridMultilevel"/>
    <w:tmpl w:val="35FEC3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956064317">
    <w:abstractNumId w:val="1"/>
  </w:num>
  <w:num w:numId="2" w16cid:durableId="5627626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5435"/>
    <w:rsid w:val="00093EB8"/>
    <w:rsid w:val="001732A8"/>
    <w:rsid w:val="001D3AFD"/>
    <w:rsid w:val="002E513D"/>
    <w:rsid w:val="00310317"/>
    <w:rsid w:val="0042624D"/>
    <w:rsid w:val="00560E43"/>
    <w:rsid w:val="006B2722"/>
    <w:rsid w:val="006B641D"/>
    <w:rsid w:val="006E4A0D"/>
    <w:rsid w:val="0077233C"/>
    <w:rsid w:val="00791884"/>
    <w:rsid w:val="00821F93"/>
    <w:rsid w:val="00A30CBE"/>
    <w:rsid w:val="00D2198E"/>
    <w:rsid w:val="00DB0649"/>
    <w:rsid w:val="00DC7618"/>
    <w:rsid w:val="00E37CA4"/>
    <w:rsid w:val="00EF7B6D"/>
    <w:rsid w:val="00F434FC"/>
    <w:rsid w:val="00F55435"/>
    <w:rsid w:val="00FA45F1"/>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02675F"/>
  <w15:docId w15:val="{8762334F-736F-3046-95F9-5E91F468B4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093EB8"/>
  </w:style>
  <w:style w:type="paragraph" w:styleId="Heading1">
    <w:name w:val="heading 1"/>
    <w:basedOn w:val="Normal"/>
    <w:next w:val="Normal"/>
    <w:rsid w:val="00093EB8"/>
    <w:pPr>
      <w:keepNext/>
      <w:keepLines/>
      <w:outlineLvl w:val="0"/>
    </w:pPr>
    <w:rPr>
      <w:b/>
      <w:sz w:val="32"/>
      <w:szCs w:val="32"/>
    </w:rPr>
  </w:style>
  <w:style w:type="paragraph" w:styleId="Heading2">
    <w:name w:val="heading 2"/>
    <w:basedOn w:val="Normal"/>
    <w:next w:val="Normal"/>
    <w:rsid w:val="00093EB8"/>
    <w:pPr>
      <w:keepNext/>
      <w:keepLines/>
      <w:outlineLvl w:val="1"/>
    </w:pPr>
    <w:rPr>
      <w:b/>
      <w:sz w:val="28"/>
      <w:szCs w:val="28"/>
    </w:rPr>
  </w:style>
  <w:style w:type="paragraph" w:styleId="Heading3">
    <w:name w:val="heading 3"/>
    <w:basedOn w:val="Normal"/>
    <w:next w:val="Normal"/>
    <w:rsid w:val="00093EB8"/>
    <w:pPr>
      <w:keepNext/>
      <w:keepLines/>
      <w:spacing w:before="320" w:after="80"/>
      <w:outlineLvl w:val="2"/>
    </w:pPr>
    <w:rPr>
      <w:color w:val="434343"/>
      <w:sz w:val="28"/>
      <w:szCs w:val="28"/>
    </w:rPr>
  </w:style>
  <w:style w:type="paragraph" w:styleId="Heading4">
    <w:name w:val="heading 4"/>
    <w:basedOn w:val="Normal"/>
    <w:next w:val="Normal"/>
    <w:rsid w:val="00093EB8"/>
    <w:pPr>
      <w:keepNext/>
      <w:keepLines/>
      <w:spacing w:before="280" w:after="80"/>
      <w:outlineLvl w:val="3"/>
    </w:pPr>
    <w:rPr>
      <w:color w:val="666666"/>
      <w:sz w:val="24"/>
      <w:szCs w:val="24"/>
    </w:rPr>
  </w:style>
  <w:style w:type="paragraph" w:styleId="Heading5">
    <w:name w:val="heading 5"/>
    <w:basedOn w:val="Normal"/>
    <w:next w:val="Normal"/>
    <w:rsid w:val="00093EB8"/>
    <w:pPr>
      <w:keepNext/>
      <w:keepLines/>
      <w:spacing w:before="240" w:after="80"/>
      <w:outlineLvl w:val="4"/>
    </w:pPr>
    <w:rPr>
      <w:color w:val="666666"/>
    </w:rPr>
  </w:style>
  <w:style w:type="paragraph" w:styleId="Heading6">
    <w:name w:val="heading 6"/>
    <w:basedOn w:val="Normal"/>
    <w:next w:val="Normal"/>
    <w:rsid w:val="00093EB8"/>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rsid w:val="00093EB8"/>
    <w:pPr>
      <w:keepNext/>
      <w:keepLines/>
      <w:spacing w:after="60"/>
    </w:pPr>
    <w:rPr>
      <w:sz w:val="52"/>
      <w:szCs w:val="52"/>
    </w:rPr>
  </w:style>
  <w:style w:type="paragraph" w:styleId="Subtitle">
    <w:name w:val="Subtitle"/>
    <w:basedOn w:val="Normal"/>
    <w:next w:val="Normal"/>
    <w:rsid w:val="00093EB8"/>
    <w:pPr>
      <w:keepNext/>
      <w:keepLines/>
      <w:spacing w:after="320"/>
    </w:pPr>
    <w:rPr>
      <w:color w:val="666666"/>
      <w:sz w:val="30"/>
      <w:szCs w:val="30"/>
    </w:rPr>
  </w:style>
  <w:style w:type="paragraph" w:styleId="TOCHeading">
    <w:name w:val="TOC Heading"/>
    <w:basedOn w:val="Heading1"/>
    <w:next w:val="Normal"/>
    <w:uiPriority w:val="39"/>
    <w:unhideWhenUsed/>
    <w:qFormat/>
    <w:rsid w:val="00821F93"/>
    <w:pPr>
      <w:spacing w:before="240" w:line="259" w:lineRule="auto"/>
      <w:jc w:val="left"/>
      <w:outlineLvl w:val="9"/>
    </w:pPr>
    <w:rPr>
      <w:rFonts w:asciiTheme="majorHAnsi" w:eastAsiaTheme="majorEastAsia" w:hAnsiTheme="majorHAnsi" w:cstheme="majorBidi"/>
      <w:b w:val="0"/>
      <w:color w:val="365F91" w:themeColor="accent1" w:themeShade="BF"/>
      <w:lang w:val="en-US"/>
    </w:rPr>
  </w:style>
  <w:style w:type="paragraph" w:styleId="TOC1">
    <w:name w:val="toc 1"/>
    <w:basedOn w:val="Normal"/>
    <w:next w:val="Normal"/>
    <w:autoRedefine/>
    <w:uiPriority w:val="39"/>
    <w:unhideWhenUsed/>
    <w:rsid w:val="00821F93"/>
    <w:pPr>
      <w:spacing w:after="100"/>
    </w:pPr>
  </w:style>
  <w:style w:type="paragraph" w:styleId="TOC2">
    <w:name w:val="toc 2"/>
    <w:basedOn w:val="Normal"/>
    <w:next w:val="Normal"/>
    <w:autoRedefine/>
    <w:uiPriority w:val="39"/>
    <w:unhideWhenUsed/>
    <w:rsid w:val="00821F93"/>
    <w:pPr>
      <w:spacing w:after="100"/>
      <w:ind w:left="220"/>
    </w:pPr>
  </w:style>
  <w:style w:type="character" w:styleId="Hyperlink">
    <w:name w:val="Hyperlink"/>
    <w:basedOn w:val="DefaultParagraphFont"/>
    <w:uiPriority w:val="99"/>
    <w:unhideWhenUsed/>
    <w:rsid w:val="00821F93"/>
    <w:rPr>
      <w:color w:val="0000FF" w:themeColor="hyperlink"/>
      <w:u w:val="single"/>
    </w:rPr>
  </w:style>
  <w:style w:type="paragraph" w:styleId="Header">
    <w:name w:val="header"/>
    <w:basedOn w:val="Normal"/>
    <w:link w:val="HeaderChar"/>
    <w:uiPriority w:val="99"/>
    <w:unhideWhenUsed/>
    <w:rsid w:val="00821F93"/>
    <w:pPr>
      <w:tabs>
        <w:tab w:val="center" w:pos="4680"/>
        <w:tab w:val="right" w:pos="9360"/>
      </w:tabs>
      <w:spacing w:line="240" w:lineRule="auto"/>
    </w:pPr>
  </w:style>
  <w:style w:type="character" w:customStyle="1" w:styleId="HeaderChar">
    <w:name w:val="Header Char"/>
    <w:basedOn w:val="DefaultParagraphFont"/>
    <w:link w:val="Header"/>
    <w:uiPriority w:val="99"/>
    <w:rsid w:val="00821F93"/>
  </w:style>
  <w:style w:type="paragraph" w:styleId="Footer">
    <w:name w:val="footer"/>
    <w:basedOn w:val="Normal"/>
    <w:link w:val="FooterChar"/>
    <w:uiPriority w:val="99"/>
    <w:unhideWhenUsed/>
    <w:rsid w:val="00821F93"/>
    <w:pPr>
      <w:tabs>
        <w:tab w:val="center" w:pos="4680"/>
        <w:tab w:val="right" w:pos="9360"/>
      </w:tabs>
      <w:spacing w:line="240" w:lineRule="auto"/>
    </w:pPr>
  </w:style>
  <w:style w:type="character" w:customStyle="1" w:styleId="FooterChar">
    <w:name w:val="Footer Char"/>
    <w:basedOn w:val="DefaultParagraphFont"/>
    <w:link w:val="Footer"/>
    <w:uiPriority w:val="99"/>
    <w:rsid w:val="00821F93"/>
  </w:style>
  <w:style w:type="paragraph" w:styleId="ListParagraph">
    <w:name w:val="List Paragraph"/>
    <w:basedOn w:val="Normal"/>
    <w:uiPriority w:val="34"/>
    <w:qFormat/>
    <w:rsid w:val="00821F93"/>
    <w:pPr>
      <w:ind w:left="720"/>
      <w:contextualSpacing/>
    </w:pPr>
  </w:style>
  <w:style w:type="paragraph" w:styleId="BalloonText">
    <w:name w:val="Balloon Text"/>
    <w:basedOn w:val="Normal"/>
    <w:link w:val="BalloonTextChar"/>
    <w:uiPriority w:val="99"/>
    <w:semiHidden/>
    <w:unhideWhenUsed/>
    <w:rsid w:val="0042624D"/>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2624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B1AC082-EC33-40B1-BB27-8CDA8C1266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9</Pages>
  <Words>2635</Words>
  <Characters>15026</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17626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anaya</dc:creator>
  <cp:lastModifiedBy>Nagina Koser (2207175)</cp:lastModifiedBy>
  <cp:revision>2</cp:revision>
  <dcterms:created xsi:type="dcterms:W3CDTF">2023-03-23T14:39:00Z</dcterms:created>
  <dcterms:modified xsi:type="dcterms:W3CDTF">2023-03-23T14:39:00Z</dcterms:modified>
</cp:coreProperties>
</file>