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before="0" w:after="200"/>
        <w:jc w:val="left"/>
        <w:rPr/>
      </w:pPr>
      <w:r>
        <w:rPr/>
      </w:r>
    </w:p>
    <w:p>
      <w:pPr>
        <w:pStyle w:val="TextBody"/>
        <w:ind w:left="200" w:hanging="0"/>
        <w:rPr>
          <w:rFonts w:ascii="Times New Roman" w:hAnsi="Times New Roman"/>
          <w:sz w:val="20"/>
        </w:rPr>
      </w:pPr>
      <w:r>
        <w:rPr/>
        <w:drawing>
          <wp:inline distT="0" distB="0" distL="0" distR="0">
            <wp:extent cx="2317750" cy="926465"/>
            <wp:effectExtent l="0" t="0" r="0" b="0"/>
            <wp:docPr id="1" name="image1.jpeg"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U:\UWTSD Logo.jpg"/>
                    <pic:cNvPicPr>
                      <a:picLocks noChangeAspect="1" noChangeArrowheads="1"/>
                    </pic:cNvPicPr>
                  </pic:nvPicPr>
                  <pic:blipFill>
                    <a:blip r:embed="rId2"/>
                    <a:stretch>
                      <a:fillRect/>
                    </a:stretch>
                  </pic:blipFill>
                  <pic:spPr bwMode="auto">
                    <a:xfrm>
                      <a:off x="0" y="0"/>
                      <a:ext cx="2317750" cy="926465"/>
                    </a:xfrm>
                    <a:prstGeom prst="rect">
                      <a:avLst/>
                    </a:prstGeom>
                  </pic:spPr>
                </pic:pic>
              </a:graphicData>
            </a:graphic>
          </wp:inline>
        </w:drawing>
      </w:r>
    </w:p>
    <w:p>
      <w:pPr>
        <w:pStyle w:val="TextBody"/>
        <w:rPr>
          <w:rFonts w:ascii="Times New Roman" w:hAnsi="Times New Roman"/>
          <w:sz w:val="20"/>
        </w:rPr>
      </w:pPr>
      <w:r>
        <w:rPr>
          <w:rFonts w:ascii="Times New Roman" w:hAnsi="Times New Roman"/>
          <w:sz w:val="20"/>
        </w:rPr>
      </w:r>
    </w:p>
    <w:p>
      <w:pPr>
        <w:pStyle w:val="TextBody"/>
        <w:rPr>
          <w:rFonts w:ascii="Times New Roman" w:hAnsi="Times New Roman"/>
          <w:sz w:val="28"/>
        </w:rPr>
      </w:pPr>
      <w:r>
        <w:rPr>
          <w:rFonts w:ascii="Times New Roman" w:hAnsi="Times New Roman"/>
          <w:sz w:val="28"/>
        </w:rPr>
      </w:r>
    </w:p>
    <w:p>
      <w:pPr>
        <w:pStyle w:val="TextBody"/>
        <w:rPr>
          <w:rFonts w:ascii="Times New Roman" w:hAnsi="Times New Roman"/>
          <w:sz w:val="20"/>
        </w:rPr>
      </w:pPr>
      <w:r>
        <w:rPr>
          <w:rFonts w:ascii="Times New Roman" w:hAnsi="Times New Roman"/>
          <w:sz w:val="20"/>
        </w:rPr>
      </w:r>
    </w:p>
    <w:p>
      <w:pPr>
        <w:pStyle w:val="TextBody"/>
        <w:rPr>
          <w:rFonts w:ascii="Times New Roman" w:hAnsi="Times New Roman"/>
          <w:sz w:val="20"/>
        </w:rPr>
      </w:pPr>
      <w:r>
        <w:rPr>
          <w:rFonts w:ascii="Times New Roman" w:hAnsi="Times New Roman"/>
          <w:sz w:val="20"/>
        </w:rPr>
      </w:r>
    </w:p>
    <w:p>
      <w:pPr>
        <w:pStyle w:val="TextBody"/>
        <w:spacing w:before="1" w:after="0"/>
        <w:rPr>
          <w:rFonts w:ascii="Times New Roman" w:hAnsi="Times New Roman"/>
          <w:sz w:val="27"/>
        </w:rPr>
      </w:pPr>
      <w:r>
        <w:rPr>
          <w:rFonts w:ascii="Times New Roman" w:hAnsi="Times New Roman"/>
          <w:sz w:val="27"/>
        </w:rPr>
      </w:r>
    </w:p>
    <w:p>
      <w:pPr>
        <w:pStyle w:val="Heading1"/>
        <w:spacing w:before="90" w:after="0"/>
        <w:ind w:left="3169" w:right="3204" w:hanging="10"/>
        <w:rPr/>
      </w:pPr>
      <w:r>
        <w:rPr/>
        <w:t>MODULE CODE:LCBB4001</w:t>
      </w:r>
    </w:p>
    <w:p>
      <w:pPr>
        <w:pStyle w:val="Heading1"/>
        <w:spacing w:before="90" w:after="0"/>
        <w:ind w:left="3169" w:right="3204" w:hanging="10"/>
        <w:rPr/>
      </w:pPr>
      <w:r>
        <w:rPr>
          <w:spacing w:val="-57"/>
        </w:rPr>
        <w:t xml:space="preserve"> </w:t>
      </w:r>
    </w:p>
    <w:p>
      <w:pPr>
        <w:pStyle w:val="Normal"/>
        <w:spacing w:lineRule="auto" w:line="446" w:before="1" w:after="0"/>
        <w:ind w:left="2115" w:right="2881" w:hanging="0"/>
        <w:rPr>
          <w:b/>
          <w:b/>
          <w:spacing w:val="-57"/>
        </w:rPr>
      </w:pPr>
      <w:r>
        <w:rPr>
          <w:b/>
        </w:rPr>
        <w:t xml:space="preserve">          </w:t>
      </w:r>
      <w:r>
        <w:rPr>
          <w:b/>
        </w:rPr>
        <w:t>ACCOUNTING FUNDAMENTALS</w:t>
      </w:r>
      <w:r>
        <w:rPr>
          <w:b/>
          <w:spacing w:val="-57"/>
        </w:rPr>
        <w:t xml:space="preserve"> </w:t>
      </w:r>
    </w:p>
    <w:p>
      <w:pPr>
        <w:pStyle w:val="Normal"/>
        <w:spacing w:lineRule="auto" w:line="446" w:before="1" w:after="0"/>
        <w:ind w:left="200" w:right="2881" w:firstLine="2635"/>
        <w:rPr>
          <w:b/>
          <w:b/>
        </w:rPr>
      </w:pPr>
      <w:r>
        <w:rPr>
          <w:b/>
        </w:rPr>
        <w:t>TIME:</w:t>
      </w:r>
      <w:r>
        <w:rPr>
          <w:b/>
          <w:spacing w:val="58"/>
        </w:rPr>
        <w:t xml:space="preserve"> </w:t>
      </w:r>
      <w:r>
        <w:rPr>
          <w:b/>
        </w:rPr>
        <w:t>9:00AM</w:t>
      </w:r>
      <w:r>
        <w:rPr>
          <w:b/>
          <w:spacing w:val="-1"/>
        </w:rPr>
        <w:t xml:space="preserve"> </w:t>
      </w:r>
      <w:r>
        <w:rPr>
          <w:b/>
        </w:rPr>
        <w:t>TO 4:00PM</w:t>
      </w:r>
    </w:p>
    <w:p>
      <w:pPr>
        <w:pStyle w:val="TextBody"/>
        <w:rPr>
          <w:rFonts w:ascii="Times New Roman" w:hAnsi="Times New Roman"/>
          <w:b/>
          <w:b/>
          <w:sz w:val="26"/>
        </w:rPr>
      </w:pPr>
      <w:r>
        <w:rPr>
          <w:rFonts w:ascii="Times New Roman" w:hAnsi="Times New Roman"/>
          <w:b/>
          <w:sz w:val="26"/>
        </w:rPr>
      </w:r>
    </w:p>
    <w:p>
      <w:pPr>
        <w:pStyle w:val="TextBody"/>
        <w:rPr>
          <w:rFonts w:ascii="Times New Roman" w:hAnsi="Times New Roman"/>
          <w:b/>
          <w:b/>
          <w:sz w:val="26"/>
        </w:rPr>
      </w:pPr>
      <w:r>
        <w:rPr>
          <w:rFonts w:ascii="Times New Roman" w:hAnsi="Times New Roman"/>
          <w:b/>
          <w:sz w:val="26"/>
        </w:rPr>
      </w:r>
    </w:p>
    <w:p>
      <w:pPr>
        <w:pStyle w:val="TextBody"/>
        <w:tabs>
          <w:tab w:val="clear" w:pos="720"/>
          <w:tab w:val="left" w:pos="2360" w:leader="none"/>
          <w:tab w:val="left" w:pos="6736" w:leader="none"/>
        </w:tabs>
        <w:spacing w:before="229" w:after="0"/>
        <w:ind w:left="200" w:hanging="0"/>
        <w:rPr>
          <w:rFonts w:ascii="Times New Roman" w:hAnsi="Times New Roman"/>
        </w:rPr>
      </w:pPr>
      <w:r>
        <w:rPr>
          <w:rFonts w:ascii="Times New Roman" w:hAnsi="Times New Roman"/>
        </w:rPr>
        <w:t>Name</w:t>
        <w:tab/>
        <w:t xml:space="preserve">:  </w:t>
      </w:r>
      <w:r>
        <w:rPr>
          <w:rFonts w:cs="Times New Roman" w:ascii="Times New Roman" w:hAnsi="Times New Roman"/>
          <w:color w:val="333333"/>
          <w:shd w:fill="FFFFFF" w:val="clear"/>
        </w:rPr>
        <w:t>Vasile Murgu</w:t>
      </w:r>
    </w:p>
    <w:p>
      <w:pPr>
        <w:pStyle w:val="TextBody"/>
        <w:spacing w:before="3" w:after="0"/>
        <w:rPr>
          <w:rFonts w:ascii="Times New Roman" w:hAnsi="Times New Roman"/>
          <w:sz w:val="16"/>
        </w:rPr>
      </w:pPr>
      <w:r>
        <w:rPr>
          <w:rFonts w:ascii="Times New Roman" w:hAnsi="Times New Roman"/>
          <w:sz w:val="16"/>
        </w:rPr>
      </w:r>
    </w:p>
    <w:p>
      <w:pPr>
        <w:pStyle w:val="TextBody"/>
        <w:tabs>
          <w:tab w:val="clear" w:pos="720"/>
          <w:tab w:val="left" w:pos="2360" w:leader="none"/>
          <w:tab w:val="left" w:pos="6736" w:leader="none"/>
        </w:tabs>
        <w:spacing w:before="90" w:after="0"/>
        <w:ind w:left="200" w:hanging="0"/>
        <w:rPr>
          <w:rFonts w:ascii="Times New Roman" w:hAnsi="Times New Roman"/>
        </w:rPr>
      </w:pPr>
      <w:r>
        <w:rPr>
          <w:rFonts w:ascii="Times New Roman" w:hAnsi="Times New Roman"/>
        </w:rPr>
        <w:t>Student</w:t>
      </w:r>
      <w:r>
        <w:rPr>
          <w:rFonts w:ascii="Times New Roman" w:hAnsi="Times New Roman"/>
          <w:spacing w:val="-2"/>
        </w:rPr>
        <w:t xml:space="preserve"> </w:t>
      </w:r>
      <w:r>
        <w:rPr>
          <w:rFonts w:ascii="Times New Roman" w:hAnsi="Times New Roman"/>
        </w:rPr>
        <w:t>ID</w:t>
        <w:tab/>
        <w:t>:</w:t>
      </w:r>
      <w:r>
        <w:rPr>
          <w:rFonts w:ascii="Times New Roman" w:hAnsi="Times New Roman"/>
          <w:spacing w:val="1"/>
        </w:rPr>
        <w:t xml:space="preserve"> </w:t>
      </w:r>
      <w:r>
        <w:rPr>
          <w:rFonts w:ascii="Times New Roman" w:hAnsi="Times New Roman"/>
        </w:rPr>
        <w:t xml:space="preserve"> 2019287</w:t>
      </w:r>
    </w:p>
    <w:p>
      <w:pPr>
        <w:pStyle w:val="TextBody"/>
        <w:spacing w:before="2" w:after="0"/>
        <w:rPr>
          <w:rFonts w:ascii="Times New Roman" w:hAnsi="Times New Roman"/>
          <w:sz w:val="16"/>
        </w:rPr>
      </w:pPr>
      <w:r>
        <w:rPr>
          <w:rFonts w:ascii="Times New Roman" w:hAnsi="Times New Roman"/>
          <w:sz w:val="16"/>
        </w:rPr>
      </w:r>
    </w:p>
    <w:p>
      <w:pPr>
        <w:pStyle w:val="TextBody"/>
        <w:tabs>
          <w:tab w:val="clear" w:pos="720"/>
          <w:tab w:val="left" w:pos="2360" w:leader="none"/>
          <w:tab w:val="left" w:pos="6736" w:leader="none"/>
        </w:tabs>
        <w:spacing w:before="90" w:after="0"/>
        <w:ind w:left="200" w:hanging="0"/>
        <w:rPr>
          <w:rFonts w:ascii="Times New Roman" w:hAnsi="Times New Roman"/>
        </w:rPr>
      </w:pPr>
      <w:r>
        <w:rPr>
          <w:rFonts w:ascii="Times New Roman" w:hAnsi="Times New Roman"/>
        </w:rPr>
        <w:t>Date</w:t>
      </w:r>
      <w:r>
        <w:rPr>
          <w:rFonts w:ascii="Times New Roman" w:hAnsi="Times New Roman"/>
          <w:spacing w:val="-1"/>
        </w:rPr>
        <w:t xml:space="preserve"> </w:t>
      </w:r>
      <w:r>
        <w:rPr>
          <w:rFonts w:ascii="Times New Roman" w:hAnsi="Times New Roman"/>
        </w:rPr>
        <w:t>&amp; Time</w:t>
        <w:tab/>
        <w:t>:</w:t>
      </w:r>
      <w:r>
        <w:rPr>
          <w:rFonts w:ascii="Times New Roman" w:hAnsi="Times New Roman"/>
          <w:spacing w:val="1"/>
        </w:rPr>
        <w:t xml:space="preserve"> </w:t>
      </w:r>
      <w:r>
        <w:rPr>
          <w:rFonts w:ascii="Times New Roman" w:hAnsi="Times New Roman"/>
        </w:rPr>
        <w:t xml:space="preserve"> 27/08/2021</w:t>
      </w:r>
    </w:p>
    <w:p>
      <w:pPr>
        <w:pStyle w:val="Normal"/>
        <w:spacing w:lineRule="auto" w:line="360"/>
        <w:ind w:left="2160" w:hanging="0"/>
        <w:rPr/>
      </w:pPr>
      <w:r>
        <w:rPr/>
      </w:r>
    </w:p>
    <w:p>
      <w:pPr>
        <w:pStyle w:val="Normal"/>
        <w:spacing w:lineRule="auto" w:line="360"/>
        <w:ind w:left="2160" w:hanging="0"/>
        <w:rPr/>
      </w:pPr>
      <w:r>
        <w:rPr/>
      </w:r>
    </w:p>
    <w:p>
      <w:pPr>
        <w:pStyle w:val="Normal"/>
        <w:spacing w:lineRule="auto" w:line="360"/>
        <w:ind w:left="2160" w:hanging="0"/>
        <w:rPr/>
      </w:pPr>
      <w:r>
        <w:rPr/>
      </w:r>
    </w:p>
    <w:p>
      <w:pPr>
        <w:pStyle w:val="Normal"/>
        <w:spacing w:lineRule="auto" w:line="360"/>
        <w:ind w:left="2160" w:hanging="0"/>
        <w:rPr/>
      </w:pPr>
      <w:r>
        <w:rPr/>
      </w:r>
    </w:p>
    <w:p>
      <w:pPr>
        <w:pStyle w:val="Normal"/>
        <w:spacing w:lineRule="auto" w:line="360"/>
        <w:ind w:left="2160" w:hanging="0"/>
        <w:rPr/>
      </w:pPr>
      <w:r>
        <w:rPr/>
      </w:r>
    </w:p>
    <w:p>
      <w:pPr>
        <w:pStyle w:val="Normal"/>
        <w:spacing w:lineRule="auto" w:line="360"/>
        <w:ind w:left="2160" w:hanging="0"/>
        <w:rPr/>
      </w:pPr>
      <w:r>
        <w:rPr/>
      </w:r>
    </w:p>
    <w:p>
      <w:pPr>
        <w:pStyle w:val="Normal"/>
        <w:spacing w:lineRule="auto" w:line="360"/>
        <w:ind w:left="2160" w:hanging="0"/>
        <w:rPr/>
      </w:pPr>
      <w:r>
        <w:rPr/>
      </w:r>
    </w:p>
    <w:p>
      <w:pPr>
        <w:pStyle w:val="Normal"/>
        <w:spacing w:lineRule="auto" w:line="360"/>
        <w:ind w:left="2160" w:hanging="0"/>
        <w:rPr/>
      </w:pPr>
      <w:r>
        <w:rPr/>
      </w:r>
    </w:p>
    <w:p>
      <w:pPr>
        <w:pStyle w:val="Normal"/>
        <w:spacing w:lineRule="auto" w:line="360"/>
        <w:ind w:left="2160" w:hanging="0"/>
        <w:rPr/>
      </w:pPr>
      <w:r>
        <w:rPr/>
      </w:r>
    </w:p>
    <w:p>
      <w:pPr>
        <w:pStyle w:val="Normal"/>
        <w:spacing w:lineRule="auto" w:line="360"/>
        <w:ind w:left="2160" w:hanging="0"/>
        <w:rPr/>
      </w:pPr>
      <w:r>
        <w:rPr/>
      </w:r>
    </w:p>
    <w:p>
      <w:pPr>
        <w:pStyle w:val="Normal"/>
        <w:spacing w:lineRule="auto" w:line="360"/>
        <w:ind w:left="2160" w:hanging="0"/>
        <w:rPr/>
      </w:pPr>
      <w:r>
        <w:rPr/>
      </w:r>
    </w:p>
    <w:p>
      <w:pPr>
        <w:pStyle w:val="Normal"/>
        <w:spacing w:lineRule="auto" w:line="360"/>
        <w:ind w:left="2160" w:hanging="0"/>
        <w:rPr/>
      </w:pPr>
      <w:r>
        <w:rPr/>
      </w:r>
    </w:p>
    <w:p>
      <w:pPr>
        <w:pStyle w:val="Normal"/>
        <w:spacing w:lineRule="auto" w:line="360"/>
        <w:ind w:left="2160" w:hanging="0"/>
        <w:rPr/>
      </w:pPr>
      <w:r>
        <w:rPr/>
      </w:r>
    </w:p>
    <w:sdt>
      <w:sdtPr>
        <w:docPartObj>
          <w:docPartGallery w:val="Table of Contents"/>
          <w:docPartUnique w:val="true"/>
        </w:docPartObj>
      </w:sdtPr>
      <w:sdtContent>
        <w:p>
          <w:pPr>
            <w:pStyle w:val="TOCHeading"/>
            <w:spacing w:lineRule="auto" w:line="360"/>
            <w:jc w:val="both"/>
            <w:rPr/>
          </w:pPr>
          <w:r>
            <w:rPr>
              <w:rFonts w:cs="Times New Roman" w:ascii="Times New Roman" w:hAnsi="Times New Roman"/>
            </w:rPr>
            <w:t>TABLE OF CONTENTS</w:t>
          </w:r>
        </w:p>
        <w:p>
          <w:pPr>
            <w:pStyle w:val="Contents1"/>
            <w:tabs>
              <w:tab w:val="clear" w:pos="720"/>
              <w:tab w:val="right" w:pos="9350" w:leader="dot"/>
            </w:tabs>
            <w:spacing w:lineRule="auto" w:line="360"/>
            <w:rPr>
              <w:rFonts w:ascii="Calibri" w:hAnsi="Calibri" w:eastAsia="" w:cs="" w:asciiTheme="minorHAnsi" w:cstheme="minorBidi" w:eastAsiaTheme="minorEastAsia" w:hAnsiTheme="minorHAnsi"/>
              <w:sz w:val="22"/>
              <w:szCs w:val="22"/>
            </w:rPr>
          </w:pPr>
          <w:r>
            <w:fldChar w:fldCharType="begin"/>
          </w:r>
          <w:r>
            <w:rPr>
              <w:webHidden/>
              <w:rStyle w:val="IndexLink"/>
              <w:vanish w:val="false"/>
            </w:rPr>
            <w:instrText> TOC \z \o "1-3" \u \h</w:instrText>
          </w:r>
          <w:r>
            <w:rPr>
              <w:webHidden/>
              <w:rStyle w:val="IndexLink"/>
              <w:vanish w:val="false"/>
            </w:rPr>
            <w:fldChar w:fldCharType="separate"/>
          </w:r>
          <w:hyperlink w:anchor="_Toc80982004">
            <w:r>
              <w:rPr>
                <w:webHidden/>
              </w:rPr>
              <w:fldChar w:fldCharType="begin"/>
            </w:r>
            <w:r>
              <w:rPr>
                <w:webHidden/>
              </w:rPr>
              <w:instrText>PAGEREF _Toc80982004 \h</w:instrText>
            </w:r>
            <w:r>
              <w:rPr>
                <w:webHidden/>
              </w:rPr>
              <w:fldChar w:fldCharType="separate"/>
            </w:r>
            <w:r>
              <w:rPr>
                <w:webHidden/>
                <w:rStyle w:val="IndexLink"/>
                <w:vanish w:val="false"/>
              </w:rPr>
              <w:t>QUESTION 1</w:t>
              <w:tab/>
              <w:t>3</w:t>
            </w:r>
            <w:r>
              <w:rPr>
                <w:webHidden/>
              </w:rPr>
              <w:fldChar w:fldCharType="end"/>
            </w:r>
          </w:hyperlink>
        </w:p>
        <w:p>
          <w:pPr>
            <w:pStyle w:val="Contents2"/>
            <w:tabs>
              <w:tab w:val="clear" w:pos="720"/>
              <w:tab w:val="right" w:pos="9350" w:leader="dot"/>
            </w:tabs>
            <w:spacing w:lineRule="auto" w:line="360"/>
            <w:rPr>
              <w:rFonts w:ascii="Calibri" w:hAnsi="Calibri" w:eastAsia="" w:cs="" w:asciiTheme="minorHAnsi" w:cstheme="minorBidi" w:eastAsiaTheme="minorEastAsia" w:hAnsiTheme="minorHAnsi"/>
              <w:sz w:val="22"/>
              <w:szCs w:val="22"/>
            </w:rPr>
          </w:pPr>
          <w:hyperlink w:anchor="_Toc80982005">
            <w:r>
              <w:rPr>
                <w:webHidden/>
              </w:rPr>
              <w:fldChar w:fldCharType="begin"/>
            </w:r>
            <w:r>
              <w:rPr>
                <w:webHidden/>
              </w:rPr>
              <w:instrText>PAGEREF _Toc80982005 \h</w:instrText>
            </w:r>
            <w:r>
              <w:rPr>
                <w:webHidden/>
              </w:rPr>
              <w:fldChar w:fldCharType="separate"/>
            </w:r>
            <w:r>
              <w:rPr>
                <w:webHidden/>
                <w:rStyle w:val="IndexLink"/>
                <w:vanish w:val="false"/>
              </w:rPr>
              <w:t>(A) CALCULATION OF BREAK-EVEN POINT</w:t>
              <w:tab/>
              <w:t>3</w:t>
            </w:r>
            <w:r>
              <w:rPr>
                <w:webHidden/>
              </w:rPr>
              <w:fldChar w:fldCharType="end"/>
            </w:r>
          </w:hyperlink>
        </w:p>
        <w:p>
          <w:pPr>
            <w:pStyle w:val="Contents2"/>
            <w:tabs>
              <w:tab w:val="clear" w:pos="720"/>
              <w:tab w:val="right" w:pos="9350" w:leader="dot"/>
            </w:tabs>
            <w:spacing w:lineRule="auto" w:line="360"/>
            <w:rPr>
              <w:rFonts w:ascii="Calibri" w:hAnsi="Calibri" w:eastAsia="" w:cs="" w:asciiTheme="minorHAnsi" w:cstheme="minorBidi" w:eastAsiaTheme="minorEastAsia" w:hAnsiTheme="minorHAnsi"/>
              <w:sz w:val="22"/>
              <w:szCs w:val="22"/>
            </w:rPr>
          </w:pPr>
          <w:hyperlink w:anchor="_Toc80982006">
            <w:r>
              <w:rPr>
                <w:webHidden/>
              </w:rPr>
              <w:fldChar w:fldCharType="begin"/>
            </w:r>
            <w:r>
              <w:rPr>
                <w:webHidden/>
              </w:rPr>
              <w:instrText>PAGEREF _Toc80982006 \h</w:instrText>
            </w:r>
            <w:r>
              <w:rPr>
                <w:webHidden/>
              </w:rPr>
              <w:fldChar w:fldCharType="separate"/>
            </w:r>
            <w:r>
              <w:rPr>
                <w:webHidden/>
                <w:rStyle w:val="IndexLink"/>
                <w:vanish w:val="false"/>
              </w:rPr>
              <w:t>(B) CALCULATION OF PROFIT ON SALE OF 75,000 UNITS</w:t>
              <w:tab/>
              <w:t>4</w:t>
            </w:r>
            <w:r>
              <w:rPr>
                <w:webHidden/>
              </w:rPr>
              <w:fldChar w:fldCharType="end"/>
            </w:r>
          </w:hyperlink>
        </w:p>
        <w:p>
          <w:pPr>
            <w:pStyle w:val="Contents2"/>
            <w:tabs>
              <w:tab w:val="clear" w:pos="720"/>
              <w:tab w:val="right" w:pos="9350" w:leader="dot"/>
            </w:tabs>
            <w:spacing w:lineRule="auto" w:line="360"/>
            <w:rPr>
              <w:rFonts w:ascii="Calibri" w:hAnsi="Calibri" w:eastAsia="" w:cs="" w:asciiTheme="minorHAnsi" w:cstheme="minorBidi" w:eastAsiaTheme="minorEastAsia" w:hAnsiTheme="minorHAnsi"/>
              <w:sz w:val="22"/>
              <w:szCs w:val="22"/>
            </w:rPr>
          </w:pPr>
          <w:hyperlink w:anchor="_Toc80982007">
            <w:r>
              <w:rPr>
                <w:webHidden/>
              </w:rPr>
              <w:fldChar w:fldCharType="begin"/>
            </w:r>
            <w:r>
              <w:rPr>
                <w:webHidden/>
              </w:rPr>
              <w:instrText>PAGEREF _Toc80982007 \h</w:instrText>
            </w:r>
            <w:r>
              <w:rPr>
                <w:webHidden/>
              </w:rPr>
              <w:fldChar w:fldCharType="separate"/>
            </w:r>
            <w:r>
              <w:rPr>
                <w:webHidden/>
                <w:rStyle w:val="IndexLink"/>
                <w:vanish w:val="false"/>
              </w:rPr>
              <w:t>(C) CALCULATION OF NEW PROFIT ON SALE OF IMPROVED PRODUCT</w:t>
              <w:tab/>
              <w:t>5</w:t>
            </w:r>
            <w:r>
              <w:rPr>
                <w:webHidden/>
              </w:rPr>
              <w:fldChar w:fldCharType="end"/>
            </w:r>
          </w:hyperlink>
        </w:p>
        <w:p>
          <w:pPr>
            <w:pStyle w:val="Contents2"/>
            <w:tabs>
              <w:tab w:val="clear" w:pos="720"/>
              <w:tab w:val="right" w:pos="9350" w:leader="dot"/>
            </w:tabs>
            <w:spacing w:lineRule="auto" w:line="360"/>
            <w:rPr>
              <w:rFonts w:ascii="Calibri" w:hAnsi="Calibri" w:eastAsia="" w:cs="" w:asciiTheme="minorHAnsi" w:cstheme="minorBidi" w:eastAsiaTheme="minorEastAsia" w:hAnsiTheme="minorHAnsi"/>
              <w:sz w:val="22"/>
              <w:szCs w:val="22"/>
            </w:rPr>
          </w:pPr>
          <w:hyperlink w:anchor="_Toc80982008">
            <w:r>
              <w:rPr>
                <w:webHidden/>
              </w:rPr>
              <w:fldChar w:fldCharType="begin"/>
            </w:r>
            <w:r>
              <w:rPr>
                <w:webHidden/>
              </w:rPr>
              <w:instrText>PAGEREF _Toc80982008 \h</w:instrText>
            </w:r>
            <w:r>
              <w:rPr>
                <w:webHidden/>
              </w:rPr>
              <w:fldChar w:fldCharType="separate"/>
            </w:r>
            <w:r>
              <w:rPr>
                <w:webHidden/>
                <w:rStyle w:val="IndexLink"/>
                <w:vanish w:val="false"/>
              </w:rPr>
              <w:t>(D) LIMITATIONS OF BREAK-EVEN ANALYSIS</w:t>
              <w:tab/>
              <w:t>6</w:t>
            </w:r>
            <w:r>
              <w:rPr>
                <w:webHidden/>
              </w:rPr>
              <w:fldChar w:fldCharType="end"/>
            </w:r>
          </w:hyperlink>
        </w:p>
        <w:p>
          <w:pPr>
            <w:pStyle w:val="Contents1"/>
            <w:tabs>
              <w:tab w:val="clear" w:pos="720"/>
              <w:tab w:val="right" w:pos="9350" w:leader="dot"/>
            </w:tabs>
            <w:spacing w:lineRule="auto" w:line="360"/>
            <w:rPr>
              <w:rFonts w:ascii="Calibri" w:hAnsi="Calibri" w:eastAsia="" w:cs="" w:asciiTheme="minorHAnsi" w:cstheme="minorBidi" w:eastAsiaTheme="minorEastAsia" w:hAnsiTheme="minorHAnsi"/>
              <w:sz w:val="22"/>
              <w:szCs w:val="22"/>
            </w:rPr>
          </w:pPr>
          <w:hyperlink w:anchor="_Toc80982009">
            <w:r>
              <w:rPr>
                <w:webHidden/>
              </w:rPr>
              <w:fldChar w:fldCharType="begin"/>
            </w:r>
            <w:r>
              <w:rPr>
                <w:webHidden/>
              </w:rPr>
              <w:instrText>PAGEREF _Toc80982009 \h</w:instrText>
            </w:r>
            <w:r>
              <w:rPr>
                <w:webHidden/>
              </w:rPr>
              <w:fldChar w:fldCharType="separate"/>
            </w:r>
            <w:r>
              <w:rPr>
                <w:webHidden/>
                <w:rStyle w:val="IndexLink"/>
                <w:vanish w:val="false"/>
              </w:rPr>
              <w:t>QUESTION 2</w:t>
              <w:tab/>
              <w:t>8</w:t>
            </w:r>
            <w:r>
              <w:rPr>
                <w:webHidden/>
              </w:rPr>
              <w:fldChar w:fldCharType="end"/>
            </w:r>
          </w:hyperlink>
        </w:p>
        <w:p>
          <w:pPr>
            <w:pStyle w:val="Contents2"/>
            <w:tabs>
              <w:tab w:val="clear" w:pos="720"/>
              <w:tab w:val="right" w:pos="9350" w:leader="dot"/>
            </w:tabs>
            <w:spacing w:lineRule="auto" w:line="360"/>
            <w:rPr>
              <w:rFonts w:ascii="Calibri" w:hAnsi="Calibri" w:eastAsia="" w:cs="" w:asciiTheme="minorHAnsi" w:cstheme="minorBidi" w:eastAsiaTheme="minorEastAsia" w:hAnsiTheme="minorHAnsi"/>
              <w:sz w:val="22"/>
              <w:szCs w:val="22"/>
            </w:rPr>
          </w:pPr>
          <w:hyperlink w:anchor="_Toc80982010">
            <w:r>
              <w:rPr>
                <w:webHidden/>
              </w:rPr>
              <w:fldChar w:fldCharType="begin"/>
            </w:r>
            <w:r>
              <w:rPr>
                <w:webHidden/>
              </w:rPr>
              <w:instrText>PAGEREF _Toc80982010 \h</w:instrText>
            </w:r>
            <w:r>
              <w:rPr>
                <w:webHidden/>
              </w:rPr>
              <w:fldChar w:fldCharType="separate"/>
            </w:r>
            <w:r>
              <w:rPr>
                <w:webHidden/>
                <w:rStyle w:val="IndexLink"/>
                <w:vanish w:val="false"/>
              </w:rPr>
              <w:t>(A) IMPORTANCE OF MANAGEMENT ACCOUNTING AND DIFFERENCES FROM FINANCIAL ACCOUNTING</w:t>
              <w:tab/>
              <w:t>8</w:t>
            </w:r>
            <w:r>
              <w:rPr>
                <w:webHidden/>
              </w:rPr>
              <w:fldChar w:fldCharType="end"/>
            </w:r>
          </w:hyperlink>
        </w:p>
        <w:p>
          <w:pPr>
            <w:pStyle w:val="Contents2"/>
            <w:tabs>
              <w:tab w:val="clear" w:pos="720"/>
              <w:tab w:val="right" w:pos="9350" w:leader="dot"/>
            </w:tabs>
            <w:spacing w:lineRule="auto" w:line="360"/>
            <w:rPr>
              <w:rFonts w:ascii="Calibri" w:hAnsi="Calibri" w:eastAsia="" w:cs="" w:asciiTheme="minorHAnsi" w:cstheme="minorBidi" w:eastAsiaTheme="minorEastAsia" w:hAnsiTheme="minorHAnsi"/>
              <w:sz w:val="22"/>
              <w:szCs w:val="22"/>
            </w:rPr>
          </w:pPr>
          <w:hyperlink w:anchor="_Toc80982011">
            <w:r>
              <w:rPr>
                <w:webHidden/>
              </w:rPr>
              <w:fldChar w:fldCharType="begin"/>
            </w:r>
            <w:r>
              <w:rPr>
                <w:webHidden/>
              </w:rPr>
              <w:instrText>PAGEREF _Toc80982011 \h</w:instrText>
            </w:r>
            <w:r>
              <w:rPr>
                <w:webHidden/>
              </w:rPr>
              <w:fldChar w:fldCharType="separate"/>
            </w:r>
            <w:r>
              <w:rPr>
                <w:webHidden/>
                <w:rStyle w:val="IndexLink"/>
                <w:vanish w:val="false"/>
              </w:rPr>
              <w:t>(B) TECHNIQUES FOR ACHIEVING OBJECTIVES OF MANAGEMENT ACCOUNTING</w:t>
              <w:tab/>
              <w:t>10</w:t>
            </w:r>
            <w:r>
              <w:rPr>
                <w:webHidden/>
              </w:rPr>
              <w:fldChar w:fldCharType="end"/>
            </w:r>
          </w:hyperlink>
        </w:p>
        <w:p>
          <w:pPr>
            <w:pStyle w:val="Contents1"/>
            <w:tabs>
              <w:tab w:val="clear" w:pos="720"/>
              <w:tab w:val="right" w:pos="9350" w:leader="dot"/>
            </w:tabs>
            <w:spacing w:lineRule="auto" w:line="360"/>
            <w:rPr>
              <w:rFonts w:ascii="Calibri" w:hAnsi="Calibri" w:eastAsia="" w:cs="" w:asciiTheme="minorHAnsi" w:cstheme="minorBidi" w:eastAsiaTheme="minorEastAsia" w:hAnsiTheme="minorHAnsi"/>
              <w:sz w:val="22"/>
              <w:szCs w:val="22"/>
            </w:rPr>
          </w:pPr>
          <w:hyperlink w:anchor="_Toc80982012">
            <w:r>
              <w:rPr>
                <w:webHidden/>
              </w:rPr>
              <w:fldChar w:fldCharType="begin"/>
            </w:r>
            <w:r>
              <w:rPr>
                <w:webHidden/>
              </w:rPr>
              <w:instrText>PAGEREF _Toc80982012 \h</w:instrText>
            </w:r>
            <w:r>
              <w:rPr>
                <w:webHidden/>
              </w:rPr>
              <w:fldChar w:fldCharType="separate"/>
            </w:r>
            <w:r>
              <w:rPr>
                <w:webHidden/>
                <w:rStyle w:val="IndexLink"/>
                <w:vanish w:val="false"/>
              </w:rPr>
              <w:t>REFERENCE LIST</w:t>
              <w:tab/>
              <w:t>11</w:t>
            </w:r>
            <w:r>
              <w:rPr>
                <w:webHidden/>
              </w:rPr>
              <w:fldChar w:fldCharType="end"/>
            </w:r>
          </w:hyperlink>
        </w:p>
        <w:p>
          <w:pPr>
            <w:pStyle w:val="Normal"/>
            <w:spacing w:lineRule="auto" w:line="360"/>
            <w:rPr/>
          </w:pPr>
          <w:r>
            <w:rPr/>
          </w:r>
          <w:r>
            <w:rPr/>
            <w:fldChar w:fldCharType="end"/>
          </w:r>
        </w:p>
      </w:sdtContent>
    </w:sdt>
    <w:p>
      <w:pPr>
        <w:pStyle w:val="Normal"/>
        <w:spacing w:lineRule="auto" w:line="360" w:before="0" w:after="200"/>
        <w:jc w:val="left"/>
        <w:rPr>
          <w:rFonts w:eastAsia="" w:cs="" w:cstheme="majorBidi" w:eastAsiaTheme="majorEastAsia"/>
          <w:b/>
          <w:b/>
          <w:bCs/>
          <w:color w:val="365F91" w:themeColor="accent1" w:themeShade="bf"/>
          <w:szCs w:val="28"/>
        </w:rPr>
      </w:pPr>
      <w:r>
        <w:rPr>
          <w:rFonts w:eastAsia="" w:cs="" w:cstheme="majorBidi" w:eastAsiaTheme="majorEastAsia"/>
          <w:b/>
          <w:bCs/>
          <w:color w:val="365F91" w:themeColor="accent1" w:themeShade="bf"/>
          <w:szCs w:val="28"/>
        </w:rPr>
      </w:r>
      <w:r>
        <w:br w:type="page"/>
      </w:r>
    </w:p>
    <w:p>
      <w:pPr>
        <w:pStyle w:val="Heading1"/>
        <w:spacing w:lineRule="auto" w:line="360"/>
        <w:rPr/>
      </w:pPr>
      <w:bookmarkStart w:id="0" w:name="_Toc80982004"/>
      <w:bookmarkStart w:id="1" w:name="_Toc80981657"/>
      <w:r>
        <w:rPr/>
        <w:t>QUESTION 1</w:t>
      </w:r>
      <w:bookmarkEnd w:id="0"/>
      <w:bookmarkEnd w:id="1"/>
    </w:p>
    <w:p>
      <w:pPr>
        <w:pStyle w:val="Heading2"/>
        <w:spacing w:lineRule="auto" w:line="360"/>
        <w:rPr/>
      </w:pPr>
      <w:bookmarkStart w:id="2" w:name="_Toc80981658"/>
      <w:bookmarkStart w:id="3" w:name="_Toc80982005"/>
      <w:r>
        <w:rPr/>
        <w:t>(A) CALCULATION OF BREAK-EVEN POINT</w:t>
      </w:r>
      <w:bookmarkEnd w:id="2"/>
      <w:bookmarkEnd w:id="3"/>
    </w:p>
    <w:p>
      <w:pPr>
        <w:pStyle w:val="Normal"/>
        <w:spacing w:lineRule="auto" w:line="360"/>
        <w:rPr/>
      </w:pPr>
      <w:r>
        <w:rPr/>
        <w:t xml:space="preserve">The Break-even point for a manufacturing business organisation, like Kerrigan Ltd, holds significant importance as this point reflects such a level at which the business gets able to cover all its expenses from the revenue. This point depicts the balance between the costs and revenue where the business earns neither profit nor faces any loss. It is a neutral level that is important to be determined for the sake of making rational decisions concerning sales volume, selling price, cost control, etc. (Sintha, 2020). </w:t>
      </w:r>
    </w:p>
    <w:p>
      <w:pPr>
        <w:pStyle w:val="Normal"/>
        <w:spacing w:lineRule="auto" w:line="360"/>
        <w:rPr/>
      </w:pPr>
      <w:r>
        <w:rPr/>
        <w:t>The break-even point of Product A produced by Kerrigan Ltd can be calculated as follows:</w:t>
      </w:r>
    </w:p>
    <w:tbl>
      <w:tblPr>
        <w:tblStyle w:val="TableGrid"/>
        <w:tblW w:w="9576" w:type="dxa"/>
        <w:jc w:val="center"/>
        <w:tblInd w:w="0" w:type="dxa"/>
        <w:tblCellMar>
          <w:top w:w="0" w:type="dxa"/>
          <w:left w:w="108" w:type="dxa"/>
          <w:bottom w:w="0" w:type="dxa"/>
          <w:right w:w="108" w:type="dxa"/>
        </w:tblCellMar>
        <w:tblLook w:firstRow="1" w:noVBand="1" w:lastRow="0" w:firstColumn="1" w:lastColumn="0" w:noHBand="0" w:val="04a0"/>
      </w:tblPr>
      <w:tblGrid>
        <w:gridCol w:w="2444"/>
        <w:gridCol w:w="4020"/>
        <w:gridCol w:w="1818"/>
        <w:gridCol w:w="1293"/>
      </w:tblGrid>
      <w:tr>
        <w:trPr/>
        <w:tc>
          <w:tcPr>
            <w:tcW w:w="9575" w:type="dxa"/>
            <w:gridSpan w:val="4"/>
            <w:tcBorders/>
            <w:shd w:fill="auto" w:val="clear"/>
          </w:tcPr>
          <w:p>
            <w:pPr>
              <w:pStyle w:val="Normal"/>
              <w:spacing w:lineRule="auto" w:line="360" w:before="0" w:after="0"/>
              <w:jc w:val="center"/>
              <w:rPr>
                <w:b/>
                <w:b/>
              </w:rPr>
            </w:pPr>
            <w:r>
              <w:rPr>
                <w:b/>
              </w:rPr>
              <w:t xml:space="preserve">Break-even Point of Kerrigan Ltd’s Product A </w:t>
            </w:r>
          </w:p>
        </w:tc>
      </w:tr>
      <w:tr>
        <w:trPr/>
        <w:tc>
          <w:tcPr>
            <w:tcW w:w="2444" w:type="dxa"/>
            <w:tcBorders/>
            <w:shd w:fill="auto" w:val="clear"/>
          </w:tcPr>
          <w:p>
            <w:pPr>
              <w:pStyle w:val="Normal"/>
              <w:spacing w:lineRule="auto" w:line="360" w:before="0" w:after="0"/>
              <w:jc w:val="center"/>
              <w:rPr>
                <w:b/>
                <w:b/>
              </w:rPr>
            </w:pPr>
            <w:r>
              <w:rPr>
                <w:b/>
              </w:rPr>
              <w:t>Particulars</w:t>
            </w:r>
          </w:p>
        </w:tc>
        <w:tc>
          <w:tcPr>
            <w:tcW w:w="4020" w:type="dxa"/>
            <w:tcBorders/>
            <w:shd w:fill="auto" w:val="clear"/>
          </w:tcPr>
          <w:p>
            <w:pPr>
              <w:pStyle w:val="Normal"/>
              <w:spacing w:lineRule="auto" w:line="360" w:before="0" w:after="0"/>
              <w:jc w:val="center"/>
              <w:rPr>
                <w:b/>
                <w:b/>
              </w:rPr>
            </w:pPr>
            <w:r>
              <w:rPr>
                <w:b/>
              </w:rPr>
              <w:t>Formula</w:t>
            </w:r>
          </w:p>
        </w:tc>
        <w:tc>
          <w:tcPr>
            <w:tcW w:w="1818" w:type="dxa"/>
            <w:tcBorders/>
            <w:shd w:fill="auto" w:val="clear"/>
          </w:tcPr>
          <w:p>
            <w:pPr>
              <w:pStyle w:val="Normal"/>
              <w:spacing w:lineRule="auto" w:line="360" w:before="0" w:after="0"/>
              <w:jc w:val="center"/>
              <w:rPr>
                <w:b/>
                <w:b/>
              </w:rPr>
            </w:pPr>
            <w:r>
              <w:rPr>
                <w:b/>
              </w:rPr>
              <w:t>Computation</w:t>
            </w:r>
          </w:p>
        </w:tc>
        <w:tc>
          <w:tcPr>
            <w:tcW w:w="1293" w:type="dxa"/>
            <w:tcBorders/>
            <w:shd w:fill="auto" w:val="clear"/>
          </w:tcPr>
          <w:p>
            <w:pPr>
              <w:pStyle w:val="Normal"/>
              <w:spacing w:lineRule="auto" w:line="360" w:before="0" w:after="0"/>
              <w:jc w:val="center"/>
              <w:rPr>
                <w:b/>
                <w:b/>
              </w:rPr>
            </w:pPr>
            <w:r>
              <w:rPr>
                <w:b/>
              </w:rPr>
              <w:t>Result</w:t>
            </w:r>
          </w:p>
        </w:tc>
      </w:tr>
      <w:tr>
        <w:trPr/>
        <w:tc>
          <w:tcPr>
            <w:tcW w:w="2444" w:type="dxa"/>
            <w:tcBorders/>
            <w:shd w:fill="auto" w:val="clear"/>
          </w:tcPr>
          <w:p>
            <w:pPr>
              <w:pStyle w:val="Normal"/>
              <w:spacing w:lineRule="auto" w:line="360" w:before="0" w:after="0"/>
              <w:rPr/>
            </w:pPr>
            <w:r>
              <w:rPr/>
              <w:t>Selling price per unit</w:t>
            </w:r>
          </w:p>
        </w:tc>
        <w:tc>
          <w:tcPr>
            <w:tcW w:w="4020" w:type="dxa"/>
            <w:tcBorders/>
            <w:shd w:fill="auto" w:val="clear"/>
          </w:tcPr>
          <w:p>
            <w:pPr>
              <w:pStyle w:val="Normal"/>
              <w:spacing w:lineRule="auto" w:line="360" w:before="0" w:after="0"/>
              <w:rPr/>
            </w:pPr>
            <w:r>
              <w:rPr/>
            </w:r>
          </w:p>
        </w:tc>
        <w:tc>
          <w:tcPr>
            <w:tcW w:w="1818" w:type="dxa"/>
            <w:tcBorders/>
            <w:shd w:fill="auto" w:val="clear"/>
          </w:tcPr>
          <w:p>
            <w:pPr>
              <w:pStyle w:val="Normal"/>
              <w:spacing w:lineRule="auto" w:line="360" w:before="0" w:after="0"/>
              <w:rPr/>
            </w:pPr>
            <w:r>
              <w:rPr/>
              <w:t>Given</w:t>
            </w:r>
          </w:p>
        </w:tc>
        <w:tc>
          <w:tcPr>
            <w:tcW w:w="1293" w:type="dxa"/>
            <w:tcBorders/>
            <w:shd w:fill="auto" w:val="clear"/>
          </w:tcPr>
          <w:p>
            <w:pPr>
              <w:pStyle w:val="Normal"/>
              <w:spacing w:lineRule="auto" w:line="360" w:before="0" w:after="0"/>
              <w:jc w:val="right"/>
              <w:rPr/>
            </w:pPr>
            <w:r>
              <w:rPr/>
              <w:t>£11</w:t>
            </w:r>
          </w:p>
        </w:tc>
      </w:tr>
      <w:tr>
        <w:trPr/>
        <w:tc>
          <w:tcPr>
            <w:tcW w:w="2444" w:type="dxa"/>
            <w:tcBorders/>
            <w:shd w:fill="auto" w:val="clear"/>
          </w:tcPr>
          <w:p>
            <w:pPr>
              <w:pStyle w:val="Normal"/>
              <w:spacing w:lineRule="auto" w:line="360" w:before="0" w:after="0"/>
              <w:rPr/>
            </w:pPr>
            <w:r>
              <w:rPr/>
              <w:t>Variable cost per unit</w:t>
            </w:r>
          </w:p>
        </w:tc>
        <w:tc>
          <w:tcPr>
            <w:tcW w:w="4020" w:type="dxa"/>
            <w:tcBorders/>
            <w:shd w:fill="auto" w:val="clear"/>
          </w:tcPr>
          <w:p>
            <w:pPr>
              <w:pStyle w:val="Normal"/>
              <w:spacing w:lineRule="auto" w:line="360" w:before="0" w:after="0"/>
              <w:rPr/>
            </w:pPr>
            <w:r>
              <w:rPr/>
            </w:r>
          </w:p>
        </w:tc>
        <w:tc>
          <w:tcPr>
            <w:tcW w:w="1818" w:type="dxa"/>
            <w:tcBorders/>
            <w:shd w:fill="auto" w:val="clear"/>
          </w:tcPr>
          <w:p>
            <w:pPr>
              <w:pStyle w:val="Normal"/>
              <w:spacing w:lineRule="auto" w:line="360" w:before="0" w:after="0"/>
              <w:rPr/>
            </w:pPr>
            <w:r>
              <w:rPr/>
              <w:t>Given</w:t>
            </w:r>
          </w:p>
        </w:tc>
        <w:tc>
          <w:tcPr>
            <w:tcW w:w="1293" w:type="dxa"/>
            <w:tcBorders/>
            <w:shd w:fill="auto" w:val="clear"/>
          </w:tcPr>
          <w:p>
            <w:pPr>
              <w:pStyle w:val="Normal"/>
              <w:spacing w:lineRule="auto" w:line="360" w:before="0" w:after="0"/>
              <w:jc w:val="right"/>
              <w:rPr/>
            </w:pPr>
            <w:r>
              <w:rPr/>
              <w:t>£6</w:t>
            </w:r>
          </w:p>
        </w:tc>
      </w:tr>
      <w:tr>
        <w:trPr/>
        <w:tc>
          <w:tcPr>
            <w:tcW w:w="2444" w:type="dxa"/>
            <w:tcBorders/>
            <w:shd w:fill="auto" w:val="clear"/>
          </w:tcPr>
          <w:p>
            <w:pPr>
              <w:pStyle w:val="Normal"/>
              <w:spacing w:lineRule="auto" w:line="360" w:before="0" w:after="0"/>
              <w:rPr/>
            </w:pPr>
            <w:r>
              <w:rPr/>
              <w:t>Contribution per unit</w:t>
            </w:r>
          </w:p>
        </w:tc>
        <w:tc>
          <w:tcPr>
            <w:tcW w:w="4020" w:type="dxa"/>
            <w:tcBorders/>
            <w:shd w:fill="auto" w:val="clear"/>
          </w:tcPr>
          <w:p>
            <w:pPr>
              <w:pStyle w:val="Normal"/>
              <w:spacing w:lineRule="auto" w:line="360" w:before="0" w:after="0"/>
              <w:rPr/>
            </w:pPr>
            <w:r>
              <w:rPr/>
              <w:t>Selling price per unit - Variable cost per unit</w:t>
            </w:r>
          </w:p>
        </w:tc>
        <w:tc>
          <w:tcPr>
            <w:tcW w:w="1818" w:type="dxa"/>
            <w:tcBorders/>
            <w:shd w:fill="auto" w:val="clear"/>
          </w:tcPr>
          <w:p>
            <w:pPr>
              <w:pStyle w:val="Normal"/>
              <w:spacing w:lineRule="auto" w:line="360" w:before="0" w:after="0"/>
              <w:rPr/>
            </w:pPr>
            <w:r>
              <w:rPr/>
              <w:t>£11 - £6</w:t>
            </w:r>
          </w:p>
        </w:tc>
        <w:tc>
          <w:tcPr>
            <w:tcW w:w="1293" w:type="dxa"/>
            <w:tcBorders/>
            <w:shd w:fill="auto" w:val="clear"/>
          </w:tcPr>
          <w:p>
            <w:pPr>
              <w:pStyle w:val="Normal"/>
              <w:spacing w:lineRule="auto" w:line="360" w:before="0" w:after="0"/>
              <w:jc w:val="right"/>
              <w:rPr/>
            </w:pPr>
            <w:r>
              <w:rPr/>
              <w:t>£5</w:t>
            </w:r>
          </w:p>
        </w:tc>
      </w:tr>
      <w:tr>
        <w:trPr/>
        <w:tc>
          <w:tcPr>
            <w:tcW w:w="2444" w:type="dxa"/>
            <w:tcBorders/>
            <w:shd w:fill="auto" w:val="clear"/>
          </w:tcPr>
          <w:p>
            <w:pPr>
              <w:pStyle w:val="Normal"/>
              <w:spacing w:lineRule="auto" w:line="360" w:before="0" w:after="0"/>
              <w:rPr/>
            </w:pPr>
            <w:r>
              <w:rPr/>
              <w:t>Profit/Volume (P/V) ratio</w:t>
            </w:r>
          </w:p>
        </w:tc>
        <w:tc>
          <w:tcPr>
            <w:tcW w:w="4020" w:type="dxa"/>
            <w:tcBorders/>
            <w:shd w:fill="auto" w:val="clear"/>
          </w:tcPr>
          <w:p>
            <w:pPr>
              <w:pStyle w:val="Normal"/>
              <w:spacing w:lineRule="auto" w:line="360" w:before="0" w:after="0"/>
              <w:rPr/>
            </w:pPr>
            <w:r>
              <w:rPr/>
              <w:t>Contribution per unit/Selling price per unit*100</w:t>
            </w:r>
          </w:p>
        </w:tc>
        <w:tc>
          <w:tcPr>
            <w:tcW w:w="1818" w:type="dxa"/>
            <w:tcBorders/>
            <w:shd w:fill="auto" w:val="clear"/>
          </w:tcPr>
          <w:p>
            <w:pPr>
              <w:pStyle w:val="Normal"/>
              <w:spacing w:lineRule="auto" w:line="360" w:before="0" w:after="0"/>
              <w:rPr/>
            </w:pPr>
            <w:r>
              <w:rPr/>
              <w:t>£5/£11*100</w:t>
            </w:r>
          </w:p>
        </w:tc>
        <w:tc>
          <w:tcPr>
            <w:tcW w:w="1293" w:type="dxa"/>
            <w:tcBorders/>
            <w:shd w:fill="auto" w:val="clear"/>
          </w:tcPr>
          <w:p>
            <w:pPr>
              <w:pStyle w:val="Normal"/>
              <w:spacing w:lineRule="auto" w:line="360" w:before="0" w:after="0"/>
              <w:jc w:val="right"/>
              <w:rPr/>
            </w:pPr>
            <w:r>
              <w:rPr/>
              <w:t>45.45%</w:t>
            </w:r>
          </w:p>
        </w:tc>
      </w:tr>
      <w:tr>
        <w:trPr/>
        <w:tc>
          <w:tcPr>
            <w:tcW w:w="2444" w:type="dxa"/>
            <w:tcBorders/>
            <w:shd w:fill="auto" w:val="clear"/>
          </w:tcPr>
          <w:p>
            <w:pPr>
              <w:pStyle w:val="Normal"/>
              <w:spacing w:lineRule="auto" w:line="360" w:before="0" w:after="0"/>
              <w:rPr/>
            </w:pPr>
            <w:r>
              <w:rPr/>
              <w:t>Fixed costs</w:t>
            </w:r>
          </w:p>
        </w:tc>
        <w:tc>
          <w:tcPr>
            <w:tcW w:w="4020" w:type="dxa"/>
            <w:tcBorders/>
            <w:shd w:fill="auto" w:val="clear"/>
          </w:tcPr>
          <w:p>
            <w:pPr>
              <w:pStyle w:val="Normal"/>
              <w:spacing w:lineRule="auto" w:line="360" w:before="0" w:after="0"/>
              <w:rPr/>
            </w:pPr>
            <w:r>
              <w:rPr/>
            </w:r>
          </w:p>
        </w:tc>
        <w:tc>
          <w:tcPr>
            <w:tcW w:w="1818" w:type="dxa"/>
            <w:tcBorders/>
            <w:shd w:fill="auto" w:val="clear"/>
          </w:tcPr>
          <w:p>
            <w:pPr>
              <w:pStyle w:val="Normal"/>
              <w:spacing w:lineRule="auto" w:line="360" w:before="0" w:after="0"/>
              <w:rPr/>
            </w:pPr>
            <w:r>
              <w:rPr/>
              <w:t>Given</w:t>
            </w:r>
          </w:p>
        </w:tc>
        <w:tc>
          <w:tcPr>
            <w:tcW w:w="1293" w:type="dxa"/>
            <w:tcBorders/>
            <w:shd w:fill="auto" w:val="clear"/>
          </w:tcPr>
          <w:p>
            <w:pPr>
              <w:pStyle w:val="Normal"/>
              <w:spacing w:lineRule="auto" w:line="360" w:before="0" w:after="0"/>
              <w:jc w:val="right"/>
              <w:rPr/>
            </w:pPr>
            <w:r>
              <w:rPr/>
              <w:t>£350,000</w:t>
            </w:r>
          </w:p>
        </w:tc>
      </w:tr>
      <w:tr>
        <w:trPr/>
        <w:tc>
          <w:tcPr>
            <w:tcW w:w="2444" w:type="dxa"/>
            <w:tcBorders/>
            <w:shd w:fill="auto" w:val="clear"/>
          </w:tcPr>
          <w:p>
            <w:pPr>
              <w:pStyle w:val="Normal"/>
              <w:spacing w:lineRule="auto" w:line="360" w:before="0" w:after="0"/>
              <w:rPr>
                <w:b/>
                <w:b/>
              </w:rPr>
            </w:pPr>
            <w:r>
              <w:rPr>
                <w:b/>
              </w:rPr>
              <w:t>Break-even point in units</w:t>
            </w:r>
          </w:p>
        </w:tc>
        <w:tc>
          <w:tcPr>
            <w:tcW w:w="4020" w:type="dxa"/>
            <w:tcBorders/>
            <w:shd w:fill="auto" w:val="clear"/>
          </w:tcPr>
          <w:p>
            <w:pPr>
              <w:pStyle w:val="Normal"/>
              <w:spacing w:lineRule="auto" w:line="360" w:before="0" w:after="0"/>
              <w:rPr>
                <w:b/>
                <w:b/>
              </w:rPr>
            </w:pPr>
            <w:r>
              <w:rPr>
                <w:b/>
              </w:rPr>
              <w:t>Fixed costs/Contribution per unit</w:t>
            </w:r>
          </w:p>
        </w:tc>
        <w:tc>
          <w:tcPr>
            <w:tcW w:w="1818" w:type="dxa"/>
            <w:tcBorders/>
            <w:shd w:fill="auto" w:val="clear"/>
          </w:tcPr>
          <w:p>
            <w:pPr>
              <w:pStyle w:val="Normal"/>
              <w:spacing w:lineRule="auto" w:line="360" w:before="0" w:after="0"/>
              <w:rPr>
                <w:b/>
                <w:b/>
              </w:rPr>
            </w:pPr>
            <w:r>
              <w:rPr>
                <w:b/>
              </w:rPr>
              <w:t>£350,000/£5</w:t>
            </w:r>
          </w:p>
        </w:tc>
        <w:tc>
          <w:tcPr>
            <w:tcW w:w="1293" w:type="dxa"/>
            <w:tcBorders/>
            <w:shd w:fill="auto" w:val="clear"/>
          </w:tcPr>
          <w:p>
            <w:pPr>
              <w:pStyle w:val="Normal"/>
              <w:spacing w:lineRule="auto" w:line="360" w:before="0" w:after="0"/>
              <w:jc w:val="right"/>
              <w:rPr>
                <w:b/>
                <w:b/>
              </w:rPr>
            </w:pPr>
            <w:r>
              <w:rPr>
                <w:b/>
              </w:rPr>
              <w:t>70,000 units</w:t>
            </w:r>
          </w:p>
        </w:tc>
      </w:tr>
      <w:tr>
        <w:trPr/>
        <w:tc>
          <w:tcPr>
            <w:tcW w:w="2444" w:type="dxa"/>
            <w:tcBorders/>
            <w:shd w:fill="auto" w:val="clear"/>
          </w:tcPr>
          <w:p>
            <w:pPr>
              <w:pStyle w:val="Normal"/>
              <w:spacing w:lineRule="auto" w:line="360" w:before="0" w:after="0"/>
              <w:rPr>
                <w:b/>
                <w:b/>
              </w:rPr>
            </w:pPr>
            <w:r>
              <w:rPr>
                <w:b/>
              </w:rPr>
              <w:t>Break-even point revenue</w:t>
            </w:r>
          </w:p>
        </w:tc>
        <w:tc>
          <w:tcPr>
            <w:tcW w:w="4020" w:type="dxa"/>
            <w:tcBorders/>
            <w:shd w:fill="auto" w:val="clear"/>
          </w:tcPr>
          <w:p>
            <w:pPr>
              <w:pStyle w:val="Normal"/>
              <w:spacing w:lineRule="auto" w:line="360" w:before="0" w:after="0"/>
              <w:rPr>
                <w:b/>
                <w:b/>
              </w:rPr>
            </w:pPr>
            <w:r>
              <w:rPr>
                <w:b/>
              </w:rPr>
              <w:t>Fixed costs/P/V Ratio</w:t>
            </w:r>
          </w:p>
        </w:tc>
        <w:tc>
          <w:tcPr>
            <w:tcW w:w="1818" w:type="dxa"/>
            <w:tcBorders/>
            <w:shd w:fill="auto" w:val="clear"/>
          </w:tcPr>
          <w:p>
            <w:pPr>
              <w:pStyle w:val="Normal"/>
              <w:spacing w:lineRule="auto" w:line="360" w:before="0" w:after="0"/>
              <w:rPr>
                <w:b/>
                <w:b/>
              </w:rPr>
            </w:pPr>
            <w:r>
              <w:rPr>
                <w:b/>
              </w:rPr>
              <w:t>£350,000/45.45%</w:t>
            </w:r>
          </w:p>
        </w:tc>
        <w:tc>
          <w:tcPr>
            <w:tcW w:w="1293" w:type="dxa"/>
            <w:tcBorders/>
            <w:shd w:fill="auto" w:val="clear"/>
          </w:tcPr>
          <w:p>
            <w:pPr>
              <w:pStyle w:val="Normal"/>
              <w:spacing w:lineRule="auto" w:line="360" w:before="0" w:after="0"/>
              <w:jc w:val="right"/>
              <w:rPr>
                <w:b/>
                <w:b/>
              </w:rPr>
            </w:pPr>
            <w:r>
              <w:rPr>
                <w:b/>
              </w:rPr>
              <w:t>£770,000</w:t>
            </w:r>
          </w:p>
        </w:tc>
      </w:tr>
    </w:tbl>
    <w:p>
      <w:pPr>
        <w:pStyle w:val="Normal"/>
        <w:spacing w:lineRule="auto" w:line="360"/>
        <w:rPr/>
      </w:pPr>
      <w:r>
        <w:rPr/>
      </w:r>
    </w:p>
    <w:p>
      <w:pPr>
        <w:pStyle w:val="Normal"/>
        <w:spacing w:lineRule="auto" w:line="360"/>
        <w:rPr/>
      </w:pPr>
      <w:r>
        <w:rPr/>
        <w:t xml:space="preserve">The above calculations provide that Kerrigan Ltd will be able to attain a break-even point in respect of its Product A on making the sale of 70,000 units, i.e. on the generation of sales revenue of £770,000. </w:t>
      </w:r>
    </w:p>
    <w:p>
      <w:pPr>
        <w:pStyle w:val="Normal"/>
        <w:spacing w:lineRule="auto" w:line="360" w:before="0" w:after="200"/>
        <w:jc w:val="left"/>
        <w:rPr/>
      </w:pPr>
      <w:r>
        <w:rPr/>
      </w:r>
      <w:r>
        <w:br w:type="page"/>
      </w:r>
    </w:p>
    <w:p>
      <w:pPr>
        <w:pStyle w:val="Heading2"/>
        <w:spacing w:lineRule="auto" w:line="360"/>
        <w:rPr/>
      </w:pPr>
      <w:bookmarkStart w:id="4" w:name="_Toc80981659"/>
      <w:bookmarkStart w:id="5" w:name="_Toc80982006"/>
      <w:r>
        <w:rPr/>
        <w:t>(B) CALCULATION OF PROFIT ON SALE OF 75,000 UNITS</w:t>
      </w:r>
      <w:bookmarkEnd w:id="4"/>
      <w:bookmarkEnd w:id="5"/>
    </w:p>
    <w:p>
      <w:pPr>
        <w:pStyle w:val="Normal"/>
        <w:spacing w:lineRule="auto" w:line="360"/>
        <w:rPr/>
      </w:pPr>
      <w:r>
        <w:rPr/>
        <w:t>Kerrigan Ltd earns profit on the sale of Product A after meeting variable and fixed costs from the revenue generated. Such profit can be calculated as follows:</w:t>
      </w:r>
    </w:p>
    <w:tbl>
      <w:tblPr>
        <w:tblStyle w:val="TableGrid"/>
        <w:tblW w:w="8675" w:type="dxa"/>
        <w:jc w:val="center"/>
        <w:tblInd w:w="0" w:type="dxa"/>
        <w:tblCellMar>
          <w:top w:w="0" w:type="dxa"/>
          <w:left w:w="108" w:type="dxa"/>
          <w:bottom w:w="0" w:type="dxa"/>
          <w:right w:w="108" w:type="dxa"/>
        </w:tblCellMar>
        <w:tblLook w:firstRow="1" w:noVBand="1" w:lastRow="0" w:firstColumn="1" w:lastColumn="0" w:noHBand="0" w:val="04a0"/>
      </w:tblPr>
      <w:tblGrid>
        <w:gridCol w:w="1913"/>
        <w:gridCol w:w="3406"/>
        <w:gridCol w:w="2050"/>
        <w:gridCol w:w="1305"/>
      </w:tblGrid>
      <w:tr>
        <w:trPr/>
        <w:tc>
          <w:tcPr>
            <w:tcW w:w="8674" w:type="dxa"/>
            <w:gridSpan w:val="4"/>
            <w:tcBorders/>
            <w:shd w:fill="auto" w:val="clear"/>
          </w:tcPr>
          <w:p>
            <w:pPr>
              <w:pStyle w:val="Normal"/>
              <w:spacing w:lineRule="auto" w:line="360" w:before="0" w:after="0"/>
              <w:jc w:val="center"/>
              <w:rPr>
                <w:b/>
                <w:b/>
              </w:rPr>
            </w:pPr>
            <w:r>
              <w:rPr>
                <w:b/>
              </w:rPr>
              <w:t xml:space="preserve">Profit earned by Kerrigan Ltd on sale of Product A </w:t>
            </w:r>
          </w:p>
        </w:tc>
      </w:tr>
      <w:tr>
        <w:trPr/>
        <w:tc>
          <w:tcPr>
            <w:tcW w:w="1913" w:type="dxa"/>
            <w:tcBorders/>
            <w:shd w:fill="auto" w:val="clear"/>
          </w:tcPr>
          <w:p>
            <w:pPr>
              <w:pStyle w:val="Normal"/>
              <w:spacing w:lineRule="auto" w:line="360" w:before="0" w:after="0"/>
              <w:jc w:val="center"/>
              <w:rPr>
                <w:b/>
                <w:b/>
              </w:rPr>
            </w:pPr>
            <w:r>
              <w:rPr>
                <w:b/>
              </w:rPr>
              <w:t>Particulars</w:t>
            </w:r>
          </w:p>
        </w:tc>
        <w:tc>
          <w:tcPr>
            <w:tcW w:w="3406" w:type="dxa"/>
            <w:tcBorders/>
            <w:shd w:fill="auto" w:val="clear"/>
          </w:tcPr>
          <w:p>
            <w:pPr>
              <w:pStyle w:val="Normal"/>
              <w:spacing w:lineRule="auto" w:line="360" w:before="0" w:after="0"/>
              <w:jc w:val="center"/>
              <w:rPr>
                <w:b/>
                <w:b/>
              </w:rPr>
            </w:pPr>
            <w:r>
              <w:rPr>
                <w:b/>
              </w:rPr>
              <w:t>Formula</w:t>
            </w:r>
          </w:p>
        </w:tc>
        <w:tc>
          <w:tcPr>
            <w:tcW w:w="2050" w:type="dxa"/>
            <w:tcBorders/>
            <w:shd w:fill="auto" w:val="clear"/>
          </w:tcPr>
          <w:p>
            <w:pPr>
              <w:pStyle w:val="Normal"/>
              <w:spacing w:lineRule="auto" w:line="360" w:before="0" w:after="0"/>
              <w:jc w:val="center"/>
              <w:rPr>
                <w:b/>
                <w:b/>
              </w:rPr>
            </w:pPr>
            <w:r>
              <w:rPr>
                <w:b/>
              </w:rPr>
              <w:t>Computation</w:t>
            </w:r>
          </w:p>
        </w:tc>
        <w:tc>
          <w:tcPr>
            <w:tcW w:w="1305" w:type="dxa"/>
            <w:tcBorders/>
            <w:shd w:fill="auto" w:val="clear"/>
          </w:tcPr>
          <w:p>
            <w:pPr>
              <w:pStyle w:val="Normal"/>
              <w:spacing w:lineRule="auto" w:line="360" w:before="0" w:after="0"/>
              <w:jc w:val="center"/>
              <w:rPr>
                <w:b/>
                <w:b/>
              </w:rPr>
            </w:pPr>
            <w:r>
              <w:rPr>
                <w:b/>
              </w:rPr>
              <w:t>Result</w:t>
            </w:r>
          </w:p>
        </w:tc>
      </w:tr>
      <w:tr>
        <w:trPr/>
        <w:tc>
          <w:tcPr>
            <w:tcW w:w="1913" w:type="dxa"/>
            <w:tcBorders/>
            <w:shd w:fill="auto" w:val="clear"/>
          </w:tcPr>
          <w:p>
            <w:pPr>
              <w:pStyle w:val="Normal"/>
              <w:spacing w:lineRule="auto" w:line="360" w:before="0" w:after="0"/>
              <w:rPr/>
            </w:pPr>
            <w:r>
              <w:rPr/>
              <w:t>Sales volume</w:t>
            </w:r>
          </w:p>
        </w:tc>
        <w:tc>
          <w:tcPr>
            <w:tcW w:w="3406" w:type="dxa"/>
            <w:tcBorders/>
            <w:shd w:fill="auto" w:val="clear"/>
          </w:tcPr>
          <w:p>
            <w:pPr>
              <w:pStyle w:val="Normal"/>
              <w:spacing w:lineRule="auto" w:line="360" w:before="0" w:after="0"/>
              <w:rPr/>
            </w:pPr>
            <w:r>
              <w:rPr/>
            </w:r>
          </w:p>
        </w:tc>
        <w:tc>
          <w:tcPr>
            <w:tcW w:w="2050" w:type="dxa"/>
            <w:tcBorders/>
            <w:shd w:fill="auto" w:val="clear"/>
          </w:tcPr>
          <w:p>
            <w:pPr>
              <w:pStyle w:val="Normal"/>
              <w:spacing w:lineRule="auto" w:line="360" w:before="0" w:after="0"/>
              <w:rPr/>
            </w:pPr>
            <w:r>
              <w:rPr/>
              <w:t>Given</w:t>
            </w:r>
          </w:p>
        </w:tc>
        <w:tc>
          <w:tcPr>
            <w:tcW w:w="1305" w:type="dxa"/>
            <w:tcBorders/>
            <w:shd w:fill="auto" w:val="clear"/>
          </w:tcPr>
          <w:p>
            <w:pPr>
              <w:pStyle w:val="Normal"/>
              <w:spacing w:lineRule="auto" w:line="360" w:before="0" w:after="0"/>
              <w:jc w:val="right"/>
              <w:rPr/>
            </w:pPr>
            <w:r>
              <w:rPr/>
              <w:t>75,000 units</w:t>
            </w:r>
          </w:p>
        </w:tc>
      </w:tr>
      <w:tr>
        <w:trPr/>
        <w:tc>
          <w:tcPr>
            <w:tcW w:w="1913" w:type="dxa"/>
            <w:tcBorders/>
            <w:shd w:fill="auto" w:val="clear"/>
          </w:tcPr>
          <w:p>
            <w:pPr>
              <w:pStyle w:val="Normal"/>
              <w:spacing w:lineRule="auto" w:line="360" w:before="0" w:after="0"/>
              <w:rPr/>
            </w:pPr>
            <w:r>
              <w:rPr/>
              <w:t>Total sales revenue</w:t>
            </w:r>
          </w:p>
        </w:tc>
        <w:tc>
          <w:tcPr>
            <w:tcW w:w="3406" w:type="dxa"/>
            <w:tcBorders/>
            <w:shd w:fill="auto" w:val="clear"/>
          </w:tcPr>
          <w:p>
            <w:pPr>
              <w:pStyle w:val="Normal"/>
              <w:spacing w:lineRule="auto" w:line="360" w:before="0" w:after="0"/>
              <w:rPr/>
            </w:pPr>
            <w:r>
              <w:rPr/>
              <w:t>Selling price per unit*Sales volume</w:t>
            </w:r>
          </w:p>
        </w:tc>
        <w:tc>
          <w:tcPr>
            <w:tcW w:w="2050" w:type="dxa"/>
            <w:tcBorders/>
            <w:shd w:fill="auto" w:val="clear"/>
          </w:tcPr>
          <w:p>
            <w:pPr>
              <w:pStyle w:val="Normal"/>
              <w:spacing w:lineRule="auto" w:line="360" w:before="0" w:after="0"/>
              <w:rPr/>
            </w:pPr>
            <w:r>
              <w:rPr/>
              <w:t>£11*75,000 units</w:t>
            </w:r>
          </w:p>
        </w:tc>
        <w:tc>
          <w:tcPr>
            <w:tcW w:w="1305" w:type="dxa"/>
            <w:tcBorders/>
            <w:shd w:fill="auto" w:val="clear"/>
          </w:tcPr>
          <w:p>
            <w:pPr>
              <w:pStyle w:val="Normal"/>
              <w:spacing w:lineRule="auto" w:line="360" w:before="0" w:after="0"/>
              <w:jc w:val="right"/>
              <w:rPr/>
            </w:pPr>
            <w:r>
              <w:rPr/>
              <w:t>£825,000</w:t>
            </w:r>
          </w:p>
        </w:tc>
      </w:tr>
      <w:tr>
        <w:trPr/>
        <w:tc>
          <w:tcPr>
            <w:tcW w:w="1913" w:type="dxa"/>
            <w:tcBorders/>
            <w:shd w:fill="auto" w:val="clear"/>
          </w:tcPr>
          <w:p>
            <w:pPr>
              <w:pStyle w:val="Normal"/>
              <w:spacing w:lineRule="auto" w:line="360" w:before="0" w:after="0"/>
              <w:rPr/>
            </w:pPr>
            <w:r>
              <w:rPr/>
              <w:t>Total variable cost</w:t>
            </w:r>
          </w:p>
        </w:tc>
        <w:tc>
          <w:tcPr>
            <w:tcW w:w="3406" w:type="dxa"/>
            <w:tcBorders/>
            <w:shd w:fill="auto" w:val="clear"/>
          </w:tcPr>
          <w:p>
            <w:pPr>
              <w:pStyle w:val="Normal"/>
              <w:spacing w:lineRule="auto" w:line="360" w:before="0" w:after="0"/>
              <w:rPr/>
            </w:pPr>
            <w:r>
              <w:rPr/>
              <w:t>Variable cost per unit*Sales volume</w:t>
            </w:r>
          </w:p>
        </w:tc>
        <w:tc>
          <w:tcPr>
            <w:tcW w:w="2050" w:type="dxa"/>
            <w:tcBorders/>
            <w:shd w:fill="auto" w:val="clear"/>
          </w:tcPr>
          <w:p>
            <w:pPr>
              <w:pStyle w:val="Normal"/>
              <w:spacing w:lineRule="auto" w:line="360" w:before="0" w:after="0"/>
              <w:rPr/>
            </w:pPr>
            <w:r>
              <w:rPr/>
              <w:t>£6*75,000 units</w:t>
            </w:r>
          </w:p>
        </w:tc>
        <w:tc>
          <w:tcPr>
            <w:tcW w:w="1305" w:type="dxa"/>
            <w:tcBorders/>
            <w:shd w:fill="auto" w:val="clear"/>
          </w:tcPr>
          <w:p>
            <w:pPr>
              <w:pStyle w:val="Normal"/>
              <w:spacing w:lineRule="auto" w:line="360" w:before="0" w:after="0"/>
              <w:jc w:val="right"/>
              <w:rPr/>
            </w:pPr>
            <w:r>
              <w:rPr/>
              <w:t>£450,000</w:t>
            </w:r>
          </w:p>
        </w:tc>
      </w:tr>
      <w:tr>
        <w:trPr/>
        <w:tc>
          <w:tcPr>
            <w:tcW w:w="1913" w:type="dxa"/>
            <w:tcBorders/>
            <w:shd w:fill="auto" w:val="clear"/>
          </w:tcPr>
          <w:p>
            <w:pPr>
              <w:pStyle w:val="Normal"/>
              <w:spacing w:lineRule="auto" w:line="360" w:before="0" w:after="0"/>
              <w:rPr/>
            </w:pPr>
            <w:r>
              <w:rPr/>
              <w:t>Total contribution</w:t>
            </w:r>
          </w:p>
        </w:tc>
        <w:tc>
          <w:tcPr>
            <w:tcW w:w="3406" w:type="dxa"/>
            <w:tcBorders/>
            <w:shd w:fill="auto" w:val="clear"/>
          </w:tcPr>
          <w:p>
            <w:pPr>
              <w:pStyle w:val="Normal"/>
              <w:spacing w:lineRule="auto" w:line="360" w:before="0" w:after="0"/>
              <w:rPr/>
            </w:pPr>
            <w:r>
              <w:rPr/>
              <w:t>Contribution per unit*Sales volume</w:t>
            </w:r>
          </w:p>
        </w:tc>
        <w:tc>
          <w:tcPr>
            <w:tcW w:w="2050" w:type="dxa"/>
            <w:tcBorders/>
            <w:shd w:fill="auto" w:val="clear"/>
          </w:tcPr>
          <w:p>
            <w:pPr>
              <w:pStyle w:val="Normal"/>
              <w:spacing w:lineRule="auto" w:line="360" w:before="0" w:after="0"/>
              <w:rPr/>
            </w:pPr>
            <w:r>
              <w:rPr/>
              <w:t>£5*75,000 units</w:t>
            </w:r>
          </w:p>
        </w:tc>
        <w:tc>
          <w:tcPr>
            <w:tcW w:w="1305" w:type="dxa"/>
            <w:tcBorders/>
            <w:shd w:fill="auto" w:val="clear"/>
          </w:tcPr>
          <w:p>
            <w:pPr>
              <w:pStyle w:val="Normal"/>
              <w:spacing w:lineRule="auto" w:line="360" w:before="0" w:after="0"/>
              <w:jc w:val="right"/>
              <w:rPr/>
            </w:pPr>
            <w:r>
              <w:rPr/>
              <w:t>£375,000</w:t>
            </w:r>
          </w:p>
        </w:tc>
      </w:tr>
      <w:tr>
        <w:trPr/>
        <w:tc>
          <w:tcPr>
            <w:tcW w:w="1913" w:type="dxa"/>
            <w:tcBorders/>
            <w:shd w:fill="auto" w:val="clear"/>
          </w:tcPr>
          <w:p>
            <w:pPr>
              <w:pStyle w:val="Normal"/>
              <w:spacing w:lineRule="auto" w:line="360" w:before="0" w:after="0"/>
              <w:rPr/>
            </w:pPr>
            <w:r>
              <w:rPr/>
              <w:t>Less: Fixed costs</w:t>
            </w:r>
          </w:p>
        </w:tc>
        <w:tc>
          <w:tcPr>
            <w:tcW w:w="3406" w:type="dxa"/>
            <w:tcBorders/>
            <w:shd w:fill="auto" w:val="clear"/>
          </w:tcPr>
          <w:p>
            <w:pPr>
              <w:pStyle w:val="Normal"/>
              <w:spacing w:lineRule="auto" w:line="360" w:before="0" w:after="0"/>
              <w:rPr/>
            </w:pPr>
            <w:r>
              <w:rPr/>
            </w:r>
          </w:p>
        </w:tc>
        <w:tc>
          <w:tcPr>
            <w:tcW w:w="2050" w:type="dxa"/>
            <w:tcBorders/>
            <w:shd w:fill="auto" w:val="clear"/>
          </w:tcPr>
          <w:p>
            <w:pPr>
              <w:pStyle w:val="Normal"/>
              <w:spacing w:lineRule="auto" w:line="360" w:before="0" w:after="0"/>
              <w:rPr/>
            </w:pPr>
            <w:r>
              <w:rPr/>
              <w:t>Given</w:t>
            </w:r>
          </w:p>
        </w:tc>
        <w:tc>
          <w:tcPr>
            <w:tcW w:w="1305" w:type="dxa"/>
            <w:tcBorders/>
            <w:shd w:fill="auto" w:val="clear"/>
          </w:tcPr>
          <w:p>
            <w:pPr>
              <w:pStyle w:val="Normal"/>
              <w:spacing w:lineRule="auto" w:line="360" w:before="0" w:after="0"/>
              <w:jc w:val="right"/>
              <w:rPr/>
            </w:pPr>
            <w:r>
              <w:rPr/>
              <w:t>(£350,000)</w:t>
            </w:r>
          </w:p>
        </w:tc>
      </w:tr>
      <w:tr>
        <w:trPr/>
        <w:tc>
          <w:tcPr>
            <w:tcW w:w="1913" w:type="dxa"/>
            <w:tcBorders/>
            <w:shd w:fill="auto" w:val="clear"/>
          </w:tcPr>
          <w:p>
            <w:pPr>
              <w:pStyle w:val="Normal"/>
              <w:spacing w:lineRule="auto" w:line="360" w:before="0" w:after="0"/>
              <w:rPr>
                <w:b/>
                <w:b/>
              </w:rPr>
            </w:pPr>
            <w:r>
              <w:rPr>
                <w:b/>
              </w:rPr>
              <w:t>Net Profit</w:t>
            </w:r>
          </w:p>
        </w:tc>
        <w:tc>
          <w:tcPr>
            <w:tcW w:w="3406" w:type="dxa"/>
            <w:tcBorders/>
            <w:shd w:fill="auto" w:val="clear"/>
          </w:tcPr>
          <w:p>
            <w:pPr>
              <w:pStyle w:val="Normal"/>
              <w:spacing w:lineRule="auto" w:line="360" w:before="0" w:after="0"/>
              <w:rPr>
                <w:b/>
                <w:b/>
              </w:rPr>
            </w:pPr>
            <w:r>
              <w:rPr>
                <w:b/>
              </w:rPr>
              <w:t>Total contribution - Fixed costs</w:t>
            </w:r>
          </w:p>
        </w:tc>
        <w:tc>
          <w:tcPr>
            <w:tcW w:w="2050" w:type="dxa"/>
            <w:tcBorders/>
            <w:shd w:fill="auto" w:val="clear"/>
          </w:tcPr>
          <w:p>
            <w:pPr>
              <w:pStyle w:val="Normal"/>
              <w:spacing w:lineRule="auto" w:line="360" w:before="0" w:after="0"/>
              <w:rPr>
                <w:b/>
                <w:b/>
              </w:rPr>
            </w:pPr>
            <w:r>
              <w:rPr>
                <w:b/>
              </w:rPr>
              <w:t>£375,000 - £350,000</w:t>
            </w:r>
          </w:p>
        </w:tc>
        <w:tc>
          <w:tcPr>
            <w:tcW w:w="1305" w:type="dxa"/>
            <w:tcBorders/>
            <w:shd w:fill="auto" w:val="clear"/>
          </w:tcPr>
          <w:p>
            <w:pPr>
              <w:pStyle w:val="Normal"/>
              <w:spacing w:lineRule="auto" w:line="360" w:before="0" w:after="0"/>
              <w:jc w:val="right"/>
              <w:rPr>
                <w:b/>
                <w:b/>
              </w:rPr>
            </w:pPr>
            <w:r>
              <w:rPr>
                <w:b/>
              </w:rPr>
              <w:t>£25,000</w:t>
            </w:r>
          </w:p>
        </w:tc>
      </w:tr>
    </w:tbl>
    <w:p>
      <w:pPr>
        <w:pStyle w:val="Normal"/>
        <w:spacing w:lineRule="auto" w:line="360"/>
        <w:rPr/>
      </w:pPr>
      <w:r>
        <w:rPr/>
      </w:r>
    </w:p>
    <w:p>
      <w:pPr>
        <w:pStyle w:val="Normal"/>
        <w:spacing w:lineRule="auto" w:line="360"/>
        <w:rPr/>
      </w:pPr>
      <w:r>
        <w:rPr/>
        <w:t xml:space="preserve">The above-done computation depicts that on making the sale of 75,000 units of Product A, Kerrigan Ltd will generate a profit of £25,000. Such profit will be net of variable costs and fixed costs incurred by the business for making such a sale. </w:t>
      </w:r>
    </w:p>
    <w:p>
      <w:pPr>
        <w:pStyle w:val="Normal"/>
        <w:spacing w:lineRule="auto" w:line="360" w:before="0" w:after="200"/>
        <w:jc w:val="left"/>
        <w:rPr/>
      </w:pPr>
      <w:r>
        <w:rPr/>
      </w:r>
      <w:r>
        <w:br w:type="page"/>
      </w:r>
    </w:p>
    <w:p>
      <w:pPr>
        <w:pStyle w:val="Heading2"/>
        <w:spacing w:lineRule="auto" w:line="360"/>
        <w:rPr/>
      </w:pPr>
      <w:bookmarkStart w:id="6" w:name="_Toc80981660"/>
      <w:bookmarkStart w:id="7" w:name="_Toc80982007"/>
      <w:r>
        <w:rPr/>
        <w:t>(C) CALCULATION OF NEW PROFIT ON SALE OF IMPROVED PRODUCT</w:t>
      </w:r>
      <w:bookmarkEnd w:id="6"/>
      <w:bookmarkEnd w:id="7"/>
    </w:p>
    <w:p>
      <w:pPr>
        <w:pStyle w:val="Normal"/>
        <w:spacing w:lineRule="auto" w:line="360"/>
        <w:rPr/>
      </w:pPr>
      <w:r>
        <w:rPr/>
        <w:t>Kerrigan Ltd has planned to improve Product A and then promote it by organising an advertising campaign so that it can improve sales performance. Making these changes will allow it to sell a higher volume of the product but will also lead to an increase in the selling price, variable cost and fixed costs. This will cause a fluctuation in the profit figures and the new profits can be calculated as follows:</w:t>
      </w:r>
    </w:p>
    <w:tbl>
      <w:tblPr>
        <w:tblStyle w:val="TableGrid"/>
        <w:tblW w:w="9575" w:type="dxa"/>
        <w:jc w:val="center"/>
        <w:tblInd w:w="0" w:type="dxa"/>
        <w:tblCellMar>
          <w:top w:w="0" w:type="dxa"/>
          <w:left w:w="108" w:type="dxa"/>
          <w:bottom w:w="0" w:type="dxa"/>
          <w:right w:w="108" w:type="dxa"/>
        </w:tblCellMar>
        <w:tblLook w:firstRow="1" w:noVBand="1" w:lastRow="0" w:firstColumn="1" w:lastColumn="0" w:noHBand="0" w:val="04a0"/>
      </w:tblPr>
      <w:tblGrid>
        <w:gridCol w:w="2038"/>
        <w:gridCol w:w="4129"/>
        <w:gridCol w:w="2115"/>
        <w:gridCol w:w="1292"/>
      </w:tblGrid>
      <w:tr>
        <w:trPr/>
        <w:tc>
          <w:tcPr>
            <w:tcW w:w="9574" w:type="dxa"/>
            <w:gridSpan w:val="4"/>
            <w:tcBorders/>
            <w:shd w:fill="auto" w:val="clear"/>
          </w:tcPr>
          <w:p>
            <w:pPr>
              <w:pStyle w:val="Normal"/>
              <w:spacing w:lineRule="auto" w:line="360" w:before="0" w:after="0"/>
              <w:jc w:val="center"/>
              <w:rPr>
                <w:b/>
                <w:b/>
              </w:rPr>
            </w:pPr>
            <w:r>
              <w:rPr>
                <w:b/>
              </w:rPr>
              <w:t xml:space="preserve">Profit earned by Kerrigan Ltd on sale of Product A </w:t>
            </w:r>
          </w:p>
        </w:tc>
      </w:tr>
      <w:tr>
        <w:trPr/>
        <w:tc>
          <w:tcPr>
            <w:tcW w:w="2038" w:type="dxa"/>
            <w:tcBorders/>
            <w:shd w:fill="auto" w:val="clear"/>
          </w:tcPr>
          <w:p>
            <w:pPr>
              <w:pStyle w:val="Normal"/>
              <w:spacing w:lineRule="auto" w:line="360" w:before="0" w:after="0"/>
              <w:jc w:val="center"/>
              <w:rPr>
                <w:b/>
                <w:b/>
              </w:rPr>
            </w:pPr>
            <w:r>
              <w:rPr>
                <w:b/>
              </w:rPr>
              <w:t>Particulars</w:t>
            </w:r>
          </w:p>
        </w:tc>
        <w:tc>
          <w:tcPr>
            <w:tcW w:w="4129" w:type="dxa"/>
            <w:tcBorders/>
            <w:shd w:fill="auto" w:val="clear"/>
          </w:tcPr>
          <w:p>
            <w:pPr>
              <w:pStyle w:val="Normal"/>
              <w:spacing w:lineRule="auto" w:line="360" w:before="0" w:after="0"/>
              <w:jc w:val="center"/>
              <w:rPr>
                <w:b/>
                <w:b/>
              </w:rPr>
            </w:pPr>
            <w:r>
              <w:rPr>
                <w:b/>
              </w:rPr>
              <w:t>Formula</w:t>
            </w:r>
          </w:p>
        </w:tc>
        <w:tc>
          <w:tcPr>
            <w:tcW w:w="2115" w:type="dxa"/>
            <w:tcBorders/>
            <w:shd w:fill="auto" w:val="clear"/>
          </w:tcPr>
          <w:p>
            <w:pPr>
              <w:pStyle w:val="Normal"/>
              <w:spacing w:lineRule="auto" w:line="360" w:before="0" w:after="0"/>
              <w:jc w:val="center"/>
              <w:rPr>
                <w:b/>
                <w:b/>
              </w:rPr>
            </w:pPr>
            <w:r>
              <w:rPr>
                <w:b/>
              </w:rPr>
              <w:t>Computation</w:t>
            </w:r>
          </w:p>
        </w:tc>
        <w:tc>
          <w:tcPr>
            <w:tcW w:w="1292" w:type="dxa"/>
            <w:tcBorders/>
            <w:shd w:fill="auto" w:val="clear"/>
          </w:tcPr>
          <w:p>
            <w:pPr>
              <w:pStyle w:val="Normal"/>
              <w:spacing w:lineRule="auto" w:line="360" w:before="0" w:after="0"/>
              <w:jc w:val="center"/>
              <w:rPr>
                <w:b/>
                <w:b/>
              </w:rPr>
            </w:pPr>
            <w:r>
              <w:rPr>
                <w:b/>
              </w:rPr>
              <w:t>Result</w:t>
            </w:r>
          </w:p>
        </w:tc>
      </w:tr>
      <w:tr>
        <w:trPr/>
        <w:tc>
          <w:tcPr>
            <w:tcW w:w="2038" w:type="dxa"/>
            <w:tcBorders/>
            <w:shd w:fill="auto" w:val="clear"/>
          </w:tcPr>
          <w:p>
            <w:pPr>
              <w:pStyle w:val="Normal"/>
              <w:spacing w:lineRule="auto" w:line="360" w:before="0" w:after="0"/>
              <w:rPr/>
            </w:pPr>
            <w:r>
              <w:rPr/>
              <w:t>New sales volume</w:t>
            </w:r>
          </w:p>
        </w:tc>
        <w:tc>
          <w:tcPr>
            <w:tcW w:w="4129" w:type="dxa"/>
            <w:tcBorders/>
            <w:shd w:fill="auto" w:val="clear"/>
          </w:tcPr>
          <w:p>
            <w:pPr>
              <w:pStyle w:val="Normal"/>
              <w:spacing w:lineRule="auto" w:line="360" w:before="0" w:after="0"/>
              <w:rPr/>
            </w:pPr>
            <w:r>
              <w:rPr/>
            </w:r>
          </w:p>
        </w:tc>
        <w:tc>
          <w:tcPr>
            <w:tcW w:w="2115" w:type="dxa"/>
            <w:tcBorders/>
            <w:shd w:fill="auto" w:val="clear"/>
          </w:tcPr>
          <w:p>
            <w:pPr>
              <w:pStyle w:val="Normal"/>
              <w:spacing w:lineRule="auto" w:line="360" w:before="0" w:after="0"/>
              <w:rPr/>
            </w:pPr>
            <w:r>
              <w:rPr/>
              <w:t>Given</w:t>
            </w:r>
          </w:p>
        </w:tc>
        <w:tc>
          <w:tcPr>
            <w:tcW w:w="1292" w:type="dxa"/>
            <w:tcBorders/>
            <w:shd w:fill="auto" w:val="clear"/>
          </w:tcPr>
          <w:p>
            <w:pPr>
              <w:pStyle w:val="Normal"/>
              <w:spacing w:lineRule="auto" w:line="360" w:before="0" w:after="0"/>
              <w:jc w:val="right"/>
              <w:rPr/>
            </w:pPr>
            <w:r>
              <w:rPr/>
              <w:t>80,000 units</w:t>
            </w:r>
          </w:p>
        </w:tc>
      </w:tr>
      <w:tr>
        <w:trPr/>
        <w:tc>
          <w:tcPr>
            <w:tcW w:w="2038" w:type="dxa"/>
            <w:tcBorders/>
            <w:shd w:fill="auto" w:val="clear"/>
          </w:tcPr>
          <w:p>
            <w:pPr>
              <w:pStyle w:val="Normal"/>
              <w:spacing w:lineRule="auto" w:line="360" w:before="0" w:after="0"/>
              <w:rPr/>
            </w:pPr>
            <w:r>
              <w:rPr/>
              <w:t>New sales revenue</w:t>
            </w:r>
          </w:p>
        </w:tc>
        <w:tc>
          <w:tcPr>
            <w:tcW w:w="4129" w:type="dxa"/>
            <w:tcBorders/>
            <w:shd w:fill="auto" w:val="clear"/>
          </w:tcPr>
          <w:p>
            <w:pPr>
              <w:pStyle w:val="Normal"/>
              <w:spacing w:lineRule="auto" w:line="360" w:before="0" w:after="0"/>
              <w:rPr/>
            </w:pPr>
            <w:r>
              <w:rPr/>
              <w:t>New selling price per unit*New sales volume</w:t>
            </w:r>
          </w:p>
        </w:tc>
        <w:tc>
          <w:tcPr>
            <w:tcW w:w="2115" w:type="dxa"/>
            <w:tcBorders/>
            <w:shd w:fill="auto" w:val="clear"/>
          </w:tcPr>
          <w:p>
            <w:pPr>
              <w:pStyle w:val="Normal"/>
              <w:spacing w:lineRule="auto" w:line="360" w:before="0" w:after="0"/>
              <w:rPr/>
            </w:pPr>
            <w:r>
              <w:rPr/>
              <w:t>£13*80,000 units</w:t>
            </w:r>
          </w:p>
        </w:tc>
        <w:tc>
          <w:tcPr>
            <w:tcW w:w="1292" w:type="dxa"/>
            <w:tcBorders/>
            <w:shd w:fill="auto" w:val="clear"/>
          </w:tcPr>
          <w:p>
            <w:pPr>
              <w:pStyle w:val="Normal"/>
              <w:spacing w:lineRule="auto" w:line="360" w:before="0" w:after="0"/>
              <w:jc w:val="right"/>
              <w:rPr/>
            </w:pPr>
            <w:r>
              <w:rPr/>
              <w:t>£1,040,000</w:t>
            </w:r>
          </w:p>
        </w:tc>
      </w:tr>
      <w:tr>
        <w:trPr/>
        <w:tc>
          <w:tcPr>
            <w:tcW w:w="2038" w:type="dxa"/>
            <w:tcBorders/>
            <w:shd w:fill="auto" w:val="clear"/>
          </w:tcPr>
          <w:p>
            <w:pPr>
              <w:pStyle w:val="Normal"/>
              <w:spacing w:lineRule="auto" w:line="360" w:before="0" w:after="0"/>
              <w:rPr/>
            </w:pPr>
            <w:r>
              <w:rPr/>
              <w:t>New variable cost</w:t>
            </w:r>
          </w:p>
        </w:tc>
        <w:tc>
          <w:tcPr>
            <w:tcW w:w="4129" w:type="dxa"/>
            <w:tcBorders/>
            <w:shd w:fill="auto" w:val="clear"/>
          </w:tcPr>
          <w:p>
            <w:pPr>
              <w:pStyle w:val="Normal"/>
              <w:spacing w:lineRule="auto" w:line="360" w:before="0" w:after="0"/>
              <w:rPr/>
            </w:pPr>
            <w:r>
              <w:rPr/>
              <w:t>New variable cost per unit* New sales volume</w:t>
            </w:r>
          </w:p>
        </w:tc>
        <w:tc>
          <w:tcPr>
            <w:tcW w:w="2115" w:type="dxa"/>
            <w:tcBorders/>
            <w:shd w:fill="auto" w:val="clear"/>
          </w:tcPr>
          <w:p>
            <w:pPr>
              <w:pStyle w:val="Normal"/>
              <w:spacing w:lineRule="auto" w:line="360" w:before="0" w:after="0"/>
              <w:rPr/>
            </w:pPr>
            <w:r>
              <w:rPr/>
              <w:t>£7*80,000 units</w:t>
            </w:r>
          </w:p>
        </w:tc>
        <w:tc>
          <w:tcPr>
            <w:tcW w:w="1292" w:type="dxa"/>
            <w:tcBorders/>
            <w:shd w:fill="auto" w:val="clear"/>
          </w:tcPr>
          <w:p>
            <w:pPr>
              <w:pStyle w:val="Normal"/>
              <w:spacing w:lineRule="auto" w:line="360" w:before="0" w:after="0"/>
              <w:jc w:val="right"/>
              <w:rPr/>
            </w:pPr>
            <w:r>
              <w:rPr/>
              <w:t>£560,000</w:t>
            </w:r>
          </w:p>
        </w:tc>
      </w:tr>
      <w:tr>
        <w:trPr/>
        <w:tc>
          <w:tcPr>
            <w:tcW w:w="2038" w:type="dxa"/>
            <w:tcBorders/>
            <w:shd w:fill="auto" w:val="clear"/>
          </w:tcPr>
          <w:p>
            <w:pPr>
              <w:pStyle w:val="Normal"/>
              <w:spacing w:lineRule="auto" w:line="360" w:before="0" w:after="0"/>
              <w:rPr/>
            </w:pPr>
            <w:r>
              <w:rPr/>
              <w:t>New contribution</w:t>
            </w:r>
          </w:p>
        </w:tc>
        <w:tc>
          <w:tcPr>
            <w:tcW w:w="4129" w:type="dxa"/>
            <w:tcBorders/>
            <w:shd w:fill="auto" w:val="clear"/>
          </w:tcPr>
          <w:p>
            <w:pPr>
              <w:pStyle w:val="Normal"/>
              <w:spacing w:lineRule="auto" w:line="360" w:before="0" w:after="0"/>
              <w:rPr/>
            </w:pPr>
            <w:r>
              <w:rPr/>
              <w:t>New sales revenue - New variable cost</w:t>
            </w:r>
          </w:p>
        </w:tc>
        <w:tc>
          <w:tcPr>
            <w:tcW w:w="2115" w:type="dxa"/>
            <w:tcBorders/>
            <w:shd w:fill="auto" w:val="clear"/>
          </w:tcPr>
          <w:p>
            <w:pPr>
              <w:pStyle w:val="Normal"/>
              <w:spacing w:lineRule="auto" w:line="360" w:before="0" w:after="0"/>
              <w:rPr/>
            </w:pPr>
            <w:r>
              <w:rPr/>
              <w:t>£1,040,000 - £560,000</w:t>
            </w:r>
          </w:p>
        </w:tc>
        <w:tc>
          <w:tcPr>
            <w:tcW w:w="1292" w:type="dxa"/>
            <w:tcBorders/>
            <w:shd w:fill="auto" w:val="clear"/>
          </w:tcPr>
          <w:p>
            <w:pPr>
              <w:pStyle w:val="Normal"/>
              <w:spacing w:lineRule="auto" w:line="360" w:before="0" w:after="0"/>
              <w:jc w:val="right"/>
              <w:rPr/>
            </w:pPr>
            <w:r>
              <w:rPr/>
              <w:t>£480,000</w:t>
            </w:r>
          </w:p>
        </w:tc>
      </w:tr>
      <w:tr>
        <w:trPr/>
        <w:tc>
          <w:tcPr>
            <w:tcW w:w="2038" w:type="dxa"/>
            <w:tcBorders/>
            <w:shd w:fill="auto" w:val="clear"/>
          </w:tcPr>
          <w:p>
            <w:pPr>
              <w:pStyle w:val="Normal"/>
              <w:spacing w:lineRule="auto" w:line="360" w:before="0" w:after="0"/>
              <w:rPr/>
            </w:pPr>
            <w:r>
              <w:rPr/>
              <w:t>Less: New fixed costs</w:t>
            </w:r>
          </w:p>
        </w:tc>
        <w:tc>
          <w:tcPr>
            <w:tcW w:w="4129" w:type="dxa"/>
            <w:tcBorders/>
            <w:shd w:fill="auto" w:val="clear"/>
          </w:tcPr>
          <w:p>
            <w:pPr>
              <w:pStyle w:val="Normal"/>
              <w:spacing w:lineRule="auto" w:line="360" w:before="0" w:after="0"/>
              <w:rPr/>
            </w:pPr>
            <w:r>
              <w:rPr/>
              <w:t>Existing fixed costs + Advertising campaign cost</w:t>
            </w:r>
          </w:p>
        </w:tc>
        <w:tc>
          <w:tcPr>
            <w:tcW w:w="2115" w:type="dxa"/>
            <w:tcBorders/>
            <w:shd w:fill="auto" w:val="clear"/>
          </w:tcPr>
          <w:p>
            <w:pPr>
              <w:pStyle w:val="Normal"/>
              <w:spacing w:lineRule="auto" w:line="360" w:before="0" w:after="0"/>
              <w:rPr/>
            </w:pPr>
            <w:r>
              <w:rPr/>
              <w:t>£350,000 + £10,000</w:t>
            </w:r>
          </w:p>
        </w:tc>
        <w:tc>
          <w:tcPr>
            <w:tcW w:w="1292" w:type="dxa"/>
            <w:tcBorders/>
            <w:shd w:fill="auto" w:val="clear"/>
          </w:tcPr>
          <w:p>
            <w:pPr>
              <w:pStyle w:val="Normal"/>
              <w:spacing w:lineRule="auto" w:line="360" w:before="0" w:after="0"/>
              <w:jc w:val="right"/>
              <w:rPr/>
            </w:pPr>
            <w:r>
              <w:rPr/>
              <w:t>(£360,000)</w:t>
            </w:r>
          </w:p>
        </w:tc>
      </w:tr>
      <w:tr>
        <w:trPr/>
        <w:tc>
          <w:tcPr>
            <w:tcW w:w="2038" w:type="dxa"/>
            <w:tcBorders/>
            <w:shd w:fill="auto" w:val="clear"/>
          </w:tcPr>
          <w:p>
            <w:pPr>
              <w:pStyle w:val="Normal"/>
              <w:spacing w:lineRule="auto" w:line="360" w:before="0" w:after="0"/>
              <w:rPr>
                <w:b/>
                <w:b/>
              </w:rPr>
            </w:pPr>
            <w:r>
              <w:rPr>
                <w:b/>
              </w:rPr>
              <w:t>New Net Profit</w:t>
            </w:r>
          </w:p>
        </w:tc>
        <w:tc>
          <w:tcPr>
            <w:tcW w:w="4129" w:type="dxa"/>
            <w:tcBorders/>
            <w:shd w:fill="auto" w:val="clear"/>
          </w:tcPr>
          <w:p>
            <w:pPr>
              <w:pStyle w:val="Normal"/>
              <w:spacing w:lineRule="auto" w:line="360" w:before="0" w:after="0"/>
              <w:rPr>
                <w:b/>
                <w:b/>
              </w:rPr>
            </w:pPr>
            <w:r>
              <w:rPr>
                <w:b/>
              </w:rPr>
              <w:t>New contribution – New fixed costs</w:t>
            </w:r>
          </w:p>
        </w:tc>
        <w:tc>
          <w:tcPr>
            <w:tcW w:w="2115" w:type="dxa"/>
            <w:tcBorders/>
            <w:shd w:fill="auto" w:val="clear"/>
          </w:tcPr>
          <w:p>
            <w:pPr>
              <w:pStyle w:val="Normal"/>
              <w:spacing w:lineRule="auto" w:line="360" w:before="0" w:after="0"/>
              <w:rPr>
                <w:b/>
                <w:b/>
              </w:rPr>
            </w:pPr>
            <w:r>
              <w:rPr>
                <w:b/>
              </w:rPr>
              <w:t>£480,000 - £360,000</w:t>
            </w:r>
          </w:p>
        </w:tc>
        <w:tc>
          <w:tcPr>
            <w:tcW w:w="1292" w:type="dxa"/>
            <w:tcBorders/>
            <w:shd w:fill="auto" w:val="clear"/>
          </w:tcPr>
          <w:p>
            <w:pPr>
              <w:pStyle w:val="Normal"/>
              <w:spacing w:lineRule="auto" w:line="360" w:before="0" w:after="0"/>
              <w:jc w:val="right"/>
              <w:rPr>
                <w:b/>
                <w:b/>
              </w:rPr>
            </w:pPr>
            <w:r>
              <w:rPr>
                <w:b/>
              </w:rPr>
              <w:t>£120,000</w:t>
            </w:r>
          </w:p>
        </w:tc>
      </w:tr>
    </w:tbl>
    <w:p>
      <w:pPr>
        <w:pStyle w:val="Normal"/>
        <w:spacing w:lineRule="auto" w:line="360"/>
        <w:rPr/>
      </w:pPr>
      <w:r>
        <w:rPr/>
      </w:r>
    </w:p>
    <w:p>
      <w:pPr>
        <w:pStyle w:val="Normal"/>
        <w:spacing w:lineRule="auto" w:line="360"/>
        <w:rPr/>
      </w:pPr>
      <w:r>
        <w:rPr/>
        <w:t xml:space="preserve">The above calculations depict that by improving its product and incurring extra costs, Kerrigan Ltd will not just be able to increase its revenue but will also aid it in enhancing its profitability level to £120,000, which is significantly higher than the existing level. </w:t>
      </w:r>
    </w:p>
    <w:p>
      <w:pPr>
        <w:pStyle w:val="Normal"/>
        <w:spacing w:lineRule="auto" w:line="360" w:before="0" w:after="200"/>
        <w:jc w:val="left"/>
        <w:rPr/>
      </w:pPr>
      <w:r>
        <w:rPr/>
      </w:r>
      <w:r>
        <w:br w:type="page"/>
      </w:r>
    </w:p>
    <w:p>
      <w:pPr>
        <w:pStyle w:val="Heading2"/>
        <w:spacing w:lineRule="auto" w:line="360"/>
        <w:rPr/>
      </w:pPr>
      <w:bookmarkStart w:id="8" w:name="_Toc80981661"/>
      <w:bookmarkStart w:id="9" w:name="_Toc80982008"/>
      <w:r>
        <w:rPr/>
        <w:t>(D) LIMITATIONS OF BREAK-EVEN ANALYSIS</w:t>
      </w:r>
      <w:bookmarkEnd w:id="8"/>
      <w:bookmarkEnd w:id="9"/>
    </w:p>
    <w:p>
      <w:pPr>
        <w:pStyle w:val="Normal"/>
        <w:spacing w:lineRule="auto" w:line="360"/>
        <w:rPr/>
      </w:pPr>
      <w:r>
        <w:rPr/>
        <w:t>Break-even analysis serves as a significant technique to the managers by guiding them in making rational and informed decisions. Despite being so important, there are certain limitations carried by it that are necessary to be taken into account before using it and relying on its results. The main limitations of break-even analysis are as follows:</w:t>
      </w:r>
    </w:p>
    <w:p>
      <w:pPr>
        <w:pStyle w:val="ListParagraph"/>
        <w:numPr>
          <w:ilvl w:val="0"/>
          <w:numId w:val="1"/>
        </w:numPr>
        <w:spacing w:lineRule="auto" w:line="360"/>
        <w:rPr/>
      </w:pPr>
      <w:r>
        <w:rPr>
          <w:b/>
        </w:rPr>
        <w:t>Short-term decision making</w:t>
      </w:r>
      <w:r>
        <w:rPr/>
        <w:t>: Break-even analysis is the technique that assists only in short term decision making and proves ineffective for the decisions to be made for the long term (Weetman, 2019).</w:t>
      </w:r>
    </w:p>
    <w:p>
      <w:pPr>
        <w:pStyle w:val="ListParagraph"/>
        <w:numPr>
          <w:ilvl w:val="0"/>
          <w:numId w:val="1"/>
        </w:numPr>
        <w:spacing w:lineRule="auto" w:line="360"/>
        <w:rPr/>
      </w:pPr>
      <w:r>
        <w:rPr>
          <w:b/>
        </w:rPr>
        <w:t>Focuses on a single product</w:t>
      </w:r>
      <w:r>
        <w:rPr/>
        <w:t xml:space="preserve">: A business having multiple product lines or fluctuating product mix or selling prices cannot take the right benefit of break-even analysis as this technique focuses on only one product, with a constant selling price, at a time. Using the technique separately for different products might prove to be unfeasible for the business (Weetman, 2019). </w:t>
      </w:r>
    </w:p>
    <w:p>
      <w:pPr>
        <w:pStyle w:val="ListParagraph"/>
        <w:numPr>
          <w:ilvl w:val="0"/>
          <w:numId w:val="1"/>
        </w:numPr>
        <w:spacing w:lineRule="auto" w:line="360"/>
        <w:rPr/>
      </w:pPr>
      <w:r>
        <w:rPr>
          <w:b/>
        </w:rPr>
        <w:t>Ignores stock</w:t>
      </w:r>
      <w:r>
        <w:rPr/>
        <w:t xml:space="preserve">: Break-even analysis does not consider production and sales separately. It assumes that whatever volume of the product is manufactured will be sold at the same selling price. There is no consideration made for the stock to remain unsold which is an extremely rare situation to arise in a business (ToughNickel, 2021). </w:t>
      </w:r>
    </w:p>
    <w:p>
      <w:pPr>
        <w:pStyle w:val="ListParagraph"/>
        <w:numPr>
          <w:ilvl w:val="0"/>
          <w:numId w:val="1"/>
        </w:numPr>
        <w:spacing w:lineRule="auto" w:line="360"/>
        <w:rPr/>
      </w:pPr>
      <w:r>
        <w:rPr>
          <w:b/>
        </w:rPr>
        <w:t>Time taking</w:t>
      </w:r>
      <w:r>
        <w:rPr/>
        <w:t>: Calculations under break-even analysis and preparation of charts using its details for managerial purposes can be significantly time-consuming and divert the management accountants. Such time can be utilised by them for focusing on their core functions (ToughNickel, 2021).</w:t>
      </w:r>
    </w:p>
    <w:p>
      <w:pPr>
        <w:pStyle w:val="ListParagraph"/>
        <w:numPr>
          <w:ilvl w:val="0"/>
          <w:numId w:val="1"/>
        </w:numPr>
        <w:spacing w:lineRule="auto" w:line="360"/>
        <w:rPr/>
      </w:pPr>
      <w:r>
        <w:rPr>
          <w:b/>
        </w:rPr>
        <w:t>Division of costs</w:t>
      </w:r>
      <w:r>
        <w:rPr/>
        <w:t xml:space="preserve">: Break-even analysis divides costs into only two major categories, i.e. variable costs and fixed costs. This categorisation does not consider semi-variable costs which is not the situation with real businesses as they incur such costs while operating (Knowledgiate, 2018). </w:t>
      </w:r>
    </w:p>
    <w:p>
      <w:pPr>
        <w:pStyle w:val="ListParagraph"/>
        <w:numPr>
          <w:ilvl w:val="0"/>
          <w:numId w:val="1"/>
        </w:numPr>
        <w:spacing w:lineRule="auto" w:line="360"/>
        <w:rPr/>
      </w:pPr>
      <w:r>
        <w:rPr>
          <w:b/>
        </w:rPr>
        <w:t>Ignores fluctuation in sales volume</w:t>
      </w:r>
      <w:r>
        <w:rPr/>
        <w:t>: Break-even analysis considers that the sales and production volume will remain constant during the concerned period. This consideration cannot be held true, mainly in the case of sales as the volume sold varies based on different factors (Knowledgiate, 2018).</w:t>
      </w:r>
    </w:p>
    <w:p>
      <w:pPr>
        <w:pStyle w:val="ListParagraph"/>
        <w:numPr>
          <w:ilvl w:val="0"/>
          <w:numId w:val="1"/>
        </w:numPr>
        <w:spacing w:lineRule="auto" w:line="360"/>
        <w:rPr/>
      </w:pPr>
      <w:r>
        <w:rPr>
          <w:b/>
        </w:rPr>
        <w:t>Ignores factors affecting a real business</w:t>
      </w:r>
      <w:r>
        <w:rPr/>
        <w:t>: Certain factors exist in the real business environment which affects sales and production significantly such as changes in technology, plant size, production methodology, etc. All these are ignored for smooth calculations under break-even analysis (Knowledgiate, 2018).</w:t>
      </w:r>
    </w:p>
    <w:p>
      <w:pPr>
        <w:pStyle w:val="ListParagraph"/>
        <w:numPr>
          <w:ilvl w:val="0"/>
          <w:numId w:val="1"/>
        </w:numPr>
        <w:spacing w:lineRule="auto" w:line="360"/>
        <w:rPr/>
      </w:pPr>
      <w:r>
        <w:rPr>
          <w:b/>
        </w:rPr>
        <w:t>Ignores other determinants of profitability</w:t>
      </w:r>
      <w:r>
        <w:rPr/>
        <w:t>: Apart from fixed and variable costs associated with the production, capital and costs related to its generation also play a major role in the determination of profitability which are not considered by the technique of break-even analysis (Knowledgiate, 2018).</w:t>
      </w:r>
    </w:p>
    <w:p>
      <w:pPr>
        <w:pStyle w:val="ListParagraph"/>
        <w:numPr>
          <w:ilvl w:val="0"/>
          <w:numId w:val="1"/>
        </w:numPr>
        <w:spacing w:lineRule="auto" w:line="360"/>
        <w:rPr/>
      </w:pPr>
      <w:r>
        <w:rPr>
          <w:b/>
        </w:rPr>
        <w:t>Ignores discounts</w:t>
      </w:r>
      <w:r>
        <w:rPr/>
        <w:t>: There is no place for discounts in the calculation under the break-even analysis technique, be that cash discount or quantity discount. It is notable that discounts are a part of business transactions and ignoring them limits the efficiency of the technique (SHROTRIYA, 2019).</w:t>
      </w:r>
    </w:p>
    <w:p>
      <w:pPr>
        <w:pStyle w:val="ListParagraph"/>
        <w:numPr>
          <w:ilvl w:val="0"/>
          <w:numId w:val="1"/>
        </w:numPr>
        <w:spacing w:lineRule="auto" w:line="360"/>
        <w:rPr/>
      </w:pPr>
      <w:r>
        <w:rPr>
          <w:b/>
        </w:rPr>
        <w:t>Ignores prominent laws of economics</w:t>
      </w:r>
      <w:r>
        <w:rPr/>
        <w:t>: Different important laws introduced under economics like the law of demand and supply, the law of marginal utility, etc. are ignored by the break-even analysis technique (SHROTRIYA, 2019).</w:t>
      </w:r>
    </w:p>
    <w:p>
      <w:pPr>
        <w:pStyle w:val="Normal"/>
        <w:spacing w:lineRule="auto" w:line="360"/>
        <w:rPr/>
      </w:pPr>
      <w:r>
        <w:rPr/>
        <w:t xml:space="preserve">All these above-mentioned limitations act as a shortcoming of break-even analysis and curb its utility. </w:t>
      </w:r>
    </w:p>
    <w:p>
      <w:pPr>
        <w:pStyle w:val="Normal"/>
        <w:spacing w:lineRule="auto" w:line="360" w:before="0" w:after="200"/>
        <w:jc w:val="left"/>
        <w:rPr/>
      </w:pPr>
      <w:r>
        <w:rPr/>
      </w:r>
      <w:r>
        <w:br w:type="page"/>
      </w:r>
    </w:p>
    <w:p>
      <w:pPr>
        <w:pStyle w:val="Heading1"/>
        <w:spacing w:lineRule="auto" w:line="360"/>
        <w:rPr/>
      </w:pPr>
      <w:bookmarkStart w:id="10" w:name="_Toc80981662"/>
      <w:bookmarkStart w:id="11" w:name="_Toc80982009"/>
      <w:r>
        <w:rPr/>
        <w:t>QUESTION 2</w:t>
      </w:r>
      <w:bookmarkEnd w:id="10"/>
      <w:bookmarkEnd w:id="11"/>
    </w:p>
    <w:p>
      <w:pPr>
        <w:pStyle w:val="Heading2"/>
        <w:spacing w:lineRule="auto" w:line="360"/>
        <w:rPr/>
      </w:pPr>
      <w:bookmarkStart w:id="12" w:name="_Toc80981663"/>
      <w:bookmarkStart w:id="13" w:name="_Toc80982010"/>
      <w:r>
        <w:rPr/>
        <w:t>(A) IMPORTANCE OF MANAGEMENT ACCOUNTING AND DIFFERENCES FROM FINANCIAL ACCOUNTING</w:t>
      </w:r>
      <w:bookmarkEnd w:id="12"/>
      <w:bookmarkEnd w:id="13"/>
    </w:p>
    <w:p>
      <w:pPr>
        <w:pStyle w:val="Normal"/>
        <w:spacing w:lineRule="auto" w:line="360"/>
        <w:rPr/>
      </w:pPr>
      <w:r>
        <w:rPr/>
        <w:t>Ameen et al. (2018) assert the use of management accounting to be getting continuously popular for effective decision making in business organisations. It can be understood as extracting data, processing it into information, analysing, communicating and using it for making effective decisions for the benefit of the organisation. The authors further state that it uses financial as well as non-financial information relevant to the use of managers of different departments for enhancing the performance towards effectiveness. Management accounting is important in an organisation in the following manner:</w:t>
      </w:r>
    </w:p>
    <w:p>
      <w:pPr>
        <w:pStyle w:val="ListParagraph"/>
        <w:numPr>
          <w:ilvl w:val="0"/>
          <w:numId w:val="2"/>
        </w:numPr>
        <w:spacing w:lineRule="auto" w:line="360"/>
        <w:rPr/>
      </w:pPr>
      <w:r>
        <w:rPr>
          <w:b/>
        </w:rPr>
        <w:t>Formulation of strategic goals</w:t>
      </w:r>
      <w:r>
        <w:rPr/>
        <w:t xml:space="preserve">: Management accountants serve the organisation significantly by framing strategic goals and objectives which are supportive of the overall goal of the organisation. To attain the same, they implement a strategic system for applying the strategies effectively and gain results (Ameen et al., 2018). </w:t>
      </w:r>
    </w:p>
    <w:p>
      <w:pPr>
        <w:pStyle w:val="ListParagraph"/>
        <w:numPr>
          <w:ilvl w:val="0"/>
          <w:numId w:val="2"/>
        </w:numPr>
        <w:spacing w:lineRule="auto" w:line="360"/>
        <w:rPr/>
      </w:pPr>
      <w:r>
        <w:rPr>
          <w:b/>
        </w:rPr>
        <w:t>Effective decision making</w:t>
      </w:r>
      <w:r>
        <w:rPr/>
        <w:t>: Decisions made under management accounting prove to be more effective and efficient as the management accountants get able to input their skills to the financial and non-financial information extracted. The decisions made are sustainable, standardised and support the organisational goals (Ameen et al., 2018).</w:t>
      </w:r>
    </w:p>
    <w:p>
      <w:pPr>
        <w:pStyle w:val="ListParagraph"/>
        <w:numPr>
          <w:ilvl w:val="0"/>
          <w:numId w:val="2"/>
        </w:numPr>
        <w:spacing w:lineRule="auto" w:line="360"/>
        <w:rPr/>
      </w:pPr>
      <w:r>
        <w:rPr>
          <w:b/>
        </w:rPr>
        <w:t>Risk management</w:t>
      </w:r>
      <w:r>
        <w:rPr/>
        <w:t>: Management accounting plays a significant role in not just identifying risks but also provides strategic solutions for mitigating them. It ensures that the solutions proposed are feasible as well as effective at all levels (Ameen et al., 2018).</w:t>
      </w:r>
    </w:p>
    <w:p>
      <w:pPr>
        <w:pStyle w:val="ListParagraph"/>
        <w:numPr>
          <w:ilvl w:val="0"/>
          <w:numId w:val="2"/>
        </w:numPr>
        <w:spacing w:lineRule="auto" w:line="360"/>
        <w:rPr/>
      </w:pPr>
      <w:r>
        <w:rPr>
          <w:b/>
        </w:rPr>
        <w:t>Comprehensive performance at all levels</w:t>
      </w:r>
      <w:r>
        <w:rPr/>
        <w:t>: Management accounting is not functional at any particular level of management. Rather, it serves the organisation comprehensively by functioning at all levels, from top to operational. It collaborates with the top-level during the functions like planning, decision-making, etc. and supports the operational level while executing the strategies (Ameen et al., 2018).</w:t>
      </w:r>
    </w:p>
    <w:p>
      <w:pPr>
        <w:pStyle w:val="Normal"/>
        <w:spacing w:lineRule="auto" w:line="360"/>
        <w:rPr/>
      </w:pPr>
      <w:r>
        <w:rPr/>
        <w:t xml:space="preserve">The importance of management accounting is vast and cannot be concluded in short. It is important to note that it is a branch of accounting where the other branch leads to financial accounting. Both these branches are significantly different from each other and serve different needs (Hlaciuc et al., 2017). Below are the differences in the importance of both the branches of accounting: </w:t>
      </w:r>
    </w:p>
    <w:tbl>
      <w:tblPr>
        <w:tblStyle w:val="TableGrid"/>
        <w:tblW w:w="9576" w:type="dxa"/>
        <w:jc w:val="center"/>
        <w:tblInd w:w="0" w:type="dxa"/>
        <w:tblCellMar>
          <w:top w:w="0" w:type="dxa"/>
          <w:left w:w="108" w:type="dxa"/>
          <w:bottom w:w="0" w:type="dxa"/>
          <w:right w:w="108" w:type="dxa"/>
        </w:tblCellMar>
        <w:tblLook w:firstRow="1" w:noVBand="1" w:lastRow="0" w:firstColumn="1" w:lastColumn="0" w:noHBand="0" w:val="04a0"/>
      </w:tblPr>
      <w:tblGrid>
        <w:gridCol w:w="1526"/>
        <w:gridCol w:w="4353"/>
        <w:gridCol w:w="3697"/>
      </w:tblGrid>
      <w:tr>
        <w:trPr/>
        <w:tc>
          <w:tcPr>
            <w:tcW w:w="1526" w:type="dxa"/>
            <w:tcBorders/>
            <w:shd w:fill="auto" w:val="clear"/>
            <w:vAlign w:val="center"/>
          </w:tcPr>
          <w:p>
            <w:pPr>
              <w:pStyle w:val="Normal"/>
              <w:spacing w:lineRule="auto" w:line="360" w:before="0" w:after="0"/>
              <w:jc w:val="center"/>
              <w:rPr>
                <w:b/>
                <w:b/>
              </w:rPr>
            </w:pPr>
            <w:r>
              <w:rPr>
                <w:b/>
              </w:rPr>
              <w:t>Basis of Difference</w:t>
            </w:r>
          </w:p>
        </w:tc>
        <w:tc>
          <w:tcPr>
            <w:tcW w:w="4353" w:type="dxa"/>
            <w:tcBorders/>
            <w:shd w:fill="auto" w:val="clear"/>
            <w:vAlign w:val="center"/>
          </w:tcPr>
          <w:p>
            <w:pPr>
              <w:pStyle w:val="Normal"/>
              <w:spacing w:lineRule="auto" w:line="360" w:before="0" w:after="0"/>
              <w:jc w:val="center"/>
              <w:rPr>
                <w:b/>
                <w:b/>
              </w:rPr>
            </w:pPr>
            <w:r>
              <w:rPr>
                <w:b/>
              </w:rPr>
              <w:t>Financial Accounting</w:t>
            </w:r>
          </w:p>
        </w:tc>
        <w:tc>
          <w:tcPr>
            <w:tcW w:w="3697" w:type="dxa"/>
            <w:tcBorders/>
            <w:shd w:fill="auto" w:val="clear"/>
            <w:vAlign w:val="center"/>
          </w:tcPr>
          <w:p>
            <w:pPr>
              <w:pStyle w:val="Normal"/>
              <w:spacing w:lineRule="auto" w:line="360" w:before="0" w:after="0"/>
              <w:jc w:val="center"/>
              <w:rPr>
                <w:b/>
                <w:b/>
              </w:rPr>
            </w:pPr>
            <w:r>
              <w:rPr>
                <w:b/>
              </w:rPr>
              <w:t>Management Accounting</w:t>
            </w:r>
          </w:p>
        </w:tc>
      </w:tr>
      <w:tr>
        <w:trPr/>
        <w:tc>
          <w:tcPr>
            <w:tcW w:w="1526" w:type="dxa"/>
            <w:tcBorders/>
            <w:shd w:fill="auto" w:val="clear"/>
          </w:tcPr>
          <w:p>
            <w:pPr>
              <w:pStyle w:val="Normal"/>
              <w:spacing w:lineRule="auto" w:line="360" w:before="0" w:after="0"/>
              <w:rPr/>
            </w:pPr>
            <w:r>
              <w:rPr/>
              <w:t>Users of information</w:t>
            </w:r>
          </w:p>
        </w:tc>
        <w:tc>
          <w:tcPr>
            <w:tcW w:w="4353" w:type="dxa"/>
            <w:tcBorders/>
            <w:shd w:fill="auto" w:val="clear"/>
          </w:tcPr>
          <w:p>
            <w:pPr>
              <w:pStyle w:val="Normal"/>
              <w:spacing w:lineRule="auto" w:line="360" w:before="0" w:after="0"/>
              <w:rPr/>
            </w:pPr>
            <w:r>
              <w:rPr/>
              <w:t>The information generated under financial accounting is used by external parties to the business such as investors, government, creditors, competitors, etc. and few internal users like directors, etc. (Hlaciuc et al., 2017).</w:t>
            </w:r>
          </w:p>
        </w:tc>
        <w:tc>
          <w:tcPr>
            <w:tcW w:w="3697" w:type="dxa"/>
            <w:tcBorders/>
            <w:shd w:fill="auto" w:val="clear"/>
          </w:tcPr>
          <w:p>
            <w:pPr>
              <w:pStyle w:val="Normal"/>
              <w:spacing w:lineRule="auto" w:line="360" w:before="0" w:after="0"/>
              <w:rPr/>
            </w:pPr>
            <w:r>
              <w:rPr/>
              <w:t>The information generated under management accounting is solely used by the internal users, i.e. different levels of management (Hlaciuc et al., 2017).</w:t>
            </w:r>
          </w:p>
        </w:tc>
      </w:tr>
      <w:tr>
        <w:trPr/>
        <w:tc>
          <w:tcPr>
            <w:tcW w:w="1526" w:type="dxa"/>
            <w:tcBorders/>
            <w:shd w:fill="auto" w:val="clear"/>
          </w:tcPr>
          <w:p>
            <w:pPr>
              <w:pStyle w:val="Normal"/>
              <w:spacing w:lineRule="auto" w:line="360" w:before="0" w:after="0"/>
              <w:rPr/>
            </w:pPr>
            <w:r>
              <w:rPr/>
              <w:t>Type of information generated</w:t>
            </w:r>
          </w:p>
        </w:tc>
        <w:tc>
          <w:tcPr>
            <w:tcW w:w="4353" w:type="dxa"/>
            <w:tcBorders/>
            <w:shd w:fill="auto" w:val="clear"/>
          </w:tcPr>
          <w:p>
            <w:pPr>
              <w:pStyle w:val="Normal"/>
              <w:spacing w:lineRule="auto" w:line="360" w:before="0" w:after="0"/>
              <w:rPr/>
            </w:pPr>
            <w:r>
              <w:rPr/>
              <w:t>Financial accounting presents information like overall profitability, performance, financial position, etc. of the business (Hlaciuc et al., 2017).</w:t>
            </w:r>
          </w:p>
        </w:tc>
        <w:tc>
          <w:tcPr>
            <w:tcW w:w="3697" w:type="dxa"/>
            <w:tcBorders/>
            <w:shd w:fill="auto" w:val="clear"/>
          </w:tcPr>
          <w:p>
            <w:pPr>
              <w:pStyle w:val="Normal"/>
              <w:spacing w:lineRule="auto" w:line="360" w:before="0" w:after="0"/>
              <w:rPr/>
            </w:pPr>
            <w:r>
              <w:rPr/>
              <w:t>Management accounting offers detailed information about production processes, separate and overall costs, department-wise activities, etc. (Hlaciuc et al., 2017).</w:t>
            </w:r>
          </w:p>
        </w:tc>
      </w:tr>
      <w:tr>
        <w:trPr/>
        <w:tc>
          <w:tcPr>
            <w:tcW w:w="1526" w:type="dxa"/>
            <w:tcBorders/>
            <w:shd w:fill="auto" w:val="clear"/>
          </w:tcPr>
          <w:p>
            <w:pPr>
              <w:pStyle w:val="Normal"/>
              <w:spacing w:lineRule="auto" w:line="360" w:before="0" w:after="0"/>
              <w:rPr/>
            </w:pPr>
            <w:r>
              <w:rPr/>
              <w:t>Timing of information</w:t>
            </w:r>
          </w:p>
        </w:tc>
        <w:tc>
          <w:tcPr>
            <w:tcW w:w="4353" w:type="dxa"/>
            <w:tcBorders/>
            <w:shd w:fill="auto" w:val="clear"/>
          </w:tcPr>
          <w:p>
            <w:pPr>
              <w:pStyle w:val="Normal"/>
              <w:spacing w:lineRule="auto" w:line="360" w:before="0" w:after="0"/>
              <w:rPr/>
            </w:pPr>
            <w:r>
              <w:rPr/>
              <w:t>The information is provided by financial accounting, generally at the end of the accounting period and is based on historical data (Hlaciuc et al., 2017).</w:t>
            </w:r>
          </w:p>
        </w:tc>
        <w:tc>
          <w:tcPr>
            <w:tcW w:w="3697" w:type="dxa"/>
            <w:tcBorders/>
            <w:shd w:fill="auto" w:val="clear"/>
          </w:tcPr>
          <w:p>
            <w:pPr>
              <w:pStyle w:val="Normal"/>
              <w:spacing w:lineRule="auto" w:line="360" w:before="0" w:after="0"/>
              <w:rPr/>
            </w:pPr>
            <w:r>
              <w:rPr/>
              <w:t>Management accounting delivers forward-looking information by including planning and forecasts as chief functions (Hlaciuc et al., 2017).</w:t>
            </w:r>
          </w:p>
        </w:tc>
      </w:tr>
      <w:tr>
        <w:trPr/>
        <w:tc>
          <w:tcPr>
            <w:tcW w:w="1526" w:type="dxa"/>
            <w:tcBorders/>
            <w:shd w:fill="auto" w:val="clear"/>
          </w:tcPr>
          <w:p>
            <w:pPr>
              <w:pStyle w:val="Normal"/>
              <w:spacing w:lineRule="auto" w:line="360" w:before="0" w:after="0"/>
              <w:rPr/>
            </w:pPr>
            <w:r>
              <w:rPr/>
              <w:t>Standards of reporting</w:t>
            </w:r>
          </w:p>
        </w:tc>
        <w:tc>
          <w:tcPr>
            <w:tcW w:w="4353" w:type="dxa"/>
            <w:tcBorders/>
            <w:shd w:fill="auto" w:val="clear"/>
          </w:tcPr>
          <w:p>
            <w:pPr>
              <w:pStyle w:val="Normal"/>
              <w:spacing w:lineRule="auto" w:line="360" w:before="0" w:after="0"/>
              <w:rPr/>
            </w:pPr>
            <w:r>
              <w:rPr/>
              <w:t>Financial accounting is based on regulatory standards which are mandatory to be followed for reporting (Hlaciuc et al., 2017).</w:t>
            </w:r>
          </w:p>
        </w:tc>
        <w:tc>
          <w:tcPr>
            <w:tcW w:w="3697" w:type="dxa"/>
            <w:tcBorders/>
            <w:shd w:fill="auto" w:val="clear"/>
          </w:tcPr>
          <w:p>
            <w:pPr>
              <w:pStyle w:val="Normal"/>
              <w:spacing w:lineRule="auto" w:line="360" w:before="0" w:after="0"/>
              <w:rPr/>
            </w:pPr>
            <w:r>
              <w:rPr/>
              <w:t>There are no pre-determined standards and reporting can be customised as per the requirements of different departments of different organisations (Hlaciuc et al., 2017).</w:t>
            </w:r>
          </w:p>
        </w:tc>
      </w:tr>
    </w:tbl>
    <w:p>
      <w:pPr>
        <w:pStyle w:val="Normal"/>
        <w:spacing w:lineRule="auto" w:line="360"/>
        <w:rPr/>
      </w:pPr>
      <w:r>
        <w:rPr/>
      </w:r>
    </w:p>
    <w:p>
      <w:pPr>
        <w:pStyle w:val="Normal"/>
        <w:spacing w:lineRule="auto" w:line="360"/>
        <w:rPr/>
      </w:pPr>
      <w:r>
        <w:rPr/>
        <w:t xml:space="preserve">The above differences provide that though financial accounting is important in its place it cannot shadow the importance of management accounting which is crucial for the effective and efficient operational performance of any business. </w:t>
      </w:r>
    </w:p>
    <w:p>
      <w:pPr>
        <w:pStyle w:val="Normal"/>
        <w:spacing w:lineRule="auto" w:line="360" w:before="0" w:after="200"/>
        <w:jc w:val="left"/>
        <w:rPr/>
      </w:pPr>
      <w:r>
        <w:rPr/>
      </w:r>
      <w:r>
        <w:br w:type="page"/>
      </w:r>
    </w:p>
    <w:p>
      <w:pPr>
        <w:pStyle w:val="Heading2"/>
        <w:spacing w:lineRule="auto" w:line="360"/>
        <w:rPr/>
      </w:pPr>
      <w:bookmarkStart w:id="14" w:name="_Toc80981664"/>
      <w:bookmarkStart w:id="15" w:name="_Toc80982011"/>
      <w:r>
        <w:rPr/>
        <w:t>(B) TECHNIQUES FOR ACHIEVING OBJECTIVES OF MANAGEMENT ACCOUNTING</w:t>
      </w:r>
      <w:bookmarkEnd w:id="14"/>
      <w:bookmarkEnd w:id="15"/>
    </w:p>
    <w:p>
      <w:pPr>
        <w:pStyle w:val="Normal"/>
        <w:spacing w:lineRule="auto" w:line="360"/>
        <w:rPr/>
      </w:pPr>
      <w:r>
        <w:rPr/>
        <w:t>To attain the key objectives of management accounting, i.e. planning, controlling and decision making, the following techniques can serve significantly:</w:t>
      </w:r>
    </w:p>
    <w:p>
      <w:pPr>
        <w:pStyle w:val="ListParagraph"/>
        <w:numPr>
          <w:ilvl w:val="0"/>
          <w:numId w:val="3"/>
        </w:numPr>
        <w:spacing w:lineRule="auto" w:line="360"/>
        <w:rPr/>
      </w:pPr>
      <w:r>
        <w:rPr>
          <w:b/>
        </w:rPr>
        <w:t>Marginal analysis</w:t>
      </w:r>
      <w:r>
        <w:rPr/>
        <w:t>: Marginal analysis is an effective tool of management accounting that assists the business in responding to the fluctuations arising with the changes in the level of production variables and associated costs. The incremental changes arising are analysed with the help of break-even analysis so that planning can be done for improving performance and decisions can be made accordingly (Chernega et al., 2018). This tool is significant in case of making decisions during tough competition by addressing factors like production, costs, profit margin, etc. (Vagif, 2018).</w:t>
      </w:r>
    </w:p>
    <w:p>
      <w:pPr>
        <w:pStyle w:val="ListParagraph"/>
        <w:numPr>
          <w:ilvl w:val="0"/>
          <w:numId w:val="3"/>
        </w:numPr>
        <w:spacing w:lineRule="auto" w:line="360"/>
        <w:rPr/>
      </w:pPr>
      <w:r>
        <w:rPr>
          <w:b/>
        </w:rPr>
        <w:t>Standard costing</w:t>
      </w:r>
      <w:r>
        <w:rPr/>
        <w:t xml:space="preserve">: Standard costing is a significant technique that assists managers in controlling costs. This technique determines the standard level of different costs which are taken as an ideal to be followed while actual performance. The activities are targeted to meet the standards and avoid deviating from the same. The actual performance made is compared with the standards set to determine the effectiveness and efficiency of the performance. Any deviations from the ideal level identified are studied to determine the reason and making decisions for controlling the performance in the upcoming period (Iliemena and Amedu, 2019). </w:t>
      </w:r>
    </w:p>
    <w:p>
      <w:pPr>
        <w:pStyle w:val="ListParagraph"/>
        <w:numPr>
          <w:ilvl w:val="0"/>
          <w:numId w:val="3"/>
        </w:numPr>
        <w:spacing w:lineRule="auto" w:line="360"/>
        <w:rPr/>
      </w:pPr>
      <w:r>
        <w:rPr>
          <w:b/>
        </w:rPr>
        <w:t>Budgetary control</w:t>
      </w:r>
      <w:r>
        <w:rPr/>
        <w:t xml:space="preserve">: Budgetary control assists in making qualitative as well as quantitative controls on business’ operations. This technique plans and controls the performance by introducing an effective system in place for adhering to the budgets formulated while their execution. Such control is put in every department at different levels. Failure of meeting the budgeted requirements are dealt with by putting corrective actions and assisting the management in improvising its future policies (Akeem, 2017). </w:t>
      </w:r>
    </w:p>
    <w:p>
      <w:pPr>
        <w:pStyle w:val="Normal"/>
        <w:spacing w:lineRule="auto" w:line="360" w:before="0" w:after="200"/>
        <w:jc w:val="left"/>
        <w:rPr/>
      </w:pPr>
      <w:r>
        <w:rPr/>
      </w:r>
      <w:r>
        <w:br w:type="page"/>
      </w:r>
    </w:p>
    <w:p>
      <w:pPr>
        <w:pStyle w:val="Heading1"/>
        <w:spacing w:lineRule="auto" w:line="360"/>
        <w:rPr/>
      </w:pPr>
      <w:bookmarkStart w:id="16" w:name="_Toc80981665"/>
      <w:bookmarkStart w:id="17" w:name="_Toc80982012"/>
      <w:r>
        <w:rPr/>
        <w:t>REFERENCE LIST</w:t>
      </w:r>
      <w:bookmarkEnd w:id="16"/>
      <w:bookmarkEnd w:id="17"/>
    </w:p>
    <w:p>
      <w:pPr>
        <w:pStyle w:val="Normal"/>
        <w:spacing w:lineRule="auto" w:line="360"/>
        <w:rPr/>
      </w:pPr>
      <w:r>
        <w:rPr/>
        <w:t>Akeem, L.B. (2017). Effect of cost control and cost reduction techniques in organizational performance. </w:t>
      </w:r>
      <w:r>
        <w:rPr>
          <w:i/>
          <w:iCs/>
        </w:rPr>
        <w:t>International Business and Management</w:t>
      </w:r>
      <w:r>
        <w:rPr/>
        <w:t>, </w:t>
      </w:r>
      <w:r>
        <w:rPr>
          <w:i/>
          <w:iCs/>
        </w:rPr>
        <w:t>14</w:t>
      </w:r>
      <w:r>
        <w:rPr/>
        <w:t>(3), pp.19-26.</w:t>
      </w:r>
    </w:p>
    <w:p>
      <w:pPr>
        <w:pStyle w:val="Normal"/>
        <w:spacing w:lineRule="auto" w:line="360"/>
        <w:rPr/>
      </w:pPr>
      <w:r>
        <w:rPr/>
        <w:t>Ameen, A.M., Ahmed, M.F. and Abd Hafez, M.A. (2018). The Impact of Management Accounting and How It Can Be Implemented into the Organizational Culture. </w:t>
      </w:r>
      <w:r>
        <w:rPr>
          <w:i/>
          <w:iCs/>
        </w:rPr>
        <w:t>Dutch Journal of Finance and Management</w:t>
      </w:r>
      <w:r>
        <w:rPr/>
        <w:t>, </w:t>
      </w:r>
      <w:r>
        <w:rPr>
          <w:i/>
          <w:iCs/>
        </w:rPr>
        <w:t>2</w:t>
      </w:r>
      <w:r>
        <w:rPr/>
        <w:t>(1), p.02.</w:t>
      </w:r>
    </w:p>
    <w:p>
      <w:pPr>
        <w:pStyle w:val="Normal"/>
        <w:spacing w:lineRule="auto" w:line="360"/>
        <w:rPr/>
      </w:pPr>
      <w:r>
        <w:rPr/>
        <w:t>Chernega, O.B., Voloshynа, S.V. and Kostakova, L.D. (2018). Paradigm of marginal analysis of profits of enterprises with a multiple productive process. </w:t>
      </w:r>
      <w:r>
        <w:rPr>
          <w:i/>
          <w:iCs/>
        </w:rPr>
        <w:t>Науковий вісник Національного гірничого університету</w:t>
      </w:r>
      <w:r>
        <w:rPr/>
        <w:t>, (6), pp.139-147.</w:t>
      </w:r>
    </w:p>
    <w:p>
      <w:pPr>
        <w:pStyle w:val="Normal"/>
        <w:spacing w:lineRule="auto" w:line="360"/>
        <w:rPr/>
      </w:pPr>
      <w:r>
        <w:rPr/>
        <w:t>Hlaciuc, E., Vultur, P., Cretu, F. and Ailoaiei, R. (2017). The interface between financial and management accounting. </w:t>
      </w:r>
      <w:r>
        <w:rPr>
          <w:i/>
          <w:iCs/>
        </w:rPr>
        <w:t>The USV Annals of Economics and Public Administration</w:t>
      </w:r>
      <w:r>
        <w:rPr/>
        <w:t>, </w:t>
      </w:r>
      <w:r>
        <w:rPr>
          <w:i/>
          <w:iCs/>
        </w:rPr>
        <w:t>17</w:t>
      </w:r>
      <w:r>
        <w:rPr/>
        <w:t>(2 (26)), pp.103-110.</w:t>
      </w:r>
    </w:p>
    <w:p>
      <w:pPr>
        <w:pStyle w:val="Normal"/>
        <w:spacing w:lineRule="auto" w:line="360"/>
        <w:rPr/>
      </w:pPr>
      <w:r>
        <w:rPr/>
        <w:t>Iliemena, R.O. and Amedu, J.M. (2019). Effect of standard costing on profitability of manufacturing companies: study of Edo State Nigeria. </w:t>
      </w:r>
      <w:r>
        <w:rPr>
          <w:i/>
          <w:iCs/>
        </w:rPr>
        <w:t>Journal of Resources Development and Management</w:t>
      </w:r>
      <w:r>
        <w:rPr/>
        <w:t>, </w:t>
      </w:r>
      <w:r>
        <w:rPr>
          <w:i/>
          <w:iCs/>
        </w:rPr>
        <w:t>53</w:t>
      </w:r>
      <w:r>
        <w:rPr/>
        <w:t>(3), pp.28-34.</w:t>
      </w:r>
    </w:p>
    <w:p>
      <w:pPr>
        <w:pStyle w:val="Normal"/>
        <w:spacing w:lineRule="auto" w:line="360"/>
        <w:rPr/>
      </w:pPr>
      <w:r>
        <w:rPr/>
        <w:t xml:space="preserve">Knowledgiate. (2018). </w:t>
      </w:r>
      <w:r>
        <w:rPr>
          <w:i/>
        </w:rPr>
        <w:t>Advantages and Limitations of Break-even Analysis</w:t>
      </w:r>
      <w:r>
        <w:rPr/>
        <w:t xml:space="preserve">. . (Online) available at: </w:t>
      </w:r>
      <w:hyperlink r:id="rId3">
        <w:r>
          <w:rPr>
            <w:rStyle w:val="InternetLink"/>
          </w:rPr>
          <w:t>https://www.knowledgiate.com/advantages-and-limitations-of-break-even-analysis/</w:t>
        </w:r>
      </w:hyperlink>
      <w:r>
        <w:rPr/>
        <w:t>. Last accessed on 27 August 2021.</w:t>
      </w:r>
    </w:p>
    <w:p>
      <w:pPr>
        <w:pStyle w:val="Normal"/>
        <w:spacing w:lineRule="auto" w:line="360"/>
        <w:rPr/>
      </w:pPr>
      <w:r>
        <w:rPr/>
        <w:t>SHROTRIYA, V. (2019). Break Even Analysis–The Concept and It’s Utility.</w:t>
      </w:r>
    </w:p>
    <w:p>
      <w:pPr>
        <w:pStyle w:val="Normal"/>
        <w:spacing w:lineRule="auto" w:line="360"/>
        <w:rPr/>
      </w:pPr>
      <w:r>
        <w:rPr/>
        <w:t>Sintha, L. (2020). Importance of Break-Even Analysis for the Micro, Small and Medium Enterprises. </w:t>
      </w:r>
      <w:r>
        <w:rPr>
          <w:i/>
          <w:iCs/>
        </w:rPr>
        <w:t>International Journal of Research-Granthaalayah</w:t>
      </w:r>
      <w:r>
        <w:rPr/>
        <w:t>, </w:t>
      </w:r>
      <w:r>
        <w:rPr>
          <w:i/>
          <w:iCs/>
        </w:rPr>
        <w:t>8</w:t>
      </w:r>
      <w:r>
        <w:rPr/>
        <w:t>(6).</w:t>
      </w:r>
    </w:p>
    <w:p>
      <w:pPr>
        <w:pStyle w:val="Normal"/>
        <w:spacing w:lineRule="auto" w:line="360"/>
        <w:rPr/>
      </w:pPr>
      <w:r>
        <w:rPr/>
        <w:t xml:space="preserve">ToughNickel. (2021). </w:t>
      </w:r>
      <w:r>
        <w:rPr>
          <w:i/>
        </w:rPr>
        <w:t>Disadvantages and Advantages of Break-Even Analysis</w:t>
      </w:r>
      <w:r>
        <w:rPr/>
        <w:t xml:space="preserve">. (Online) available at: </w:t>
      </w:r>
      <w:hyperlink r:id="rId4">
        <w:r>
          <w:rPr>
            <w:rStyle w:val="InternetLink"/>
          </w:rPr>
          <w:t>https://toughnickel.com/business/Breakeven-analysis</w:t>
        </w:r>
      </w:hyperlink>
      <w:r>
        <w:rPr/>
        <w:t>. Last accessed on 27 August 2021.</w:t>
      </w:r>
    </w:p>
    <w:p>
      <w:pPr>
        <w:pStyle w:val="Normal"/>
        <w:spacing w:lineRule="auto" w:line="360"/>
        <w:rPr/>
      </w:pPr>
      <w:r>
        <w:rPr/>
        <w:t>Vagif, L.M. (2018). FEATURES OF MARGINAL ANALYSIS IN ADMINISTRATION OF MANAGEMENT DECISIONS. In </w:t>
      </w:r>
      <w:r>
        <w:rPr>
          <w:i/>
          <w:iCs/>
        </w:rPr>
        <w:t>Economic and Social Development (Book of Proceedings Vol. 2/4), 55th International Scientific Conference on Economic and Social</w:t>
      </w:r>
      <w:r>
        <w:rPr/>
        <w:t> (p. 377).</w:t>
      </w:r>
    </w:p>
    <w:p>
      <w:pPr>
        <w:pStyle w:val="Normal"/>
        <w:spacing w:lineRule="auto" w:line="360"/>
        <w:rPr/>
      </w:pPr>
      <w:r>
        <w:rPr/>
        <w:t>Weetman, P. (2019). </w:t>
      </w:r>
      <w:r>
        <w:rPr>
          <w:i/>
          <w:iCs/>
        </w:rPr>
        <w:t>Financial and management accounting</w:t>
      </w:r>
      <w:r>
        <w:rPr/>
        <w:t>. Pearson UK.</w:t>
      </w:r>
    </w:p>
    <w:p>
      <w:pPr>
        <w:pStyle w:val="Normal"/>
        <w:spacing w:lineRule="auto" w:line="360"/>
        <w:rPr/>
      </w:pPr>
      <w:r>
        <w:rPr/>
      </w:r>
    </w:p>
    <w:sectPr>
      <w:footerReference w:type="default" r:id="rId5"/>
      <w:type w:val="nextPage"/>
      <w:pgSz w:w="12240" w:h="15840"/>
      <w:pgMar w:left="1440" w:right="1440" w:header="0" w:top="1440" w:footer="720" w:bottom="144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Calibri">
    <w:charset w:val="00"/>
    <w:family w:val="roman"/>
    <w:pitch w:val="variable"/>
  </w:font>
  <w:font w:name="Tahoma">
    <w:charset w:val="00"/>
    <w:family w:val="roman"/>
    <w:pitch w:val="variable"/>
  </w:font>
  <w:font w:name="Arial MT">
    <w:charset w:val="00"/>
    <w:family w:val="roman"/>
    <w:pitch w:val="variable"/>
  </w:font>
  <w:font w:name="Arial">
    <w:charset w:val="00"/>
    <w:family w:val="roman"/>
    <w:pitch w:val="variable"/>
  </w:font>
  <w:font w:name="Cambria">
    <w:charset w:val="00"/>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108512458"/>
    </w:sdtPr>
    <w:sdtContent>
      <w:p>
        <w:pPr>
          <w:pStyle w:val="Footer"/>
          <w:jc w:val="right"/>
          <w:rPr/>
        </w:pPr>
        <w:r>
          <w:rPr/>
          <w:fldChar w:fldCharType="begin"/>
        </w:r>
        <w:r>
          <w:rPr/>
          <w:instrText> PAGE </w:instrText>
        </w:r>
        <w:r>
          <w:rPr/>
          <w:fldChar w:fldCharType="separate"/>
        </w:r>
        <w:r>
          <w:rPr/>
          <w:t>11</w:t>
        </w:r>
        <w:r>
          <w:rPr/>
          <w:fldChar w:fldCharType="end"/>
        </w:r>
      </w:p>
    </w:sdtContent>
  </w:sdt>
  <w:p>
    <w:pPr>
      <w:pStyle w:val="Footer"/>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4">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20"/>
  <w:compat>
    <w:compatSetting w:name="compatibilityMode" w:uri="http://schemas.microsoft.com/office/word" w:val="12"/>
    <w:compatSetting w:name="useWord2013TrackBottomHyphenation" w:uri="http://schemas.microsoft.com/office/word" w:val="1"/>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US"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22f70"/>
    <w:pPr>
      <w:widowControl/>
      <w:bidi w:val="0"/>
      <w:spacing w:lineRule="auto" w:line="240" w:before="0" w:after="0"/>
      <w:jc w:val="both"/>
    </w:pPr>
    <w:rPr>
      <w:rFonts w:ascii="Times New Roman" w:hAnsi="Times New Roman" w:eastAsia="Times New Roman" w:cs="Times New Roman"/>
      <w:color w:val="auto"/>
      <w:kern w:val="0"/>
      <w:sz w:val="24"/>
      <w:szCs w:val="20"/>
      <w:lang w:val="en-US" w:eastAsia="en-US" w:bidi="ar-SA"/>
    </w:rPr>
  </w:style>
  <w:style w:type="paragraph" w:styleId="Heading1">
    <w:name w:val="Heading 1"/>
    <w:basedOn w:val="Normal"/>
    <w:next w:val="Normal"/>
    <w:link w:val="Heading1Char"/>
    <w:uiPriority w:val="9"/>
    <w:qFormat/>
    <w:rsid w:val="007a6252"/>
    <w:pPr>
      <w:keepNext w:val="true"/>
      <w:keepLines/>
      <w:spacing w:before="480" w:after="0"/>
      <w:outlineLvl w:val="0"/>
    </w:pPr>
    <w:rPr>
      <w:rFonts w:eastAsia="" w:cs="" w:cstheme="majorBidi" w:eastAsiaTheme="majorEastAsia"/>
      <w:b/>
      <w:bCs/>
      <w:color w:val="365F91" w:themeColor="accent1" w:themeShade="bf"/>
      <w:szCs w:val="28"/>
    </w:rPr>
  </w:style>
  <w:style w:type="paragraph" w:styleId="Heading2">
    <w:name w:val="Heading 2"/>
    <w:basedOn w:val="Normal"/>
    <w:next w:val="Normal"/>
    <w:link w:val="Heading2Char"/>
    <w:uiPriority w:val="9"/>
    <w:unhideWhenUsed/>
    <w:qFormat/>
    <w:rsid w:val="007a6252"/>
    <w:pPr>
      <w:keepNext w:val="true"/>
      <w:keepLines/>
      <w:spacing w:before="200" w:after="0"/>
      <w:outlineLvl w:val="1"/>
    </w:pPr>
    <w:rPr>
      <w:rFonts w:eastAsia="" w:cs="" w:cstheme="majorBidi" w:eastAsiaTheme="majorEastAsia"/>
      <w:b/>
      <w:bCs/>
      <w:color w:val="4F81BD" w:themeColor="accent1"/>
      <w:szCs w:val="26"/>
    </w:rPr>
  </w:style>
  <w:style w:type="paragraph" w:styleId="Heading3">
    <w:name w:val="Heading 3"/>
    <w:basedOn w:val="Normal"/>
    <w:next w:val="Normal"/>
    <w:link w:val="Heading3Char"/>
    <w:uiPriority w:val="9"/>
    <w:unhideWhenUsed/>
    <w:qFormat/>
    <w:rsid w:val="00647835"/>
    <w:pPr>
      <w:keepNext w:val="true"/>
      <w:keepLines/>
      <w:spacing w:before="200" w:after="0"/>
      <w:outlineLvl w:val="2"/>
    </w:pPr>
    <w:rPr>
      <w:rFonts w:eastAsia="" w:cs="" w:cstheme="majorBidi" w:eastAsiaTheme="majorEastAsia"/>
      <w:b/>
      <w:bCs/>
      <w:color w:val="95B3D7" w:themeColor="accent1" w:themeTint="99"/>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7a6252"/>
    <w:rPr>
      <w:rFonts w:ascii="Times New Roman" w:hAnsi="Times New Roman" w:eastAsia="" w:cs="" w:cstheme="majorBidi" w:eastAsiaTheme="majorEastAsia"/>
      <w:b/>
      <w:bCs/>
      <w:color w:val="365F91" w:themeColor="accent1" w:themeShade="bf"/>
      <w:sz w:val="24"/>
      <w:szCs w:val="28"/>
    </w:rPr>
  </w:style>
  <w:style w:type="character" w:styleId="Heading2Char" w:customStyle="1">
    <w:name w:val="Heading 2 Char"/>
    <w:basedOn w:val="DefaultParagraphFont"/>
    <w:link w:val="Heading2"/>
    <w:uiPriority w:val="9"/>
    <w:qFormat/>
    <w:rsid w:val="007a6252"/>
    <w:rPr>
      <w:rFonts w:ascii="Times New Roman" w:hAnsi="Times New Roman" w:eastAsia="" w:cs="" w:cstheme="majorBidi" w:eastAsiaTheme="majorEastAsia"/>
      <w:b/>
      <w:bCs/>
      <w:color w:val="4F81BD" w:themeColor="accent1"/>
      <w:sz w:val="24"/>
      <w:szCs w:val="26"/>
    </w:rPr>
  </w:style>
  <w:style w:type="character" w:styleId="TitleChar" w:customStyle="1">
    <w:name w:val="Title Char"/>
    <w:basedOn w:val="DefaultParagraphFont"/>
    <w:link w:val="Title"/>
    <w:uiPriority w:val="10"/>
    <w:qFormat/>
    <w:rsid w:val="007a6252"/>
    <w:rPr>
      <w:rFonts w:ascii="Times New Roman" w:hAnsi="Times New Roman" w:eastAsia="" w:cs="" w:cstheme="majorBidi" w:eastAsiaTheme="majorEastAsia"/>
      <w:b/>
      <w:color w:val="17365D" w:themeColor="text2" w:themeShade="bf"/>
      <w:spacing w:val="5"/>
      <w:kern w:val="2"/>
      <w:sz w:val="56"/>
      <w:szCs w:val="52"/>
      <w:u w:val="single"/>
    </w:rPr>
  </w:style>
  <w:style w:type="character" w:styleId="SubtitleChar" w:customStyle="1">
    <w:name w:val="Subtitle Char"/>
    <w:basedOn w:val="DefaultParagraphFont"/>
    <w:link w:val="Subtitle"/>
    <w:uiPriority w:val="11"/>
    <w:qFormat/>
    <w:rsid w:val="003e74e1"/>
    <w:rPr>
      <w:rFonts w:ascii="Times New Roman" w:hAnsi="Times New Roman" w:eastAsia="" w:cs="" w:cstheme="majorBidi" w:eastAsiaTheme="majorEastAsia"/>
      <w:b/>
      <w:iCs/>
      <w:color w:val="4F81BD" w:themeColor="accent1"/>
      <w:spacing w:val="15"/>
      <w:sz w:val="40"/>
      <w:szCs w:val="24"/>
      <w:u w:val="single"/>
    </w:rPr>
  </w:style>
  <w:style w:type="character" w:styleId="Heading3Char" w:customStyle="1">
    <w:name w:val="Heading 3 Char"/>
    <w:basedOn w:val="DefaultParagraphFont"/>
    <w:link w:val="Heading3"/>
    <w:uiPriority w:val="9"/>
    <w:qFormat/>
    <w:rsid w:val="00647835"/>
    <w:rPr>
      <w:rFonts w:ascii="Times New Roman" w:hAnsi="Times New Roman" w:eastAsia="" w:cs="" w:cstheme="majorBidi" w:eastAsiaTheme="majorEastAsia"/>
      <w:b/>
      <w:bCs/>
      <w:color w:val="95B3D7" w:themeColor="accent1" w:themeTint="99"/>
      <w:sz w:val="24"/>
    </w:rPr>
  </w:style>
  <w:style w:type="character" w:styleId="HeaderChar" w:customStyle="1">
    <w:name w:val="Header Char"/>
    <w:basedOn w:val="DefaultParagraphFont"/>
    <w:link w:val="Header"/>
    <w:uiPriority w:val="99"/>
    <w:semiHidden/>
    <w:qFormat/>
    <w:rsid w:val="002832b5"/>
    <w:rPr>
      <w:rFonts w:ascii="Times New Roman" w:hAnsi="Times New Roman" w:eastAsia="Times New Roman" w:cs="Times New Roman"/>
      <w:sz w:val="24"/>
      <w:szCs w:val="20"/>
    </w:rPr>
  </w:style>
  <w:style w:type="character" w:styleId="FooterChar" w:customStyle="1">
    <w:name w:val="Footer Char"/>
    <w:basedOn w:val="DefaultParagraphFont"/>
    <w:link w:val="Footer"/>
    <w:uiPriority w:val="99"/>
    <w:qFormat/>
    <w:rsid w:val="002832b5"/>
    <w:rPr>
      <w:rFonts w:ascii="Times New Roman" w:hAnsi="Times New Roman" w:eastAsia="Times New Roman" w:cs="Times New Roman"/>
      <w:sz w:val="24"/>
      <w:szCs w:val="20"/>
    </w:rPr>
  </w:style>
  <w:style w:type="character" w:styleId="BalloonTextChar" w:customStyle="1">
    <w:name w:val="Balloon Text Char"/>
    <w:basedOn w:val="DefaultParagraphFont"/>
    <w:link w:val="BalloonText"/>
    <w:uiPriority w:val="99"/>
    <w:semiHidden/>
    <w:qFormat/>
    <w:rsid w:val="002832b5"/>
    <w:rPr>
      <w:rFonts w:ascii="Tahoma" w:hAnsi="Tahoma" w:eastAsia="Times New Roman" w:cs="Tahoma"/>
      <w:sz w:val="16"/>
      <w:szCs w:val="16"/>
    </w:rPr>
  </w:style>
  <w:style w:type="character" w:styleId="InternetLink">
    <w:name w:val="Internet Link"/>
    <w:basedOn w:val="DefaultParagraphFont"/>
    <w:uiPriority w:val="99"/>
    <w:unhideWhenUsed/>
    <w:rsid w:val="00a96697"/>
    <w:rPr>
      <w:color w:val="0000FF" w:themeColor="hyperlink"/>
      <w:u w:val="single"/>
    </w:rPr>
  </w:style>
  <w:style w:type="character" w:styleId="BodyTextChar" w:customStyle="1">
    <w:name w:val="Body Text Char"/>
    <w:basedOn w:val="DefaultParagraphFont"/>
    <w:link w:val="BodyText"/>
    <w:uiPriority w:val="1"/>
    <w:qFormat/>
    <w:rsid w:val="003d2d27"/>
    <w:rPr>
      <w:rFonts w:ascii="Arial MT" w:hAnsi="Arial MT" w:eastAsia="Arial MT" w:cs="Arial MT"/>
      <w:sz w:val="24"/>
      <w:szCs w:val="24"/>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character" w:styleId="ListLabel7">
    <w:name w:val="ListLabel 7"/>
    <w:qFormat/>
    <w:rPr>
      <w:rFonts w:cs="Courier New"/>
    </w:rPr>
  </w:style>
  <w:style w:type="character" w:styleId="ListLabel8">
    <w:name w:val="ListLabel 8"/>
    <w:qFormat/>
    <w:rPr>
      <w:rFonts w:cs="Courier New"/>
    </w:rPr>
  </w:style>
  <w:style w:type="character" w:styleId="ListLabel9">
    <w:name w:val="ListLabel 9"/>
    <w:qFormat/>
    <w:rPr>
      <w:rFonts w:cs="Courier New"/>
    </w:rPr>
  </w:style>
  <w:style w:type="character" w:styleId="ListLabel10">
    <w:name w:val="ListLabel 10"/>
    <w:qFormat/>
    <w:rPr/>
  </w:style>
  <w:style w:type="character" w:styleId="IndexLink">
    <w:name w:val="Index Link"/>
    <w:qFormat/>
    <w:rPr/>
  </w:style>
  <w:style w:type="character" w:styleId="ListLabel11">
    <w:name w:val="ListLabel 11"/>
    <w:qFormat/>
    <w:rPr>
      <w:rFonts w:cs="Symbol"/>
    </w:rPr>
  </w:style>
  <w:style w:type="character" w:styleId="ListLabel12">
    <w:name w:val="ListLabel 12"/>
    <w:qFormat/>
    <w:rPr>
      <w:rFonts w:cs="Courier New"/>
    </w:rPr>
  </w:style>
  <w:style w:type="character" w:styleId="ListLabel13">
    <w:name w:val="ListLabel 13"/>
    <w:qFormat/>
    <w:rPr>
      <w:rFonts w:cs="Wingdings"/>
    </w:rPr>
  </w:style>
  <w:style w:type="character" w:styleId="ListLabel14">
    <w:name w:val="ListLabel 14"/>
    <w:qFormat/>
    <w:rPr>
      <w:rFonts w:cs="Symbol"/>
    </w:rPr>
  </w:style>
  <w:style w:type="character" w:styleId="ListLabel15">
    <w:name w:val="ListLabel 15"/>
    <w:qFormat/>
    <w:rPr>
      <w:rFonts w:cs="Courier New"/>
    </w:rPr>
  </w:style>
  <w:style w:type="character" w:styleId="ListLabel16">
    <w:name w:val="ListLabel 16"/>
    <w:qFormat/>
    <w:rPr>
      <w:rFonts w:cs="Wingdings"/>
    </w:rPr>
  </w:style>
  <w:style w:type="character" w:styleId="ListLabel17">
    <w:name w:val="ListLabel 17"/>
    <w:qFormat/>
    <w:rPr>
      <w:rFonts w:cs="Symbol"/>
    </w:rPr>
  </w:style>
  <w:style w:type="character" w:styleId="ListLabel18">
    <w:name w:val="ListLabel 18"/>
    <w:qFormat/>
    <w:rPr>
      <w:rFonts w:cs="Courier New"/>
    </w:rPr>
  </w:style>
  <w:style w:type="character" w:styleId="ListLabel19">
    <w:name w:val="ListLabel 19"/>
    <w:qFormat/>
    <w:rPr>
      <w:rFonts w:cs="Wingdings"/>
    </w:rPr>
  </w:style>
  <w:style w:type="character" w:styleId="ListLabel20">
    <w:name w:val="ListLabel 20"/>
    <w:qFormat/>
    <w:rPr>
      <w:rFonts w:cs="Symbol"/>
    </w:rPr>
  </w:style>
  <w:style w:type="character" w:styleId="ListLabel21">
    <w:name w:val="ListLabel 21"/>
    <w:qFormat/>
    <w:rPr>
      <w:rFonts w:cs="Courier New"/>
    </w:rPr>
  </w:style>
  <w:style w:type="character" w:styleId="ListLabel22">
    <w:name w:val="ListLabel 22"/>
    <w:qFormat/>
    <w:rPr>
      <w:rFonts w:cs="Wingdings"/>
    </w:rPr>
  </w:style>
  <w:style w:type="character" w:styleId="ListLabel23">
    <w:name w:val="ListLabel 23"/>
    <w:qFormat/>
    <w:rPr>
      <w:rFonts w:cs="Symbol"/>
    </w:rPr>
  </w:style>
  <w:style w:type="character" w:styleId="ListLabel24">
    <w:name w:val="ListLabel 24"/>
    <w:qFormat/>
    <w:rPr>
      <w:rFonts w:cs="Courier New"/>
    </w:rPr>
  </w:style>
  <w:style w:type="character" w:styleId="ListLabel25">
    <w:name w:val="ListLabel 25"/>
    <w:qFormat/>
    <w:rPr>
      <w:rFonts w:cs="Wingdings"/>
    </w:rPr>
  </w:style>
  <w:style w:type="character" w:styleId="ListLabel26">
    <w:name w:val="ListLabel 26"/>
    <w:qFormat/>
    <w:rPr>
      <w:rFonts w:cs="Symbol"/>
    </w:rPr>
  </w:style>
  <w:style w:type="character" w:styleId="ListLabel27">
    <w:name w:val="ListLabel 27"/>
    <w:qFormat/>
    <w:rPr>
      <w:rFonts w:cs="Courier New"/>
    </w:rPr>
  </w:style>
  <w:style w:type="character" w:styleId="ListLabel28">
    <w:name w:val="ListLabel 28"/>
    <w:qFormat/>
    <w:rPr>
      <w:rFonts w:cs="Wingdings"/>
    </w:rPr>
  </w:style>
  <w:style w:type="character" w:styleId="ListLabel29">
    <w:name w:val="ListLabel 29"/>
    <w:qFormat/>
    <w:rPr>
      <w:rFonts w:cs="Symbol"/>
    </w:rPr>
  </w:style>
  <w:style w:type="character" w:styleId="ListLabel30">
    <w:name w:val="ListLabel 30"/>
    <w:qFormat/>
    <w:rPr>
      <w:rFonts w:cs="Courier New"/>
    </w:rPr>
  </w:style>
  <w:style w:type="character" w:styleId="ListLabel31">
    <w:name w:val="ListLabel 31"/>
    <w:qFormat/>
    <w:rPr>
      <w:rFonts w:cs="Wingdings"/>
    </w:rPr>
  </w:style>
  <w:style w:type="character" w:styleId="ListLabel32">
    <w:name w:val="ListLabel 32"/>
    <w:qFormat/>
    <w:rPr>
      <w:rFonts w:cs="Symbol"/>
    </w:rPr>
  </w:style>
  <w:style w:type="character" w:styleId="ListLabel33">
    <w:name w:val="ListLabel 33"/>
    <w:qFormat/>
    <w:rPr>
      <w:rFonts w:cs="Courier New"/>
    </w:rPr>
  </w:style>
  <w:style w:type="character" w:styleId="ListLabel34">
    <w:name w:val="ListLabel 34"/>
    <w:qFormat/>
    <w:rPr>
      <w:rFonts w:cs="Wingdings"/>
    </w:rPr>
  </w:style>
  <w:style w:type="character" w:styleId="ListLabel35">
    <w:name w:val="ListLabel 35"/>
    <w:qFormat/>
    <w:rPr>
      <w:rFonts w:cs="Symbol"/>
    </w:rPr>
  </w:style>
  <w:style w:type="character" w:styleId="ListLabel36">
    <w:name w:val="ListLabel 36"/>
    <w:qFormat/>
    <w:rPr>
      <w:rFonts w:cs="Courier New"/>
    </w:rPr>
  </w:style>
  <w:style w:type="character" w:styleId="ListLabel37">
    <w:name w:val="ListLabel 37"/>
    <w:qFormat/>
    <w:rPr>
      <w:rFonts w:cs="Wingdings"/>
    </w:rPr>
  </w:style>
  <w:style w:type="character" w:styleId="ListLabel38">
    <w:name w:val="ListLabel 38"/>
    <w:qFormat/>
    <w:rPr/>
  </w:style>
  <w:style w:type="paragraph" w:styleId="Heading">
    <w:name w:val="Heading"/>
    <w:basedOn w:val="Normal"/>
    <w:next w:val="TextBody"/>
    <w:qFormat/>
    <w:pPr>
      <w:keepNext w:val="true"/>
      <w:spacing w:before="240" w:after="120"/>
    </w:pPr>
    <w:rPr>
      <w:rFonts w:ascii="Arial" w:hAnsi="Arial" w:eastAsia="Microsoft YaHei" w:cs="Arial"/>
      <w:sz w:val="28"/>
      <w:szCs w:val="28"/>
    </w:rPr>
  </w:style>
  <w:style w:type="paragraph" w:styleId="TextBody">
    <w:name w:val="Body Text"/>
    <w:basedOn w:val="Normal"/>
    <w:link w:val="BodyTextChar"/>
    <w:uiPriority w:val="1"/>
    <w:qFormat/>
    <w:rsid w:val="003d2d27"/>
    <w:pPr>
      <w:widowControl w:val="false"/>
      <w:jc w:val="left"/>
    </w:pPr>
    <w:rPr>
      <w:rFonts w:ascii="Arial MT" w:hAnsi="Arial MT" w:eastAsia="Arial MT" w:cs="Arial MT"/>
      <w:szCs w:val="24"/>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Title">
    <w:name w:val="Title"/>
    <w:basedOn w:val="Normal"/>
    <w:next w:val="Normal"/>
    <w:link w:val="TitleChar"/>
    <w:uiPriority w:val="10"/>
    <w:qFormat/>
    <w:rsid w:val="007a6252"/>
    <w:pPr>
      <w:pBdr>
        <w:bottom w:val="single" w:sz="8" w:space="4" w:color="4F81BD"/>
      </w:pBdr>
      <w:spacing w:before="0" w:after="300"/>
      <w:contextualSpacing/>
      <w:jc w:val="center"/>
    </w:pPr>
    <w:rPr>
      <w:rFonts w:eastAsia="" w:cs="" w:cstheme="majorBidi" w:eastAsiaTheme="majorEastAsia"/>
      <w:b/>
      <w:color w:val="17365D" w:themeColor="text2" w:themeShade="bf"/>
      <w:spacing w:val="5"/>
      <w:kern w:val="2"/>
      <w:sz w:val="56"/>
      <w:szCs w:val="52"/>
      <w:u w:val="single"/>
    </w:rPr>
  </w:style>
  <w:style w:type="paragraph" w:styleId="Subtitle">
    <w:name w:val="Subtitle"/>
    <w:basedOn w:val="Normal"/>
    <w:next w:val="Normal"/>
    <w:link w:val="SubtitleChar"/>
    <w:uiPriority w:val="11"/>
    <w:qFormat/>
    <w:rsid w:val="003e74e1"/>
    <w:pPr>
      <w:jc w:val="center"/>
    </w:pPr>
    <w:rPr>
      <w:rFonts w:eastAsia="" w:cs="" w:cstheme="majorBidi" w:eastAsiaTheme="majorEastAsia"/>
      <w:b/>
      <w:iCs/>
      <w:color w:val="4F81BD" w:themeColor="accent1"/>
      <w:spacing w:val="15"/>
      <w:sz w:val="40"/>
      <w:szCs w:val="24"/>
      <w:u w:val="single"/>
    </w:rPr>
  </w:style>
  <w:style w:type="paragraph" w:styleId="Header">
    <w:name w:val="Header"/>
    <w:basedOn w:val="Normal"/>
    <w:link w:val="HeaderChar"/>
    <w:uiPriority w:val="99"/>
    <w:semiHidden/>
    <w:unhideWhenUsed/>
    <w:rsid w:val="002832b5"/>
    <w:pPr>
      <w:tabs>
        <w:tab w:val="clear" w:pos="720"/>
        <w:tab w:val="center" w:pos="4680" w:leader="none"/>
        <w:tab w:val="right" w:pos="9360" w:leader="none"/>
      </w:tabs>
    </w:pPr>
    <w:rPr/>
  </w:style>
  <w:style w:type="paragraph" w:styleId="Footer">
    <w:name w:val="Footer"/>
    <w:basedOn w:val="Normal"/>
    <w:link w:val="FooterChar"/>
    <w:uiPriority w:val="99"/>
    <w:unhideWhenUsed/>
    <w:rsid w:val="002832b5"/>
    <w:pPr>
      <w:tabs>
        <w:tab w:val="clear" w:pos="720"/>
        <w:tab w:val="center" w:pos="4680" w:leader="none"/>
        <w:tab w:val="right" w:pos="9360" w:leader="none"/>
      </w:tabs>
    </w:pPr>
    <w:rPr/>
  </w:style>
  <w:style w:type="paragraph" w:styleId="TOCHeading">
    <w:name w:val="TOC Heading"/>
    <w:basedOn w:val="Heading1"/>
    <w:next w:val="Normal"/>
    <w:uiPriority w:val="39"/>
    <w:semiHidden/>
    <w:unhideWhenUsed/>
    <w:qFormat/>
    <w:rsid w:val="002832b5"/>
    <w:pPr>
      <w:spacing w:lineRule="auto" w:line="276"/>
      <w:jc w:val="left"/>
    </w:pPr>
    <w:rPr>
      <w:rFonts w:ascii="Cambria" w:hAnsi="Cambria" w:asciiTheme="majorHAnsi" w:hAnsiTheme="majorHAnsi"/>
      <w:sz w:val="28"/>
    </w:rPr>
  </w:style>
  <w:style w:type="paragraph" w:styleId="BalloonText">
    <w:name w:val="Balloon Text"/>
    <w:basedOn w:val="Normal"/>
    <w:link w:val="BalloonTextChar"/>
    <w:uiPriority w:val="99"/>
    <w:semiHidden/>
    <w:unhideWhenUsed/>
    <w:qFormat/>
    <w:rsid w:val="002832b5"/>
    <w:pPr/>
    <w:rPr>
      <w:rFonts w:ascii="Tahoma" w:hAnsi="Tahoma" w:cs="Tahoma"/>
      <w:sz w:val="16"/>
      <w:szCs w:val="16"/>
    </w:rPr>
  </w:style>
  <w:style w:type="paragraph" w:styleId="ListParagraph">
    <w:name w:val="List Paragraph"/>
    <w:basedOn w:val="Normal"/>
    <w:uiPriority w:val="34"/>
    <w:qFormat/>
    <w:rsid w:val="002364e2"/>
    <w:pPr>
      <w:spacing w:before="0" w:after="0"/>
      <w:ind w:left="720" w:hanging="0"/>
      <w:contextualSpacing/>
    </w:pPr>
    <w:rPr/>
  </w:style>
  <w:style w:type="paragraph" w:styleId="Contents1">
    <w:name w:val="TOC 1"/>
    <w:basedOn w:val="Normal"/>
    <w:next w:val="Normal"/>
    <w:autoRedefine/>
    <w:uiPriority w:val="39"/>
    <w:unhideWhenUsed/>
    <w:rsid w:val="00785192"/>
    <w:pPr>
      <w:spacing w:before="0" w:after="100"/>
    </w:pPr>
    <w:rPr/>
  </w:style>
  <w:style w:type="paragraph" w:styleId="Contents2">
    <w:name w:val="TOC 2"/>
    <w:basedOn w:val="Normal"/>
    <w:next w:val="Normal"/>
    <w:autoRedefine/>
    <w:uiPriority w:val="39"/>
    <w:unhideWhenUsed/>
    <w:rsid w:val="00785192"/>
    <w:pPr>
      <w:spacing w:before="0" w:after="100"/>
      <w:ind w:left="240" w:hanging="0"/>
    </w:pPr>
    <w:rPr/>
  </w:style>
  <w:style w:type="paragraph" w:styleId="TableParagraph" w:customStyle="1">
    <w:name w:val="Table Paragraph"/>
    <w:basedOn w:val="Normal"/>
    <w:uiPriority w:val="1"/>
    <w:qFormat/>
    <w:rsid w:val="003d2d27"/>
    <w:pPr>
      <w:widowControl w:val="false"/>
      <w:jc w:val="left"/>
    </w:pPr>
    <w:rPr>
      <w:sz w:val="22"/>
      <w:szCs w:val="22"/>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uiPriority w:val="59"/>
    <w:rsid w:val="005d388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knowledgiate.com/advantages-and-limitations-of-break-even-analysis/" TargetMode="External"/><Relationship Id="rId4" Type="http://schemas.openxmlformats.org/officeDocument/2006/relationships/hyperlink" Target="https://toughnickel.com/business/Breakeven-analysis" TargetMode="Externa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A898D8-FE19-4017-9107-9A3ADA0C0C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TotalTime>
  <Application>Trio_Office/6.2.8.2$Windows_x86 LibreOffice_project/</Application>
  <Pages>11</Pages>
  <Words>2297</Words>
  <Characters>13276</Characters>
  <CharactersWithSpaces>15420</CharactersWithSpaces>
  <Paragraphs>169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2021-08-27T08:37:00Z</dcterms:created>
  <dc:creator>admin</dc:creator>
  <dc:description/>
  <dc:language>en-GB</dc:language>
  <cp:lastModifiedBy/>
  <dcterms:modified xsi:type="dcterms:W3CDTF">2021-08-27T15:17:24Z</dcterms:modified>
  <cp:revision>76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