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6E48F" w14:textId="77777777" w:rsidR="00A5358C" w:rsidRDefault="00A5358C" w:rsidP="00A5358C">
      <w:pPr>
        <w:spacing w:after="160" w:line="259" w:lineRule="auto"/>
        <w:ind w:firstLine="0"/>
        <w:jc w:val="center"/>
        <w:rPr>
          <w:b/>
        </w:rPr>
      </w:pPr>
    </w:p>
    <w:p w14:paraId="7741E63D" w14:textId="77777777" w:rsidR="00A5358C" w:rsidRDefault="00A5358C" w:rsidP="00A5358C">
      <w:pPr>
        <w:spacing w:after="160" w:line="259" w:lineRule="auto"/>
        <w:ind w:firstLine="0"/>
        <w:jc w:val="center"/>
        <w:rPr>
          <w:b/>
        </w:rPr>
      </w:pPr>
    </w:p>
    <w:p w14:paraId="1FA1C49B" w14:textId="77777777" w:rsidR="00A5358C" w:rsidRDefault="00A5358C" w:rsidP="00A5358C">
      <w:pPr>
        <w:spacing w:after="160" w:line="259" w:lineRule="auto"/>
        <w:ind w:firstLine="0"/>
        <w:jc w:val="center"/>
        <w:rPr>
          <w:b/>
        </w:rPr>
      </w:pPr>
    </w:p>
    <w:p w14:paraId="4DCEFA2A" w14:textId="77777777" w:rsidR="00A5358C" w:rsidRDefault="00A5358C" w:rsidP="00A5358C">
      <w:pPr>
        <w:spacing w:after="160" w:line="259" w:lineRule="auto"/>
        <w:ind w:firstLine="0"/>
        <w:jc w:val="center"/>
        <w:rPr>
          <w:b/>
        </w:rPr>
      </w:pPr>
    </w:p>
    <w:p w14:paraId="33413B25" w14:textId="77777777" w:rsidR="00A5358C" w:rsidRDefault="00A5358C" w:rsidP="00A5358C">
      <w:pPr>
        <w:spacing w:after="160" w:line="259" w:lineRule="auto"/>
        <w:ind w:firstLine="0"/>
        <w:jc w:val="center"/>
        <w:rPr>
          <w:b/>
        </w:rPr>
      </w:pPr>
    </w:p>
    <w:p w14:paraId="163A4EF6" w14:textId="77777777" w:rsidR="00A5358C" w:rsidRDefault="00A5358C" w:rsidP="00A5358C">
      <w:pPr>
        <w:spacing w:after="160" w:line="259" w:lineRule="auto"/>
        <w:ind w:firstLine="0"/>
        <w:jc w:val="center"/>
        <w:rPr>
          <w:b/>
        </w:rPr>
      </w:pPr>
    </w:p>
    <w:p w14:paraId="0C1EF949" w14:textId="77777777" w:rsidR="00A5358C" w:rsidRDefault="00A5358C" w:rsidP="00A5358C">
      <w:pPr>
        <w:spacing w:after="160" w:line="259" w:lineRule="auto"/>
        <w:ind w:firstLine="0"/>
        <w:jc w:val="center"/>
        <w:rPr>
          <w:b/>
        </w:rPr>
      </w:pPr>
    </w:p>
    <w:p w14:paraId="05400B5E" w14:textId="55F3FC32" w:rsidR="00A5358C" w:rsidRDefault="00A5358C" w:rsidP="00A5358C">
      <w:pPr>
        <w:spacing w:after="160" w:line="259" w:lineRule="auto"/>
        <w:ind w:firstLine="0"/>
        <w:jc w:val="center"/>
        <w:rPr>
          <w:b/>
        </w:rPr>
      </w:pPr>
      <w:r>
        <w:rPr>
          <w:b/>
        </w:rPr>
        <w:t xml:space="preserve">Module code: </w:t>
      </w:r>
      <w:r w:rsidRPr="00E02D34">
        <w:rPr>
          <w:b/>
        </w:rPr>
        <w:t>BMIH5007</w:t>
      </w:r>
    </w:p>
    <w:p w14:paraId="0500B658" w14:textId="77777777" w:rsidR="00A5358C" w:rsidRDefault="00A5358C" w:rsidP="00A5358C">
      <w:pPr>
        <w:spacing w:after="160" w:line="259" w:lineRule="auto"/>
        <w:ind w:firstLine="0"/>
        <w:jc w:val="center"/>
        <w:rPr>
          <w:b/>
        </w:rPr>
      </w:pPr>
    </w:p>
    <w:p w14:paraId="0760135B" w14:textId="77777777" w:rsidR="00A5358C" w:rsidRDefault="00A5358C" w:rsidP="00A5358C">
      <w:pPr>
        <w:spacing w:after="160" w:line="259" w:lineRule="auto"/>
        <w:ind w:firstLine="0"/>
        <w:jc w:val="center"/>
        <w:rPr>
          <w:b/>
        </w:rPr>
      </w:pPr>
      <w:r w:rsidRPr="00EA7588">
        <w:rPr>
          <w:b/>
        </w:rPr>
        <w:t>CASE STUDY: THE SEAVIEW RESORT</w:t>
      </w:r>
    </w:p>
    <w:p w14:paraId="0BD3452E" w14:textId="77777777" w:rsidR="00A5358C" w:rsidRDefault="00A5358C" w:rsidP="00A5358C">
      <w:pPr>
        <w:spacing w:after="160" w:line="259" w:lineRule="auto"/>
        <w:ind w:firstLine="0"/>
        <w:jc w:val="center"/>
        <w:rPr>
          <w:b/>
        </w:rPr>
      </w:pPr>
    </w:p>
    <w:p w14:paraId="4311B540" w14:textId="77777777" w:rsidR="00A5358C" w:rsidRDefault="00A5358C" w:rsidP="00A5358C">
      <w:pPr>
        <w:spacing w:after="160" w:line="259" w:lineRule="auto"/>
        <w:ind w:firstLine="0"/>
        <w:jc w:val="center"/>
        <w:rPr>
          <w:b/>
        </w:rPr>
      </w:pPr>
    </w:p>
    <w:p w14:paraId="1963334A" w14:textId="77777777" w:rsidR="00A5358C" w:rsidRDefault="00A5358C" w:rsidP="00A5358C">
      <w:pPr>
        <w:spacing w:after="160" w:line="259" w:lineRule="auto"/>
        <w:ind w:firstLine="0"/>
        <w:jc w:val="center"/>
        <w:rPr>
          <w:b/>
        </w:rPr>
      </w:pPr>
      <w:r w:rsidRPr="00EA7588">
        <w:rPr>
          <w:b/>
        </w:rPr>
        <w:t>Assignment 2</w:t>
      </w:r>
    </w:p>
    <w:p w14:paraId="0DB36BF6" w14:textId="77777777" w:rsidR="00A5358C" w:rsidRDefault="00A5358C" w:rsidP="00A5358C">
      <w:pPr>
        <w:spacing w:after="160" w:line="259" w:lineRule="auto"/>
        <w:ind w:firstLine="0"/>
        <w:jc w:val="center"/>
        <w:rPr>
          <w:b/>
        </w:rPr>
      </w:pPr>
    </w:p>
    <w:p w14:paraId="37417A2F" w14:textId="2B040CD6" w:rsidR="00A5358C" w:rsidRDefault="00A5358C" w:rsidP="00A5358C">
      <w:pPr>
        <w:spacing w:after="160" w:line="259" w:lineRule="auto"/>
        <w:ind w:firstLine="0"/>
        <w:jc w:val="center"/>
        <w:rPr>
          <w:b/>
        </w:rPr>
      </w:pPr>
      <w:r>
        <w:rPr>
          <w:b/>
        </w:rPr>
        <w:t>Name of Student</w:t>
      </w:r>
      <w:r w:rsidR="00111028">
        <w:rPr>
          <w:b/>
        </w:rPr>
        <w:t>: Maria-</w:t>
      </w:r>
      <w:proofErr w:type="spellStart"/>
      <w:r w:rsidR="00111028">
        <w:rPr>
          <w:b/>
        </w:rPr>
        <w:t>Costinela</w:t>
      </w:r>
      <w:proofErr w:type="spellEnd"/>
      <w:r w:rsidR="00111028">
        <w:rPr>
          <w:b/>
        </w:rPr>
        <w:t xml:space="preserve"> Hurmuzache</w:t>
      </w:r>
    </w:p>
    <w:p w14:paraId="65F9314B" w14:textId="43E3966B" w:rsidR="00A5358C" w:rsidRDefault="00111028" w:rsidP="00A5358C">
      <w:pPr>
        <w:spacing w:after="160" w:line="259" w:lineRule="auto"/>
        <w:ind w:firstLine="0"/>
        <w:jc w:val="center"/>
        <w:rPr>
          <w:b/>
        </w:rPr>
      </w:pPr>
      <w:r>
        <w:rPr>
          <w:b/>
        </w:rPr>
        <w:t>Student ID: 2125468</w:t>
      </w:r>
    </w:p>
    <w:p w14:paraId="5BE3DB5A" w14:textId="1B16FB4B" w:rsidR="00A5358C" w:rsidRDefault="00111028" w:rsidP="00A5358C">
      <w:pPr>
        <w:spacing w:after="160" w:line="259" w:lineRule="auto"/>
        <w:ind w:firstLine="0"/>
        <w:jc w:val="center"/>
        <w:rPr>
          <w:b/>
          <w:bCs/>
        </w:rPr>
      </w:pPr>
      <w:r>
        <w:rPr>
          <w:b/>
        </w:rPr>
        <w:t>Lecturer Name: Jalyia De Silva</w:t>
      </w:r>
    </w:p>
    <w:p w14:paraId="3CDBB67A" w14:textId="53F43D63" w:rsidR="00A5358C" w:rsidRDefault="00A5358C">
      <w:pPr>
        <w:spacing w:after="160" w:line="259" w:lineRule="auto"/>
        <w:ind w:firstLine="0"/>
        <w:jc w:val="left"/>
        <w:rPr>
          <w:b/>
          <w:bCs/>
        </w:rPr>
      </w:pPr>
      <w:r>
        <w:rPr>
          <w:b/>
          <w:bCs/>
        </w:rPr>
        <w:br w:type="page"/>
      </w:r>
    </w:p>
    <w:sdt>
      <w:sdtPr>
        <w:rPr>
          <w:b/>
          <w:bCs/>
        </w:rPr>
        <w:id w:val="-442298814"/>
        <w:docPartObj>
          <w:docPartGallery w:val="Table of Contents"/>
          <w:docPartUnique/>
        </w:docPartObj>
      </w:sdtPr>
      <w:sdtEndPr>
        <w:rPr>
          <w:noProof/>
        </w:rPr>
      </w:sdtEndPr>
      <w:sdtContent>
        <w:p w14:paraId="5069B93A" w14:textId="1780A236" w:rsidR="00A5358C" w:rsidRPr="00A5358C" w:rsidRDefault="00A5358C" w:rsidP="00A5358C">
          <w:pPr>
            <w:ind w:firstLine="0"/>
            <w:jc w:val="center"/>
            <w:rPr>
              <w:b/>
              <w:bCs/>
            </w:rPr>
          </w:pPr>
          <w:r w:rsidRPr="00A5358C">
            <w:rPr>
              <w:b/>
              <w:bCs/>
            </w:rPr>
            <w:t>Table of Contents</w:t>
          </w:r>
        </w:p>
        <w:p w14:paraId="43EC87AB" w14:textId="02AEA212" w:rsidR="00A5358C" w:rsidRDefault="00A5358C" w:rsidP="00A5358C">
          <w:pPr>
            <w:pStyle w:val="TOC1"/>
            <w:tabs>
              <w:tab w:val="right" w:leader="dot" w:pos="9350"/>
            </w:tabs>
            <w:ind w:firstLine="0"/>
            <w:rPr>
              <w:noProof/>
            </w:rPr>
          </w:pPr>
          <w:r>
            <w:fldChar w:fldCharType="begin"/>
          </w:r>
          <w:r>
            <w:instrText xml:space="preserve"> TOC \o "1-3" \h \z \u </w:instrText>
          </w:r>
          <w:r>
            <w:fldChar w:fldCharType="separate"/>
          </w:r>
          <w:hyperlink w:anchor="_Toc147997861" w:history="1">
            <w:r w:rsidRPr="00170ADA">
              <w:rPr>
                <w:rStyle w:val="Hyperlink"/>
                <w:noProof/>
              </w:rPr>
              <w:t>Introduction</w:t>
            </w:r>
            <w:r>
              <w:rPr>
                <w:noProof/>
                <w:webHidden/>
              </w:rPr>
              <w:tab/>
            </w:r>
            <w:r>
              <w:rPr>
                <w:noProof/>
                <w:webHidden/>
              </w:rPr>
              <w:fldChar w:fldCharType="begin"/>
            </w:r>
            <w:r>
              <w:rPr>
                <w:noProof/>
                <w:webHidden/>
              </w:rPr>
              <w:instrText xml:space="preserve"> PAGEREF _Toc147997861 \h </w:instrText>
            </w:r>
            <w:r>
              <w:rPr>
                <w:noProof/>
                <w:webHidden/>
              </w:rPr>
            </w:r>
            <w:r>
              <w:rPr>
                <w:noProof/>
                <w:webHidden/>
              </w:rPr>
              <w:fldChar w:fldCharType="separate"/>
            </w:r>
            <w:r>
              <w:rPr>
                <w:noProof/>
                <w:webHidden/>
              </w:rPr>
              <w:t>2</w:t>
            </w:r>
            <w:r>
              <w:rPr>
                <w:noProof/>
                <w:webHidden/>
              </w:rPr>
              <w:fldChar w:fldCharType="end"/>
            </w:r>
          </w:hyperlink>
        </w:p>
        <w:p w14:paraId="641D8E06" w14:textId="5D83BB9E" w:rsidR="00A5358C" w:rsidRDefault="00000000" w:rsidP="00A5358C">
          <w:pPr>
            <w:pStyle w:val="TOC1"/>
            <w:tabs>
              <w:tab w:val="right" w:leader="dot" w:pos="9350"/>
            </w:tabs>
            <w:ind w:firstLine="0"/>
            <w:rPr>
              <w:noProof/>
            </w:rPr>
          </w:pPr>
          <w:hyperlink w:anchor="_Toc147997862" w:history="1">
            <w:r w:rsidR="00A5358C" w:rsidRPr="00170ADA">
              <w:rPr>
                <w:rStyle w:val="Hyperlink"/>
                <w:noProof/>
              </w:rPr>
              <w:t>Market Analysis</w:t>
            </w:r>
            <w:r w:rsidR="00A5358C">
              <w:rPr>
                <w:noProof/>
                <w:webHidden/>
              </w:rPr>
              <w:tab/>
            </w:r>
            <w:r w:rsidR="00A5358C">
              <w:rPr>
                <w:noProof/>
                <w:webHidden/>
              </w:rPr>
              <w:fldChar w:fldCharType="begin"/>
            </w:r>
            <w:r w:rsidR="00A5358C">
              <w:rPr>
                <w:noProof/>
                <w:webHidden/>
              </w:rPr>
              <w:instrText xml:space="preserve"> PAGEREF _Toc147997862 \h </w:instrText>
            </w:r>
            <w:r w:rsidR="00A5358C">
              <w:rPr>
                <w:noProof/>
                <w:webHidden/>
              </w:rPr>
            </w:r>
            <w:r w:rsidR="00A5358C">
              <w:rPr>
                <w:noProof/>
                <w:webHidden/>
              </w:rPr>
              <w:fldChar w:fldCharType="separate"/>
            </w:r>
            <w:r w:rsidR="00A5358C">
              <w:rPr>
                <w:noProof/>
                <w:webHidden/>
              </w:rPr>
              <w:t>2</w:t>
            </w:r>
            <w:r w:rsidR="00A5358C">
              <w:rPr>
                <w:noProof/>
                <w:webHidden/>
              </w:rPr>
              <w:fldChar w:fldCharType="end"/>
            </w:r>
          </w:hyperlink>
        </w:p>
        <w:p w14:paraId="5CDE7364" w14:textId="4E99F5E2" w:rsidR="00A5358C" w:rsidRDefault="00000000" w:rsidP="00A5358C">
          <w:pPr>
            <w:pStyle w:val="TOC1"/>
            <w:tabs>
              <w:tab w:val="right" w:leader="dot" w:pos="9350"/>
            </w:tabs>
            <w:ind w:firstLine="0"/>
            <w:rPr>
              <w:noProof/>
            </w:rPr>
          </w:pPr>
          <w:hyperlink w:anchor="_Toc147997863" w:history="1">
            <w:r w:rsidR="00A5358C" w:rsidRPr="00170ADA">
              <w:rPr>
                <w:rStyle w:val="Hyperlink"/>
                <w:noProof/>
              </w:rPr>
              <w:t>Income Statement Analysis (2020-2022)</w:t>
            </w:r>
            <w:r w:rsidR="00A5358C">
              <w:rPr>
                <w:noProof/>
                <w:webHidden/>
              </w:rPr>
              <w:tab/>
            </w:r>
            <w:r w:rsidR="00A5358C">
              <w:rPr>
                <w:noProof/>
                <w:webHidden/>
              </w:rPr>
              <w:fldChar w:fldCharType="begin"/>
            </w:r>
            <w:r w:rsidR="00A5358C">
              <w:rPr>
                <w:noProof/>
                <w:webHidden/>
              </w:rPr>
              <w:instrText xml:space="preserve"> PAGEREF _Toc147997863 \h </w:instrText>
            </w:r>
            <w:r w:rsidR="00A5358C">
              <w:rPr>
                <w:noProof/>
                <w:webHidden/>
              </w:rPr>
            </w:r>
            <w:r w:rsidR="00A5358C">
              <w:rPr>
                <w:noProof/>
                <w:webHidden/>
              </w:rPr>
              <w:fldChar w:fldCharType="separate"/>
            </w:r>
            <w:r w:rsidR="00A5358C">
              <w:rPr>
                <w:noProof/>
                <w:webHidden/>
              </w:rPr>
              <w:t>3</w:t>
            </w:r>
            <w:r w:rsidR="00A5358C">
              <w:rPr>
                <w:noProof/>
                <w:webHidden/>
              </w:rPr>
              <w:fldChar w:fldCharType="end"/>
            </w:r>
          </w:hyperlink>
        </w:p>
        <w:p w14:paraId="5CFD9CCB" w14:textId="2D1098F6" w:rsidR="00A5358C" w:rsidRDefault="00000000" w:rsidP="00A5358C">
          <w:pPr>
            <w:pStyle w:val="TOC1"/>
            <w:tabs>
              <w:tab w:val="right" w:leader="dot" w:pos="9350"/>
            </w:tabs>
            <w:ind w:firstLine="0"/>
            <w:rPr>
              <w:noProof/>
            </w:rPr>
          </w:pPr>
          <w:hyperlink w:anchor="_Toc147997864" w:history="1">
            <w:r w:rsidR="00A5358C" w:rsidRPr="00170ADA">
              <w:rPr>
                <w:rStyle w:val="Hyperlink"/>
                <w:noProof/>
              </w:rPr>
              <w:t>Balance Sheet Analysis (End of 2022)</w:t>
            </w:r>
            <w:r w:rsidR="00A5358C">
              <w:rPr>
                <w:noProof/>
                <w:webHidden/>
              </w:rPr>
              <w:tab/>
            </w:r>
            <w:r w:rsidR="00A5358C">
              <w:rPr>
                <w:noProof/>
                <w:webHidden/>
              </w:rPr>
              <w:fldChar w:fldCharType="begin"/>
            </w:r>
            <w:r w:rsidR="00A5358C">
              <w:rPr>
                <w:noProof/>
                <w:webHidden/>
              </w:rPr>
              <w:instrText xml:space="preserve"> PAGEREF _Toc147997864 \h </w:instrText>
            </w:r>
            <w:r w:rsidR="00A5358C">
              <w:rPr>
                <w:noProof/>
                <w:webHidden/>
              </w:rPr>
            </w:r>
            <w:r w:rsidR="00A5358C">
              <w:rPr>
                <w:noProof/>
                <w:webHidden/>
              </w:rPr>
              <w:fldChar w:fldCharType="separate"/>
            </w:r>
            <w:r w:rsidR="00A5358C">
              <w:rPr>
                <w:noProof/>
                <w:webHidden/>
              </w:rPr>
              <w:t>3</w:t>
            </w:r>
            <w:r w:rsidR="00A5358C">
              <w:rPr>
                <w:noProof/>
                <w:webHidden/>
              </w:rPr>
              <w:fldChar w:fldCharType="end"/>
            </w:r>
          </w:hyperlink>
        </w:p>
        <w:p w14:paraId="0874ECF1" w14:textId="7EEF2AE1" w:rsidR="00A5358C" w:rsidRDefault="00000000" w:rsidP="00A5358C">
          <w:pPr>
            <w:pStyle w:val="TOC1"/>
            <w:tabs>
              <w:tab w:val="right" w:leader="dot" w:pos="9350"/>
            </w:tabs>
            <w:ind w:firstLine="0"/>
            <w:rPr>
              <w:noProof/>
            </w:rPr>
          </w:pPr>
          <w:hyperlink w:anchor="_Toc147997865" w:history="1">
            <w:r w:rsidR="00A5358C" w:rsidRPr="00170ADA">
              <w:rPr>
                <w:rStyle w:val="Hyperlink"/>
                <w:noProof/>
              </w:rPr>
              <w:t>Cash Flow Analysis (2021)</w:t>
            </w:r>
            <w:r w:rsidR="00A5358C">
              <w:rPr>
                <w:noProof/>
                <w:webHidden/>
              </w:rPr>
              <w:tab/>
            </w:r>
            <w:r w:rsidR="00A5358C">
              <w:rPr>
                <w:noProof/>
                <w:webHidden/>
              </w:rPr>
              <w:fldChar w:fldCharType="begin"/>
            </w:r>
            <w:r w:rsidR="00A5358C">
              <w:rPr>
                <w:noProof/>
                <w:webHidden/>
              </w:rPr>
              <w:instrText xml:space="preserve"> PAGEREF _Toc147997865 \h </w:instrText>
            </w:r>
            <w:r w:rsidR="00A5358C">
              <w:rPr>
                <w:noProof/>
                <w:webHidden/>
              </w:rPr>
            </w:r>
            <w:r w:rsidR="00A5358C">
              <w:rPr>
                <w:noProof/>
                <w:webHidden/>
              </w:rPr>
              <w:fldChar w:fldCharType="separate"/>
            </w:r>
            <w:r w:rsidR="00A5358C">
              <w:rPr>
                <w:noProof/>
                <w:webHidden/>
              </w:rPr>
              <w:t>4</w:t>
            </w:r>
            <w:r w:rsidR="00A5358C">
              <w:rPr>
                <w:noProof/>
                <w:webHidden/>
              </w:rPr>
              <w:fldChar w:fldCharType="end"/>
            </w:r>
          </w:hyperlink>
        </w:p>
        <w:p w14:paraId="08B2A130" w14:textId="3BF36FB2" w:rsidR="00A5358C" w:rsidRDefault="00000000" w:rsidP="00A5358C">
          <w:pPr>
            <w:pStyle w:val="TOC1"/>
            <w:tabs>
              <w:tab w:val="right" w:leader="dot" w:pos="9350"/>
            </w:tabs>
            <w:ind w:firstLine="0"/>
            <w:rPr>
              <w:noProof/>
            </w:rPr>
          </w:pPr>
          <w:hyperlink w:anchor="_Toc147997866" w:history="1">
            <w:r w:rsidR="00A5358C" w:rsidRPr="00170ADA">
              <w:rPr>
                <w:rStyle w:val="Hyperlink"/>
                <w:noProof/>
              </w:rPr>
              <w:t>Additional Financial Information</w:t>
            </w:r>
            <w:r w:rsidR="00A5358C">
              <w:rPr>
                <w:noProof/>
                <w:webHidden/>
              </w:rPr>
              <w:tab/>
            </w:r>
            <w:r w:rsidR="00A5358C">
              <w:rPr>
                <w:noProof/>
                <w:webHidden/>
              </w:rPr>
              <w:fldChar w:fldCharType="begin"/>
            </w:r>
            <w:r w:rsidR="00A5358C">
              <w:rPr>
                <w:noProof/>
                <w:webHidden/>
              </w:rPr>
              <w:instrText xml:space="preserve"> PAGEREF _Toc147997866 \h </w:instrText>
            </w:r>
            <w:r w:rsidR="00A5358C">
              <w:rPr>
                <w:noProof/>
                <w:webHidden/>
              </w:rPr>
            </w:r>
            <w:r w:rsidR="00A5358C">
              <w:rPr>
                <w:noProof/>
                <w:webHidden/>
              </w:rPr>
              <w:fldChar w:fldCharType="separate"/>
            </w:r>
            <w:r w:rsidR="00A5358C">
              <w:rPr>
                <w:noProof/>
                <w:webHidden/>
              </w:rPr>
              <w:t>5</w:t>
            </w:r>
            <w:r w:rsidR="00A5358C">
              <w:rPr>
                <w:noProof/>
                <w:webHidden/>
              </w:rPr>
              <w:fldChar w:fldCharType="end"/>
            </w:r>
          </w:hyperlink>
        </w:p>
        <w:p w14:paraId="47DE546D" w14:textId="31FE663B" w:rsidR="00A5358C" w:rsidRDefault="00000000" w:rsidP="00A5358C">
          <w:pPr>
            <w:pStyle w:val="TOC1"/>
            <w:tabs>
              <w:tab w:val="right" w:leader="dot" w:pos="9350"/>
            </w:tabs>
            <w:ind w:firstLine="0"/>
            <w:rPr>
              <w:noProof/>
            </w:rPr>
          </w:pPr>
          <w:hyperlink w:anchor="_Toc147997867" w:history="1">
            <w:r w:rsidR="00A5358C" w:rsidRPr="00170ADA">
              <w:rPr>
                <w:rStyle w:val="Hyperlink"/>
                <w:noProof/>
              </w:rPr>
              <w:t>Analysis of Decline in Profitability</w:t>
            </w:r>
            <w:r w:rsidR="00A5358C">
              <w:rPr>
                <w:noProof/>
                <w:webHidden/>
              </w:rPr>
              <w:tab/>
            </w:r>
            <w:r w:rsidR="00A5358C">
              <w:rPr>
                <w:noProof/>
                <w:webHidden/>
              </w:rPr>
              <w:fldChar w:fldCharType="begin"/>
            </w:r>
            <w:r w:rsidR="00A5358C">
              <w:rPr>
                <w:noProof/>
                <w:webHidden/>
              </w:rPr>
              <w:instrText xml:space="preserve"> PAGEREF _Toc147997867 \h </w:instrText>
            </w:r>
            <w:r w:rsidR="00A5358C">
              <w:rPr>
                <w:noProof/>
                <w:webHidden/>
              </w:rPr>
            </w:r>
            <w:r w:rsidR="00A5358C">
              <w:rPr>
                <w:noProof/>
                <w:webHidden/>
              </w:rPr>
              <w:fldChar w:fldCharType="separate"/>
            </w:r>
            <w:r w:rsidR="00A5358C">
              <w:rPr>
                <w:noProof/>
                <w:webHidden/>
              </w:rPr>
              <w:t>5</w:t>
            </w:r>
            <w:r w:rsidR="00A5358C">
              <w:rPr>
                <w:noProof/>
                <w:webHidden/>
              </w:rPr>
              <w:fldChar w:fldCharType="end"/>
            </w:r>
          </w:hyperlink>
        </w:p>
        <w:p w14:paraId="3759B6F6" w14:textId="542753FA" w:rsidR="00A5358C" w:rsidRDefault="00000000" w:rsidP="00A5358C">
          <w:pPr>
            <w:pStyle w:val="TOC1"/>
            <w:tabs>
              <w:tab w:val="right" w:leader="dot" w:pos="9350"/>
            </w:tabs>
            <w:ind w:firstLine="0"/>
            <w:rPr>
              <w:noProof/>
            </w:rPr>
          </w:pPr>
          <w:hyperlink w:anchor="_Toc147997868" w:history="1">
            <w:r w:rsidR="00A5358C" w:rsidRPr="00170ADA">
              <w:rPr>
                <w:rStyle w:val="Hyperlink"/>
                <w:noProof/>
              </w:rPr>
              <w:t>Turnaround Strategy</w:t>
            </w:r>
            <w:r w:rsidR="00A5358C">
              <w:rPr>
                <w:noProof/>
                <w:webHidden/>
              </w:rPr>
              <w:tab/>
            </w:r>
            <w:r w:rsidR="00A5358C">
              <w:rPr>
                <w:noProof/>
                <w:webHidden/>
              </w:rPr>
              <w:fldChar w:fldCharType="begin"/>
            </w:r>
            <w:r w:rsidR="00A5358C">
              <w:rPr>
                <w:noProof/>
                <w:webHidden/>
              </w:rPr>
              <w:instrText xml:space="preserve"> PAGEREF _Toc147997868 \h </w:instrText>
            </w:r>
            <w:r w:rsidR="00A5358C">
              <w:rPr>
                <w:noProof/>
                <w:webHidden/>
              </w:rPr>
            </w:r>
            <w:r w:rsidR="00A5358C">
              <w:rPr>
                <w:noProof/>
                <w:webHidden/>
              </w:rPr>
              <w:fldChar w:fldCharType="separate"/>
            </w:r>
            <w:r w:rsidR="00A5358C">
              <w:rPr>
                <w:noProof/>
                <w:webHidden/>
              </w:rPr>
              <w:t>6</w:t>
            </w:r>
            <w:r w:rsidR="00A5358C">
              <w:rPr>
                <w:noProof/>
                <w:webHidden/>
              </w:rPr>
              <w:fldChar w:fldCharType="end"/>
            </w:r>
          </w:hyperlink>
        </w:p>
        <w:p w14:paraId="07CCBB49" w14:textId="75EAE04D" w:rsidR="00A5358C" w:rsidRDefault="00000000" w:rsidP="00A5358C">
          <w:pPr>
            <w:pStyle w:val="TOC1"/>
            <w:tabs>
              <w:tab w:val="right" w:leader="dot" w:pos="9350"/>
            </w:tabs>
            <w:ind w:firstLine="0"/>
            <w:rPr>
              <w:noProof/>
            </w:rPr>
          </w:pPr>
          <w:hyperlink w:anchor="_Toc147997869" w:history="1">
            <w:r w:rsidR="00A5358C" w:rsidRPr="00170ADA">
              <w:rPr>
                <w:rStyle w:val="Hyperlink"/>
                <w:noProof/>
              </w:rPr>
              <w:t>Conclusion</w:t>
            </w:r>
            <w:r w:rsidR="00A5358C">
              <w:rPr>
                <w:noProof/>
                <w:webHidden/>
              </w:rPr>
              <w:tab/>
            </w:r>
            <w:r w:rsidR="00A5358C">
              <w:rPr>
                <w:noProof/>
                <w:webHidden/>
              </w:rPr>
              <w:fldChar w:fldCharType="begin"/>
            </w:r>
            <w:r w:rsidR="00A5358C">
              <w:rPr>
                <w:noProof/>
                <w:webHidden/>
              </w:rPr>
              <w:instrText xml:space="preserve"> PAGEREF _Toc147997869 \h </w:instrText>
            </w:r>
            <w:r w:rsidR="00A5358C">
              <w:rPr>
                <w:noProof/>
                <w:webHidden/>
              </w:rPr>
            </w:r>
            <w:r w:rsidR="00A5358C">
              <w:rPr>
                <w:noProof/>
                <w:webHidden/>
              </w:rPr>
              <w:fldChar w:fldCharType="separate"/>
            </w:r>
            <w:r w:rsidR="00A5358C">
              <w:rPr>
                <w:noProof/>
                <w:webHidden/>
              </w:rPr>
              <w:t>7</w:t>
            </w:r>
            <w:r w:rsidR="00A5358C">
              <w:rPr>
                <w:noProof/>
                <w:webHidden/>
              </w:rPr>
              <w:fldChar w:fldCharType="end"/>
            </w:r>
          </w:hyperlink>
        </w:p>
        <w:p w14:paraId="543990AC" w14:textId="2579A3B3" w:rsidR="00A5358C" w:rsidRDefault="00000000" w:rsidP="00A5358C">
          <w:pPr>
            <w:pStyle w:val="TOC1"/>
            <w:tabs>
              <w:tab w:val="right" w:leader="dot" w:pos="9350"/>
            </w:tabs>
            <w:ind w:firstLine="0"/>
            <w:rPr>
              <w:noProof/>
            </w:rPr>
          </w:pPr>
          <w:hyperlink w:anchor="_Toc147997870" w:history="1">
            <w:r w:rsidR="00A5358C" w:rsidRPr="00170ADA">
              <w:rPr>
                <w:rStyle w:val="Hyperlink"/>
                <w:noProof/>
              </w:rPr>
              <w:t>References</w:t>
            </w:r>
            <w:r w:rsidR="00A5358C">
              <w:rPr>
                <w:noProof/>
                <w:webHidden/>
              </w:rPr>
              <w:tab/>
            </w:r>
            <w:r w:rsidR="00A5358C">
              <w:rPr>
                <w:noProof/>
                <w:webHidden/>
              </w:rPr>
              <w:fldChar w:fldCharType="begin"/>
            </w:r>
            <w:r w:rsidR="00A5358C">
              <w:rPr>
                <w:noProof/>
                <w:webHidden/>
              </w:rPr>
              <w:instrText xml:space="preserve"> PAGEREF _Toc147997870 \h </w:instrText>
            </w:r>
            <w:r w:rsidR="00A5358C">
              <w:rPr>
                <w:noProof/>
                <w:webHidden/>
              </w:rPr>
            </w:r>
            <w:r w:rsidR="00A5358C">
              <w:rPr>
                <w:noProof/>
                <w:webHidden/>
              </w:rPr>
              <w:fldChar w:fldCharType="separate"/>
            </w:r>
            <w:r w:rsidR="00A5358C">
              <w:rPr>
                <w:noProof/>
                <w:webHidden/>
              </w:rPr>
              <w:t>8</w:t>
            </w:r>
            <w:r w:rsidR="00A5358C">
              <w:rPr>
                <w:noProof/>
                <w:webHidden/>
              </w:rPr>
              <w:fldChar w:fldCharType="end"/>
            </w:r>
          </w:hyperlink>
        </w:p>
        <w:p w14:paraId="02F3D69E" w14:textId="4689C18D" w:rsidR="00A5358C" w:rsidRDefault="00A5358C" w:rsidP="00A5358C">
          <w:pPr>
            <w:ind w:firstLine="0"/>
          </w:pPr>
          <w:r>
            <w:rPr>
              <w:b/>
              <w:bCs/>
              <w:noProof/>
            </w:rPr>
            <w:fldChar w:fldCharType="end"/>
          </w:r>
        </w:p>
      </w:sdtContent>
    </w:sdt>
    <w:p w14:paraId="6162BC2D" w14:textId="77777777" w:rsidR="00A5358C" w:rsidRDefault="00A5358C">
      <w:pPr>
        <w:spacing w:after="160" w:line="259" w:lineRule="auto"/>
        <w:ind w:firstLine="0"/>
        <w:jc w:val="left"/>
      </w:pPr>
    </w:p>
    <w:p w14:paraId="1783A33A" w14:textId="30199B2C" w:rsidR="00A5358C" w:rsidRDefault="00A5358C">
      <w:pPr>
        <w:spacing w:after="160" w:line="259" w:lineRule="auto"/>
        <w:ind w:firstLine="0"/>
        <w:jc w:val="left"/>
        <w:rPr>
          <w:b/>
          <w:bCs/>
        </w:rPr>
      </w:pPr>
      <w:r>
        <w:br w:type="page"/>
      </w:r>
    </w:p>
    <w:p w14:paraId="0550E72B" w14:textId="37B435E0" w:rsidR="00B75816" w:rsidRPr="006124A8" w:rsidRDefault="00B75816" w:rsidP="006124A8">
      <w:pPr>
        <w:pStyle w:val="Heading1"/>
      </w:pPr>
      <w:bookmarkStart w:id="0" w:name="_Toc147997861"/>
      <w:r w:rsidRPr="006124A8">
        <w:lastRenderedPageBreak/>
        <w:t>Introduction</w:t>
      </w:r>
      <w:bookmarkEnd w:id="0"/>
      <w:r w:rsidRPr="006124A8">
        <w:t xml:space="preserve"> </w:t>
      </w:r>
    </w:p>
    <w:p w14:paraId="0BC102FD" w14:textId="77777777" w:rsidR="006124A8" w:rsidRDefault="006124A8" w:rsidP="006124A8">
      <w:r>
        <w:t>The Seaview Resort has a distinguished history as a premier vacation destination and is tucked away along a lovely beach. This picturesque refuge has, however, experienced a depressing fall in recent years. Revenue at the resort, occupancy rates, and patron satisfaction have all suffered significantly. The owner of the resort, Mr. James Henderson, has asked for help because he is concerned about the future viability of his company. He wants a thorough analysis to establish whether a resurrection is possible with a carefully thought-out turnaround plan. This report's crucial role is to analyse the resort's financial performance over the previous three years. We'll examine the complex factors that contributed to the decline in profitability to see if there's any chance for a rebound. In essence, our goal is to present a thorough evaluation that emphasises the resort's financial stability and its standing as a premium vacation area. The data we have available, covering the years 2020 to 2022, will be essential in helping us create a smart strategy to revitalise The Seaview Resort and guarantee its position at the top of the leisure and hospitality sector once more.</w:t>
      </w:r>
    </w:p>
    <w:p w14:paraId="069C62E3" w14:textId="77777777" w:rsidR="00B75816" w:rsidRPr="006124A8" w:rsidRDefault="00B75816" w:rsidP="006124A8"/>
    <w:p w14:paraId="388A50CC" w14:textId="77777777" w:rsidR="00B75816" w:rsidRPr="006124A8" w:rsidRDefault="00B75816" w:rsidP="006124A8">
      <w:pPr>
        <w:pStyle w:val="Heading1"/>
      </w:pPr>
      <w:bookmarkStart w:id="1" w:name="_Toc147997862"/>
      <w:r w:rsidRPr="006124A8">
        <w:t>Market Analysis</w:t>
      </w:r>
      <w:bookmarkEnd w:id="1"/>
      <w:r w:rsidRPr="006124A8">
        <w:t xml:space="preserve"> </w:t>
      </w:r>
    </w:p>
    <w:p w14:paraId="2D4A8632" w14:textId="77777777" w:rsidR="006124A8" w:rsidRDefault="006124A8" w:rsidP="006124A8">
      <w:r>
        <w:t xml:space="preserve">There is intense competition in the market where The Seaview Resort competes, and other modern rivals have opened up shop nearby. In recent years, this market for seaside resorts has changed as a result of changing consumer preferences. More than ever, consumers are gravitating towards eco-friendly and immersive travel. The Seaview Resort must handle a number of problems brought about by these changing trends in order to be relevant and competitive. Potential visitors have a wide range of options due to the abundance of contemporary resorts in the area. These rivals frequently provide cutting-edge amenities and the most recent eco-friendly programmes, which has put a lot of pressure on The Seaview Resort to raise its game. Customer feedback has also given helpful insights into the resort's existing difficulties. These reports repeatedly identify deteriorating service quality and antiquated amenities as major issues. It is clear that the resort is failing to live up to the changing expectations of its target market, which has negatively impacted occupancy rates and earnings. Another important factor that The Seaview Resort must take into account is the movement in consumer preferences </w:t>
      </w:r>
      <w:r>
        <w:lastRenderedPageBreak/>
        <w:t>towards environmentally friendly and immersive travel experiences. Travellers are increasingly looking for more immersive and sustainable experiences, which frequently come with a stronger connection to the nature and culture of the destination. The Seaview Resort must adjust to these shifting preferences by incorporating eco-friendly practises and giving its visitors one-of-a-kind, unforgettable experiences.</w:t>
      </w:r>
    </w:p>
    <w:p w14:paraId="1F0B0149" w14:textId="77777777" w:rsidR="006124A8" w:rsidRPr="006124A8" w:rsidRDefault="006124A8" w:rsidP="006124A8"/>
    <w:p w14:paraId="043D0E30" w14:textId="77777777" w:rsidR="00B75816" w:rsidRPr="006124A8" w:rsidRDefault="00B75816" w:rsidP="006124A8">
      <w:pPr>
        <w:pStyle w:val="Heading1"/>
      </w:pPr>
      <w:bookmarkStart w:id="2" w:name="_Toc147997863"/>
      <w:r w:rsidRPr="006124A8">
        <w:t>Income Statement Analysis (2020-2022)</w:t>
      </w:r>
      <w:bookmarkEnd w:id="2"/>
      <w:r w:rsidRPr="006124A8">
        <w:t xml:space="preserve"> </w:t>
      </w:r>
    </w:p>
    <w:p w14:paraId="3555F18C" w14:textId="693BAAA0" w:rsidR="006124A8" w:rsidRDefault="006124A8" w:rsidP="006124A8">
      <w:r>
        <w:t>A worrying picture is painted by The Seaview Resort's financial performance from 2020 to 2022. Key income statement metrics have been declining over this time period in a clear and consistent manner. A key measure of the resort's overall financial health, total revenue, significantly declined. The resort's overall revenue was £520,000 in 2020, but by 2022 it had dropped to £430,000. This downward trend denotes a deterioration in the resort's capacity to generate revenue, which is frequently related to a number of variables like decreased occupancy rates, diminishing customer satisfaction, and fierce market competition</w:t>
      </w:r>
      <w:r w:rsidR="00A5358C">
        <w:t xml:space="preserve"> (Seal, 2019)</w:t>
      </w:r>
      <w:r>
        <w:t>. However, when looking at the net profit margin, the picture becomes even more troubling. A 15% net profit margin in 2020 meant that 15% of The Seaview Resort's total revenue was turned into profit. In 2022, the net profit margin had drastically decreased to just 4%. This huge decline suggests that the resort is not only losing money, but is also losing efficiency in turning its revenue into profit. This financial collapse can have been caused by a number of underlying problems. As noted in the market research, factors such as market competitiveness, shifting consumer tastes, obsolete amenities, and declining service quality all come into play. Additionally, the COVID-19 pandemic and its corresponding travel restrictions might have negatively impacted the resort's capacity to draw and retain visitors in 2020 and 2021, which probably played a role in the reduction in income</w:t>
      </w:r>
      <w:r w:rsidR="00A5358C">
        <w:t xml:space="preserve"> (Drury, 2021)</w:t>
      </w:r>
      <w:r>
        <w:t>.</w:t>
      </w:r>
    </w:p>
    <w:p w14:paraId="3D2064D9" w14:textId="77777777" w:rsidR="006124A8" w:rsidRPr="006124A8" w:rsidRDefault="006124A8" w:rsidP="006124A8"/>
    <w:p w14:paraId="1EC99C45" w14:textId="77777777" w:rsidR="006124A8" w:rsidRPr="006124A8" w:rsidRDefault="00B75816" w:rsidP="006124A8">
      <w:pPr>
        <w:pStyle w:val="Heading1"/>
      </w:pPr>
      <w:bookmarkStart w:id="3" w:name="_Toc147997864"/>
      <w:r w:rsidRPr="006124A8">
        <w:t>Balance Sheet Analysis (End of 2022)</w:t>
      </w:r>
      <w:bookmarkEnd w:id="3"/>
      <w:r w:rsidRPr="006124A8">
        <w:t xml:space="preserve"> </w:t>
      </w:r>
    </w:p>
    <w:p w14:paraId="4931249D" w14:textId="0B213B74" w:rsidR="006124A8" w:rsidRDefault="006124A8" w:rsidP="006124A8">
      <w:r>
        <w:t xml:space="preserve">The Seaview Resort's balance sheet as of the end of 2022 displays a financial situation that needs quick action. The balance sheet gives a quick overview of the resort's financial situation by showing how its assets, liabilities, and equity are related. The overall worth of the resort's assets is £1,200,000. This sum includes £150,000 in other assets, </w:t>
      </w:r>
      <w:r>
        <w:lastRenderedPageBreak/>
        <w:t>£800,000 in property and equipment (including £100,000 in inventory), and £250,000 in current assets. Although the total assets seem large, a close look at the mix is necessary</w:t>
      </w:r>
      <w:r w:rsidR="00A5358C">
        <w:t xml:space="preserve"> (Hasanaj and Kuqi, 2019)</w:t>
      </w:r>
      <w:r>
        <w:t>. The high percentage of property and equipment compared to current assets could mean that a large portion of the resort's resources are invested in long-term projects, which could restrict its liquidity. On the liabilities side, the resort has significant monetary commitments. Total liabilities are £750,000, of which £180,000 are current obligations and £500,000 are long-term debt. While the long-term debt reflects a large financial commitment over a protracted period, the current liabilities show the resort's immediate financial commitments. The resort's high level of long-term debt makes it uncertain if it will be able to pay its debts while also making the renovations required to regain its competitiveness</w:t>
      </w:r>
      <w:r w:rsidR="00A5358C">
        <w:t xml:space="preserve"> (Guilding, 2014)</w:t>
      </w:r>
      <w:r>
        <w:t xml:space="preserve">. A £450,000 equity value is shown in the balance sheet's equity section. </w:t>
      </w:r>
      <w:r w:rsidR="00B3072B" w:rsidRPr="00B3072B">
        <w:t>Equity holds significant importance as a measure of a company's overall value</w:t>
      </w:r>
      <w:r w:rsidR="00B3072B">
        <w:t xml:space="preserve">, it also </w:t>
      </w:r>
      <w:r w:rsidR="00B3072B" w:rsidRPr="00B3072B">
        <w:t>serves as a protective cushion against financial setbacks. The financial challenges faced by the Seaview Resort become apparent when considering the relatively modest equity in relation to the total assets and liabilities. This indicates a likelihood of the resort having a significant burden of debt in its financial structure, which, in turn, may elevate financial vulnerability and pose a threat to its sustainability in the long run.</w:t>
      </w:r>
    </w:p>
    <w:p w14:paraId="76FEA122" w14:textId="77777777" w:rsidR="00024697" w:rsidRPr="006124A8" w:rsidRDefault="00024697" w:rsidP="006124A8"/>
    <w:p w14:paraId="7D566C54" w14:textId="77777777" w:rsidR="00B75816" w:rsidRPr="006124A8" w:rsidRDefault="00B75816" w:rsidP="006124A8">
      <w:pPr>
        <w:pStyle w:val="Heading1"/>
      </w:pPr>
      <w:bookmarkStart w:id="4" w:name="_Toc147997865"/>
      <w:r w:rsidRPr="006124A8">
        <w:t>Cash Flow Analysis (2021)</w:t>
      </w:r>
      <w:bookmarkEnd w:id="4"/>
      <w:r w:rsidRPr="006124A8">
        <w:t xml:space="preserve"> </w:t>
      </w:r>
    </w:p>
    <w:p w14:paraId="7786D5C9" w14:textId="2FD89521" w:rsidR="006124A8" w:rsidRDefault="00024697" w:rsidP="006124A8">
      <w:r w:rsidRPr="00024697">
        <w:t xml:space="preserve">The cash flow assessment for The Seaview Resort in 2021 </w:t>
      </w:r>
      <w:r>
        <w:t>translates</w:t>
      </w:r>
      <w:r w:rsidRPr="00024697">
        <w:t xml:space="preserve"> the resort's financial robustness and it</w:t>
      </w:r>
      <w:r w:rsidR="0082792D">
        <w:t xml:space="preserve"> can </w:t>
      </w:r>
      <w:r w:rsidRPr="00024697">
        <w:t>meet short-term obligations. The resort's capability to generate cash through its core operations is predominantly influenced by its net cash flow from operations, which constitutes the central focus of this examination (Kamaluddin et al., 2019). In the fiscal year 2021, The Seaview Resort reported a negative net cash flow from operations, indicating that the revenue generated from its primary activities, such as room reservations, dining services, and amenities, fell short of covering its operational expenses. This is a worrisome indication, as it suggests that the resort might be incurring daily losses and relying on external funding sources to sustain its operations. Furthermore, the resort's cash reserves were directly affected by the unfavorable net cash flow from operations.</w:t>
      </w:r>
      <w:r>
        <w:t xml:space="preserve"> </w:t>
      </w:r>
      <w:r w:rsidR="006124A8">
        <w:t xml:space="preserve">The resort's capacity to pay short-term debts and make critical </w:t>
      </w:r>
      <w:r w:rsidR="006124A8">
        <w:lastRenderedPageBreak/>
        <w:t>renovations is put at risk when its cash position drops</w:t>
      </w:r>
      <w:r w:rsidR="00963F09">
        <w:t xml:space="preserve"> (</w:t>
      </w:r>
      <w:r w:rsidR="00963F09" w:rsidRPr="00963F09">
        <w:t>Ivaniš</w:t>
      </w:r>
      <w:r w:rsidR="00963F09">
        <w:t xml:space="preserve"> et al.</w:t>
      </w:r>
      <w:r w:rsidR="00963F09" w:rsidRPr="00963F09">
        <w:t>, 2021</w:t>
      </w:r>
      <w:r w:rsidR="00963F09">
        <w:t>)</w:t>
      </w:r>
      <w:r w:rsidR="006124A8">
        <w:t>. As a result, there may be a delay in paying suppliers, difficulties maintaining and improving the property, and a failure to meet unforeseen financial obligations.</w:t>
      </w:r>
    </w:p>
    <w:p w14:paraId="0AC48938" w14:textId="77777777" w:rsidR="006124A8" w:rsidRPr="006124A8" w:rsidRDefault="006124A8" w:rsidP="006124A8"/>
    <w:p w14:paraId="30D0CCF0" w14:textId="77777777" w:rsidR="00B75816" w:rsidRPr="006124A8" w:rsidRDefault="00B75816" w:rsidP="006124A8">
      <w:pPr>
        <w:pStyle w:val="Heading1"/>
      </w:pPr>
      <w:bookmarkStart w:id="5" w:name="_Toc147997866"/>
      <w:r w:rsidRPr="006124A8">
        <w:t>Additional Financial Information</w:t>
      </w:r>
      <w:bookmarkEnd w:id="5"/>
      <w:r w:rsidRPr="006124A8">
        <w:t xml:space="preserve"> </w:t>
      </w:r>
    </w:p>
    <w:p w14:paraId="5552D161" w14:textId="28C578ED" w:rsidR="006124A8" w:rsidRDefault="006124A8" w:rsidP="006124A8">
      <w:r>
        <w:t>Additional financial data reveals an unsettling pattern in The Seaview Resort's main performance measures over the last three years. The Average Room Rate (ARR) and Occupancy Rate have both consistently decreased, indicating difficulties that the resort must overcome to turn around its financial situation. The average price for rooms is represented by the Average Room Rate (ARR), a key indicator in the hotel sector. The ARR for The Seaview Resort dropped from £250 in 2020 to £210 in 2022, a steady decline. This dip raises the possibility that the resort is having trouble keeping up hotel rates, either out of a need to remain competitive or because of a drop in demand</w:t>
      </w:r>
      <w:r w:rsidR="00963F09">
        <w:t xml:space="preserve"> ()</w:t>
      </w:r>
      <w:r>
        <w:t>. The occupancy rate, which shows the proportion of available rooms that are actually occupied, has also decreased concurrently. It started out at 70% in 2020 and fell to 60% in 2022. The resort is underutilizing its available rooms, which has a direct impact on revenue and profit, as evidenced by the dropping occupancy rate.</w:t>
      </w:r>
    </w:p>
    <w:p w14:paraId="653746EF" w14:textId="77777777" w:rsidR="006124A8" w:rsidRPr="006124A8" w:rsidRDefault="006124A8" w:rsidP="006124A8"/>
    <w:p w14:paraId="14A930B8" w14:textId="77777777" w:rsidR="00B75816" w:rsidRPr="006124A8" w:rsidRDefault="00B75816" w:rsidP="006124A8">
      <w:pPr>
        <w:pStyle w:val="Heading1"/>
      </w:pPr>
      <w:bookmarkStart w:id="6" w:name="_Toc147997867"/>
      <w:r w:rsidRPr="006124A8">
        <w:t>Analysis of Decline in Profitability</w:t>
      </w:r>
      <w:bookmarkEnd w:id="6"/>
      <w:r w:rsidRPr="006124A8">
        <w:t xml:space="preserve"> </w:t>
      </w:r>
    </w:p>
    <w:p w14:paraId="39BEB9EB" w14:textId="5919AC0C" w:rsidR="006124A8" w:rsidRDefault="006124A8" w:rsidP="006124A8">
      <w:r>
        <w:t>The Seaview Resort's declining profitability can be ascribed to a wide range of interconnected problems, each of which has greatly exacerbated the resort's financial difficulties. With newer and more contemporary resorts located close together, the seaside resort business is highly competitive</w:t>
      </w:r>
      <w:r w:rsidR="00963F09">
        <w:t xml:space="preserve"> (Alabdullah et al., 2021)</w:t>
      </w:r>
      <w:r>
        <w:t>. These competitors provide cutting-edge eco-friendly programmes and modern amenities, making it harder for The Seaview Resort to distinguish out and draw visitors. The Seaview Resort has had a difficult time adjusting as consumer preferences shift towards eco-friendly and experiential travel. The resort has not successfully implemented the investments in sustainable practises and offering distinctive, immersive experiences that are required by this change. The resort's old facilities are frequently mentioned in guest reviews as a major concern. In a sector where sustainability, beauty, and modern facilities are important, the resort's inability to stay up has cost it visitors and money</w:t>
      </w:r>
      <w:r w:rsidR="00963F09">
        <w:t xml:space="preserve"> (Curtis et al., </w:t>
      </w:r>
      <w:r w:rsidR="00963F09">
        <w:lastRenderedPageBreak/>
        <w:t>2020)</w:t>
      </w:r>
      <w:r>
        <w:t>. Customer feedback also highlights a drop in service quality, which has an immediate effect on customer satisfaction. Reduced customer satisfaction frequently results in fewer repeat customers, unfavourable word-of-mouth, and falling occupancy rates.</w:t>
      </w:r>
    </w:p>
    <w:p w14:paraId="64EF3340" w14:textId="77777777" w:rsidR="006124A8" w:rsidRPr="006124A8" w:rsidRDefault="006124A8" w:rsidP="006124A8"/>
    <w:p w14:paraId="478E1802" w14:textId="77777777" w:rsidR="006124A8" w:rsidRPr="006124A8" w:rsidRDefault="00B75816" w:rsidP="006124A8">
      <w:pPr>
        <w:pStyle w:val="Heading1"/>
      </w:pPr>
      <w:bookmarkStart w:id="7" w:name="_Toc147997868"/>
      <w:r w:rsidRPr="006124A8">
        <w:t>Turnaround Strategy</w:t>
      </w:r>
      <w:bookmarkEnd w:id="7"/>
      <w:r w:rsidRPr="006124A8">
        <w:t xml:space="preserve"> </w:t>
      </w:r>
    </w:p>
    <w:p w14:paraId="313BE4F0" w14:textId="46CC0194" w:rsidR="006124A8" w:rsidRDefault="006124A8" w:rsidP="006124A8">
      <w:r>
        <w:t>The resort needs to start a significant renovation programme. This entails renovating utilities, modernising facilities, and implementing eco-friendly practises. The resort can reclaim its charm by adapting to shifting consumer tastes for eco-friendly and modern products. It is crucial to launch a strategic marketing and rebranding effort. The resort's renovation and its distinctive features will need to be emphasised if it is to draw in more visitors. The resort's reach can be increased by utilising social media, digital marketing, and collaborations with online travel agents</w:t>
      </w:r>
      <w:r w:rsidR="00274EBB">
        <w:t xml:space="preserve"> (</w:t>
      </w:r>
      <w:r w:rsidR="00274EBB" w:rsidRPr="00274EBB">
        <w:t>Hosseinzadeh Shahri</w:t>
      </w:r>
      <w:r w:rsidR="00274EBB">
        <w:t xml:space="preserve"> </w:t>
      </w:r>
      <w:r w:rsidR="00274EBB" w:rsidRPr="00274EBB">
        <w:t>and Nematollahi Sarvestani, 2020</w:t>
      </w:r>
      <w:r w:rsidR="00274EBB">
        <w:t>)</w:t>
      </w:r>
      <w:r>
        <w:t>. The Seaview Resort ought to put strict cost-control procedures in place. Examine operating costs, maximise personnel use, and look for ways to manage resources more effectively. Resources will be freed up for other crucial expenditures by reducing waste and pointless expenses. The Seaview Resort needs to raise the bar on customer service. Programmes for staff training and the incorporation of technology to speed up visitor interactions can accomplish this. Excellent customer service encourages loyalty and satisfaction. A rigorous reevaluation of the Seaview Resort's hotel pricing is required. Finding a balance between affordability and profitability is the aim. Flexible pricing techniques are necessary to ensure financial viability while attracting a variety of customers</w:t>
      </w:r>
      <w:r w:rsidR="00274EBB">
        <w:t xml:space="preserve"> (Gotteiner et al., 2019)</w:t>
      </w:r>
      <w:r>
        <w:t xml:space="preserve">. New sources of income should be investigated by the Seaview Resort. In addition to accommodation reservations, The Seaview Resort may organise events, provide wellness packages, and promote beneficial alliances with nearby companies. Reliance on a single source of income will decline as a result of these diversification initiatives. The Seaview Resort can revitalise its operations, address the problems that have contributed to declining profitability, and position itself as a preferred travel destination for contemporary travellers by implementing this multifaceted turnaround strategy, ensuring its long-term success in a </w:t>
      </w:r>
      <w:r w:rsidR="00274EBB">
        <w:t>competitive</w:t>
      </w:r>
      <w:r>
        <w:t xml:space="preserve"> industry</w:t>
      </w:r>
      <w:r w:rsidR="00274EBB">
        <w:t xml:space="preserve"> (Wenzel et al., 2020)</w:t>
      </w:r>
      <w:r>
        <w:t>.</w:t>
      </w:r>
    </w:p>
    <w:p w14:paraId="61CA875A" w14:textId="77777777" w:rsidR="006124A8" w:rsidRDefault="006124A8" w:rsidP="006124A8">
      <w:pPr>
        <w:pStyle w:val="Heading1"/>
      </w:pPr>
    </w:p>
    <w:p w14:paraId="31B7826E" w14:textId="77777777" w:rsidR="00B75816" w:rsidRPr="006124A8" w:rsidRDefault="00B75816" w:rsidP="006124A8">
      <w:pPr>
        <w:pStyle w:val="Heading1"/>
      </w:pPr>
      <w:bookmarkStart w:id="8" w:name="_Toc147997869"/>
      <w:r w:rsidRPr="006124A8">
        <w:t>Conclusion</w:t>
      </w:r>
      <w:bookmarkEnd w:id="8"/>
      <w:r w:rsidRPr="006124A8">
        <w:t xml:space="preserve"> </w:t>
      </w:r>
    </w:p>
    <w:p w14:paraId="68137DAA" w14:textId="77777777" w:rsidR="006124A8" w:rsidRDefault="006124A8" w:rsidP="006124A8">
      <w:r>
        <w:t>In conclusion, The Seaview Resort is in a precarious position as it struggles to overcome a wide range of issues that have caused a downturn in both its financial performance and reputation. A complete approach to recovery is necessary due to the complexity of these problems, which include fierce market competition, changing client preferences, outmoded facilities, and declining customer satisfaction. But there is still hope. The resort can start down a path to revitalization by putting into practise the meticulously prepared turnaround strategy described in this paper. The suggested techniques, which include remodelling, marketing, cost management, improving the customer experience, adjusting prices, and diversification, provide a road map for dealing with these issues. The resort's commitment to change and the efficient implementation of these tactics will determine its level of success. The Seaview Resort can strive to recover its status as a leading vacation destination by proactively adopting these steps and remaining flexible to changing market circumstances. This project calls for commitment, perseverance, and a readiness to satisfy the requirements of today's discriminating travellers.</w:t>
      </w:r>
    </w:p>
    <w:p w14:paraId="4EC8DC71" w14:textId="77777777" w:rsidR="006124A8" w:rsidRPr="006124A8" w:rsidRDefault="006124A8" w:rsidP="006124A8"/>
    <w:p w14:paraId="0ABDB44B" w14:textId="310DBD6A" w:rsidR="00A5358C" w:rsidRDefault="00A5358C">
      <w:pPr>
        <w:spacing w:after="160" w:line="259" w:lineRule="auto"/>
        <w:ind w:firstLine="0"/>
        <w:jc w:val="left"/>
      </w:pPr>
      <w:r>
        <w:br w:type="page"/>
      </w:r>
    </w:p>
    <w:p w14:paraId="77286246" w14:textId="573C7707" w:rsidR="00093B40" w:rsidRDefault="00A5358C" w:rsidP="00A5358C">
      <w:pPr>
        <w:pStyle w:val="Heading1"/>
      </w:pPr>
      <w:bookmarkStart w:id="9" w:name="_Toc147997870"/>
      <w:r>
        <w:lastRenderedPageBreak/>
        <w:t>References</w:t>
      </w:r>
      <w:bookmarkEnd w:id="9"/>
    </w:p>
    <w:p w14:paraId="6FFC14CF" w14:textId="77777777" w:rsidR="00A5358C" w:rsidRDefault="00A5358C" w:rsidP="00A5358C">
      <w:pPr>
        <w:ind w:left="720" w:hanging="720"/>
        <w:rPr>
          <w:shd w:val="clear" w:color="auto" w:fill="FFFFFF"/>
        </w:rPr>
      </w:pPr>
      <w:r>
        <w:rPr>
          <w:shd w:val="clear" w:color="auto" w:fill="FFFFFF"/>
        </w:rPr>
        <w:t>Alabdullah, T.T.Y., Ahmed, E.R. and Ahmed, R.R., 2021. Organization features and profitability: Implications for a sample of Emerging Countries. </w:t>
      </w:r>
      <w:r>
        <w:rPr>
          <w:i/>
          <w:iCs/>
          <w:shd w:val="clear" w:color="auto" w:fill="FFFFFF"/>
        </w:rPr>
        <w:t>Journal of Accounting and Business Education</w:t>
      </w:r>
      <w:r>
        <w:rPr>
          <w:shd w:val="clear" w:color="auto" w:fill="FFFFFF"/>
        </w:rPr>
        <w:t>, </w:t>
      </w:r>
      <w:r>
        <w:rPr>
          <w:i/>
          <w:iCs/>
          <w:shd w:val="clear" w:color="auto" w:fill="FFFFFF"/>
        </w:rPr>
        <w:t>5</w:t>
      </w:r>
      <w:r>
        <w:rPr>
          <w:shd w:val="clear" w:color="auto" w:fill="FFFFFF"/>
        </w:rPr>
        <w:t>(2), pp.43-52.</w:t>
      </w:r>
    </w:p>
    <w:p w14:paraId="34B73CD1" w14:textId="77777777" w:rsidR="00A5358C" w:rsidRDefault="00A5358C" w:rsidP="00A5358C">
      <w:pPr>
        <w:ind w:left="720" w:hanging="720"/>
        <w:rPr>
          <w:shd w:val="clear" w:color="auto" w:fill="FFFFFF"/>
        </w:rPr>
      </w:pPr>
      <w:r>
        <w:rPr>
          <w:shd w:val="clear" w:color="auto" w:fill="FFFFFF"/>
        </w:rPr>
        <w:t>Curtis, A., McVay, S. and Toynbee, S., 2020. The changing implications of research and development expenditures for future profitability. </w:t>
      </w:r>
      <w:r>
        <w:rPr>
          <w:i/>
          <w:iCs/>
          <w:shd w:val="clear" w:color="auto" w:fill="FFFFFF"/>
        </w:rPr>
        <w:t>Review of Accounting Studies</w:t>
      </w:r>
      <w:r>
        <w:rPr>
          <w:shd w:val="clear" w:color="auto" w:fill="FFFFFF"/>
        </w:rPr>
        <w:t>, </w:t>
      </w:r>
      <w:r>
        <w:rPr>
          <w:i/>
          <w:iCs/>
          <w:shd w:val="clear" w:color="auto" w:fill="FFFFFF"/>
        </w:rPr>
        <w:t>25</w:t>
      </w:r>
      <w:r>
        <w:rPr>
          <w:shd w:val="clear" w:color="auto" w:fill="FFFFFF"/>
        </w:rPr>
        <w:t>, pp.405-437.</w:t>
      </w:r>
    </w:p>
    <w:p w14:paraId="74A4DBE3" w14:textId="77777777" w:rsidR="00A5358C" w:rsidRDefault="00A5358C" w:rsidP="00A5358C">
      <w:pPr>
        <w:ind w:left="720" w:hanging="720"/>
      </w:pPr>
      <w:r>
        <w:t>Drury C (2021) (11th Ed) Management and Cost Accounting, London, Prentice Hall</w:t>
      </w:r>
    </w:p>
    <w:p w14:paraId="73949BFB" w14:textId="77777777" w:rsidR="00A5358C" w:rsidRDefault="00A5358C" w:rsidP="00A5358C">
      <w:pPr>
        <w:ind w:left="720" w:hanging="720"/>
        <w:rPr>
          <w:shd w:val="clear" w:color="auto" w:fill="FFFFFF"/>
        </w:rPr>
      </w:pPr>
      <w:r>
        <w:rPr>
          <w:shd w:val="clear" w:color="auto" w:fill="FFFFFF"/>
        </w:rPr>
        <w:t>Ging Lee, C. and How, S.M., 2023. Determining hotel room rates: Domestic economic policy uncertainty and crises. </w:t>
      </w:r>
      <w:r>
        <w:rPr>
          <w:i/>
          <w:iCs/>
          <w:shd w:val="clear" w:color="auto" w:fill="FFFFFF"/>
        </w:rPr>
        <w:t>Tourism Analysis</w:t>
      </w:r>
      <w:r>
        <w:rPr>
          <w:shd w:val="clear" w:color="auto" w:fill="FFFFFF"/>
        </w:rPr>
        <w:t>, </w:t>
      </w:r>
      <w:r>
        <w:rPr>
          <w:i/>
          <w:iCs/>
          <w:shd w:val="clear" w:color="auto" w:fill="FFFFFF"/>
        </w:rPr>
        <w:t>28</w:t>
      </w:r>
      <w:r>
        <w:rPr>
          <w:shd w:val="clear" w:color="auto" w:fill="FFFFFF"/>
        </w:rPr>
        <w:t>(2), pp.187-201.</w:t>
      </w:r>
    </w:p>
    <w:p w14:paraId="2730EA97" w14:textId="77777777" w:rsidR="00A5358C" w:rsidRDefault="00A5358C" w:rsidP="00A5358C">
      <w:pPr>
        <w:ind w:left="720" w:hanging="720"/>
        <w:rPr>
          <w:shd w:val="clear" w:color="auto" w:fill="FFFFFF"/>
        </w:rPr>
      </w:pPr>
      <w:r>
        <w:rPr>
          <w:shd w:val="clear" w:color="auto" w:fill="FFFFFF"/>
        </w:rPr>
        <w:t>Gotteiner, S., Mas-Machuca, M. and Marimon, F., 2019. Turnaround types, stages, strategies, and tactics: Putting things in order. </w:t>
      </w:r>
      <w:r>
        <w:rPr>
          <w:i/>
          <w:iCs/>
          <w:shd w:val="clear" w:color="auto" w:fill="FFFFFF"/>
        </w:rPr>
        <w:t>European Accounting and Management Review</w:t>
      </w:r>
      <w:r>
        <w:rPr>
          <w:shd w:val="clear" w:color="auto" w:fill="FFFFFF"/>
        </w:rPr>
        <w:t>, </w:t>
      </w:r>
      <w:r>
        <w:rPr>
          <w:i/>
          <w:iCs/>
          <w:shd w:val="clear" w:color="auto" w:fill="FFFFFF"/>
        </w:rPr>
        <w:t>5</w:t>
      </w:r>
      <w:r>
        <w:rPr>
          <w:shd w:val="clear" w:color="auto" w:fill="FFFFFF"/>
        </w:rPr>
        <w:t>(2), pp.12-37.</w:t>
      </w:r>
    </w:p>
    <w:p w14:paraId="1AA466D1" w14:textId="77777777" w:rsidR="00A5358C" w:rsidRDefault="00A5358C" w:rsidP="00A5358C">
      <w:pPr>
        <w:ind w:left="720" w:hanging="720"/>
      </w:pPr>
      <w:r>
        <w:t>Guilding,C.(2014) (3rd Edition) Accounting Essentials for Hospitality Managers, London, Routledge</w:t>
      </w:r>
    </w:p>
    <w:p w14:paraId="3009301A" w14:textId="77777777" w:rsidR="00A5358C" w:rsidRDefault="00A5358C" w:rsidP="00A5358C">
      <w:pPr>
        <w:ind w:left="720" w:hanging="720"/>
        <w:rPr>
          <w:shd w:val="clear" w:color="auto" w:fill="FFFFFF"/>
        </w:rPr>
      </w:pPr>
      <w:r>
        <w:rPr>
          <w:shd w:val="clear" w:color="auto" w:fill="FFFFFF"/>
        </w:rPr>
        <w:t>Hasanaj, P. and Kuqi, B., 2019. Analysis of financial statements. </w:t>
      </w:r>
      <w:r>
        <w:rPr>
          <w:i/>
          <w:iCs/>
          <w:shd w:val="clear" w:color="auto" w:fill="FFFFFF"/>
        </w:rPr>
        <w:t>Humanities and Social Science Research</w:t>
      </w:r>
      <w:r>
        <w:rPr>
          <w:shd w:val="clear" w:color="auto" w:fill="FFFFFF"/>
        </w:rPr>
        <w:t>, </w:t>
      </w:r>
      <w:r>
        <w:rPr>
          <w:i/>
          <w:iCs/>
          <w:shd w:val="clear" w:color="auto" w:fill="FFFFFF"/>
        </w:rPr>
        <w:t>2</w:t>
      </w:r>
      <w:r>
        <w:rPr>
          <w:shd w:val="clear" w:color="auto" w:fill="FFFFFF"/>
        </w:rPr>
        <w:t>(2), pp.p17-p17.</w:t>
      </w:r>
    </w:p>
    <w:p w14:paraId="6B87168E" w14:textId="77777777" w:rsidR="00A5358C" w:rsidRPr="006124A8" w:rsidRDefault="00A5358C" w:rsidP="00A5358C">
      <w:pPr>
        <w:ind w:left="720" w:hanging="720"/>
      </w:pPr>
      <w:r>
        <w:rPr>
          <w:shd w:val="clear" w:color="auto" w:fill="FFFFFF"/>
        </w:rPr>
        <w:t>Hosseinzadeh Shahri, M. and Nematollahi Sarvestani, M., 2020. Business model innovation as a turnaround strategy. </w:t>
      </w:r>
      <w:r>
        <w:rPr>
          <w:i/>
          <w:iCs/>
          <w:shd w:val="clear" w:color="auto" w:fill="FFFFFF"/>
        </w:rPr>
        <w:t>Journal of Strategy and Management</w:t>
      </w:r>
      <w:r>
        <w:rPr>
          <w:shd w:val="clear" w:color="auto" w:fill="FFFFFF"/>
        </w:rPr>
        <w:t>, </w:t>
      </w:r>
      <w:r>
        <w:rPr>
          <w:i/>
          <w:iCs/>
          <w:shd w:val="clear" w:color="auto" w:fill="FFFFFF"/>
        </w:rPr>
        <w:t>13</w:t>
      </w:r>
      <w:r>
        <w:rPr>
          <w:shd w:val="clear" w:color="auto" w:fill="FFFFFF"/>
        </w:rPr>
        <w:t>(2), pp.241-253.</w:t>
      </w:r>
    </w:p>
    <w:p w14:paraId="38793FDF" w14:textId="77777777" w:rsidR="00A5358C" w:rsidRDefault="00A5358C" w:rsidP="00A5358C">
      <w:pPr>
        <w:ind w:left="720" w:hanging="720"/>
        <w:rPr>
          <w:shd w:val="clear" w:color="auto" w:fill="FFFFFF"/>
        </w:rPr>
      </w:pPr>
      <w:r>
        <w:rPr>
          <w:shd w:val="clear" w:color="auto" w:fill="FFFFFF"/>
        </w:rPr>
        <w:t>Ivaniš, M., Filipović, L. and Ivaniš, M., 2021. CASH FLOW ANALYSIS. </w:t>
      </w:r>
      <w:r>
        <w:rPr>
          <w:i/>
          <w:iCs/>
          <w:shd w:val="clear" w:color="auto" w:fill="FFFFFF"/>
        </w:rPr>
        <w:t>ENGINEERING MANAGEMENT AND COMPETITIVENESS (EMC 2021)</w:t>
      </w:r>
      <w:r>
        <w:rPr>
          <w:shd w:val="clear" w:color="auto" w:fill="FFFFFF"/>
        </w:rPr>
        <w:t>, p.217.</w:t>
      </w:r>
    </w:p>
    <w:p w14:paraId="1E941246" w14:textId="77777777" w:rsidR="00A5358C" w:rsidRDefault="00A5358C" w:rsidP="00A5358C">
      <w:pPr>
        <w:ind w:left="720" w:hanging="720"/>
        <w:rPr>
          <w:shd w:val="clear" w:color="auto" w:fill="FFFFFF"/>
        </w:rPr>
      </w:pPr>
      <w:r>
        <w:rPr>
          <w:shd w:val="clear" w:color="auto" w:fill="FFFFFF"/>
        </w:rPr>
        <w:t>Kamaluddin, A., Ishak, N. and Mohammed, N.F., 2019. Financial distress prediction through cash flow ratios analysis. </w:t>
      </w:r>
      <w:r>
        <w:rPr>
          <w:i/>
          <w:iCs/>
          <w:shd w:val="clear" w:color="auto" w:fill="FFFFFF"/>
        </w:rPr>
        <w:t>International Journal of Financial Research</w:t>
      </w:r>
      <w:r>
        <w:rPr>
          <w:shd w:val="clear" w:color="auto" w:fill="FFFFFF"/>
        </w:rPr>
        <w:t>, </w:t>
      </w:r>
      <w:r>
        <w:rPr>
          <w:i/>
          <w:iCs/>
          <w:shd w:val="clear" w:color="auto" w:fill="FFFFFF"/>
        </w:rPr>
        <w:t>10</w:t>
      </w:r>
      <w:r>
        <w:rPr>
          <w:shd w:val="clear" w:color="auto" w:fill="FFFFFF"/>
        </w:rPr>
        <w:t>(3), pp.63-76.</w:t>
      </w:r>
    </w:p>
    <w:p w14:paraId="318DCD1D" w14:textId="77777777" w:rsidR="00A5358C" w:rsidRDefault="00A5358C" w:rsidP="00A5358C">
      <w:pPr>
        <w:ind w:left="720" w:hanging="720"/>
      </w:pPr>
      <w:r>
        <w:t>Seal W (2019) (6th Ed) Management Accounting, London, McGraw Hill</w:t>
      </w:r>
    </w:p>
    <w:p w14:paraId="2802A887" w14:textId="77777777" w:rsidR="00A5358C" w:rsidRDefault="00A5358C" w:rsidP="00A5358C">
      <w:pPr>
        <w:ind w:left="720" w:hanging="720"/>
        <w:rPr>
          <w:shd w:val="clear" w:color="auto" w:fill="FFFFFF"/>
        </w:rPr>
      </w:pPr>
      <w:r w:rsidRPr="00A5358C">
        <w:rPr>
          <w:shd w:val="clear" w:color="auto" w:fill="FFFFFF"/>
          <w:lang w:val="de-DE"/>
        </w:rPr>
        <w:t xml:space="preserve">Wenzel, M., Stanske, S. and Lieberman, M.B., 2020. </w:t>
      </w:r>
      <w:r>
        <w:rPr>
          <w:shd w:val="clear" w:color="auto" w:fill="FFFFFF"/>
        </w:rPr>
        <w:t>Strategic responses to crisis. </w:t>
      </w:r>
      <w:r>
        <w:rPr>
          <w:i/>
          <w:iCs/>
          <w:shd w:val="clear" w:color="auto" w:fill="FFFFFF"/>
        </w:rPr>
        <w:t>Strategic Management Journal</w:t>
      </w:r>
      <w:r>
        <w:rPr>
          <w:shd w:val="clear" w:color="auto" w:fill="FFFFFF"/>
        </w:rPr>
        <w:t>, </w:t>
      </w:r>
      <w:r>
        <w:rPr>
          <w:i/>
          <w:iCs/>
          <w:shd w:val="clear" w:color="auto" w:fill="FFFFFF"/>
        </w:rPr>
        <w:t>41</w:t>
      </w:r>
      <w:r>
        <w:rPr>
          <w:shd w:val="clear" w:color="auto" w:fill="FFFFFF"/>
        </w:rPr>
        <w:t>(7/18), p.3161.</w:t>
      </w:r>
    </w:p>
    <w:sectPr w:rsidR="00A5358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0BA590" w14:textId="77777777" w:rsidR="00BD4D7A" w:rsidRDefault="00BD4D7A" w:rsidP="00117AA0">
      <w:pPr>
        <w:spacing w:line="240" w:lineRule="auto"/>
      </w:pPr>
      <w:r>
        <w:separator/>
      </w:r>
    </w:p>
  </w:endnote>
  <w:endnote w:type="continuationSeparator" w:id="0">
    <w:p w14:paraId="347AC1F0" w14:textId="77777777" w:rsidR="00BD4D7A" w:rsidRDefault="00BD4D7A" w:rsidP="00117A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BAFCCC" w14:textId="77777777" w:rsidR="00BD4D7A" w:rsidRDefault="00BD4D7A" w:rsidP="00117AA0">
      <w:pPr>
        <w:spacing w:line="240" w:lineRule="auto"/>
      </w:pPr>
      <w:r>
        <w:separator/>
      </w:r>
    </w:p>
  </w:footnote>
  <w:footnote w:type="continuationSeparator" w:id="0">
    <w:p w14:paraId="5111F7DF" w14:textId="77777777" w:rsidR="00BD4D7A" w:rsidRDefault="00BD4D7A" w:rsidP="00117AA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F51C5F"/>
    <w:multiLevelType w:val="multilevel"/>
    <w:tmpl w:val="4E0C98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D051C51"/>
    <w:multiLevelType w:val="multilevel"/>
    <w:tmpl w:val="23865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6233781">
    <w:abstractNumId w:val="0"/>
  </w:num>
  <w:num w:numId="2" w16cid:durableId="15635198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5816"/>
    <w:rsid w:val="00024697"/>
    <w:rsid w:val="00093B40"/>
    <w:rsid w:val="00111028"/>
    <w:rsid w:val="00117AA0"/>
    <w:rsid w:val="00274EBB"/>
    <w:rsid w:val="0033692D"/>
    <w:rsid w:val="004212A5"/>
    <w:rsid w:val="004F653B"/>
    <w:rsid w:val="006124A8"/>
    <w:rsid w:val="0082792D"/>
    <w:rsid w:val="009403BC"/>
    <w:rsid w:val="00943FBD"/>
    <w:rsid w:val="00963F09"/>
    <w:rsid w:val="00A5358C"/>
    <w:rsid w:val="00B3072B"/>
    <w:rsid w:val="00B75816"/>
    <w:rsid w:val="00BD4D7A"/>
    <w:rsid w:val="00D331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3C98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4A8"/>
    <w:pPr>
      <w:spacing w:after="0" w:line="360" w:lineRule="auto"/>
      <w:ind w:firstLine="720"/>
      <w:jc w:val="both"/>
    </w:pPr>
    <w:rPr>
      <w:rFonts w:ascii="Arial" w:hAnsi="Arial" w:cs="Arial"/>
      <w:sz w:val="24"/>
      <w:szCs w:val="24"/>
    </w:rPr>
  </w:style>
  <w:style w:type="paragraph" w:styleId="Heading1">
    <w:name w:val="heading 1"/>
    <w:basedOn w:val="Normal"/>
    <w:next w:val="Normal"/>
    <w:link w:val="Heading1Char"/>
    <w:uiPriority w:val="9"/>
    <w:qFormat/>
    <w:rsid w:val="006124A8"/>
    <w:pPr>
      <w:ind w:firstLine="0"/>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124A8"/>
    <w:rPr>
      <w:rFonts w:ascii="Times New Roman" w:hAnsi="Times New Roman" w:cs="Times New Roman"/>
    </w:rPr>
  </w:style>
  <w:style w:type="character" w:customStyle="1" w:styleId="Heading1Char">
    <w:name w:val="Heading 1 Char"/>
    <w:basedOn w:val="DefaultParagraphFont"/>
    <w:link w:val="Heading1"/>
    <w:uiPriority w:val="9"/>
    <w:rsid w:val="006124A8"/>
    <w:rPr>
      <w:rFonts w:ascii="Arial" w:hAnsi="Arial" w:cs="Arial"/>
      <w:b/>
      <w:bCs/>
      <w:sz w:val="24"/>
      <w:szCs w:val="24"/>
    </w:rPr>
  </w:style>
  <w:style w:type="paragraph" w:styleId="TOCHeading">
    <w:name w:val="TOC Heading"/>
    <w:basedOn w:val="Heading1"/>
    <w:next w:val="Normal"/>
    <w:uiPriority w:val="39"/>
    <w:unhideWhenUsed/>
    <w:qFormat/>
    <w:rsid w:val="00A5358C"/>
    <w:pPr>
      <w:keepNext/>
      <w:keepLines/>
      <w:spacing w:before="240" w:line="259" w:lineRule="auto"/>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A5358C"/>
    <w:pPr>
      <w:spacing w:after="100"/>
    </w:pPr>
  </w:style>
  <w:style w:type="character" w:styleId="Hyperlink">
    <w:name w:val="Hyperlink"/>
    <w:basedOn w:val="DefaultParagraphFont"/>
    <w:uiPriority w:val="99"/>
    <w:unhideWhenUsed/>
    <w:rsid w:val="00A5358C"/>
    <w:rPr>
      <w:color w:val="0563C1" w:themeColor="hyperlink"/>
      <w:u w:val="single"/>
    </w:rPr>
  </w:style>
  <w:style w:type="paragraph" w:styleId="Header">
    <w:name w:val="header"/>
    <w:basedOn w:val="Normal"/>
    <w:link w:val="HeaderChar"/>
    <w:uiPriority w:val="99"/>
    <w:unhideWhenUsed/>
    <w:rsid w:val="00117AA0"/>
    <w:pPr>
      <w:tabs>
        <w:tab w:val="center" w:pos="4513"/>
        <w:tab w:val="right" w:pos="9026"/>
      </w:tabs>
      <w:spacing w:line="240" w:lineRule="auto"/>
    </w:pPr>
  </w:style>
  <w:style w:type="character" w:customStyle="1" w:styleId="HeaderChar">
    <w:name w:val="Header Char"/>
    <w:basedOn w:val="DefaultParagraphFont"/>
    <w:link w:val="Header"/>
    <w:uiPriority w:val="99"/>
    <w:rsid w:val="00117AA0"/>
    <w:rPr>
      <w:rFonts w:ascii="Arial" w:hAnsi="Arial" w:cs="Arial"/>
      <w:sz w:val="24"/>
      <w:szCs w:val="24"/>
    </w:rPr>
  </w:style>
  <w:style w:type="paragraph" w:styleId="Footer">
    <w:name w:val="footer"/>
    <w:basedOn w:val="Normal"/>
    <w:link w:val="FooterChar"/>
    <w:uiPriority w:val="99"/>
    <w:unhideWhenUsed/>
    <w:rsid w:val="00117AA0"/>
    <w:pPr>
      <w:tabs>
        <w:tab w:val="center" w:pos="4513"/>
        <w:tab w:val="right" w:pos="9026"/>
      </w:tabs>
      <w:spacing w:line="240" w:lineRule="auto"/>
    </w:pPr>
  </w:style>
  <w:style w:type="character" w:customStyle="1" w:styleId="FooterChar">
    <w:name w:val="Footer Char"/>
    <w:basedOn w:val="DefaultParagraphFont"/>
    <w:link w:val="Footer"/>
    <w:uiPriority w:val="99"/>
    <w:rsid w:val="00117AA0"/>
    <w:rPr>
      <w:rFonts w:ascii="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16481">
      <w:bodyDiv w:val="1"/>
      <w:marLeft w:val="0"/>
      <w:marRight w:val="0"/>
      <w:marTop w:val="0"/>
      <w:marBottom w:val="0"/>
      <w:divBdr>
        <w:top w:val="none" w:sz="0" w:space="0" w:color="auto"/>
        <w:left w:val="none" w:sz="0" w:space="0" w:color="auto"/>
        <w:bottom w:val="none" w:sz="0" w:space="0" w:color="auto"/>
        <w:right w:val="none" w:sz="0" w:space="0" w:color="auto"/>
      </w:divBdr>
    </w:div>
    <w:div w:id="179703380">
      <w:bodyDiv w:val="1"/>
      <w:marLeft w:val="0"/>
      <w:marRight w:val="0"/>
      <w:marTop w:val="0"/>
      <w:marBottom w:val="0"/>
      <w:divBdr>
        <w:top w:val="none" w:sz="0" w:space="0" w:color="auto"/>
        <w:left w:val="none" w:sz="0" w:space="0" w:color="auto"/>
        <w:bottom w:val="none" w:sz="0" w:space="0" w:color="auto"/>
        <w:right w:val="none" w:sz="0" w:space="0" w:color="auto"/>
      </w:divBdr>
    </w:div>
    <w:div w:id="228539389">
      <w:bodyDiv w:val="1"/>
      <w:marLeft w:val="0"/>
      <w:marRight w:val="0"/>
      <w:marTop w:val="0"/>
      <w:marBottom w:val="0"/>
      <w:divBdr>
        <w:top w:val="none" w:sz="0" w:space="0" w:color="auto"/>
        <w:left w:val="none" w:sz="0" w:space="0" w:color="auto"/>
        <w:bottom w:val="none" w:sz="0" w:space="0" w:color="auto"/>
        <w:right w:val="none" w:sz="0" w:space="0" w:color="auto"/>
      </w:divBdr>
    </w:div>
    <w:div w:id="284118077">
      <w:bodyDiv w:val="1"/>
      <w:marLeft w:val="0"/>
      <w:marRight w:val="0"/>
      <w:marTop w:val="0"/>
      <w:marBottom w:val="0"/>
      <w:divBdr>
        <w:top w:val="none" w:sz="0" w:space="0" w:color="auto"/>
        <w:left w:val="none" w:sz="0" w:space="0" w:color="auto"/>
        <w:bottom w:val="none" w:sz="0" w:space="0" w:color="auto"/>
        <w:right w:val="none" w:sz="0" w:space="0" w:color="auto"/>
      </w:divBdr>
    </w:div>
    <w:div w:id="379860849">
      <w:bodyDiv w:val="1"/>
      <w:marLeft w:val="0"/>
      <w:marRight w:val="0"/>
      <w:marTop w:val="0"/>
      <w:marBottom w:val="0"/>
      <w:divBdr>
        <w:top w:val="none" w:sz="0" w:space="0" w:color="auto"/>
        <w:left w:val="none" w:sz="0" w:space="0" w:color="auto"/>
        <w:bottom w:val="none" w:sz="0" w:space="0" w:color="auto"/>
        <w:right w:val="none" w:sz="0" w:space="0" w:color="auto"/>
      </w:divBdr>
    </w:div>
    <w:div w:id="434835792">
      <w:bodyDiv w:val="1"/>
      <w:marLeft w:val="0"/>
      <w:marRight w:val="0"/>
      <w:marTop w:val="0"/>
      <w:marBottom w:val="0"/>
      <w:divBdr>
        <w:top w:val="none" w:sz="0" w:space="0" w:color="auto"/>
        <w:left w:val="none" w:sz="0" w:space="0" w:color="auto"/>
        <w:bottom w:val="none" w:sz="0" w:space="0" w:color="auto"/>
        <w:right w:val="none" w:sz="0" w:space="0" w:color="auto"/>
      </w:divBdr>
    </w:div>
    <w:div w:id="487329756">
      <w:bodyDiv w:val="1"/>
      <w:marLeft w:val="0"/>
      <w:marRight w:val="0"/>
      <w:marTop w:val="0"/>
      <w:marBottom w:val="0"/>
      <w:divBdr>
        <w:top w:val="none" w:sz="0" w:space="0" w:color="auto"/>
        <w:left w:val="none" w:sz="0" w:space="0" w:color="auto"/>
        <w:bottom w:val="none" w:sz="0" w:space="0" w:color="auto"/>
        <w:right w:val="none" w:sz="0" w:space="0" w:color="auto"/>
      </w:divBdr>
    </w:div>
    <w:div w:id="587545534">
      <w:bodyDiv w:val="1"/>
      <w:marLeft w:val="0"/>
      <w:marRight w:val="0"/>
      <w:marTop w:val="0"/>
      <w:marBottom w:val="0"/>
      <w:divBdr>
        <w:top w:val="none" w:sz="0" w:space="0" w:color="auto"/>
        <w:left w:val="none" w:sz="0" w:space="0" w:color="auto"/>
        <w:bottom w:val="none" w:sz="0" w:space="0" w:color="auto"/>
        <w:right w:val="none" w:sz="0" w:space="0" w:color="auto"/>
      </w:divBdr>
    </w:div>
    <w:div w:id="690184968">
      <w:bodyDiv w:val="1"/>
      <w:marLeft w:val="0"/>
      <w:marRight w:val="0"/>
      <w:marTop w:val="0"/>
      <w:marBottom w:val="0"/>
      <w:divBdr>
        <w:top w:val="none" w:sz="0" w:space="0" w:color="auto"/>
        <w:left w:val="none" w:sz="0" w:space="0" w:color="auto"/>
        <w:bottom w:val="none" w:sz="0" w:space="0" w:color="auto"/>
        <w:right w:val="none" w:sz="0" w:space="0" w:color="auto"/>
      </w:divBdr>
    </w:div>
    <w:div w:id="696852596">
      <w:bodyDiv w:val="1"/>
      <w:marLeft w:val="0"/>
      <w:marRight w:val="0"/>
      <w:marTop w:val="0"/>
      <w:marBottom w:val="0"/>
      <w:divBdr>
        <w:top w:val="none" w:sz="0" w:space="0" w:color="auto"/>
        <w:left w:val="none" w:sz="0" w:space="0" w:color="auto"/>
        <w:bottom w:val="none" w:sz="0" w:space="0" w:color="auto"/>
        <w:right w:val="none" w:sz="0" w:space="0" w:color="auto"/>
      </w:divBdr>
    </w:div>
    <w:div w:id="830414578">
      <w:bodyDiv w:val="1"/>
      <w:marLeft w:val="0"/>
      <w:marRight w:val="0"/>
      <w:marTop w:val="0"/>
      <w:marBottom w:val="0"/>
      <w:divBdr>
        <w:top w:val="none" w:sz="0" w:space="0" w:color="auto"/>
        <w:left w:val="none" w:sz="0" w:space="0" w:color="auto"/>
        <w:bottom w:val="none" w:sz="0" w:space="0" w:color="auto"/>
        <w:right w:val="none" w:sz="0" w:space="0" w:color="auto"/>
      </w:divBdr>
    </w:div>
    <w:div w:id="1004473072">
      <w:bodyDiv w:val="1"/>
      <w:marLeft w:val="0"/>
      <w:marRight w:val="0"/>
      <w:marTop w:val="0"/>
      <w:marBottom w:val="0"/>
      <w:divBdr>
        <w:top w:val="none" w:sz="0" w:space="0" w:color="auto"/>
        <w:left w:val="none" w:sz="0" w:space="0" w:color="auto"/>
        <w:bottom w:val="none" w:sz="0" w:space="0" w:color="auto"/>
        <w:right w:val="none" w:sz="0" w:space="0" w:color="auto"/>
      </w:divBdr>
    </w:div>
    <w:div w:id="1178232179">
      <w:bodyDiv w:val="1"/>
      <w:marLeft w:val="0"/>
      <w:marRight w:val="0"/>
      <w:marTop w:val="0"/>
      <w:marBottom w:val="0"/>
      <w:divBdr>
        <w:top w:val="none" w:sz="0" w:space="0" w:color="auto"/>
        <w:left w:val="none" w:sz="0" w:space="0" w:color="auto"/>
        <w:bottom w:val="none" w:sz="0" w:space="0" w:color="auto"/>
        <w:right w:val="none" w:sz="0" w:space="0" w:color="auto"/>
      </w:divBdr>
    </w:div>
    <w:div w:id="1204563817">
      <w:bodyDiv w:val="1"/>
      <w:marLeft w:val="0"/>
      <w:marRight w:val="0"/>
      <w:marTop w:val="0"/>
      <w:marBottom w:val="0"/>
      <w:divBdr>
        <w:top w:val="none" w:sz="0" w:space="0" w:color="auto"/>
        <w:left w:val="none" w:sz="0" w:space="0" w:color="auto"/>
        <w:bottom w:val="none" w:sz="0" w:space="0" w:color="auto"/>
        <w:right w:val="none" w:sz="0" w:space="0" w:color="auto"/>
      </w:divBdr>
    </w:div>
    <w:div w:id="1239098802">
      <w:bodyDiv w:val="1"/>
      <w:marLeft w:val="0"/>
      <w:marRight w:val="0"/>
      <w:marTop w:val="0"/>
      <w:marBottom w:val="0"/>
      <w:divBdr>
        <w:top w:val="none" w:sz="0" w:space="0" w:color="auto"/>
        <w:left w:val="none" w:sz="0" w:space="0" w:color="auto"/>
        <w:bottom w:val="none" w:sz="0" w:space="0" w:color="auto"/>
        <w:right w:val="none" w:sz="0" w:space="0" w:color="auto"/>
      </w:divBdr>
    </w:div>
    <w:div w:id="1615625652">
      <w:bodyDiv w:val="1"/>
      <w:marLeft w:val="0"/>
      <w:marRight w:val="0"/>
      <w:marTop w:val="0"/>
      <w:marBottom w:val="0"/>
      <w:divBdr>
        <w:top w:val="none" w:sz="0" w:space="0" w:color="auto"/>
        <w:left w:val="none" w:sz="0" w:space="0" w:color="auto"/>
        <w:bottom w:val="none" w:sz="0" w:space="0" w:color="auto"/>
        <w:right w:val="none" w:sz="0" w:space="0" w:color="auto"/>
      </w:divBdr>
    </w:div>
    <w:div w:id="1709645722">
      <w:bodyDiv w:val="1"/>
      <w:marLeft w:val="0"/>
      <w:marRight w:val="0"/>
      <w:marTop w:val="0"/>
      <w:marBottom w:val="0"/>
      <w:divBdr>
        <w:top w:val="none" w:sz="0" w:space="0" w:color="auto"/>
        <w:left w:val="none" w:sz="0" w:space="0" w:color="auto"/>
        <w:bottom w:val="none" w:sz="0" w:space="0" w:color="auto"/>
        <w:right w:val="none" w:sz="0" w:space="0" w:color="auto"/>
      </w:divBdr>
    </w:div>
    <w:div w:id="1908606608">
      <w:bodyDiv w:val="1"/>
      <w:marLeft w:val="0"/>
      <w:marRight w:val="0"/>
      <w:marTop w:val="0"/>
      <w:marBottom w:val="0"/>
      <w:divBdr>
        <w:top w:val="none" w:sz="0" w:space="0" w:color="auto"/>
        <w:left w:val="none" w:sz="0" w:space="0" w:color="auto"/>
        <w:bottom w:val="none" w:sz="0" w:space="0" w:color="auto"/>
        <w:right w:val="none" w:sz="0" w:space="0" w:color="auto"/>
      </w:divBdr>
    </w:div>
    <w:div w:id="2022003200">
      <w:bodyDiv w:val="1"/>
      <w:marLeft w:val="0"/>
      <w:marRight w:val="0"/>
      <w:marTop w:val="0"/>
      <w:marBottom w:val="0"/>
      <w:divBdr>
        <w:top w:val="none" w:sz="0" w:space="0" w:color="auto"/>
        <w:left w:val="none" w:sz="0" w:space="0" w:color="auto"/>
        <w:bottom w:val="none" w:sz="0" w:space="0" w:color="auto"/>
        <w:right w:val="none" w:sz="0" w:space="0" w:color="auto"/>
      </w:divBdr>
    </w:div>
    <w:div w:id="2031905094">
      <w:bodyDiv w:val="1"/>
      <w:marLeft w:val="0"/>
      <w:marRight w:val="0"/>
      <w:marTop w:val="0"/>
      <w:marBottom w:val="0"/>
      <w:divBdr>
        <w:top w:val="none" w:sz="0" w:space="0" w:color="auto"/>
        <w:left w:val="none" w:sz="0" w:space="0" w:color="auto"/>
        <w:bottom w:val="none" w:sz="0" w:space="0" w:color="auto"/>
        <w:right w:val="none" w:sz="0" w:space="0" w:color="auto"/>
      </w:divBdr>
    </w:div>
    <w:div w:id="2035421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FBA784-139E-4352-A675-597C6C573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2408</Words>
  <Characters>13732</Characters>
  <Application>Microsoft Office Word</Application>
  <DocSecurity>0</DocSecurity>
  <Lines>114</Lines>
  <Paragraphs>32</Paragraphs>
  <ScaleCrop>false</ScaleCrop>
  <Company/>
  <LinksUpToDate>false</LinksUpToDate>
  <CharactersWithSpaces>16108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2023-11-15T14:45:00Z</dcterms:created>
  <dcterms:modified xsi:type="dcterms:W3CDTF">2023-11-15T14:47:00Z</dcterms:modified>
</cp:coreProperties>
</file>