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16BFCB" w14:textId="77777777" w:rsidR="00DF1149" w:rsidRPr="00EF3C39" w:rsidRDefault="00DF1149" w:rsidP="00652EC2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BD95FBA" w14:textId="72CB6922" w:rsidR="00EF3C39" w:rsidRPr="00EF3C39" w:rsidRDefault="00EF3C39" w:rsidP="00EF3C39">
      <w:pPr>
        <w:spacing w:line="48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EF3C39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Student Name: Michael Ajuyah     </w:t>
      </w:r>
    </w:p>
    <w:p w14:paraId="77032B47" w14:textId="513DE9C7" w:rsidR="00EF3C39" w:rsidRPr="00EF3C39" w:rsidRDefault="00EF3C39" w:rsidP="00EF3C39">
      <w:pPr>
        <w:spacing w:line="48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EF3C39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</w:t>
      </w:r>
      <w:r w:rsidR="009B5D18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EF3C39">
        <w:rPr>
          <w:rFonts w:ascii="Times New Roman" w:hAnsi="Times New Roman" w:cs="Times New Roman"/>
          <w:b/>
          <w:bCs/>
          <w:sz w:val="28"/>
          <w:szCs w:val="28"/>
        </w:rPr>
        <w:t>Student ID: 2245019</w:t>
      </w:r>
    </w:p>
    <w:p w14:paraId="78E6817F" w14:textId="1C6C09D2" w:rsidR="00EF3C39" w:rsidRPr="00EF3C39" w:rsidRDefault="00EF3C39" w:rsidP="00EF3C39">
      <w:pPr>
        <w:spacing w:line="48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EF3C39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Module Code: BMHP6030</w:t>
      </w:r>
    </w:p>
    <w:p w14:paraId="07A98930" w14:textId="54A24EC5" w:rsidR="004F09A0" w:rsidRPr="00EF3C39" w:rsidRDefault="00EF3C39" w:rsidP="00EF3C39">
      <w:pPr>
        <w:spacing w:line="48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EF3C39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Component 2 Report  </w:t>
      </w:r>
    </w:p>
    <w:p w14:paraId="0B5A2A3C" w14:textId="3C5B2B8F" w:rsidR="00EF3C39" w:rsidRDefault="00EF3C39" w:rsidP="00EF3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F3C39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Lecturer</w:t>
      </w:r>
      <w:r w:rsidR="00D030FF" w:rsidRPr="00EF3C39">
        <w:rPr>
          <w:rFonts w:ascii="Times New Roman" w:hAnsi="Times New Roman" w:cs="Times New Roman"/>
          <w:b/>
          <w:bCs/>
          <w:sz w:val="28"/>
          <w:szCs w:val="28"/>
        </w:rPr>
        <w:t>: Zakiyyah Ahemed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52891BC" w14:textId="77777777" w:rsidR="00781722" w:rsidRDefault="00781722" w:rsidP="00EF3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DF520B2" w14:textId="77777777" w:rsidR="00781722" w:rsidRDefault="00781722" w:rsidP="00EF3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9D84AE" w14:textId="77777777" w:rsidR="00781722" w:rsidRDefault="00781722" w:rsidP="00EF3C3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CAE0EB8" w14:textId="675C3E88" w:rsidR="004F09A0" w:rsidRPr="00781722" w:rsidRDefault="00EF3C39" w:rsidP="0078172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781722" w:rsidRPr="00EF3C39">
        <w:rPr>
          <w:rFonts w:ascii="Times New Roman" w:eastAsia="Times New Roman" w:hAnsi="Times New Roman" w:cs="Times New Roman"/>
          <w:b/>
          <w:sz w:val="24"/>
          <w:szCs w:val="24"/>
        </w:rPr>
        <w:t>HEALTH</w:t>
      </w:r>
      <w:r w:rsidR="00781722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D030FF">
        <w:rPr>
          <w:rFonts w:ascii="Times New Roman" w:eastAsia="Times New Roman" w:hAnsi="Times New Roman" w:cs="Times New Roman"/>
          <w:b/>
          <w:sz w:val="24"/>
          <w:szCs w:val="24"/>
        </w:rPr>
        <w:t xml:space="preserve">WELLBEING </w:t>
      </w:r>
      <w:r w:rsidR="00D030FF" w:rsidRPr="00EF3C39">
        <w:rPr>
          <w:rFonts w:ascii="Times New Roman" w:eastAsia="Times New Roman" w:hAnsi="Times New Roman" w:cs="Times New Roman"/>
          <w:b/>
          <w:sz w:val="24"/>
          <w:szCs w:val="24"/>
        </w:rPr>
        <w:t>AND</w:t>
      </w:r>
      <w:r w:rsidR="004F09A0" w:rsidRPr="00EF3C39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781722" w:rsidRPr="00EF3C39">
        <w:rPr>
          <w:rFonts w:ascii="Times New Roman" w:eastAsia="Times New Roman" w:hAnsi="Times New Roman" w:cs="Times New Roman"/>
          <w:b/>
          <w:sz w:val="24"/>
          <w:szCs w:val="24"/>
        </w:rPr>
        <w:t xml:space="preserve">SUSTAINABLE </w:t>
      </w:r>
      <w:r w:rsidR="00781722">
        <w:rPr>
          <w:rFonts w:ascii="Times New Roman" w:eastAsia="Times New Roman" w:hAnsi="Times New Roman" w:cs="Times New Roman"/>
          <w:b/>
          <w:sz w:val="24"/>
          <w:szCs w:val="24"/>
        </w:rPr>
        <w:t>DEVELOPMENT</w:t>
      </w:r>
    </w:p>
    <w:p w14:paraId="4BE3B3E4" w14:textId="77777777" w:rsidR="00652EC2" w:rsidRDefault="00652EC2" w:rsidP="00652EC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9790B5E" w14:textId="77777777" w:rsidR="00652EC2" w:rsidRDefault="00652EC2" w:rsidP="00A5208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AF19DC" w14:textId="5A731176" w:rsidR="00DF1149" w:rsidRPr="00D030FF" w:rsidRDefault="00D030FF" w:rsidP="00D030FF">
      <w:pPr>
        <w:spacing w:line="480" w:lineRule="auto"/>
        <w:rPr>
          <w:rFonts w:ascii="Times New Roman" w:hAnsi="Times New Roman" w:cs="Times New Roman"/>
          <w:b/>
          <w:sz w:val="28"/>
          <w:szCs w:val="28"/>
        </w:rPr>
      </w:pPr>
      <w:r w:rsidRPr="00D030FF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9B5D18">
        <w:rPr>
          <w:rFonts w:ascii="Times New Roman" w:hAnsi="Times New Roman" w:cs="Times New Roman"/>
          <w:b/>
          <w:sz w:val="28"/>
          <w:szCs w:val="28"/>
        </w:rPr>
        <w:t xml:space="preserve">                                   </w:t>
      </w:r>
      <w:r w:rsidR="00DF1149" w:rsidRPr="00D030FF">
        <w:rPr>
          <w:rFonts w:ascii="Times New Roman" w:hAnsi="Times New Roman" w:cs="Times New Roman"/>
          <w:b/>
          <w:sz w:val="28"/>
          <w:szCs w:val="28"/>
        </w:rPr>
        <w:t>Introduction</w:t>
      </w:r>
    </w:p>
    <w:p w14:paraId="437FF645" w14:textId="770027ED" w:rsidR="00F206CF" w:rsidRPr="004F09A0" w:rsidRDefault="00781722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943771" w:rsidRPr="004F09A0">
        <w:rPr>
          <w:rFonts w:ascii="Times New Roman" w:hAnsi="Times New Roman" w:cs="Times New Roman"/>
          <w:sz w:val="24"/>
          <w:szCs w:val="24"/>
        </w:rPr>
        <w:t xml:space="preserve">he major achievements of sustainable </w:t>
      </w:r>
      <w:r w:rsidR="00702305" w:rsidRPr="004F09A0">
        <w:rPr>
          <w:rFonts w:ascii="Times New Roman" w:hAnsi="Times New Roman" w:cs="Times New Roman"/>
          <w:sz w:val="24"/>
          <w:szCs w:val="24"/>
        </w:rPr>
        <w:t xml:space="preserve">developments that </w:t>
      </w:r>
      <w:r w:rsidR="00A5208C" w:rsidRPr="004F09A0">
        <w:rPr>
          <w:rFonts w:ascii="Times New Roman" w:hAnsi="Times New Roman" w:cs="Times New Roman"/>
          <w:sz w:val="24"/>
          <w:szCs w:val="24"/>
        </w:rPr>
        <w:t>have</w:t>
      </w:r>
      <w:r w:rsidR="00702305" w:rsidRPr="004F09A0">
        <w:rPr>
          <w:rFonts w:ascii="Times New Roman" w:hAnsi="Times New Roman" w:cs="Times New Roman"/>
          <w:sz w:val="24"/>
          <w:szCs w:val="24"/>
        </w:rPr>
        <w:t xml:space="preserve"> given rise to a basic </w:t>
      </w:r>
      <w:r w:rsidR="00BD5441" w:rsidRPr="004F09A0">
        <w:rPr>
          <w:rFonts w:ascii="Times New Roman" w:hAnsi="Times New Roman" w:cs="Times New Roman"/>
          <w:sz w:val="24"/>
          <w:szCs w:val="24"/>
        </w:rPr>
        <w:t>organizational</w:t>
      </w:r>
      <w:r w:rsidR="00702305" w:rsidRPr="004F09A0">
        <w:rPr>
          <w:rFonts w:ascii="Times New Roman" w:hAnsi="Times New Roman" w:cs="Times New Roman"/>
          <w:sz w:val="24"/>
          <w:szCs w:val="24"/>
        </w:rPr>
        <w:t xml:space="preserve"> framework has guided health and social care with the primary objective of ensuring eventual quality and universal </w:t>
      </w:r>
      <w:r w:rsidR="00F87A0E" w:rsidRPr="004F09A0">
        <w:rPr>
          <w:rFonts w:ascii="Times New Roman" w:hAnsi="Times New Roman" w:cs="Times New Roman"/>
          <w:sz w:val="24"/>
          <w:szCs w:val="24"/>
        </w:rPr>
        <w:t>care. Cavicchi, Oppi, and Vagnoni (2022) explain that this results from t</w:t>
      </w:r>
      <w:r w:rsidR="00EC4262" w:rsidRPr="004F09A0">
        <w:rPr>
          <w:rFonts w:ascii="Times New Roman" w:hAnsi="Times New Roman" w:cs="Times New Roman"/>
          <w:sz w:val="24"/>
          <w:szCs w:val="24"/>
        </w:rPr>
        <w:t xml:space="preserve">he identification that </w:t>
      </w:r>
      <w:r w:rsidR="001E5856" w:rsidRPr="004F09A0">
        <w:rPr>
          <w:rFonts w:ascii="Times New Roman" w:hAnsi="Times New Roman" w:cs="Times New Roman"/>
          <w:sz w:val="24"/>
          <w:szCs w:val="24"/>
        </w:rPr>
        <w:t>interrelated</w:t>
      </w:r>
      <w:r w:rsidR="00EC4262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1E5856" w:rsidRPr="004F09A0">
        <w:rPr>
          <w:rFonts w:ascii="Times New Roman" w:hAnsi="Times New Roman" w:cs="Times New Roman"/>
          <w:sz w:val="24"/>
          <w:szCs w:val="24"/>
        </w:rPr>
        <w:t xml:space="preserve">economic, social, individual, and environmental </w:t>
      </w:r>
      <w:r w:rsidR="00A01650" w:rsidRPr="004F09A0">
        <w:rPr>
          <w:rFonts w:ascii="Times New Roman" w:hAnsi="Times New Roman" w:cs="Times New Roman"/>
          <w:sz w:val="24"/>
          <w:szCs w:val="24"/>
        </w:rPr>
        <w:t>factors determine health outcomes, and the outcomes do not merely rely on the provision of care. Established by the United Nations (UN</w:t>
      </w:r>
      <w:r w:rsidR="00A5208C" w:rsidRPr="004F09A0">
        <w:rPr>
          <w:rFonts w:ascii="Times New Roman" w:hAnsi="Times New Roman" w:cs="Times New Roman"/>
          <w:sz w:val="24"/>
          <w:szCs w:val="24"/>
        </w:rPr>
        <w:t>)</w:t>
      </w:r>
      <w:r w:rsidR="00A5208C">
        <w:rPr>
          <w:rFonts w:ascii="Times New Roman" w:hAnsi="Times New Roman" w:cs="Times New Roman"/>
          <w:sz w:val="24"/>
          <w:szCs w:val="24"/>
        </w:rPr>
        <w:t>.</w:t>
      </w:r>
      <w:r w:rsidR="00A5208C" w:rsidRPr="004F09A0">
        <w:rPr>
          <w:rFonts w:ascii="Times New Roman" w:hAnsi="Times New Roman" w:cs="Times New Roman"/>
          <w:sz w:val="24"/>
          <w:szCs w:val="24"/>
        </w:rPr>
        <w:t xml:space="preserve"> Sustainable</w:t>
      </w:r>
      <w:r w:rsidR="005E35EB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A5208C">
        <w:rPr>
          <w:rFonts w:ascii="Times New Roman" w:hAnsi="Times New Roman" w:cs="Times New Roman"/>
          <w:sz w:val="24"/>
          <w:szCs w:val="24"/>
        </w:rPr>
        <w:t xml:space="preserve">  </w:t>
      </w:r>
      <w:r w:rsidR="005E35EB" w:rsidRPr="004F09A0">
        <w:rPr>
          <w:rFonts w:ascii="Times New Roman" w:hAnsi="Times New Roman" w:cs="Times New Roman"/>
          <w:sz w:val="24"/>
          <w:szCs w:val="24"/>
        </w:rPr>
        <w:t xml:space="preserve">Development Goals (SDG) seek to explore how the factors can be developed to </w:t>
      </w:r>
      <w:r w:rsidR="008601F9" w:rsidRPr="004F09A0">
        <w:rPr>
          <w:rFonts w:ascii="Times New Roman" w:hAnsi="Times New Roman" w:cs="Times New Roman"/>
          <w:sz w:val="24"/>
          <w:szCs w:val="24"/>
        </w:rPr>
        <w:t xml:space="preserve">ensure equitable wellbeing of individuals and groups (UNDP, 2025). </w:t>
      </w:r>
      <w:r w:rsidR="00347632" w:rsidRPr="004F09A0">
        <w:rPr>
          <w:rFonts w:ascii="Times New Roman" w:hAnsi="Times New Roman" w:cs="Times New Roman"/>
          <w:sz w:val="24"/>
          <w:szCs w:val="24"/>
        </w:rPr>
        <w:t>Despite the SDG</w:t>
      </w:r>
      <w:r w:rsidR="00577B20" w:rsidRPr="004F09A0">
        <w:rPr>
          <w:rFonts w:ascii="Times New Roman" w:hAnsi="Times New Roman" w:cs="Times New Roman"/>
          <w:sz w:val="24"/>
          <w:szCs w:val="24"/>
        </w:rPr>
        <w:t>s being interrelated, t</w:t>
      </w:r>
      <w:r w:rsidR="00347632" w:rsidRPr="004F09A0">
        <w:rPr>
          <w:rFonts w:ascii="Times New Roman" w:hAnsi="Times New Roman" w:cs="Times New Roman"/>
          <w:sz w:val="24"/>
          <w:szCs w:val="24"/>
        </w:rPr>
        <w:t xml:space="preserve">wo of the most influential </w:t>
      </w:r>
      <w:r w:rsidR="00577B20" w:rsidRPr="004F09A0">
        <w:rPr>
          <w:rFonts w:ascii="Times New Roman" w:hAnsi="Times New Roman" w:cs="Times New Roman"/>
          <w:sz w:val="24"/>
          <w:szCs w:val="24"/>
        </w:rPr>
        <w:t xml:space="preserve">ones are SDG3 and SDG10. While SDG3 directly focuses on health outcomes, </w:t>
      </w:r>
      <w:r w:rsidR="007B3350" w:rsidRPr="004F09A0">
        <w:rPr>
          <w:rFonts w:ascii="Times New Roman" w:hAnsi="Times New Roman" w:cs="Times New Roman"/>
          <w:sz w:val="24"/>
          <w:szCs w:val="24"/>
        </w:rPr>
        <w:t>SDG10 relates to structural differences that influenc</w:t>
      </w:r>
      <w:r w:rsidR="00F206CF" w:rsidRPr="004F09A0">
        <w:rPr>
          <w:rFonts w:ascii="Times New Roman" w:hAnsi="Times New Roman" w:cs="Times New Roman"/>
          <w:sz w:val="24"/>
          <w:szCs w:val="24"/>
        </w:rPr>
        <w:t>e disparities in health status.</w:t>
      </w:r>
    </w:p>
    <w:p w14:paraId="1F179DBE" w14:textId="77777777" w:rsidR="00412645" w:rsidRDefault="00F206CF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>T</w:t>
      </w:r>
      <w:r w:rsidR="008329C7" w:rsidRPr="004F09A0">
        <w:rPr>
          <w:rFonts w:ascii="Times New Roman" w:hAnsi="Times New Roman" w:cs="Times New Roman"/>
          <w:sz w:val="24"/>
          <w:szCs w:val="24"/>
        </w:rPr>
        <w:t>he interrelation</w:t>
      </w:r>
      <w:r w:rsidR="005424BB" w:rsidRPr="004F09A0">
        <w:rPr>
          <w:rFonts w:ascii="Times New Roman" w:hAnsi="Times New Roman" w:cs="Times New Roman"/>
          <w:sz w:val="24"/>
          <w:szCs w:val="24"/>
        </w:rPr>
        <w:t xml:space="preserve"> between the two SDGs</w:t>
      </w:r>
      <w:r w:rsidR="008329C7" w:rsidRPr="004F09A0">
        <w:rPr>
          <w:rFonts w:ascii="Times New Roman" w:hAnsi="Times New Roman" w:cs="Times New Roman"/>
          <w:sz w:val="24"/>
          <w:szCs w:val="24"/>
        </w:rPr>
        <w:t xml:space="preserve"> reveals an increased prominence </w:t>
      </w:r>
      <w:r w:rsidR="003331F2" w:rsidRPr="004F09A0">
        <w:rPr>
          <w:rFonts w:ascii="Times New Roman" w:hAnsi="Times New Roman" w:cs="Times New Roman"/>
          <w:sz w:val="24"/>
          <w:szCs w:val="24"/>
        </w:rPr>
        <w:t xml:space="preserve">of social determinants of health within the public health realm. Various scholars, including Frank et al. (2020), however, argue whether the </w:t>
      </w:r>
      <w:r w:rsidR="00E25912" w:rsidRPr="004F09A0">
        <w:rPr>
          <w:rFonts w:ascii="Times New Roman" w:hAnsi="Times New Roman" w:cs="Times New Roman"/>
          <w:sz w:val="24"/>
          <w:szCs w:val="24"/>
        </w:rPr>
        <w:t>contemporary policies adequately address the sophisticated social determinants. Frank et al. (2020) explain that</w:t>
      </w:r>
      <w:r w:rsidR="00740148" w:rsidRPr="004F09A0">
        <w:rPr>
          <w:rFonts w:ascii="Times New Roman" w:hAnsi="Times New Roman" w:cs="Times New Roman"/>
          <w:sz w:val="24"/>
          <w:szCs w:val="24"/>
        </w:rPr>
        <w:t xml:space="preserve"> while</w:t>
      </w:r>
      <w:r w:rsidR="00E25912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FF6B1B" w:rsidRPr="004F09A0">
        <w:rPr>
          <w:rFonts w:ascii="Times New Roman" w:hAnsi="Times New Roman" w:cs="Times New Roman"/>
          <w:sz w:val="24"/>
          <w:szCs w:val="24"/>
        </w:rPr>
        <w:t xml:space="preserve">the development goals offer a structured framework for </w:t>
      </w:r>
      <w:r w:rsidR="00740148" w:rsidRPr="004F09A0">
        <w:rPr>
          <w:rFonts w:ascii="Times New Roman" w:hAnsi="Times New Roman" w:cs="Times New Roman"/>
          <w:sz w:val="24"/>
          <w:szCs w:val="24"/>
        </w:rPr>
        <w:t xml:space="preserve">action towards improved health, they </w:t>
      </w:r>
      <w:r w:rsidR="00595F91" w:rsidRPr="004F09A0">
        <w:rPr>
          <w:rFonts w:ascii="Times New Roman" w:hAnsi="Times New Roman" w:cs="Times New Roman"/>
          <w:sz w:val="24"/>
          <w:szCs w:val="24"/>
        </w:rPr>
        <w:t xml:space="preserve">fail to promote accountability and effectiveness given their vast scope. Accordingly, the report </w:t>
      </w:r>
      <w:r w:rsidR="0082175F" w:rsidRPr="004F09A0">
        <w:rPr>
          <w:rFonts w:ascii="Times New Roman" w:hAnsi="Times New Roman" w:cs="Times New Roman"/>
          <w:sz w:val="24"/>
          <w:szCs w:val="24"/>
        </w:rPr>
        <w:t>critically explores the effectiveness of the SDG3 and SDG10 in relati</w:t>
      </w:r>
      <w:r w:rsidR="00310668" w:rsidRPr="004F09A0">
        <w:rPr>
          <w:rFonts w:ascii="Times New Roman" w:hAnsi="Times New Roman" w:cs="Times New Roman"/>
          <w:sz w:val="24"/>
          <w:szCs w:val="24"/>
        </w:rPr>
        <w:t>on to their impact on outcomes</w:t>
      </w:r>
      <w:r w:rsidR="00FD5ED1" w:rsidRPr="004F09A0">
        <w:rPr>
          <w:rFonts w:ascii="Times New Roman" w:hAnsi="Times New Roman" w:cs="Times New Roman"/>
          <w:sz w:val="24"/>
          <w:szCs w:val="24"/>
        </w:rPr>
        <w:t>. It analyses how policies are designed to support the goals at</w:t>
      </w:r>
      <w:r w:rsidR="00310668" w:rsidRPr="004F09A0">
        <w:rPr>
          <w:rFonts w:ascii="Times New Roman" w:hAnsi="Times New Roman" w:cs="Times New Roman"/>
          <w:sz w:val="24"/>
          <w:szCs w:val="24"/>
        </w:rPr>
        <w:t xml:space="preserve"> various levels including global, UK national</w:t>
      </w:r>
      <w:r w:rsidR="00FD5ED1" w:rsidRPr="004F09A0">
        <w:rPr>
          <w:rFonts w:ascii="Times New Roman" w:hAnsi="Times New Roman" w:cs="Times New Roman"/>
          <w:sz w:val="24"/>
          <w:szCs w:val="24"/>
        </w:rPr>
        <w:t>, and l</w:t>
      </w:r>
      <w:r w:rsidR="00F21F8F" w:rsidRPr="004F09A0">
        <w:rPr>
          <w:rFonts w:ascii="Times New Roman" w:hAnsi="Times New Roman" w:cs="Times New Roman"/>
          <w:sz w:val="24"/>
          <w:szCs w:val="24"/>
        </w:rPr>
        <w:t xml:space="preserve">ocal. It also integrates the approaches of </w:t>
      </w:r>
      <w:r w:rsidR="00E3052B" w:rsidRPr="004F09A0">
        <w:rPr>
          <w:rFonts w:ascii="Times New Roman" w:hAnsi="Times New Roman" w:cs="Times New Roman"/>
          <w:sz w:val="24"/>
          <w:szCs w:val="24"/>
        </w:rPr>
        <w:t xml:space="preserve">experts and scholars. It </w:t>
      </w:r>
      <w:r w:rsidR="00717961" w:rsidRPr="004F09A0">
        <w:rPr>
          <w:rFonts w:ascii="Times New Roman" w:hAnsi="Times New Roman" w:cs="Times New Roman"/>
          <w:sz w:val="24"/>
          <w:szCs w:val="24"/>
        </w:rPr>
        <w:t xml:space="preserve">considers the hypothesis that while the specific SDGs are strategic and practical, </w:t>
      </w:r>
      <w:r w:rsidR="001B10CB" w:rsidRPr="004F09A0">
        <w:rPr>
          <w:rFonts w:ascii="Times New Roman" w:hAnsi="Times New Roman" w:cs="Times New Roman"/>
          <w:sz w:val="24"/>
          <w:szCs w:val="24"/>
        </w:rPr>
        <w:t xml:space="preserve">policy should be better designed to ensure equity, inclusion, and prevention </w:t>
      </w:r>
      <w:r w:rsidR="00625588" w:rsidRPr="004F09A0">
        <w:rPr>
          <w:rFonts w:ascii="Times New Roman" w:hAnsi="Times New Roman" w:cs="Times New Roman"/>
          <w:sz w:val="24"/>
          <w:szCs w:val="24"/>
        </w:rPr>
        <w:t>across levels.</w:t>
      </w:r>
    </w:p>
    <w:p w14:paraId="4156483F" w14:textId="77777777" w:rsidR="00781722" w:rsidRPr="004F09A0" w:rsidRDefault="00781722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80B5258" w14:textId="77777777" w:rsidR="00625588" w:rsidRPr="00781722" w:rsidRDefault="00DF1149" w:rsidP="00652EC2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781722">
        <w:rPr>
          <w:rFonts w:ascii="Times New Roman" w:hAnsi="Times New Roman" w:cs="Times New Roman"/>
          <w:b/>
          <w:sz w:val="28"/>
          <w:szCs w:val="28"/>
        </w:rPr>
        <w:t>SDG3: Good Health and Wellbeing</w:t>
      </w:r>
    </w:p>
    <w:p w14:paraId="1562EF62" w14:textId="77777777" w:rsidR="00DF1149" w:rsidRPr="004F09A0" w:rsidRDefault="00B61CEE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According to the UNDP (2025), the sustainable goal purposes to promote health outcomes </w:t>
      </w:r>
      <w:r w:rsidR="009C60E0" w:rsidRPr="004F09A0">
        <w:rPr>
          <w:rFonts w:ascii="Times New Roman" w:hAnsi="Times New Roman" w:cs="Times New Roman"/>
          <w:sz w:val="24"/>
          <w:szCs w:val="24"/>
        </w:rPr>
        <w:t xml:space="preserve">by enhancing an integrated approach to </w:t>
      </w:r>
      <w:r w:rsidR="009355BE" w:rsidRPr="004F09A0">
        <w:rPr>
          <w:rFonts w:ascii="Times New Roman" w:hAnsi="Times New Roman" w:cs="Times New Roman"/>
          <w:sz w:val="24"/>
          <w:szCs w:val="24"/>
        </w:rPr>
        <w:t xml:space="preserve">well-being. It then entails various objectives to incorporate curative, preventive, </w:t>
      </w:r>
      <w:r w:rsidR="00E6337A" w:rsidRPr="004F09A0">
        <w:rPr>
          <w:rFonts w:ascii="Times New Roman" w:hAnsi="Times New Roman" w:cs="Times New Roman"/>
          <w:sz w:val="24"/>
          <w:szCs w:val="24"/>
        </w:rPr>
        <w:t>and maternal car</w:t>
      </w:r>
      <w:r w:rsidR="00D841FB" w:rsidRPr="004F09A0">
        <w:rPr>
          <w:rFonts w:ascii="Times New Roman" w:hAnsi="Times New Roman" w:cs="Times New Roman"/>
          <w:sz w:val="24"/>
          <w:szCs w:val="24"/>
        </w:rPr>
        <w:t xml:space="preserve">e. Hales and Birdthistle (2023) </w:t>
      </w:r>
      <w:r w:rsidR="00601721" w:rsidRPr="004F09A0">
        <w:rPr>
          <w:rFonts w:ascii="Times New Roman" w:hAnsi="Times New Roman" w:cs="Times New Roman"/>
          <w:sz w:val="24"/>
          <w:szCs w:val="24"/>
        </w:rPr>
        <w:t xml:space="preserve">explain that this broad scope is holistic as it provides an insight into </w:t>
      </w:r>
      <w:r w:rsidR="0050026E" w:rsidRPr="004F09A0">
        <w:rPr>
          <w:rFonts w:ascii="Times New Roman" w:hAnsi="Times New Roman" w:cs="Times New Roman"/>
          <w:sz w:val="24"/>
          <w:szCs w:val="24"/>
        </w:rPr>
        <w:t xml:space="preserve">multiple determinants of health. This implies </w:t>
      </w:r>
      <w:r w:rsidR="0002278C" w:rsidRPr="004F09A0">
        <w:rPr>
          <w:rFonts w:ascii="Times New Roman" w:hAnsi="Times New Roman" w:cs="Times New Roman"/>
          <w:sz w:val="24"/>
          <w:szCs w:val="24"/>
        </w:rPr>
        <w:t xml:space="preserve">that this would help develop ways of addressing them sufficiently. </w:t>
      </w:r>
      <w:r w:rsidR="00E041D1" w:rsidRPr="004F09A0">
        <w:rPr>
          <w:rFonts w:ascii="Times New Roman" w:hAnsi="Times New Roman" w:cs="Times New Roman"/>
          <w:sz w:val="24"/>
          <w:szCs w:val="24"/>
        </w:rPr>
        <w:t xml:space="preserve">Klimczuk et al. (2025) add that the goal </w:t>
      </w:r>
      <w:r w:rsidR="001C0485" w:rsidRPr="004F09A0">
        <w:rPr>
          <w:rFonts w:ascii="Times New Roman" w:hAnsi="Times New Roman" w:cs="Times New Roman"/>
          <w:sz w:val="24"/>
          <w:szCs w:val="24"/>
        </w:rPr>
        <w:t xml:space="preserve">offers a normative structure </w:t>
      </w:r>
      <w:r w:rsidR="00FC36FC" w:rsidRPr="004F09A0">
        <w:rPr>
          <w:rFonts w:ascii="Times New Roman" w:hAnsi="Times New Roman" w:cs="Times New Roman"/>
          <w:sz w:val="24"/>
          <w:szCs w:val="24"/>
        </w:rPr>
        <w:t>that endorses policy m</w:t>
      </w:r>
      <w:r w:rsidR="00B7115B" w:rsidRPr="004F09A0">
        <w:rPr>
          <w:rFonts w:ascii="Times New Roman" w:hAnsi="Times New Roman" w:cs="Times New Roman"/>
          <w:sz w:val="24"/>
          <w:szCs w:val="24"/>
        </w:rPr>
        <w:t xml:space="preserve">akers to link policies with the goal’s priorities. </w:t>
      </w:r>
      <w:r w:rsidR="0002278C" w:rsidRPr="004F09A0">
        <w:rPr>
          <w:rFonts w:ascii="Times New Roman" w:hAnsi="Times New Roman" w:cs="Times New Roman"/>
          <w:sz w:val="24"/>
          <w:szCs w:val="24"/>
        </w:rPr>
        <w:t>However, Fernandez (2019) challenge that the goal’</w:t>
      </w:r>
      <w:r w:rsidR="00DA1999" w:rsidRPr="004F09A0">
        <w:rPr>
          <w:rFonts w:ascii="Times New Roman" w:hAnsi="Times New Roman" w:cs="Times New Roman"/>
          <w:sz w:val="24"/>
          <w:szCs w:val="24"/>
        </w:rPr>
        <w:t xml:space="preserve">s broad scope makes it difficult to prioritise, thereby compromising its practicability. </w:t>
      </w:r>
      <w:r w:rsidR="000E5FC2" w:rsidRPr="004F09A0">
        <w:rPr>
          <w:rFonts w:ascii="Times New Roman" w:hAnsi="Times New Roman" w:cs="Times New Roman"/>
          <w:sz w:val="24"/>
          <w:szCs w:val="24"/>
        </w:rPr>
        <w:t xml:space="preserve">It then demonstrates aspirational policy design being inconsistent with operational </w:t>
      </w:r>
      <w:r w:rsidR="00524948" w:rsidRPr="004F09A0">
        <w:rPr>
          <w:rFonts w:ascii="Times New Roman" w:hAnsi="Times New Roman" w:cs="Times New Roman"/>
          <w:sz w:val="24"/>
          <w:szCs w:val="24"/>
        </w:rPr>
        <w:t>viability</w:t>
      </w:r>
      <w:r w:rsidR="000E5FC2" w:rsidRPr="004F09A0">
        <w:rPr>
          <w:rFonts w:ascii="Times New Roman" w:hAnsi="Times New Roman" w:cs="Times New Roman"/>
          <w:sz w:val="24"/>
          <w:szCs w:val="24"/>
        </w:rPr>
        <w:t xml:space="preserve">. </w:t>
      </w:r>
      <w:r w:rsidR="00CD4F22" w:rsidRPr="004F09A0">
        <w:rPr>
          <w:rFonts w:ascii="Times New Roman" w:hAnsi="Times New Roman" w:cs="Times New Roman"/>
          <w:sz w:val="24"/>
          <w:szCs w:val="24"/>
        </w:rPr>
        <w:t xml:space="preserve">Another contrasting view as Aftab et al. (2020) describes is that the goal presumes that </w:t>
      </w:r>
      <w:r w:rsidR="00224327" w:rsidRPr="004F09A0">
        <w:rPr>
          <w:rFonts w:ascii="Times New Roman" w:hAnsi="Times New Roman" w:cs="Times New Roman"/>
          <w:sz w:val="24"/>
          <w:szCs w:val="24"/>
        </w:rPr>
        <w:t xml:space="preserve">institutions universally possess the resources needed for the implementation. </w:t>
      </w:r>
      <w:r w:rsidR="005E0BAC" w:rsidRPr="004F09A0">
        <w:rPr>
          <w:rFonts w:ascii="Times New Roman" w:hAnsi="Times New Roman" w:cs="Times New Roman"/>
          <w:sz w:val="24"/>
          <w:szCs w:val="24"/>
        </w:rPr>
        <w:t xml:space="preserve">However, it offers a framework for the establishment of the required resources, and therefore they </w:t>
      </w:r>
      <w:r w:rsidR="00841261" w:rsidRPr="004F09A0">
        <w:rPr>
          <w:rFonts w:ascii="Times New Roman" w:hAnsi="Times New Roman" w:cs="Times New Roman"/>
          <w:sz w:val="24"/>
          <w:szCs w:val="24"/>
        </w:rPr>
        <w:t>will be guided by the objectives.</w:t>
      </w:r>
      <w:r w:rsidR="00667AF6" w:rsidRPr="004F09A0">
        <w:rPr>
          <w:rFonts w:ascii="Times New Roman" w:hAnsi="Times New Roman" w:cs="Times New Roman"/>
          <w:sz w:val="24"/>
          <w:szCs w:val="24"/>
        </w:rPr>
        <w:t xml:space="preserve"> Accordingly, the SDG3 generally institutes </w:t>
      </w:r>
      <w:r w:rsidR="00082077" w:rsidRPr="004F09A0">
        <w:rPr>
          <w:rFonts w:ascii="Times New Roman" w:hAnsi="Times New Roman" w:cs="Times New Roman"/>
          <w:sz w:val="24"/>
          <w:szCs w:val="24"/>
        </w:rPr>
        <w:t xml:space="preserve">an inclusive vision, and its practicability is </w:t>
      </w:r>
      <w:r w:rsidR="00EF737F" w:rsidRPr="004F09A0">
        <w:rPr>
          <w:rFonts w:ascii="Times New Roman" w:hAnsi="Times New Roman" w:cs="Times New Roman"/>
          <w:sz w:val="24"/>
          <w:szCs w:val="24"/>
        </w:rPr>
        <w:t>founded on the governance and context.</w:t>
      </w:r>
    </w:p>
    <w:p w14:paraId="0F864E48" w14:textId="65382A1A" w:rsidR="00221481" w:rsidRPr="004F09A0" w:rsidRDefault="00BB5D22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The global policies relating to the goal can be identified as progressive and </w:t>
      </w:r>
      <w:r w:rsidR="00E73A8F" w:rsidRPr="004F09A0">
        <w:rPr>
          <w:rFonts w:ascii="Times New Roman" w:hAnsi="Times New Roman" w:cs="Times New Roman"/>
          <w:sz w:val="24"/>
          <w:szCs w:val="24"/>
        </w:rPr>
        <w:t xml:space="preserve">limited by governance. According to Cerf (2023), the World Health Organisation (WHO) </w:t>
      </w:r>
      <w:r w:rsidR="003E41C0" w:rsidRPr="004F09A0">
        <w:rPr>
          <w:rFonts w:ascii="Times New Roman" w:hAnsi="Times New Roman" w:cs="Times New Roman"/>
          <w:sz w:val="24"/>
          <w:szCs w:val="24"/>
        </w:rPr>
        <w:t xml:space="preserve">as a major body that guides policies has endorsed universal health care (UHC). UHC is </w:t>
      </w:r>
      <w:r w:rsidR="00313263" w:rsidRPr="004F09A0">
        <w:rPr>
          <w:rFonts w:ascii="Times New Roman" w:hAnsi="Times New Roman" w:cs="Times New Roman"/>
          <w:sz w:val="24"/>
          <w:szCs w:val="24"/>
        </w:rPr>
        <w:t>particularly</w:t>
      </w:r>
      <w:r w:rsidR="003E41C0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313263" w:rsidRPr="004F09A0">
        <w:rPr>
          <w:rFonts w:ascii="Times New Roman" w:hAnsi="Times New Roman" w:cs="Times New Roman"/>
          <w:sz w:val="24"/>
          <w:szCs w:val="24"/>
        </w:rPr>
        <w:t xml:space="preserve">impactful on the goal as it reduces disparities by promoting access to care. </w:t>
      </w:r>
      <w:r w:rsidR="00AE5E48" w:rsidRPr="004F09A0">
        <w:rPr>
          <w:rFonts w:ascii="Times New Roman" w:hAnsi="Times New Roman" w:cs="Times New Roman"/>
          <w:sz w:val="24"/>
          <w:szCs w:val="24"/>
        </w:rPr>
        <w:t>Gaffney, Woolhandler, and Himmelstein (2019)</w:t>
      </w:r>
      <w:r w:rsidR="00D54D6D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0461FA" w:rsidRPr="004F09A0">
        <w:rPr>
          <w:rFonts w:ascii="Times New Roman" w:hAnsi="Times New Roman" w:cs="Times New Roman"/>
          <w:sz w:val="24"/>
          <w:szCs w:val="24"/>
        </w:rPr>
        <w:t xml:space="preserve">identify that this further </w:t>
      </w:r>
      <w:r w:rsidR="003F2682" w:rsidRPr="004F09A0">
        <w:rPr>
          <w:rFonts w:ascii="Times New Roman" w:hAnsi="Times New Roman" w:cs="Times New Roman"/>
          <w:sz w:val="24"/>
          <w:szCs w:val="24"/>
        </w:rPr>
        <w:t xml:space="preserve">supports the utility of resources and </w:t>
      </w:r>
      <w:r w:rsidR="00D030FF" w:rsidRPr="004F09A0">
        <w:rPr>
          <w:rFonts w:ascii="Times New Roman" w:hAnsi="Times New Roman" w:cs="Times New Roman"/>
          <w:sz w:val="24"/>
          <w:szCs w:val="24"/>
        </w:rPr>
        <w:t>services and</w:t>
      </w:r>
      <w:r w:rsidR="003F2682" w:rsidRPr="004F09A0">
        <w:rPr>
          <w:rFonts w:ascii="Times New Roman" w:hAnsi="Times New Roman" w:cs="Times New Roman"/>
          <w:sz w:val="24"/>
          <w:szCs w:val="24"/>
        </w:rPr>
        <w:t xml:space="preserve"> address financial strain. </w:t>
      </w:r>
      <w:r w:rsidR="00A245FF" w:rsidRPr="004F09A0">
        <w:rPr>
          <w:rFonts w:ascii="Times New Roman" w:hAnsi="Times New Roman" w:cs="Times New Roman"/>
          <w:sz w:val="24"/>
          <w:szCs w:val="24"/>
        </w:rPr>
        <w:t>On the other hand</w:t>
      </w:r>
      <w:r w:rsidR="00C11FD8" w:rsidRPr="004F09A0">
        <w:rPr>
          <w:rFonts w:ascii="Times New Roman" w:hAnsi="Times New Roman" w:cs="Times New Roman"/>
          <w:sz w:val="24"/>
          <w:szCs w:val="24"/>
        </w:rPr>
        <w:t xml:space="preserve">, Kickbusch and Liu (2022) challenge the </w:t>
      </w:r>
      <w:r w:rsidR="00F275A5" w:rsidRPr="004F09A0">
        <w:rPr>
          <w:rFonts w:ascii="Times New Roman" w:hAnsi="Times New Roman" w:cs="Times New Roman"/>
          <w:sz w:val="24"/>
          <w:szCs w:val="24"/>
        </w:rPr>
        <w:t xml:space="preserve">influence of power relations, which is influenced by global governance. This </w:t>
      </w:r>
      <w:r w:rsidR="00566A5E" w:rsidRPr="004F09A0">
        <w:rPr>
          <w:rFonts w:ascii="Times New Roman" w:hAnsi="Times New Roman" w:cs="Times New Roman"/>
          <w:sz w:val="24"/>
          <w:szCs w:val="24"/>
        </w:rPr>
        <w:t xml:space="preserve">implies </w:t>
      </w:r>
      <w:r w:rsidR="002802B4" w:rsidRPr="004F09A0">
        <w:rPr>
          <w:rFonts w:ascii="Times New Roman" w:hAnsi="Times New Roman" w:cs="Times New Roman"/>
          <w:sz w:val="24"/>
          <w:szCs w:val="24"/>
        </w:rPr>
        <w:t xml:space="preserve">issues with funding and development of more supportive policies. </w:t>
      </w:r>
      <w:r w:rsidR="00615E41" w:rsidRPr="004F09A0">
        <w:rPr>
          <w:rFonts w:ascii="Times New Roman" w:hAnsi="Times New Roman" w:cs="Times New Roman"/>
          <w:sz w:val="24"/>
          <w:szCs w:val="24"/>
        </w:rPr>
        <w:t xml:space="preserve">Accordingly, it hinders the objectives of </w:t>
      </w:r>
      <w:r w:rsidR="001D6FCF" w:rsidRPr="004F09A0">
        <w:rPr>
          <w:rFonts w:ascii="Times New Roman" w:hAnsi="Times New Roman" w:cs="Times New Roman"/>
          <w:sz w:val="24"/>
          <w:szCs w:val="24"/>
        </w:rPr>
        <w:t xml:space="preserve">increase in life expectancy and reduced mortality rates. Further, the global policies </w:t>
      </w:r>
      <w:r w:rsidR="00806944" w:rsidRPr="004F09A0">
        <w:rPr>
          <w:rFonts w:ascii="Times New Roman" w:hAnsi="Times New Roman" w:cs="Times New Roman"/>
          <w:sz w:val="24"/>
          <w:szCs w:val="24"/>
        </w:rPr>
        <w:t xml:space="preserve">assume approaches centering on </w:t>
      </w:r>
      <w:r w:rsidR="003236D6" w:rsidRPr="004F09A0">
        <w:rPr>
          <w:rFonts w:ascii="Times New Roman" w:hAnsi="Times New Roman" w:cs="Times New Roman"/>
          <w:sz w:val="24"/>
          <w:szCs w:val="24"/>
        </w:rPr>
        <w:t xml:space="preserve">particular conditions and diseases, rather than managing social determinants. </w:t>
      </w:r>
      <w:r w:rsidR="00AC4921" w:rsidRPr="004F09A0">
        <w:rPr>
          <w:rFonts w:ascii="Times New Roman" w:hAnsi="Times New Roman" w:cs="Times New Roman"/>
          <w:sz w:val="24"/>
          <w:szCs w:val="24"/>
        </w:rPr>
        <w:t xml:space="preserve">This disintegration disregards sustainability (Kickbusch &amp; Liu, 2022). </w:t>
      </w:r>
      <w:r w:rsidR="00703A1D" w:rsidRPr="004F09A0">
        <w:rPr>
          <w:rFonts w:ascii="Times New Roman" w:hAnsi="Times New Roman" w:cs="Times New Roman"/>
          <w:sz w:val="24"/>
          <w:szCs w:val="24"/>
        </w:rPr>
        <w:t xml:space="preserve">As a result, the </w:t>
      </w:r>
      <w:r w:rsidR="00312BC8" w:rsidRPr="004F09A0">
        <w:rPr>
          <w:rFonts w:ascii="Times New Roman" w:hAnsi="Times New Roman" w:cs="Times New Roman"/>
          <w:sz w:val="24"/>
          <w:szCs w:val="24"/>
        </w:rPr>
        <w:t>global initiatives have realised desirable outcomes, b</w:t>
      </w:r>
      <w:r w:rsidR="00625293" w:rsidRPr="004F09A0">
        <w:rPr>
          <w:rFonts w:ascii="Times New Roman" w:hAnsi="Times New Roman" w:cs="Times New Roman"/>
          <w:sz w:val="24"/>
          <w:szCs w:val="24"/>
        </w:rPr>
        <w:t>ut there is unevenness due to inequalities.</w:t>
      </w:r>
    </w:p>
    <w:p w14:paraId="2E75E52B" w14:textId="77777777" w:rsidR="00625293" w:rsidRPr="004F09A0" w:rsidRDefault="00625293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Nationally, initiatives in the UK </w:t>
      </w:r>
      <w:r w:rsidR="0063364E" w:rsidRPr="004F09A0">
        <w:rPr>
          <w:rFonts w:ascii="Times New Roman" w:hAnsi="Times New Roman" w:cs="Times New Roman"/>
          <w:sz w:val="24"/>
          <w:szCs w:val="24"/>
        </w:rPr>
        <w:t xml:space="preserve">demonstrate additional complexities </w:t>
      </w:r>
      <w:r w:rsidR="003923DF" w:rsidRPr="004F09A0">
        <w:rPr>
          <w:rFonts w:ascii="Times New Roman" w:hAnsi="Times New Roman" w:cs="Times New Roman"/>
          <w:sz w:val="24"/>
          <w:szCs w:val="24"/>
        </w:rPr>
        <w:t xml:space="preserve">in adjusting the global initiatives into the nation’s context. </w:t>
      </w:r>
      <w:r w:rsidR="00473A01" w:rsidRPr="004F09A0">
        <w:rPr>
          <w:rFonts w:ascii="Times New Roman" w:hAnsi="Times New Roman" w:cs="Times New Roman"/>
          <w:sz w:val="24"/>
          <w:szCs w:val="24"/>
        </w:rPr>
        <w:t xml:space="preserve">The National Health Service (NHS) plays a crucial role in developing and supporting initiatives to achieve the SDG3. </w:t>
      </w:r>
      <w:r w:rsidR="00826117" w:rsidRPr="004F09A0">
        <w:rPr>
          <w:rFonts w:ascii="Times New Roman" w:hAnsi="Times New Roman" w:cs="Times New Roman"/>
          <w:sz w:val="24"/>
          <w:szCs w:val="24"/>
        </w:rPr>
        <w:t xml:space="preserve">For instance, health interventions including management of obesity, addressing smoking, and </w:t>
      </w:r>
      <w:r w:rsidR="004B7C59" w:rsidRPr="004F09A0">
        <w:rPr>
          <w:rFonts w:ascii="Times New Roman" w:hAnsi="Times New Roman" w:cs="Times New Roman"/>
          <w:sz w:val="24"/>
          <w:szCs w:val="24"/>
        </w:rPr>
        <w:t xml:space="preserve">mental health care have led to indicators that SDG3 is increasingly being realised in the country. </w:t>
      </w:r>
      <w:r w:rsidR="00A900C1" w:rsidRPr="004F09A0">
        <w:rPr>
          <w:rFonts w:ascii="Times New Roman" w:hAnsi="Times New Roman" w:cs="Times New Roman"/>
          <w:sz w:val="24"/>
          <w:szCs w:val="24"/>
        </w:rPr>
        <w:t xml:space="preserve">On the other hand, Marmot (2020) identifies substantial inequalities, more specifically relating to </w:t>
      </w:r>
      <w:r w:rsidR="00184B5D" w:rsidRPr="004F09A0">
        <w:rPr>
          <w:rFonts w:ascii="Times New Roman" w:hAnsi="Times New Roman" w:cs="Times New Roman"/>
          <w:sz w:val="24"/>
          <w:szCs w:val="24"/>
        </w:rPr>
        <w:t>high deprived</w:t>
      </w:r>
      <w:r w:rsidR="00EA6355" w:rsidRPr="004F09A0">
        <w:rPr>
          <w:rFonts w:ascii="Times New Roman" w:hAnsi="Times New Roman" w:cs="Times New Roman"/>
          <w:sz w:val="24"/>
          <w:szCs w:val="24"/>
        </w:rPr>
        <w:t xml:space="preserve"> populations. Accordingly, it approves that </w:t>
      </w:r>
      <w:r w:rsidR="00373033" w:rsidRPr="004F09A0">
        <w:rPr>
          <w:rFonts w:ascii="Times New Roman" w:hAnsi="Times New Roman" w:cs="Times New Roman"/>
          <w:sz w:val="24"/>
          <w:szCs w:val="24"/>
        </w:rPr>
        <w:t xml:space="preserve">health provision cannot exclusively address disparities. Contrary, Squires et al. (2023) </w:t>
      </w:r>
      <w:r w:rsidR="004F5D91" w:rsidRPr="004F09A0">
        <w:rPr>
          <w:rFonts w:ascii="Times New Roman" w:hAnsi="Times New Roman" w:cs="Times New Roman"/>
          <w:sz w:val="24"/>
          <w:szCs w:val="24"/>
        </w:rPr>
        <w:t xml:space="preserve">realise the policy makers </w:t>
      </w:r>
      <w:r w:rsidR="00B46B07" w:rsidRPr="004F09A0">
        <w:rPr>
          <w:rFonts w:ascii="Times New Roman" w:hAnsi="Times New Roman" w:cs="Times New Roman"/>
          <w:sz w:val="24"/>
          <w:szCs w:val="24"/>
        </w:rPr>
        <w:t xml:space="preserve">in the country suggest behavioural approaches to health improvement, as they are more cost </w:t>
      </w:r>
      <w:r w:rsidR="0086431D" w:rsidRPr="004F09A0">
        <w:rPr>
          <w:rFonts w:ascii="Times New Roman" w:hAnsi="Times New Roman" w:cs="Times New Roman"/>
          <w:sz w:val="24"/>
          <w:szCs w:val="24"/>
        </w:rPr>
        <w:t xml:space="preserve">effective since they reduce the need for primary and palliative </w:t>
      </w:r>
      <w:r w:rsidR="00063E32" w:rsidRPr="004F09A0">
        <w:rPr>
          <w:rFonts w:ascii="Times New Roman" w:hAnsi="Times New Roman" w:cs="Times New Roman"/>
          <w:sz w:val="24"/>
          <w:szCs w:val="24"/>
        </w:rPr>
        <w:t xml:space="preserve">care, and disregarding national determinants of health. </w:t>
      </w:r>
      <w:r w:rsidR="009E3565" w:rsidRPr="004F09A0">
        <w:rPr>
          <w:rFonts w:ascii="Times New Roman" w:hAnsi="Times New Roman" w:cs="Times New Roman"/>
          <w:sz w:val="24"/>
          <w:szCs w:val="24"/>
        </w:rPr>
        <w:t xml:space="preserve">Accordingly, national implementation of SDG3 demonstrates effectiveness and areas for improvement </w:t>
      </w:r>
      <w:r w:rsidR="00620D17" w:rsidRPr="004F09A0">
        <w:rPr>
          <w:rFonts w:ascii="Times New Roman" w:hAnsi="Times New Roman" w:cs="Times New Roman"/>
          <w:sz w:val="24"/>
          <w:szCs w:val="24"/>
        </w:rPr>
        <w:t>within the NHS.</w:t>
      </w:r>
    </w:p>
    <w:p w14:paraId="7BE56142" w14:textId="77777777" w:rsidR="00620D17" w:rsidRPr="004F09A0" w:rsidRDefault="003A5368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Locally, SDG3 differs across </w:t>
      </w:r>
      <w:r w:rsidR="00DE70DE" w:rsidRPr="004F09A0">
        <w:rPr>
          <w:rFonts w:ascii="Times New Roman" w:hAnsi="Times New Roman" w:cs="Times New Roman"/>
          <w:sz w:val="24"/>
          <w:szCs w:val="24"/>
        </w:rPr>
        <w:t xml:space="preserve">boroughs and </w:t>
      </w:r>
      <w:r w:rsidR="0095484F" w:rsidRPr="004F09A0">
        <w:rPr>
          <w:rFonts w:ascii="Times New Roman" w:hAnsi="Times New Roman" w:cs="Times New Roman"/>
          <w:sz w:val="24"/>
          <w:szCs w:val="24"/>
        </w:rPr>
        <w:t>regions, hence implying they are specific to the respective context</w:t>
      </w:r>
      <w:r w:rsidR="005E3CCE" w:rsidRPr="004F09A0">
        <w:rPr>
          <w:rFonts w:ascii="Times New Roman" w:hAnsi="Times New Roman" w:cs="Times New Roman"/>
          <w:sz w:val="24"/>
          <w:szCs w:val="24"/>
        </w:rPr>
        <w:t>s. Local authorities design programmes for specific issues fa</w:t>
      </w:r>
      <w:r w:rsidR="00077217" w:rsidRPr="004F09A0">
        <w:rPr>
          <w:rFonts w:ascii="Times New Roman" w:hAnsi="Times New Roman" w:cs="Times New Roman"/>
          <w:sz w:val="24"/>
          <w:szCs w:val="24"/>
        </w:rPr>
        <w:t xml:space="preserve">cing them, making the policies more personalised to their needs. Stover, Avadhanula, and Sood (2024) </w:t>
      </w:r>
      <w:r w:rsidR="009C5313" w:rsidRPr="004F09A0">
        <w:rPr>
          <w:rFonts w:ascii="Times New Roman" w:hAnsi="Times New Roman" w:cs="Times New Roman"/>
          <w:sz w:val="24"/>
          <w:szCs w:val="24"/>
        </w:rPr>
        <w:t xml:space="preserve">recommend this personalisation as it helps in effective resource utility. </w:t>
      </w:r>
      <w:r w:rsidR="0007114B" w:rsidRPr="004F09A0">
        <w:rPr>
          <w:rFonts w:ascii="Times New Roman" w:hAnsi="Times New Roman" w:cs="Times New Roman"/>
          <w:sz w:val="24"/>
          <w:szCs w:val="24"/>
        </w:rPr>
        <w:t xml:space="preserve">It also promotes engagement with service users. On the other hand, Gatome-Munyua et al. (2025) </w:t>
      </w:r>
      <w:r w:rsidR="0067129E" w:rsidRPr="004F09A0">
        <w:rPr>
          <w:rFonts w:ascii="Times New Roman" w:hAnsi="Times New Roman" w:cs="Times New Roman"/>
          <w:sz w:val="24"/>
          <w:szCs w:val="24"/>
        </w:rPr>
        <w:t xml:space="preserve">contrast that the initiatives could be limited by inadequate resources and disrupted governance. </w:t>
      </w:r>
      <w:r w:rsidR="00E311CC" w:rsidRPr="004F09A0">
        <w:rPr>
          <w:rFonts w:ascii="Times New Roman" w:hAnsi="Times New Roman" w:cs="Times New Roman"/>
          <w:sz w:val="24"/>
          <w:szCs w:val="24"/>
        </w:rPr>
        <w:t xml:space="preserve">Accordingly, it challenges Stover, Avadhanula, and Sood’s (2024) </w:t>
      </w:r>
      <w:r w:rsidR="002B1FAA" w:rsidRPr="004F09A0">
        <w:rPr>
          <w:rFonts w:ascii="Times New Roman" w:hAnsi="Times New Roman" w:cs="Times New Roman"/>
          <w:sz w:val="24"/>
          <w:szCs w:val="24"/>
        </w:rPr>
        <w:t xml:space="preserve">assertion of community empowerment encouraging engagement for health improvement. </w:t>
      </w:r>
      <w:r w:rsidR="0011039D" w:rsidRPr="004F09A0">
        <w:rPr>
          <w:rFonts w:ascii="Times New Roman" w:hAnsi="Times New Roman" w:cs="Times New Roman"/>
          <w:sz w:val="24"/>
          <w:szCs w:val="24"/>
        </w:rPr>
        <w:t>It then necessitates multi-level governance for the SDG to be effectively achieved.</w:t>
      </w:r>
    </w:p>
    <w:p w14:paraId="29D11B7C" w14:textId="77777777" w:rsidR="0011039D" w:rsidRPr="004F09A0" w:rsidRDefault="00BA690A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>The health belief model is one of the frameworks</w:t>
      </w:r>
      <w:r w:rsidR="00535C8B" w:rsidRPr="004F09A0">
        <w:rPr>
          <w:rFonts w:ascii="Times New Roman" w:hAnsi="Times New Roman" w:cs="Times New Roman"/>
          <w:sz w:val="24"/>
          <w:szCs w:val="24"/>
        </w:rPr>
        <w:t xml:space="preserve"> that guide health campaigns that support the implementation of SDG3 implementation. Alyafei and Easton-Carr (2024) assert that the model highlights the </w:t>
      </w:r>
      <w:r w:rsidR="009E5B15" w:rsidRPr="004F09A0">
        <w:rPr>
          <w:rFonts w:ascii="Times New Roman" w:hAnsi="Times New Roman" w:cs="Times New Roman"/>
          <w:sz w:val="24"/>
          <w:szCs w:val="24"/>
        </w:rPr>
        <w:t>individual approach to health improvement</w:t>
      </w:r>
      <w:r w:rsidR="0046326B" w:rsidRPr="004F09A0">
        <w:rPr>
          <w:rFonts w:ascii="Times New Roman" w:hAnsi="Times New Roman" w:cs="Times New Roman"/>
          <w:sz w:val="24"/>
          <w:szCs w:val="24"/>
        </w:rPr>
        <w:t xml:space="preserve"> by behaviour change, which eventually contributes to overall community </w:t>
      </w:r>
      <w:r w:rsidR="00362E54" w:rsidRPr="004F09A0">
        <w:rPr>
          <w:rFonts w:ascii="Times New Roman" w:hAnsi="Times New Roman" w:cs="Times New Roman"/>
          <w:sz w:val="24"/>
          <w:szCs w:val="24"/>
        </w:rPr>
        <w:t xml:space="preserve">health. However, </w:t>
      </w:r>
      <w:r w:rsidR="00EC2B8B" w:rsidRPr="004F09A0">
        <w:rPr>
          <w:rFonts w:ascii="Times New Roman" w:hAnsi="Times New Roman" w:cs="Times New Roman"/>
          <w:sz w:val="24"/>
          <w:szCs w:val="24"/>
        </w:rPr>
        <w:t>model disregards structural challenges including inequalities</w:t>
      </w:r>
      <w:r w:rsidR="00712DFF" w:rsidRPr="004F09A0">
        <w:rPr>
          <w:rFonts w:ascii="Times New Roman" w:hAnsi="Times New Roman" w:cs="Times New Roman"/>
          <w:sz w:val="24"/>
          <w:szCs w:val="24"/>
        </w:rPr>
        <w:t>. Another theory</w:t>
      </w:r>
      <w:r w:rsidR="00D8375C" w:rsidRPr="004F09A0">
        <w:rPr>
          <w:rFonts w:ascii="Times New Roman" w:hAnsi="Times New Roman" w:cs="Times New Roman"/>
          <w:sz w:val="24"/>
          <w:szCs w:val="24"/>
        </w:rPr>
        <w:t>,</w:t>
      </w:r>
      <w:r w:rsidR="00712DFF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D8375C" w:rsidRPr="004F09A0">
        <w:rPr>
          <w:rFonts w:ascii="Times New Roman" w:hAnsi="Times New Roman" w:cs="Times New Roman"/>
          <w:sz w:val="24"/>
          <w:szCs w:val="24"/>
        </w:rPr>
        <w:t>as described by Islam et al. (2023)</w:t>
      </w:r>
      <w:r w:rsidR="006D7A8D" w:rsidRPr="004F09A0">
        <w:rPr>
          <w:rFonts w:ascii="Times New Roman" w:hAnsi="Times New Roman" w:cs="Times New Roman"/>
          <w:sz w:val="24"/>
          <w:szCs w:val="24"/>
        </w:rPr>
        <w:t>,</w:t>
      </w:r>
      <w:r w:rsidR="00D8375C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6D7A8D" w:rsidRPr="004F09A0">
        <w:rPr>
          <w:rFonts w:ascii="Times New Roman" w:hAnsi="Times New Roman" w:cs="Times New Roman"/>
          <w:sz w:val="24"/>
          <w:szCs w:val="24"/>
        </w:rPr>
        <w:t xml:space="preserve">is the social cognitive theory that </w:t>
      </w:r>
      <w:r w:rsidR="00106F65" w:rsidRPr="004F09A0">
        <w:rPr>
          <w:rFonts w:ascii="Times New Roman" w:hAnsi="Times New Roman" w:cs="Times New Roman"/>
          <w:sz w:val="24"/>
          <w:szCs w:val="24"/>
        </w:rPr>
        <w:t xml:space="preserve">explains the relation between an individual’s conduct and environmental factors, which is a more holistic approach. It also </w:t>
      </w:r>
      <w:r w:rsidR="009B2245" w:rsidRPr="004F09A0">
        <w:rPr>
          <w:rFonts w:ascii="Times New Roman" w:hAnsi="Times New Roman" w:cs="Times New Roman"/>
          <w:sz w:val="24"/>
          <w:szCs w:val="24"/>
        </w:rPr>
        <w:t xml:space="preserve">addresses the social factors including living conditions, social interaction, and level of income. </w:t>
      </w:r>
      <w:r w:rsidR="001A2F82" w:rsidRPr="004F09A0">
        <w:rPr>
          <w:rFonts w:ascii="Times New Roman" w:hAnsi="Times New Roman" w:cs="Times New Roman"/>
          <w:sz w:val="24"/>
          <w:szCs w:val="24"/>
        </w:rPr>
        <w:t>Therefore, the integration of both models can be critical in effecting SDG3.</w:t>
      </w:r>
    </w:p>
    <w:p w14:paraId="56183D49" w14:textId="77777777" w:rsidR="001A2F82" w:rsidRPr="004F09A0" w:rsidRDefault="00DC61E0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It is hereby recommended that for the implementation of SDG3 should </w:t>
      </w:r>
      <w:r w:rsidR="005135F3" w:rsidRPr="004F09A0">
        <w:rPr>
          <w:rFonts w:ascii="Times New Roman" w:hAnsi="Times New Roman" w:cs="Times New Roman"/>
          <w:sz w:val="24"/>
          <w:szCs w:val="24"/>
        </w:rPr>
        <w:t xml:space="preserve">involve policymakers to consider integrated approaches relating to health policy with </w:t>
      </w:r>
      <w:r w:rsidR="000D42B5" w:rsidRPr="004F09A0">
        <w:rPr>
          <w:rFonts w:ascii="Times New Roman" w:hAnsi="Times New Roman" w:cs="Times New Roman"/>
          <w:sz w:val="24"/>
          <w:szCs w:val="24"/>
        </w:rPr>
        <w:t xml:space="preserve">socio-economic factors including income, education, and housing (Fernandez, 2019). </w:t>
      </w:r>
      <w:r w:rsidR="001C19E2" w:rsidRPr="004F09A0">
        <w:rPr>
          <w:rFonts w:ascii="Times New Roman" w:hAnsi="Times New Roman" w:cs="Times New Roman"/>
          <w:sz w:val="24"/>
          <w:szCs w:val="24"/>
        </w:rPr>
        <w:t xml:space="preserve">It shows that managing social determinants </w:t>
      </w:r>
      <w:r w:rsidR="00FE1043" w:rsidRPr="004F09A0">
        <w:rPr>
          <w:rFonts w:ascii="Times New Roman" w:hAnsi="Times New Roman" w:cs="Times New Roman"/>
          <w:sz w:val="24"/>
          <w:szCs w:val="24"/>
        </w:rPr>
        <w:t xml:space="preserve">results into long-term sustainability, as compared to isolated short-term interventions. </w:t>
      </w:r>
      <w:r w:rsidR="0087588F" w:rsidRPr="004F09A0">
        <w:rPr>
          <w:rFonts w:ascii="Times New Roman" w:hAnsi="Times New Roman" w:cs="Times New Roman"/>
          <w:sz w:val="24"/>
          <w:szCs w:val="24"/>
        </w:rPr>
        <w:t>In addition, Stevenson et al. (2021) suggest to various levels of governments to</w:t>
      </w:r>
      <w:r w:rsidR="006F25BC" w:rsidRPr="004F09A0">
        <w:rPr>
          <w:rFonts w:ascii="Times New Roman" w:hAnsi="Times New Roman" w:cs="Times New Roman"/>
          <w:sz w:val="24"/>
          <w:szCs w:val="24"/>
        </w:rPr>
        <w:t xml:space="preserve"> increase funding to address resource scarcity. Further, digital integration involving engaging intensive data systems would help provide an insight into </w:t>
      </w:r>
      <w:r w:rsidR="004D2070" w:rsidRPr="004F09A0">
        <w:rPr>
          <w:rFonts w:ascii="Times New Roman" w:hAnsi="Times New Roman" w:cs="Times New Roman"/>
          <w:sz w:val="24"/>
          <w:szCs w:val="24"/>
        </w:rPr>
        <w:t xml:space="preserve">inequalities. Besides, the global governance </w:t>
      </w:r>
      <w:r w:rsidR="005D36BE" w:rsidRPr="004F09A0">
        <w:rPr>
          <w:rFonts w:ascii="Times New Roman" w:hAnsi="Times New Roman" w:cs="Times New Roman"/>
          <w:sz w:val="24"/>
          <w:szCs w:val="24"/>
        </w:rPr>
        <w:t xml:space="preserve">can contribute by facilitating equitable distribution. </w:t>
      </w:r>
      <w:r w:rsidR="00500586" w:rsidRPr="004F09A0">
        <w:rPr>
          <w:rFonts w:ascii="Times New Roman" w:hAnsi="Times New Roman" w:cs="Times New Roman"/>
          <w:sz w:val="24"/>
          <w:szCs w:val="24"/>
        </w:rPr>
        <w:t>It implies an integrated approach for improved SDG3 outcomes.</w:t>
      </w:r>
    </w:p>
    <w:p w14:paraId="7AF4002B" w14:textId="77777777" w:rsidR="00500586" w:rsidRPr="004F09A0" w:rsidRDefault="00500586" w:rsidP="00652EC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F09A0">
        <w:rPr>
          <w:rFonts w:ascii="Times New Roman" w:hAnsi="Times New Roman" w:cs="Times New Roman"/>
          <w:b/>
          <w:sz w:val="24"/>
          <w:szCs w:val="24"/>
        </w:rPr>
        <w:t>SDG10:</w:t>
      </w:r>
      <w:r w:rsidR="005F7338" w:rsidRPr="004F09A0">
        <w:rPr>
          <w:rFonts w:ascii="Times New Roman" w:hAnsi="Times New Roman" w:cs="Times New Roman"/>
          <w:b/>
          <w:sz w:val="24"/>
          <w:szCs w:val="24"/>
        </w:rPr>
        <w:t xml:space="preserve"> Reduced Inequalities</w:t>
      </w:r>
    </w:p>
    <w:p w14:paraId="7DB76BFA" w14:textId="77777777" w:rsidR="00500586" w:rsidRPr="004F09A0" w:rsidRDefault="00A237C4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The goal is aimed at addressing inequalities within countries, populations, and groups in relation to factors such as income generation, living standards, </w:t>
      </w:r>
      <w:r w:rsidR="00CA7B40" w:rsidRPr="004F09A0">
        <w:rPr>
          <w:rFonts w:ascii="Times New Roman" w:hAnsi="Times New Roman" w:cs="Times New Roman"/>
          <w:sz w:val="24"/>
          <w:szCs w:val="24"/>
        </w:rPr>
        <w:t>access to healthcare</w:t>
      </w:r>
      <w:r w:rsidR="00A90C95" w:rsidRPr="004F09A0">
        <w:rPr>
          <w:rFonts w:ascii="Times New Roman" w:hAnsi="Times New Roman" w:cs="Times New Roman"/>
          <w:sz w:val="24"/>
          <w:szCs w:val="24"/>
        </w:rPr>
        <w:t xml:space="preserve"> and associated resources care homes</w:t>
      </w:r>
      <w:r w:rsidR="00CA7B40" w:rsidRPr="004F09A0">
        <w:rPr>
          <w:rFonts w:ascii="Times New Roman" w:hAnsi="Times New Roman" w:cs="Times New Roman"/>
          <w:sz w:val="24"/>
          <w:szCs w:val="24"/>
        </w:rPr>
        <w:t xml:space="preserve">, education, and social inclusion (UNDP, 2025). </w:t>
      </w:r>
      <w:r w:rsidR="00A90C95" w:rsidRPr="004F09A0">
        <w:rPr>
          <w:rFonts w:ascii="Times New Roman" w:hAnsi="Times New Roman" w:cs="Times New Roman"/>
          <w:sz w:val="24"/>
          <w:szCs w:val="24"/>
        </w:rPr>
        <w:t>SDG10, th</w:t>
      </w:r>
      <w:r w:rsidR="003B77CC" w:rsidRPr="004F09A0">
        <w:rPr>
          <w:rFonts w:ascii="Times New Roman" w:hAnsi="Times New Roman" w:cs="Times New Roman"/>
          <w:sz w:val="24"/>
          <w:szCs w:val="24"/>
        </w:rPr>
        <w:t>erefore, advocates for equality and equity. While it is contestable whether inequality is the main cause of disparity, Wilkinson and Pickett (2021)</w:t>
      </w:r>
      <w:r w:rsidR="00DF3253" w:rsidRPr="004F09A0">
        <w:rPr>
          <w:rFonts w:ascii="Times New Roman" w:hAnsi="Times New Roman" w:cs="Times New Roman"/>
          <w:sz w:val="24"/>
          <w:szCs w:val="24"/>
        </w:rPr>
        <w:t xml:space="preserve"> identify that groups from highly deprived areas are more likely to experience undesirable health outcomes</w:t>
      </w:r>
      <w:r w:rsidR="0084676E" w:rsidRPr="004F09A0">
        <w:rPr>
          <w:rFonts w:ascii="Times New Roman" w:hAnsi="Times New Roman" w:cs="Times New Roman"/>
          <w:sz w:val="24"/>
          <w:szCs w:val="24"/>
        </w:rPr>
        <w:t xml:space="preserve"> as compared to other groups</w:t>
      </w:r>
      <w:r w:rsidR="00654C8A" w:rsidRPr="004F09A0">
        <w:rPr>
          <w:rFonts w:ascii="Times New Roman" w:hAnsi="Times New Roman" w:cs="Times New Roman"/>
          <w:sz w:val="24"/>
          <w:szCs w:val="24"/>
        </w:rPr>
        <w:t>, and not merely the adversely disadvantaged</w:t>
      </w:r>
      <w:r w:rsidR="0084676E" w:rsidRPr="004F09A0">
        <w:rPr>
          <w:rFonts w:ascii="Times New Roman" w:hAnsi="Times New Roman" w:cs="Times New Roman"/>
          <w:sz w:val="24"/>
          <w:szCs w:val="24"/>
        </w:rPr>
        <w:t xml:space="preserve">. However, they also argue that by ensuring more income generation and </w:t>
      </w:r>
      <w:r w:rsidR="00415CC3" w:rsidRPr="004F09A0">
        <w:rPr>
          <w:rFonts w:ascii="Times New Roman" w:hAnsi="Times New Roman" w:cs="Times New Roman"/>
          <w:sz w:val="24"/>
          <w:szCs w:val="24"/>
        </w:rPr>
        <w:t xml:space="preserve">better standards of living, inequality can significantly be reduced. This disconnect provides a contention on </w:t>
      </w:r>
      <w:r w:rsidR="006D4C74" w:rsidRPr="004F09A0">
        <w:rPr>
          <w:rFonts w:ascii="Times New Roman" w:hAnsi="Times New Roman" w:cs="Times New Roman"/>
          <w:sz w:val="24"/>
          <w:szCs w:val="24"/>
        </w:rPr>
        <w:t xml:space="preserve">the correlation between distribution of resources </w:t>
      </w:r>
      <w:r w:rsidR="00654C8A" w:rsidRPr="004F09A0">
        <w:rPr>
          <w:rFonts w:ascii="Times New Roman" w:hAnsi="Times New Roman" w:cs="Times New Roman"/>
          <w:sz w:val="24"/>
          <w:szCs w:val="24"/>
        </w:rPr>
        <w:t>an</w:t>
      </w:r>
      <w:r w:rsidR="00580C49" w:rsidRPr="004F09A0">
        <w:rPr>
          <w:rFonts w:ascii="Times New Roman" w:hAnsi="Times New Roman" w:cs="Times New Roman"/>
          <w:sz w:val="24"/>
          <w:szCs w:val="24"/>
        </w:rPr>
        <w:t>d improvement of wellbeing. Addi</w:t>
      </w:r>
      <w:r w:rsidR="00D033A6" w:rsidRPr="004F09A0">
        <w:rPr>
          <w:rFonts w:ascii="Times New Roman" w:hAnsi="Times New Roman" w:cs="Times New Roman"/>
          <w:sz w:val="24"/>
          <w:szCs w:val="24"/>
        </w:rPr>
        <w:t xml:space="preserve">tionally, the goal is based on the assumption that interventions are subject to restructuring </w:t>
      </w:r>
      <w:r w:rsidR="004B3E94" w:rsidRPr="004F09A0">
        <w:rPr>
          <w:rFonts w:ascii="Times New Roman" w:hAnsi="Times New Roman" w:cs="Times New Roman"/>
          <w:sz w:val="24"/>
          <w:szCs w:val="24"/>
        </w:rPr>
        <w:t xml:space="preserve">economic structures, which present practical challenges. Accordingly as SDG10 proposes to </w:t>
      </w:r>
      <w:r w:rsidR="002A189F" w:rsidRPr="004F09A0">
        <w:rPr>
          <w:rFonts w:ascii="Times New Roman" w:hAnsi="Times New Roman" w:cs="Times New Roman"/>
          <w:sz w:val="24"/>
          <w:szCs w:val="24"/>
        </w:rPr>
        <w:t>address determinants of health, it could require structural change to achieve.</w:t>
      </w:r>
    </w:p>
    <w:p w14:paraId="00B6477E" w14:textId="77777777" w:rsidR="002A189F" w:rsidRPr="004F09A0" w:rsidRDefault="00CF0EC6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Niekerk (2020) identifies </w:t>
      </w:r>
      <w:r w:rsidR="00201EEA" w:rsidRPr="004F09A0">
        <w:rPr>
          <w:rFonts w:ascii="Times New Roman" w:hAnsi="Times New Roman" w:cs="Times New Roman"/>
          <w:sz w:val="24"/>
          <w:szCs w:val="24"/>
        </w:rPr>
        <w:t xml:space="preserve">that global initiatives are progressive but still faced by limitations. </w:t>
      </w:r>
      <w:r w:rsidR="00690165" w:rsidRPr="004F09A0">
        <w:rPr>
          <w:rFonts w:ascii="Times New Roman" w:hAnsi="Times New Roman" w:cs="Times New Roman"/>
          <w:sz w:val="24"/>
          <w:szCs w:val="24"/>
        </w:rPr>
        <w:t xml:space="preserve">The initiatives include facilitating policies including </w:t>
      </w:r>
      <w:r w:rsidR="00691162" w:rsidRPr="004F09A0">
        <w:rPr>
          <w:rFonts w:ascii="Times New Roman" w:hAnsi="Times New Roman" w:cs="Times New Roman"/>
          <w:sz w:val="24"/>
          <w:szCs w:val="24"/>
        </w:rPr>
        <w:t xml:space="preserve">social protection and inclusion. Yoshino et al. (2023) for instance indicates how welfare policies and cash transfer programmes have </w:t>
      </w:r>
      <w:r w:rsidR="00F243FF" w:rsidRPr="004F09A0">
        <w:rPr>
          <w:rFonts w:ascii="Times New Roman" w:hAnsi="Times New Roman" w:cs="Times New Roman"/>
          <w:sz w:val="24"/>
          <w:szCs w:val="24"/>
        </w:rPr>
        <w:t xml:space="preserve">so far contributed to improved outcomes and enhance access to healthcare services. On the other hand, Piketty (2021) identifies </w:t>
      </w:r>
      <w:r w:rsidR="00D7058E" w:rsidRPr="004F09A0">
        <w:rPr>
          <w:rFonts w:ascii="Times New Roman" w:hAnsi="Times New Roman" w:cs="Times New Roman"/>
          <w:sz w:val="24"/>
          <w:szCs w:val="24"/>
        </w:rPr>
        <w:t>how global wealth gap is increasing, implying that contemporary policies do not sufficiently manage systematic</w:t>
      </w:r>
      <w:r w:rsidR="00F64A34" w:rsidRPr="004F09A0">
        <w:rPr>
          <w:rFonts w:ascii="Times New Roman" w:hAnsi="Times New Roman" w:cs="Times New Roman"/>
          <w:sz w:val="24"/>
          <w:szCs w:val="24"/>
        </w:rPr>
        <w:t>ally influenced</w:t>
      </w:r>
      <w:r w:rsidR="00D7058E" w:rsidRPr="004F09A0">
        <w:rPr>
          <w:rFonts w:ascii="Times New Roman" w:hAnsi="Times New Roman" w:cs="Times New Roman"/>
          <w:sz w:val="24"/>
          <w:szCs w:val="24"/>
        </w:rPr>
        <w:t xml:space="preserve"> </w:t>
      </w:r>
      <w:r w:rsidR="00F64A34" w:rsidRPr="004F09A0">
        <w:rPr>
          <w:rFonts w:ascii="Times New Roman" w:hAnsi="Times New Roman" w:cs="Times New Roman"/>
          <w:sz w:val="24"/>
          <w:szCs w:val="24"/>
        </w:rPr>
        <w:t xml:space="preserve">inequalities. </w:t>
      </w:r>
      <w:r w:rsidR="00244EE6" w:rsidRPr="004F09A0">
        <w:rPr>
          <w:rFonts w:ascii="Times New Roman" w:hAnsi="Times New Roman" w:cs="Times New Roman"/>
          <w:sz w:val="24"/>
          <w:szCs w:val="24"/>
        </w:rPr>
        <w:t xml:space="preserve">This contradicts the optimistic approaches </w:t>
      </w:r>
      <w:r w:rsidR="0054674E" w:rsidRPr="004F09A0">
        <w:rPr>
          <w:rFonts w:ascii="Times New Roman" w:hAnsi="Times New Roman" w:cs="Times New Roman"/>
          <w:sz w:val="24"/>
          <w:szCs w:val="24"/>
        </w:rPr>
        <w:t>recognising a decrease in extreme poverty</w:t>
      </w:r>
      <w:r w:rsidR="00AD607B" w:rsidRPr="004F09A0">
        <w:rPr>
          <w:rFonts w:ascii="Times New Roman" w:hAnsi="Times New Roman" w:cs="Times New Roman"/>
          <w:sz w:val="24"/>
          <w:szCs w:val="24"/>
        </w:rPr>
        <w:t xml:space="preserve"> (Wade, 2020)</w:t>
      </w:r>
      <w:r w:rsidR="0054674E" w:rsidRPr="004F09A0">
        <w:rPr>
          <w:rFonts w:ascii="Times New Roman" w:hAnsi="Times New Roman" w:cs="Times New Roman"/>
          <w:sz w:val="24"/>
          <w:szCs w:val="24"/>
        </w:rPr>
        <w:t xml:space="preserve">. </w:t>
      </w:r>
      <w:r w:rsidR="00331B1E" w:rsidRPr="004F09A0">
        <w:rPr>
          <w:rFonts w:ascii="Times New Roman" w:hAnsi="Times New Roman" w:cs="Times New Roman"/>
          <w:sz w:val="24"/>
          <w:szCs w:val="24"/>
        </w:rPr>
        <w:t xml:space="preserve">Further, the initiatives are not adequately enforced due to lack of sufficient mechanism, thereby implementation relying on </w:t>
      </w:r>
      <w:r w:rsidR="00111F09" w:rsidRPr="004F09A0">
        <w:rPr>
          <w:rFonts w:ascii="Times New Roman" w:hAnsi="Times New Roman" w:cs="Times New Roman"/>
          <w:sz w:val="24"/>
          <w:szCs w:val="24"/>
        </w:rPr>
        <w:t xml:space="preserve">voluntary contribution from respective countries. </w:t>
      </w:r>
      <w:r w:rsidR="008C7677" w:rsidRPr="004F09A0">
        <w:rPr>
          <w:rFonts w:ascii="Times New Roman" w:hAnsi="Times New Roman" w:cs="Times New Roman"/>
          <w:sz w:val="24"/>
          <w:szCs w:val="24"/>
        </w:rPr>
        <w:t>According</w:t>
      </w:r>
      <w:r w:rsidR="00F364A1" w:rsidRPr="004F09A0">
        <w:rPr>
          <w:rFonts w:ascii="Times New Roman" w:hAnsi="Times New Roman" w:cs="Times New Roman"/>
          <w:sz w:val="24"/>
          <w:szCs w:val="24"/>
        </w:rPr>
        <w:t>ly, SDG10 impacts are currently limited to economic systems.</w:t>
      </w:r>
    </w:p>
    <w:p w14:paraId="6BE14F03" w14:textId="77777777" w:rsidR="00F364A1" w:rsidRPr="004F09A0" w:rsidRDefault="008923BC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There are varying policy approaches </w:t>
      </w:r>
      <w:r w:rsidR="006C4885" w:rsidRPr="004F09A0">
        <w:rPr>
          <w:rFonts w:ascii="Times New Roman" w:hAnsi="Times New Roman" w:cs="Times New Roman"/>
          <w:sz w:val="24"/>
          <w:szCs w:val="24"/>
        </w:rPr>
        <w:t xml:space="preserve">and consequently the outcomes in the UK. As Mariotti (2019) identifies, </w:t>
      </w:r>
      <w:r w:rsidR="00F242D2" w:rsidRPr="004F09A0">
        <w:rPr>
          <w:rFonts w:ascii="Times New Roman" w:hAnsi="Times New Roman" w:cs="Times New Roman"/>
          <w:sz w:val="24"/>
          <w:szCs w:val="24"/>
        </w:rPr>
        <w:t xml:space="preserve">UK policies purposing to address inequality could be social welfare, progressive taxation, and </w:t>
      </w:r>
      <w:r w:rsidR="00156989" w:rsidRPr="004F09A0">
        <w:rPr>
          <w:rFonts w:ascii="Times New Roman" w:hAnsi="Times New Roman" w:cs="Times New Roman"/>
          <w:sz w:val="24"/>
          <w:szCs w:val="24"/>
        </w:rPr>
        <w:t>management of the minimum wage, which aim to enhance income generation. Dorli</w:t>
      </w:r>
      <w:r w:rsidR="002A42AA" w:rsidRPr="004F09A0">
        <w:rPr>
          <w:rFonts w:ascii="Times New Roman" w:hAnsi="Times New Roman" w:cs="Times New Roman"/>
          <w:sz w:val="24"/>
          <w:szCs w:val="24"/>
        </w:rPr>
        <w:t xml:space="preserve">g (2029) describes that however, these interventions fail to serve their purpose as inequality is intensely entrenched. </w:t>
      </w:r>
      <w:r w:rsidR="003A14FE" w:rsidRPr="004F09A0">
        <w:rPr>
          <w:rFonts w:ascii="Times New Roman" w:hAnsi="Times New Roman" w:cs="Times New Roman"/>
          <w:sz w:val="24"/>
          <w:szCs w:val="24"/>
        </w:rPr>
        <w:t xml:space="preserve">Further, the failure is also due to </w:t>
      </w:r>
      <w:r w:rsidR="00AB2FAC" w:rsidRPr="004F09A0">
        <w:rPr>
          <w:rFonts w:ascii="Times New Roman" w:hAnsi="Times New Roman" w:cs="Times New Roman"/>
          <w:sz w:val="24"/>
          <w:szCs w:val="24"/>
        </w:rPr>
        <w:t xml:space="preserve">the existing economic framework being unsupportive despite the </w:t>
      </w:r>
      <w:r w:rsidR="00AB52CE" w:rsidRPr="004F09A0">
        <w:rPr>
          <w:rFonts w:ascii="Times New Roman" w:hAnsi="Times New Roman" w:cs="Times New Roman"/>
          <w:sz w:val="24"/>
          <w:szCs w:val="24"/>
        </w:rPr>
        <w:t>incre</w:t>
      </w:r>
      <w:r w:rsidR="009D5501" w:rsidRPr="004F09A0">
        <w:rPr>
          <w:rFonts w:ascii="Times New Roman" w:hAnsi="Times New Roman" w:cs="Times New Roman"/>
          <w:sz w:val="24"/>
          <w:szCs w:val="24"/>
        </w:rPr>
        <w:t>mental policy adjustments. However, Naik et al. (2020)</w:t>
      </w:r>
      <w:r w:rsidR="000F06EE" w:rsidRPr="004F09A0">
        <w:rPr>
          <w:rFonts w:ascii="Times New Roman" w:hAnsi="Times New Roman" w:cs="Times New Roman"/>
          <w:sz w:val="24"/>
          <w:szCs w:val="24"/>
        </w:rPr>
        <w:t xml:space="preserve"> suggest that this can be</w:t>
      </w:r>
      <w:r w:rsidR="009D5501" w:rsidRPr="004F09A0">
        <w:rPr>
          <w:rFonts w:ascii="Times New Roman" w:hAnsi="Times New Roman" w:cs="Times New Roman"/>
          <w:sz w:val="24"/>
          <w:szCs w:val="24"/>
        </w:rPr>
        <w:t xml:space="preserve"> addressed through targeted interventions.</w:t>
      </w:r>
    </w:p>
    <w:p w14:paraId="3DA126AB" w14:textId="77777777" w:rsidR="009D5501" w:rsidRPr="004F09A0" w:rsidRDefault="00EC34E2" w:rsidP="00652EC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Similar to SDG3, SDG10 initiatives’ effectiveness depend on the respective community contexts. </w:t>
      </w:r>
      <w:r w:rsidR="000F06EE" w:rsidRPr="004F09A0">
        <w:rPr>
          <w:rFonts w:ascii="Times New Roman" w:hAnsi="Times New Roman" w:cs="Times New Roman"/>
          <w:sz w:val="24"/>
          <w:szCs w:val="24"/>
        </w:rPr>
        <w:t xml:space="preserve">Most programmes to address inequality are at the local level given the distinctive </w:t>
      </w:r>
      <w:r w:rsidR="00E35B47" w:rsidRPr="004F09A0">
        <w:rPr>
          <w:rFonts w:ascii="Times New Roman" w:hAnsi="Times New Roman" w:cs="Times New Roman"/>
          <w:sz w:val="24"/>
          <w:szCs w:val="24"/>
        </w:rPr>
        <w:t xml:space="preserve">traits of the local communities (Fox &amp; Macleod, 2021). Identifiably, targeted </w:t>
      </w:r>
      <w:r w:rsidR="002A59BA" w:rsidRPr="004F09A0">
        <w:rPr>
          <w:rFonts w:ascii="Times New Roman" w:hAnsi="Times New Roman" w:cs="Times New Roman"/>
          <w:sz w:val="24"/>
          <w:szCs w:val="24"/>
        </w:rPr>
        <w:t>interventions</w:t>
      </w:r>
      <w:r w:rsidR="00E35B47" w:rsidRPr="004F09A0">
        <w:rPr>
          <w:rFonts w:ascii="Times New Roman" w:hAnsi="Times New Roman" w:cs="Times New Roman"/>
          <w:sz w:val="24"/>
          <w:szCs w:val="24"/>
        </w:rPr>
        <w:t xml:space="preserve"> facilitate access to healthcare, res</w:t>
      </w:r>
      <w:r w:rsidR="002A59BA" w:rsidRPr="004F09A0">
        <w:rPr>
          <w:rFonts w:ascii="Times New Roman" w:hAnsi="Times New Roman" w:cs="Times New Roman"/>
          <w:sz w:val="24"/>
          <w:szCs w:val="24"/>
        </w:rPr>
        <w:t xml:space="preserve">ources, and services for the less-privileged populations. However, </w:t>
      </w:r>
      <w:r w:rsidR="000F5C48" w:rsidRPr="004F09A0">
        <w:rPr>
          <w:rFonts w:ascii="Times New Roman" w:hAnsi="Times New Roman" w:cs="Times New Roman"/>
          <w:sz w:val="24"/>
          <w:szCs w:val="24"/>
        </w:rPr>
        <w:t xml:space="preserve">Rodgers et al. (2025) identifies </w:t>
      </w:r>
      <w:r w:rsidR="002A59BA" w:rsidRPr="004F09A0">
        <w:rPr>
          <w:rFonts w:ascii="Times New Roman" w:hAnsi="Times New Roman" w:cs="Times New Roman"/>
          <w:sz w:val="24"/>
          <w:szCs w:val="24"/>
        </w:rPr>
        <w:t>fund</w:t>
      </w:r>
      <w:r w:rsidR="000F5C48" w:rsidRPr="004F09A0">
        <w:rPr>
          <w:rFonts w:ascii="Times New Roman" w:hAnsi="Times New Roman" w:cs="Times New Roman"/>
          <w:sz w:val="24"/>
          <w:szCs w:val="24"/>
        </w:rPr>
        <w:t xml:space="preserve">ing constraints as the major challenge. Additionally, inequality is greatly affected by </w:t>
      </w:r>
      <w:r w:rsidR="008F5A62" w:rsidRPr="004F09A0">
        <w:rPr>
          <w:rFonts w:ascii="Times New Roman" w:hAnsi="Times New Roman" w:cs="Times New Roman"/>
          <w:sz w:val="24"/>
          <w:szCs w:val="24"/>
        </w:rPr>
        <w:t xml:space="preserve">global and national frameworks, making it difficult to fully address them. Thereby, Gatome-Munyua et </w:t>
      </w:r>
      <w:r w:rsidR="00921B80" w:rsidRPr="004F09A0">
        <w:rPr>
          <w:rFonts w:ascii="Times New Roman" w:hAnsi="Times New Roman" w:cs="Times New Roman"/>
          <w:sz w:val="24"/>
          <w:szCs w:val="24"/>
        </w:rPr>
        <w:t xml:space="preserve">al. (2025) </w:t>
      </w:r>
      <w:r w:rsidR="002C0998" w:rsidRPr="004F09A0">
        <w:rPr>
          <w:rFonts w:ascii="Times New Roman" w:hAnsi="Times New Roman" w:cs="Times New Roman"/>
          <w:sz w:val="24"/>
          <w:szCs w:val="24"/>
        </w:rPr>
        <w:t>suggests integrated multi-level governance collaboration.</w:t>
      </w:r>
    </w:p>
    <w:p w14:paraId="6A5547CF" w14:textId="77777777" w:rsidR="002C0998" w:rsidRPr="004F09A0" w:rsidRDefault="00E50FE0" w:rsidP="00652EC2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F09A0">
        <w:rPr>
          <w:rFonts w:ascii="Times New Roman" w:hAnsi="Times New Roman" w:cs="Times New Roman"/>
          <w:sz w:val="24"/>
          <w:szCs w:val="24"/>
        </w:rPr>
        <w:t xml:space="preserve">Inequality and health can be analysed through theoretical frameworks. </w:t>
      </w:r>
      <w:r w:rsidR="00707970" w:rsidRPr="004F09A0">
        <w:rPr>
          <w:rFonts w:ascii="Times New Roman" w:hAnsi="Times New Roman" w:cs="Times New Roman"/>
          <w:sz w:val="24"/>
          <w:szCs w:val="24"/>
        </w:rPr>
        <w:t xml:space="preserve">They are all related to the social determinants of health, which all contribute to health statuses and outcomes. </w:t>
      </w:r>
      <w:r w:rsidR="00F750A7" w:rsidRPr="004F09A0">
        <w:rPr>
          <w:rFonts w:ascii="Times New Roman" w:hAnsi="Times New Roman" w:cs="Times New Roman"/>
          <w:sz w:val="24"/>
          <w:szCs w:val="24"/>
        </w:rPr>
        <w:t xml:space="preserve">Firstly, Wilkinson (2020) identies the psychosocial theory as paramount as it explains how inequality is impactful on </w:t>
      </w:r>
      <w:r w:rsidR="00C27D8D" w:rsidRPr="004F09A0">
        <w:rPr>
          <w:rFonts w:ascii="Times New Roman" w:hAnsi="Times New Roman" w:cs="Times New Roman"/>
          <w:sz w:val="24"/>
          <w:szCs w:val="24"/>
        </w:rPr>
        <w:t>health through compromised factors including social cohesion and stress. However, Bar</w:t>
      </w:r>
      <w:r w:rsidR="00CC1087" w:rsidRPr="004F09A0">
        <w:rPr>
          <w:rFonts w:ascii="Times New Roman" w:hAnsi="Times New Roman" w:cs="Times New Roman"/>
          <w:sz w:val="24"/>
          <w:szCs w:val="24"/>
        </w:rPr>
        <w:t xml:space="preserve">tley (2017) is opinionated through the materialist theories that access to resources is the fundamental </w:t>
      </w:r>
      <w:r w:rsidR="00B9112E" w:rsidRPr="004F09A0">
        <w:rPr>
          <w:rFonts w:ascii="Times New Roman" w:hAnsi="Times New Roman" w:cs="Times New Roman"/>
          <w:sz w:val="24"/>
          <w:szCs w:val="24"/>
        </w:rPr>
        <w:t>outline relating inequality to disparities.</w:t>
      </w:r>
      <w:r w:rsidR="00280F94" w:rsidRPr="004F09A0">
        <w:rPr>
          <w:rFonts w:ascii="Times New Roman" w:hAnsi="Times New Roman" w:cs="Times New Roman"/>
          <w:sz w:val="24"/>
          <w:szCs w:val="24"/>
        </w:rPr>
        <w:t xml:space="preserve"> The approaches reveal how addressing inequality can be complicated. Another perpective follows from the </w:t>
      </w:r>
      <w:r w:rsidR="00687F48" w:rsidRPr="004F09A0">
        <w:rPr>
          <w:rFonts w:ascii="Times New Roman" w:hAnsi="Times New Roman" w:cs="Times New Roman"/>
          <w:sz w:val="24"/>
          <w:szCs w:val="24"/>
        </w:rPr>
        <w:t xml:space="preserve">neoliberal theories, which regard market efficiency rather than redistribution </w:t>
      </w:r>
      <w:r w:rsidR="00687F48" w:rsidRPr="004F09A0">
        <w:rPr>
          <w:rFonts w:ascii="Times New Roman" w:eastAsia="Times New Roman" w:hAnsi="Times New Roman" w:cs="Times New Roman"/>
          <w:sz w:val="24"/>
          <w:szCs w:val="24"/>
        </w:rPr>
        <w:t xml:space="preserve">(Jones et al., 2020). Accordingly, the theories </w:t>
      </w:r>
      <w:r w:rsidR="000B46ED" w:rsidRPr="004F09A0">
        <w:rPr>
          <w:rFonts w:ascii="Times New Roman" w:eastAsia="Times New Roman" w:hAnsi="Times New Roman" w:cs="Times New Roman"/>
          <w:sz w:val="24"/>
          <w:szCs w:val="24"/>
        </w:rPr>
        <w:t>show that inequality can be addressed by social policy interventions as well as economic redesigning.</w:t>
      </w:r>
    </w:p>
    <w:p w14:paraId="64B0BA4C" w14:textId="77777777" w:rsidR="000B46ED" w:rsidRDefault="004A2498" w:rsidP="00652EC2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F09A0">
        <w:rPr>
          <w:rFonts w:ascii="Times New Roman" w:eastAsia="Times New Roman" w:hAnsi="Times New Roman" w:cs="Times New Roman"/>
          <w:sz w:val="24"/>
          <w:szCs w:val="24"/>
        </w:rPr>
        <w:t xml:space="preserve">It is then recommended that policy makers should enhance progressive taxation systems to address income disparities and hence inequality. </w:t>
      </w:r>
      <w:r w:rsidR="00C6331C" w:rsidRPr="004F09A0">
        <w:rPr>
          <w:rFonts w:ascii="Times New Roman" w:eastAsia="Times New Roman" w:hAnsi="Times New Roman" w:cs="Times New Roman"/>
          <w:sz w:val="24"/>
          <w:szCs w:val="24"/>
        </w:rPr>
        <w:t>Abshari et al. (2021) explain that this will imply people earning low income will only have t</w:t>
      </w:r>
      <w:r w:rsidR="00984480" w:rsidRPr="004F09A0">
        <w:rPr>
          <w:rFonts w:ascii="Times New Roman" w:eastAsia="Times New Roman" w:hAnsi="Times New Roman" w:cs="Times New Roman"/>
          <w:sz w:val="24"/>
          <w:szCs w:val="24"/>
        </w:rPr>
        <w:t xml:space="preserve">o pay low taxes, hence allowing for a reasonable disposable income and hence facilitating equality. </w:t>
      </w:r>
      <w:r w:rsidR="00257873" w:rsidRPr="004F09A0">
        <w:rPr>
          <w:rFonts w:ascii="Times New Roman" w:eastAsia="Times New Roman" w:hAnsi="Times New Roman" w:cs="Times New Roman"/>
          <w:sz w:val="24"/>
          <w:szCs w:val="24"/>
        </w:rPr>
        <w:t xml:space="preserve">Further, there should be more investment in </w:t>
      </w:r>
      <w:r w:rsidR="00BB231F" w:rsidRPr="004F09A0">
        <w:rPr>
          <w:rFonts w:ascii="Times New Roman" w:eastAsia="Times New Roman" w:hAnsi="Times New Roman" w:cs="Times New Roman"/>
          <w:sz w:val="24"/>
          <w:szCs w:val="24"/>
        </w:rPr>
        <w:t xml:space="preserve">social protection initiatives across all levels of governments for better health outcomes. Mariotti </w:t>
      </w:r>
      <w:r w:rsidR="00CB7D75" w:rsidRPr="004F09A0">
        <w:rPr>
          <w:rFonts w:ascii="Times New Roman" w:eastAsia="Times New Roman" w:hAnsi="Times New Roman" w:cs="Times New Roman"/>
          <w:sz w:val="24"/>
          <w:szCs w:val="24"/>
        </w:rPr>
        <w:t xml:space="preserve">(2019) also suggests that addressing barriers including isolation, discrimination, and ensuring equitability to </w:t>
      </w:r>
      <w:r w:rsidR="00256CEA" w:rsidRPr="004F09A0">
        <w:rPr>
          <w:rFonts w:ascii="Times New Roman" w:eastAsia="Times New Roman" w:hAnsi="Times New Roman" w:cs="Times New Roman"/>
          <w:sz w:val="24"/>
          <w:szCs w:val="24"/>
        </w:rPr>
        <w:t xml:space="preserve">employment and education can play a crucial role in countering inequality. Globally, countries can cooperate </w:t>
      </w:r>
      <w:r w:rsidR="00642313" w:rsidRPr="004F09A0">
        <w:rPr>
          <w:rFonts w:ascii="Times New Roman" w:eastAsia="Times New Roman" w:hAnsi="Times New Roman" w:cs="Times New Roman"/>
          <w:sz w:val="24"/>
          <w:szCs w:val="24"/>
        </w:rPr>
        <w:t xml:space="preserve">for equality by enhancing policies relating to resource distribution and fair trade. Accordingly, the achievement of SDG10 necessitates </w:t>
      </w:r>
      <w:r w:rsidR="00105390" w:rsidRPr="004F09A0">
        <w:rPr>
          <w:rFonts w:ascii="Times New Roman" w:eastAsia="Times New Roman" w:hAnsi="Times New Roman" w:cs="Times New Roman"/>
          <w:sz w:val="24"/>
          <w:szCs w:val="24"/>
        </w:rPr>
        <w:t>coordinated and comprehensive interventions.</w:t>
      </w:r>
    </w:p>
    <w:p w14:paraId="53939365" w14:textId="77777777" w:rsidR="00781722" w:rsidRPr="004F09A0" w:rsidRDefault="00781722" w:rsidP="00652EC2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AE7D73D" w14:textId="77777777" w:rsidR="00105390" w:rsidRPr="00781722" w:rsidRDefault="00105390" w:rsidP="00652EC2">
      <w:pPr>
        <w:spacing w:line="48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 w:rsidRPr="00781722">
        <w:rPr>
          <w:rFonts w:ascii="Times New Roman" w:eastAsia="Times New Roman" w:hAnsi="Times New Roman" w:cs="Times New Roman"/>
          <w:b/>
          <w:sz w:val="28"/>
          <w:szCs w:val="28"/>
        </w:rPr>
        <w:t>Conclusion</w:t>
      </w:r>
    </w:p>
    <w:p w14:paraId="5B3932FF" w14:textId="45C99C39" w:rsidR="00105390" w:rsidRDefault="008B2AB3" w:rsidP="00652EC2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F09A0">
        <w:rPr>
          <w:rFonts w:ascii="Times New Roman" w:eastAsia="Times New Roman" w:hAnsi="Times New Roman" w:cs="Times New Roman"/>
          <w:sz w:val="24"/>
          <w:szCs w:val="24"/>
        </w:rPr>
        <w:t>The report has critically shown how SDG3 and SDG10 are paramount towards health and social care, despite being a part of the entire SDGs</w:t>
      </w:r>
      <w:r w:rsidR="00196A1E" w:rsidRPr="004F09A0">
        <w:rPr>
          <w:rFonts w:ascii="Times New Roman" w:eastAsia="Times New Roman" w:hAnsi="Times New Roman" w:cs="Times New Roman"/>
          <w:sz w:val="24"/>
          <w:szCs w:val="24"/>
        </w:rPr>
        <w:t>. While SDG3 relates to directly enhancing health outcomes, SDG10 identifies the cont</w:t>
      </w:r>
      <w:r w:rsidR="003151A2" w:rsidRPr="004F09A0">
        <w:rPr>
          <w:rFonts w:ascii="Times New Roman" w:eastAsia="Times New Roman" w:hAnsi="Times New Roman" w:cs="Times New Roman"/>
          <w:sz w:val="24"/>
          <w:szCs w:val="24"/>
        </w:rPr>
        <w:t>ribution of inequalities of disparities in healthcare</w:t>
      </w:r>
      <w:r w:rsidR="004D0868">
        <w:rPr>
          <w:rFonts w:ascii="Times New Roman" w:eastAsia="Times New Roman" w:hAnsi="Times New Roman" w:cs="Times New Roman"/>
          <w:sz w:val="24"/>
          <w:szCs w:val="24"/>
        </w:rPr>
        <w:t xml:space="preserve"> (UNDP, 2025)</w:t>
      </w:r>
      <w:r w:rsidR="003151A2" w:rsidRPr="004F09A0">
        <w:rPr>
          <w:rFonts w:ascii="Times New Roman" w:eastAsia="Times New Roman" w:hAnsi="Times New Roman" w:cs="Times New Roman"/>
          <w:sz w:val="24"/>
          <w:szCs w:val="24"/>
        </w:rPr>
        <w:t xml:space="preserve">. It has been identified that health </w:t>
      </w:r>
      <w:r w:rsidR="00ED4113" w:rsidRPr="004F09A0">
        <w:rPr>
          <w:rFonts w:ascii="Times New Roman" w:eastAsia="Times New Roman" w:hAnsi="Times New Roman" w:cs="Times New Roman"/>
          <w:sz w:val="24"/>
          <w:szCs w:val="24"/>
        </w:rPr>
        <w:t xml:space="preserve">interventions cannot be exclusively impactful on improving quality of health, making it necessary to consider determinants that would extend to factors like living standards, </w:t>
      </w:r>
      <w:r w:rsidR="00352E93" w:rsidRPr="004F09A0">
        <w:rPr>
          <w:rFonts w:ascii="Times New Roman" w:eastAsia="Times New Roman" w:hAnsi="Times New Roman" w:cs="Times New Roman"/>
          <w:sz w:val="24"/>
          <w:szCs w:val="24"/>
        </w:rPr>
        <w:t xml:space="preserve">household level of income, and level of education. While global, national, and local initiatives have </w:t>
      </w:r>
      <w:r w:rsidR="00A06588" w:rsidRPr="004F09A0">
        <w:rPr>
          <w:rFonts w:ascii="Times New Roman" w:eastAsia="Times New Roman" w:hAnsi="Times New Roman" w:cs="Times New Roman"/>
          <w:sz w:val="24"/>
          <w:szCs w:val="24"/>
        </w:rPr>
        <w:t>contributed to the achievement of the goals in varying ways, policy redesigning has been manifested as a major re</w:t>
      </w:r>
      <w:r w:rsidR="004F65E2" w:rsidRPr="004F09A0">
        <w:rPr>
          <w:rFonts w:ascii="Times New Roman" w:eastAsia="Times New Roman" w:hAnsi="Times New Roman" w:cs="Times New Roman"/>
          <w:sz w:val="24"/>
          <w:szCs w:val="24"/>
        </w:rPr>
        <w:t xml:space="preserve">commendation as it influences other factors such as funding, noting that lack of sufficient resources is a </w:t>
      </w:r>
      <w:r w:rsidR="00FE603B" w:rsidRPr="004F09A0">
        <w:rPr>
          <w:rFonts w:ascii="Times New Roman" w:eastAsia="Times New Roman" w:hAnsi="Times New Roman" w:cs="Times New Roman"/>
          <w:sz w:val="24"/>
          <w:szCs w:val="24"/>
        </w:rPr>
        <w:t xml:space="preserve">challenge to achieving the goals. Further, theoretical approaches have shown changes in behaviours and </w:t>
      </w:r>
      <w:r w:rsidR="002E328E" w:rsidRPr="004F09A0">
        <w:rPr>
          <w:rFonts w:ascii="Times New Roman" w:eastAsia="Times New Roman" w:hAnsi="Times New Roman" w:cs="Times New Roman"/>
          <w:sz w:val="24"/>
          <w:szCs w:val="24"/>
        </w:rPr>
        <w:t>attitudes</w:t>
      </w:r>
      <w:r w:rsidR="00FE603B" w:rsidRPr="004F09A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E328E" w:rsidRPr="004F09A0">
        <w:rPr>
          <w:rFonts w:ascii="Times New Roman" w:eastAsia="Times New Roman" w:hAnsi="Times New Roman" w:cs="Times New Roman"/>
          <w:sz w:val="24"/>
          <w:szCs w:val="24"/>
        </w:rPr>
        <w:t xml:space="preserve">as some of the ways the goals can be </w:t>
      </w:r>
      <w:r w:rsidR="00781722" w:rsidRPr="004F09A0">
        <w:rPr>
          <w:rFonts w:ascii="Times New Roman" w:eastAsia="Times New Roman" w:hAnsi="Times New Roman" w:cs="Times New Roman"/>
          <w:sz w:val="24"/>
          <w:szCs w:val="24"/>
        </w:rPr>
        <w:t>realized</w:t>
      </w:r>
      <w:r w:rsidR="002E328E" w:rsidRPr="004F09A0">
        <w:rPr>
          <w:rFonts w:ascii="Times New Roman" w:eastAsia="Times New Roman" w:hAnsi="Times New Roman" w:cs="Times New Roman"/>
          <w:sz w:val="24"/>
          <w:szCs w:val="24"/>
        </w:rPr>
        <w:t xml:space="preserve">. Accordingly, </w:t>
      </w:r>
      <w:r w:rsidR="004A255D" w:rsidRPr="004F09A0">
        <w:rPr>
          <w:rFonts w:ascii="Times New Roman" w:eastAsia="Times New Roman" w:hAnsi="Times New Roman" w:cs="Times New Roman"/>
          <w:sz w:val="24"/>
          <w:szCs w:val="24"/>
        </w:rPr>
        <w:t xml:space="preserve">multi-sectoral and long-term </w:t>
      </w:r>
      <w:r w:rsidR="00781722" w:rsidRPr="004F09A0">
        <w:rPr>
          <w:rFonts w:ascii="Times New Roman" w:eastAsia="Times New Roman" w:hAnsi="Times New Roman" w:cs="Times New Roman"/>
          <w:sz w:val="24"/>
          <w:szCs w:val="24"/>
        </w:rPr>
        <w:t>investments</w:t>
      </w:r>
      <w:r w:rsidR="004A255D" w:rsidRPr="004F09A0">
        <w:rPr>
          <w:rFonts w:ascii="Times New Roman" w:eastAsia="Times New Roman" w:hAnsi="Times New Roman" w:cs="Times New Roman"/>
          <w:sz w:val="24"/>
          <w:szCs w:val="24"/>
        </w:rPr>
        <w:t xml:space="preserve"> will be </w:t>
      </w:r>
      <w:r w:rsidR="00CB3FC3" w:rsidRPr="004F09A0">
        <w:rPr>
          <w:rFonts w:ascii="Times New Roman" w:eastAsia="Times New Roman" w:hAnsi="Times New Roman" w:cs="Times New Roman"/>
          <w:sz w:val="24"/>
          <w:szCs w:val="24"/>
        </w:rPr>
        <w:t>vital for effective initiatives.</w:t>
      </w:r>
    </w:p>
    <w:p w14:paraId="24D7EC50" w14:textId="77777777" w:rsidR="00781722" w:rsidRDefault="00781722" w:rsidP="00652EC2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887B59A" w14:textId="77777777" w:rsidR="00781722" w:rsidRPr="004F09A0" w:rsidRDefault="00781722" w:rsidP="00652EC2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C6659CC" w14:textId="58C3BF1E" w:rsidR="00CB3FC3" w:rsidRPr="00781722" w:rsidRDefault="00781722" w:rsidP="00781722">
      <w:pPr>
        <w:spacing w:line="48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</w:t>
      </w:r>
      <w:r w:rsidR="00CB3FC3" w:rsidRPr="00781722">
        <w:rPr>
          <w:rFonts w:ascii="Times New Roman" w:eastAsia="Times New Roman" w:hAnsi="Times New Roman" w:cs="Times New Roman"/>
          <w:b/>
          <w:bCs/>
          <w:sz w:val="36"/>
          <w:szCs w:val="36"/>
        </w:rPr>
        <w:t>References</w:t>
      </w:r>
    </w:p>
    <w:p w14:paraId="3D8FB5EF" w14:textId="77777777" w:rsidR="00E050FE" w:rsidRPr="00E050FE" w:rsidRDefault="00E050FE" w:rsidP="00E050F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050FE">
        <w:rPr>
          <w:rFonts w:ascii="Times New Roman" w:eastAsia="Times New Roman" w:hAnsi="Times New Roman" w:cs="Times New Roman"/>
          <w:sz w:val="24"/>
          <w:szCs w:val="24"/>
        </w:rPr>
        <w:t xml:space="preserve">Abshari, Z., Jenkins, G.P., Kuo, C.-Y. and Shahee, M. (2021). Progressive Taxation versus Progressive Targeted Transfers in the Design of a Sustainable Value Added Tax System. </w:t>
      </w:r>
      <w:r w:rsidRPr="00E050FE">
        <w:rPr>
          <w:rFonts w:ascii="Times New Roman" w:eastAsia="Times New Roman" w:hAnsi="Times New Roman" w:cs="Times New Roman"/>
          <w:i/>
          <w:iCs/>
          <w:sz w:val="24"/>
          <w:szCs w:val="24"/>
        </w:rPr>
        <w:t>Sustainability</w:t>
      </w:r>
      <w:r w:rsidRPr="00E050FE">
        <w:rPr>
          <w:rFonts w:ascii="Times New Roman" w:eastAsia="Times New Roman" w:hAnsi="Times New Roman" w:cs="Times New Roman"/>
          <w:sz w:val="24"/>
          <w:szCs w:val="24"/>
        </w:rPr>
        <w:t>, 13(20), p.11165. doi:https://doi.org/10.3390/su132011165.</w:t>
      </w:r>
    </w:p>
    <w:p w14:paraId="4D436EF6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Aftab, W., Siddiqui, F.J., Tasic, H., Perveen, S., Siddiqi, S. and Bhutta, Z.A. (2020). Implementation of health and health-related sustainable development goals: progress, challenges and opportunities – a systematic literature review. </w:t>
      </w:r>
      <w:r>
        <w:rPr>
          <w:i/>
          <w:iCs/>
        </w:rPr>
        <w:t>BMJ Global Health</w:t>
      </w:r>
      <w:r>
        <w:t>, [online] 5(8), p.e002273. doi:https://doi.org/10.1136/bmjgh-2019-002273.</w:t>
      </w:r>
    </w:p>
    <w:p w14:paraId="2F04A4BE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Alyafei, A. and Easton-Carr, R. (2024). </w:t>
      </w:r>
      <w:r>
        <w:rPr>
          <w:i/>
          <w:iCs/>
        </w:rPr>
        <w:t>The Health Belief Model of Behavior Change</w:t>
      </w:r>
      <w:r>
        <w:t>. [online] StatPearls. Available at: https://www.statpearls.com/point-of-care/161679.</w:t>
      </w:r>
    </w:p>
    <w:p w14:paraId="6030CA8A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Bartley, M. (2017). </w:t>
      </w:r>
      <w:r>
        <w:rPr>
          <w:i/>
          <w:iCs/>
        </w:rPr>
        <w:t>Health inequality : an introduction to concepts, theories and methods</w:t>
      </w:r>
      <w:r>
        <w:t>. Cambridge, Uk ; Malden, Ma, Usa: Polity.</w:t>
      </w:r>
    </w:p>
    <w:p w14:paraId="4AD6EED8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Cavicchi, C., Oppi, C. and Vagnoni, E. (2022). Back and Forth on Sustainable Development: A Focus on Healthcare Organisations. </w:t>
      </w:r>
      <w:r>
        <w:rPr>
          <w:i/>
          <w:iCs/>
        </w:rPr>
        <w:t>Sustainability</w:t>
      </w:r>
      <w:r>
        <w:t>, 14(9), p.4958. doi:https://doi.org/10.3390/su14094958.</w:t>
      </w:r>
    </w:p>
    <w:p w14:paraId="32959EB9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Cerf, M.E. (2023). Gearing health systems for universal health coverage. </w:t>
      </w:r>
      <w:r>
        <w:rPr>
          <w:i/>
          <w:iCs/>
        </w:rPr>
        <w:t>Frontiers in Health Services</w:t>
      </w:r>
      <w:r>
        <w:t>, [online] 3, p.1200238. doi:https://doi.org/10.3389/frhs.2023.1200238.</w:t>
      </w:r>
    </w:p>
    <w:p w14:paraId="30F6F946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Dorling, D. (2019). </w:t>
      </w:r>
      <w:r>
        <w:rPr>
          <w:i/>
          <w:iCs/>
        </w:rPr>
        <w:t>Inequality and the 1%</w:t>
      </w:r>
      <w:r>
        <w:t>. London: Verso.</w:t>
      </w:r>
    </w:p>
    <w:p w14:paraId="0DC5B2A6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Fernandez, R.M. (2019). SDG3 Good Health and Well-Being: Integration and Connection with Other SDGs. </w:t>
      </w:r>
      <w:r>
        <w:rPr>
          <w:i/>
          <w:iCs/>
        </w:rPr>
        <w:t>Encyclopedia of the UN Sustainable Development Goals</w:t>
      </w:r>
      <w:r>
        <w:t>, [online] pp.629–636. doi:https://doi.org/10.1007/978-3-319-95681-7_64.</w:t>
      </w:r>
    </w:p>
    <w:p w14:paraId="746330F7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Fox, S. and Macleod, A. (2021). Localizing the SDGs in cities: Reflections from an Action Research Project in Bristol, UK. </w:t>
      </w:r>
      <w:r>
        <w:rPr>
          <w:i/>
          <w:iCs/>
        </w:rPr>
        <w:t>Urban Geography</w:t>
      </w:r>
      <w:r>
        <w:t>, 44(3), pp.1–21. doi:https://doi.org/10.1080/02723638.2021.1953286.</w:t>
      </w:r>
    </w:p>
    <w:p w14:paraId="1C5A6972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Frank, J., Abel, T., Campostrini, S., Cook, S., Lin, V.K. and McQueen, D.V. (2020). The Social Determinants of Health: Time to Re-Think? </w:t>
      </w:r>
      <w:r>
        <w:rPr>
          <w:i/>
          <w:iCs/>
        </w:rPr>
        <w:t>International Journal of Environmental Research and Public Health</w:t>
      </w:r>
      <w:r>
        <w:t>, [online] 17(16), p.5856. doi:https://doi.org/10.3390/ijerph17165856.</w:t>
      </w:r>
    </w:p>
    <w:p w14:paraId="538BFBAD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Gaffney, A., Woolhandler, S. and Himmelstein, D. (2019). The Effect of Large-scale Health Coverage Expansions in Wealthy Nations on Society-Wide Healthcare Utilization. </w:t>
      </w:r>
      <w:r>
        <w:rPr>
          <w:i/>
          <w:iCs/>
        </w:rPr>
        <w:t>Journal of General Internal Medicine</w:t>
      </w:r>
      <w:r>
        <w:t>. doi:https://doi.org/10.1007/s11606-019-05529-y.</w:t>
      </w:r>
    </w:p>
    <w:p w14:paraId="3C42FDB4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Gatome-Munyua, A., Sparkes, S., Mtei, G., Sabignoso, M., Soewondo, P., Yameogo, P., Hanson, K. and Cashin, C. (2025). Reducing fragmentation of primary healthcare financing for more equitable, people-centred primary healthcare. </w:t>
      </w:r>
      <w:r>
        <w:rPr>
          <w:i/>
          <w:iCs/>
        </w:rPr>
        <w:t>BMJ Global Health</w:t>
      </w:r>
      <w:r>
        <w:t>, [online] 10(1), pp.e015088–e015088. doi:https://doi.org/10.1136/bmjgh-2024-015088.</w:t>
      </w:r>
    </w:p>
    <w:p w14:paraId="710BC4C5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Hales, R. and Birdthistle, N. (2023). The Sustainable Development Goal – SDG#3 Good Health and Well-Being. </w:t>
      </w:r>
      <w:r>
        <w:rPr>
          <w:i/>
          <w:iCs/>
        </w:rPr>
        <w:t>Emerald Publishing Limited eBooks</w:t>
      </w:r>
      <w:r>
        <w:t>, pp.1–12. doi:https://doi.org/10.1108/978-1-80455-209-420231001.</w:t>
      </w:r>
    </w:p>
    <w:p w14:paraId="6B88A65C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Islam, K.F., Awal, A., Mazumder, H., Munni, U.R., Majumder, K., Afroz, K., Tabassum, M.N. and Hossain, M.M. (2023). Social cognitive theory-based health promotion in primary care practice: A scoping review. </w:t>
      </w:r>
      <w:r>
        <w:rPr>
          <w:i/>
          <w:iCs/>
        </w:rPr>
        <w:t>Heliyon</w:t>
      </w:r>
      <w:r>
        <w:t>, [online] 9(4), pp.1–25. doi:https://doi.org/10.1016/j.heliyon.2023.e14889.</w:t>
      </w:r>
    </w:p>
    <w:p w14:paraId="74630DBB" w14:textId="77777777" w:rsidR="00E050FE" w:rsidRPr="00E050FE" w:rsidRDefault="00E050FE" w:rsidP="00E050F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050FE">
        <w:rPr>
          <w:rFonts w:ascii="Times New Roman" w:eastAsia="Times New Roman" w:hAnsi="Times New Roman" w:cs="Times New Roman"/>
          <w:sz w:val="24"/>
          <w:szCs w:val="24"/>
        </w:rPr>
        <w:t xml:space="preserve">Jones, T., Drach‐Zahavy, A., Lopes, M.A. and Willis, E. (2020). Systems, economics and neoliberal politics: theories to understand missed nursing care. </w:t>
      </w:r>
      <w:r w:rsidRPr="00E050FE">
        <w:rPr>
          <w:rFonts w:ascii="Times New Roman" w:eastAsia="Times New Roman" w:hAnsi="Times New Roman" w:cs="Times New Roman"/>
          <w:i/>
          <w:iCs/>
          <w:sz w:val="24"/>
          <w:szCs w:val="24"/>
        </w:rPr>
        <w:t>Nursing &amp; Health Sciences</w:t>
      </w:r>
      <w:r w:rsidRPr="00E050FE">
        <w:rPr>
          <w:rFonts w:ascii="Times New Roman" w:eastAsia="Times New Roman" w:hAnsi="Times New Roman" w:cs="Times New Roman"/>
          <w:sz w:val="24"/>
          <w:szCs w:val="24"/>
        </w:rPr>
        <w:t>, 22(3). doi:https://doi.org/10.1111/nhs.12700.</w:t>
      </w:r>
    </w:p>
    <w:p w14:paraId="1712B7F2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Kickbusch, I. and Liu, A. (2022). Global Health Diplomacy—reconstructing Power and Governance. </w:t>
      </w:r>
      <w:r>
        <w:rPr>
          <w:i/>
          <w:iCs/>
        </w:rPr>
        <w:t>The Lancet</w:t>
      </w:r>
      <w:r>
        <w:t>, [online] 399(10341). doi:https://doi.org/10.1016/s0140-6736(22)00583-9.</w:t>
      </w:r>
    </w:p>
    <w:p w14:paraId="44277FE1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Klimczuk, A., Chattoo, S., Izugbara, C., Klimczuk-Kochańska, M., Toczyski, P., Kumar, A., Kanozia, R., Gawron, G.P. and Ozair, A. (2025). Editorial: Towards 2030: sustainable development goal 3: good health and wellbeing. A sociological perspective. </w:t>
      </w:r>
      <w:r>
        <w:rPr>
          <w:i/>
          <w:iCs/>
        </w:rPr>
        <w:t>Frontiers in Sociology</w:t>
      </w:r>
      <w:r>
        <w:t>, 10. doi:https://doi.org/10.3389/fsoc.2025.1616878.</w:t>
      </w:r>
    </w:p>
    <w:p w14:paraId="3A61A0B9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Mariotti, C. (2019). </w:t>
      </w:r>
      <w:r>
        <w:rPr>
          <w:i/>
          <w:iCs/>
        </w:rPr>
        <w:t>The Role of the UK in Tackling Global Inequality: Contributions to achieving SDG 10</w:t>
      </w:r>
      <w:r>
        <w:t xml:space="preserve">. [online] </w:t>
      </w:r>
      <w:r>
        <w:rPr>
          <w:i/>
          <w:iCs/>
        </w:rPr>
        <w:t>oxfamilibrary.openrepository.com</w:t>
      </w:r>
      <w:r>
        <w:t>. Oxfam GB. Available at: https://oxfamilibrary.openrepository.com/handle/10546/620821.</w:t>
      </w:r>
    </w:p>
    <w:p w14:paraId="4E5FA5B5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Marmot, M. (2020). Society and the slow burn of inequality. </w:t>
      </w:r>
      <w:r>
        <w:rPr>
          <w:i/>
          <w:iCs/>
        </w:rPr>
        <w:t>The Lancet</w:t>
      </w:r>
      <w:r>
        <w:t>, 395(10234), pp.1413–1414. doi:https://doi.org/10.1016/s0140-6736(20)30940-5.</w:t>
      </w:r>
    </w:p>
    <w:p w14:paraId="4664FC0D" w14:textId="77777777" w:rsidR="00E050FE" w:rsidRPr="00E050FE" w:rsidRDefault="00E050FE" w:rsidP="00E050F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050FE">
        <w:rPr>
          <w:rFonts w:ascii="Times New Roman" w:eastAsia="Times New Roman" w:hAnsi="Times New Roman" w:cs="Times New Roman"/>
          <w:sz w:val="24"/>
          <w:szCs w:val="24"/>
        </w:rPr>
        <w:t xml:space="preserve">Naik, Y., Abbs, I., Elwell-Sutton, T., Bibby, J. and Spencelayh, E. (2020). Using economic development to improve health and reduce health inequalities. </w:t>
      </w:r>
      <w:r w:rsidRPr="00E050FE">
        <w:rPr>
          <w:rFonts w:ascii="Times New Roman" w:eastAsia="Times New Roman" w:hAnsi="Times New Roman" w:cs="Times New Roman"/>
          <w:i/>
          <w:iCs/>
          <w:sz w:val="24"/>
          <w:szCs w:val="24"/>
        </w:rPr>
        <w:t>The Health Foundation</w:t>
      </w:r>
      <w:r w:rsidRPr="00E050FE">
        <w:rPr>
          <w:rFonts w:ascii="Times New Roman" w:eastAsia="Times New Roman" w:hAnsi="Times New Roman" w:cs="Times New Roman"/>
          <w:sz w:val="24"/>
          <w:szCs w:val="24"/>
        </w:rPr>
        <w:t>. [online] doi:https://doi.org/10.37829/hf-2020-hl07.</w:t>
      </w:r>
    </w:p>
    <w:p w14:paraId="2B265CC2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Niekerk, A.J. van (2020). Inclusive Economic Sustainability: SDGs and Global Inequality. </w:t>
      </w:r>
      <w:r>
        <w:rPr>
          <w:i/>
          <w:iCs/>
        </w:rPr>
        <w:t>Sustainability</w:t>
      </w:r>
      <w:r>
        <w:t>, [online] 12(13), p.5427. Available at: https://www.mdpi.com/2071-1050/12/13/5427.</w:t>
      </w:r>
    </w:p>
    <w:p w14:paraId="79C156BD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Piketty, T. (2021). Capital and ideology: A global perspective on inequality regimes. </w:t>
      </w:r>
      <w:r>
        <w:rPr>
          <w:i/>
          <w:iCs/>
        </w:rPr>
        <w:t>The British Journal of Sociology</w:t>
      </w:r>
      <w:r>
        <w:t>, 72(1), pp.139–150. doi:https://doi.org/10.1111/1468-4446.12836.</w:t>
      </w:r>
    </w:p>
    <w:p w14:paraId="09298FD1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Rodgers, M., South, E., Harden, M., Whitehead, M. and Sowden, A. (2025). Contextual factors in systematic reviews: understanding public health interventions in low socioeconomic status and disadvantaged populations. </w:t>
      </w:r>
      <w:r>
        <w:rPr>
          <w:i/>
          <w:iCs/>
        </w:rPr>
        <w:t>Archives of Public Health</w:t>
      </w:r>
      <w:r>
        <w:t>, 83(1). doi:https://doi.org/10.1186/s13690-025-01644-x.</w:t>
      </w:r>
    </w:p>
    <w:p w14:paraId="1A7F01D8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Squires, H., Kelly, M.P., Gilbert, N., Sniehotta, F.F. and Purshouse, R.C. (2023). The long‐term effectiveness and cost‐effectiveness of public health interventions; how can we model behavior? A review. </w:t>
      </w:r>
      <w:r>
        <w:rPr>
          <w:i/>
          <w:iCs/>
        </w:rPr>
        <w:t>Health Economics</w:t>
      </w:r>
      <w:r>
        <w:t>, 32(12), pp.2836–2854. doi:https://doi.org/10.1002/hec.4754.</w:t>
      </w:r>
    </w:p>
    <w:p w14:paraId="157688CC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Stevenson, S., Collins, A., Jennings, N., Köberle, A.C., Laumann, F., Laverty, A.A., Vineis, P., Woods, J. and Gambhir, A. (2021). A hybrid approach to identifying and assessing interactions between climate action (SDG13) policies and a range of SDGs in a UK context. </w:t>
      </w:r>
      <w:r>
        <w:rPr>
          <w:i/>
          <w:iCs/>
        </w:rPr>
        <w:t>Discover Sustainability</w:t>
      </w:r>
      <w:r>
        <w:t>, 2(1). doi:https://doi.org/10.1007/s43621-021-00051-w.</w:t>
      </w:r>
    </w:p>
    <w:p w14:paraId="7F6ABEF7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Stover, J., Avadhanula, L. and Sood, S. (2024). A review of strategies and levels of community engagement in strengths-based and needs-based health communication interventions. </w:t>
      </w:r>
      <w:r>
        <w:rPr>
          <w:i/>
          <w:iCs/>
        </w:rPr>
        <w:t>Frontiers in public health</w:t>
      </w:r>
      <w:r>
        <w:t>, [online] 12. doi:https://doi.org/10.3389/fpubh.2024.1231827.</w:t>
      </w:r>
    </w:p>
    <w:p w14:paraId="3D2D0729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UNDP (2025). </w:t>
      </w:r>
      <w:r>
        <w:rPr>
          <w:i/>
          <w:iCs/>
        </w:rPr>
        <w:t>Sustainable development goals</w:t>
      </w:r>
      <w:r>
        <w:t>. [online] United Nations Development Programme. Available at: https://www.undp.org/sustainable-development-goals.</w:t>
      </w:r>
    </w:p>
    <w:p w14:paraId="03788C49" w14:textId="77777777" w:rsidR="00E050FE" w:rsidRPr="00E050FE" w:rsidRDefault="00E050FE" w:rsidP="00E050F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050FE">
        <w:rPr>
          <w:rFonts w:ascii="Times New Roman" w:eastAsia="Times New Roman" w:hAnsi="Times New Roman" w:cs="Times New Roman"/>
          <w:sz w:val="24"/>
          <w:szCs w:val="24"/>
        </w:rPr>
        <w:t>Wade, R.H. (2020). The Causes of Increasing World Poverty and Inequality; Or, Why the Matthew Effect Prevails. pp.119–141. doi:https://doi.org/10.4324/9781315231082-9.</w:t>
      </w:r>
    </w:p>
    <w:p w14:paraId="42AA7E92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Wilkinson, R. and Pickett, K. (2021). </w:t>
      </w:r>
      <w:r>
        <w:rPr>
          <w:i/>
          <w:iCs/>
        </w:rPr>
        <w:t>For better or worse?</w:t>
      </w:r>
      <w:r>
        <w:t xml:space="preserve"> [online] bristoluniversitypressdigital.com. Available at: https://bristoluniversitypressdigital.com/edcollchap/book/9781447356127/ch014.xml.</w:t>
      </w:r>
    </w:p>
    <w:p w14:paraId="21C68DC5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Wilkinson, R.G. (2020). Income Inequality, Social Cohesion, and Health: Clarifying the Theory— A Reply to Muntaner and Lynch. </w:t>
      </w:r>
      <w:r>
        <w:rPr>
          <w:i/>
          <w:iCs/>
        </w:rPr>
        <w:t>Routledge eBooks</w:t>
      </w:r>
      <w:r>
        <w:t>, pp.347–365. doi:https://doi.org/10.4324/9781315231051-21.</w:t>
      </w:r>
    </w:p>
    <w:p w14:paraId="5939732A" w14:textId="77777777" w:rsidR="00E050FE" w:rsidRDefault="00E050FE" w:rsidP="00652EC2">
      <w:pPr>
        <w:pStyle w:val="NormalWeb"/>
        <w:spacing w:before="0" w:beforeAutospacing="0" w:after="240" w:afterAutospacing="0" w:line="480" w:lineRule="auto"/>
      </w:pPr>
      <w:r>
        <w:t xml:space="preserve">Yoshino, C.A., Sidney-Annerstedt, K., Wingfield, T., Kirubi, B., Viney, K., Boccia, D. and Atkins, S. (2023). Experiences of conditional and unconditional cash transfers intended for improving health outcomes and health service use: a qualitative evidence synthesis. </w:t>
      </w:r>
      <w:r>
        <w:rPr>
          <w:i/>
          <w:iCs/>
        </w:rPr>
        <w:t>Cochrane Database of Systematic Reviews</w:t>
      </w:r>
      <w:r>
        <w:t>, 2023(3). doi:https://doi.org/10.1002/14651858.cd013635.pub2.</w:t>
      </w:r>
    </w:p>
    <w:p w14:paraId="0C03FFBB" w14:textId="77777777" w:rsidR="00CB3FC3" w:rsidRPr="004F09A0" w:rsidRDefault="00CB3FC3" w:rsidP="00652EC2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sectPr w:rsidR="00CB3FC3" w:rsidRPr="004F09A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0B5838"/>
    <w:rsid w:val="0002278C"/>
    <w:rsid w:val="000461FA"/>
    <w:rsid w:val="00063E32"/>
    <w:rsid w:val="0007114B"/>
    <w:rsid w:val="00077217"/>
    <w:rsid w:val="00082077"/>
    <w:rsid w:val="000B46ED"/>
    <w:rsid w:val="000B5838"/>
    <w:rsid w:val="000D42B5"/>
    <w:rsid w:val="000E5FC2"/>
    <w:rsid w:val="000F06EE"/>
    <w:rsid w:val="000F5C48"/>
    <w:rsid w:val="00105390"/>
    <w:rsid w:val="00106F65"/>
    <w:rsid w:val="0011039D"/>
    <w:rsid w:val="00111F09"/>
    <w:rsid w:val="00156989"/>
    <w:rsid w:val="00166F1A"/>
    <w:rsid w:val="00184B5D"/>
    <w:rsid w:val="00196A1E"/>
    <w:rsid w:val="001A2F82"/>
    <w:rsid w:val="001B10CB"/>
    <w:rsid w:val="001C0485"/>
    <w:rsid w:val="001C19E2"/>
    <w:rsid w:val="001D6FCF"/>
    <w:rsid w:val="001E5856"/>
    <w:rsid w:val="00201EEA"/>
    <w:rsid w:val="00221481"/>
    <w:rsid w:val="00224327"/>
    <w:rsid w:val="00244EE6"/>
    <w:rsid w:val="00256CEA"/>
    <w:rsid w:val="00257873"/>
    <w:rsid w:val="002802B4"/>
    <w:rsid w:val="00280F94"/>
    <w:rsid w:val="002A189F"/>
    <w:rsid w:val="002A42AA"/>
    <w:rsid w:val="002A59BA"/>
    <w:rsid w:val="002B1FAA"/>
    <w:rsid w:val="002C0998"/>
    <w:rsid w:val="002E328E"/>
    <w:rsid w:val="00310668"/>
    <w:rsid w:val="00311B1B"/>
    <w:rsid w:val="00312BC8"/>
    <w:rsid w:val="00313263"/>
    <w:rsid w:val="003151A2"/>
    <w:rsid w:val="003236D6"/>
    <w:rsid w:val="00331B1E"/>
    <w:rsid w:val="003331F2"/>
    <w:rsid w:val="00347632"/>
    <w:rsid w:val="00352E93"/>
    <w:rsid w:val="00362E54"/>
    <w:rsid w:val="00373033"/>
    <w:rsid w:val="003923DF"/>
    <w:rsid w:val="003A14FE"/>
    <w:rsid w:val="003A1719"/>
    <w:rsid w:val="003A5368"/>
    <w:rsid w:val="003B77CC"/>
    <w:rsid w:val="003E41C0"/>
    <w:rsid w:val="003F2682"/>
    <w:rsid w:val="00412645"/>
    <w:rsid w:val="00415CC3"/>
    <w:rsid w:val="0045702E"/>
    <w:rsid w:val="0046326B"/>
    <w:rsid w:val="00473A01"/>
    <w:rsid w:val="00487369"/>
    <w:rsid w:val="004A2498"/>
    <w:rsid w:val="004A255D"/>
    <w:rsid w:val="004B3E94"/>
    <w:rsid w:val="004B7C59"/>
    <w:rsid w:val="004D0868"/>
    <w:rsid w:val="004D2070"/>
    <w:rsid w:val="004F09A0"/>
    <w:rsid w:val="004F5D91"/>
    <w:rsid w:val="004F65E2"/>
    <w:rsid w:val="0050026E"/>
    <w:rsid w:val="00500586"/>
    <w:rsid w:val="00500E62"/>
    <w:rsid w:val="005135F3"/>
    <w:rsid w:val="00524948"/>
    <w:rsid w:val="00535C8B"/>
    <w:rsid w:val="005424BB"/>
    <w:rsid w:val="0054674E"/>
    <w:rsid w:val="00566A5E"/>
    <w:rsid w:val="00577B20"/>
    <w:rsid w:val="00580C49"/>
    <w:rsid w:val="00595F91"/>
    <w:rsid w:val="005D36BE"/>
    <w:rsid w:val="005E0BAC"/>
    <w:rsid w:val="005E35EB"/>
    <w:rsid w:val="005E3CCE"/>
    <w:rsid w:val="005F6C99"/>
    <w:rsid w:val="005F7338"/>
    <w:rsid w:val="00601721"/>
    <w:rsid w:val="006026C8"/>
    <w:rsid w:val="00615E41"/>
    <w:rsid w:val="00620D17"/>
    <w:rsid w:val="00625293"/>
    <w:rsid w:val="00625588"/>
    <w:rsid w:val="0063364E"/>
    <w:rsid w:val="0064167A"/>
    <w:rsid w:val="00642313"/>
    <w:rsid w:val="00652EC2"/>
    <w:rsid w:val="00654C8A"/>
    <w:rsid w:val="00667AF6"/>
    <w:rsid w:val="0067129E"/>
    <w:rsid w:val="00682396"/>
    <w:rsid w:val="00687F48"/>
    <w:rsid w:val="00690165"/>
    <w:rsid w:val="00691162"/>
    <w:rsid w:val="006C4885"/>
    <w:rsid w:val="006D4C74"/>
    <w:rsid w:val="006D7A8D"/>
    <w:rsid w:val="006F25BC"/>
    <w:rsid w:val="00702305"/>
    <w:rsid w:val="00703A1D"/>
    <w:rsid w:val="00707970"/>
    <w:rsid w:val="00712DFF"/>
    <w:rsid w:val="00717961"/>
    <w:rsid w:val="00722410"/>
    <w:rsid w:val="00740148"/>
    <w:rsid w:val="00781722"/>
    <w:rsid w:val="007B3350"/>
    <w:rsid w:val="00806944"/>
    <w:rsid w:val="0082175F"/>
    <w:rsid w:val="00826117"/>
    <w:rsid w:val="008329C7"/>
    <w:rsid w:val="00841261"/>
    <w:rsid w:val="0084676E"/>
    <w:rsid w:val="008601F9"/>
    <w:rsid w:val="0086431D"/>
    <w:rsid w:val="0087588F"/>
    <w:rsid w:val="008923BC"/>
    <w:rsid w:val="008B2AB3"/>
    <w:rsid w:val="008C4F39"/>
    <w:rsid w:val="008C7677"/>
    <w:rsid w:val="008F1CC2"/>
    <w:rsid w:val="008F5A62"/>
    <w:rsid w:val="00921B80"/>
    <w:rsid w:val="009355BE"/>
    <w:rsid w:val="00943771"/>
    <w:rsid w:val="0095484F"/>
    <w:rsid w:val="00984480"/>
    <w:rsid w:val="009B2245"/>
    <w:rsid w:val="009B5D18"/>
    <w:rsid w:val="009C0365"/>
    <w:rsid w:val="009C5313"/>
    <w:rsid w:val="009C60E0"/>
    <w:rsid w:val="009D5501"/>
    <w:rsid w:val="009E3565"/>
    <w:rsid w:val="009E5B15"/>
    <w:rsid w:val="00A01650"/>
    <w:rsid w:val="00A06588"/>
    <w:rsid w:val="00A237C4"/>
    <w:rsid w:val="00A245FF"/>
    <w:rsid w:val="00A5208C"/>
    <w:rsid w:val="00A57B7C"/>
    <w:rsid w:val="00A900C1"/>
    <w:rsid w:val="00A90C95"/>
    <w:rsid w:val="00AB2FAC"/>
    <w:rsid w:val="00AB52CE"/>
    <w:rsid w:val="00AC4921"/>
    <w:rsid w:val="00AD134A"/>
    <w:rsid w:val="00AD607B"/>
    <w:rsid w:val="00AE5E48"/>
    <w:rsid w:val="00B30A28"/>
    <w:rsid w:val="00B3552A"/>
    <w:rsid w:val="00B46B07"/>
    <w:rsid w:val="00B61CEE"/>
    <w:rsid w:val="00B7115B"/>
    <w:rsid w:val="00B9112E"/>
    <w:rsid w:val="00BA364C"/>
    <w:rsid w:val="00BA690A"/>
    <w:rsid w:val="00BB231F"/>
    <w:rsid w:val="00BB5D22"/>
    <w:rsid w:val="00BD5441"/>
    <w:rsid w:val="00C11FD8"/>
    <w:rsid w:val="00C27D8D"/>
    <w:rsid w:val="00C6331C"/>
    <w:rsid w:val="00CA7B40"/>
    <w:rsid w:val="00CB0D4B"/>
    <w:rsid w:val="00CB3FC3"/>
    <w:rsid w:val="00CB7D75"/>
    <w:rsid w:val="00CC1087"/>
    <w:rsid w:val="00CD4F22"/>
    <w:rsid w:val="00CF0EC6"/>
    <w:rsid w:val="00D030FF"/>
    <w:rsid w:val="00D033A6"/>
    <w:rsid w:val="00D54D6D"/>
    <w:rsid w:val="00D7058E"/>
    <w:rsid w:val="00D8375C"/>
    <w:rsid w:val="00D841FB"/>
    <w:rsid w:val="00DA1999"/>
    <w:rsid w:val="00DC61E0"/>
    <w:rsid w:val="00DD6DFA"/>
    <w:rsid w:val="00DE70DE"/>
    <w:rsid w:val="00DF1149"/>
    <w:rsid w:val="00DF3253"/>
    <w:rsid w:val="00E041D1"/>
    <w:rsid w:val="00E050FE"/>
    <w:rsid w:val="00E25912"/>
    <w:rsid w:val="00E3052B"/>
    <w:rsid w:val="00E311CC"/>
    <w:rsid w:val="00E35B47"/>
    <w:rsid w:val="00E50FE0"/>
    <w:rsid w:val="00E6337A"/>
    <w:rsid w:val="00E73A8F"/>
    <w:rsid w:val="00E8653A"/>
    <w:rsid w:val="00EA6355"/>
    <w:rsid w:val="00EC2B8B"/>
    <w:rsid w:val="00EC34E2"/>
    <w:rsid w:val="00EC4262"/>
    <w:rsid w:val="00ED4113"/>
    <w:rsid w:val="00EF3C39"/>
    <w:rsid w:val="00EF737F"/>
    <w:rsid w:val="00F206CF"/>
    <w:rsid w:val="00F21F8F"/>
    <w:rsid w:val="00F242D2"/>
    <w:rsid w:val="00F243FF"/>
    <w:rsid w:val="00F275A5"/>
    <w:rsid w:val="00F364A1"/>
    <w:rsid w:val="00F61270"/>
    <w:rsid w:val="00F64A34"/>
    <w:rsid w:val="00F750A7"/>
    <w:rsid w:val="00F87A0E"/>
    <w:rsid w:val="00FC36FC"/>
    <w:rsid w:val="00FD5ED1"/>
    <w:rsid w:val="00FE1043"/>
    <w:rsid w:val="00FE603B"/>
    <w:rsid w:val="00FF6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93C4F"/>
  <w15:docId w15:val="{47F6D99F-B519-1B45-B40B-37E79488D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52E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68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93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8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7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2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3183</Words>
  <Characters>18147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Michael Ajuyah (2245019)</cp:lastModifiedBy>
  <cp:revision>14</cp:revision>
  <dcterms:created xsi:type="dcterms:W3CDTF">2026-03-18T16:45:00Z</dcterms:created>
  <dcterms:modified xsi:type="dcterms:W3CDTF">2026-03-19T00:42:00Z</dcterms:modified>
</cp:coreProperties>
</file>