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C6124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54A37">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596B6C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54A37">
              <w:rPr>
                <w:rFonts w:ascii="Times New Roman" w:hAnsi="Times New Roman" w:cs="Times New Roman"/>
                <w:b/>
                <w:color w:val="auto"/>
                <w:sz w:val="48"/>
              </w:rPr>
              <w:t xml:space="preserve"> Saunders45@icloud.com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F82934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54A37" w:rsidRPr="00550FCF">
              <w:rPr>
                <w:rFonts w:ascii="Times New Roman" w:hAnsi="Times New Roman" w:cs="Times New Roman"/>
                <w:b/>
                <w:bCs/>
                <w:sz w:val="32"/>
                <w:szCs w:val="32"/>
              </w:rPr>
              <w:t xml:space="preserve"> 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FC4447A" w14:textId="77777777" w:rsidR="005963AB" w:rsidRPr="00944307" w:rsidRDefault="005963AB" w:rsidP="005963AB">
            <w:pPr>
              <w:jc w:val="both"/>
              <w:rPr>
                <w:sz w:val="24"/>
                <w:szCs w:val="24"/>
              </w:rPr>
            </w:pPr>
            <w:r w:rsidRPr="00944307">
              <w:rPr>
                <w:sz w:val="24"/>
                <w:szCs w:val="24"/>
              </w:rPr>
              <w:t xml:space="preserve">For the purposes of this reflection, I have chosen an active case from my caseload to discuss. He will be referred to as ‘2’ and his family members will be referred to as ‘3’ and ‘4’ throughout in order to protect </w:t>
            </w:r>
            <w:r>
              <w:rPr>
                <w:sz w:val="24"/>
                <w:szCs w:val="24"/>
              </w:rPr>
              <w:t>their</w:t>
            </w:r>
            <w:r w:rsidRPr="00944307">
              <w:rPr>
                <w:sz w:val="24"/>
                <w:szCs w:val="24"/>
              </w:rPr>
              <w:t xml:space="preserve"> identity</w:t>
            </w:r>
            <w:r>
              <w:rPr>
                <w:sz w:val="24"/>
                <w:szCs w:val="24"/>
              </w:rPr>
              <w:t xml:space="preserve">. 2 is a young gentleman with a diagnosis of a learning disability. He lives independently in a privately rented ground-floor flat which his parents maintain. 2 attended college for a number of years after leaving school in order to develop his independent living skills. Whilst at college, 3 and 4 discovered that 2 would frequently return home complaining that he was hungry as he had not eaten lunch. 3 and 4 were concerned that he was being taken advantage of as they would make sure 2 had enough money each day for lunch, snacks and a drink. Eventually it transpired that 2 would be offering to buy snacks from the vending machine for everyone during the first break in lessons. He would use all of his money to ensure that all of his friends had a chocolate, leaving himself without enough money to buy lunch. 3 and 4 were angry about this and arranged to meet with the college to discuss what was happening. They also spoke with 2 to ensure that he understood the concerns. They explained that whilst it was very kind to want to buy everyone a snack during the break, it was not something he should be doing because the consequence meant that he would be without money to buy his own lunch. 2 appeared to understand that and it was agreed with the college that this be monitored. After this meeting, 2 was in a good routine and found that he had enough money for lunch every day. A few weeks later, 3 and 4 noticed that 2 was snacking a lot more when he returned from college and decided to ask him about this. Another meeting took place with the college and the family whereby 2 was praised for getting back into a good route. 3 and 4 explained the behaviours they had noticed when 2 was returning home from college and he was asked directly about this. 2 was hesitant but eventually informed them </w:t>
            </w:r>
            <w:r>
              <w:rPr>
                <w:sz w:val="24"/>
                <w:szCs w:val="24"/>
              </w:rPr>
              <w:lastRenderedPageBreak/>
              <w:t xml:space="preserve">that one of the girls in his class was coming in without her own money and kept asking him for money. 2 felt that by giving her money, he was becoming close to her and we had to inform him delicately that he was being taken advantage of. After the meeting, his parents decided amongst themselves to manage 2’s finances for him and that they would give him a set daily allowance to be spent on lunch. He was reminded that this was not to be used for anything else. Without a formal capacity assessment regarding his finances, the family agreed that they would manage this informally for the time being. This remained the case for the years that followed and 2 felt happy that his money was being spent on the things he wanted and that his bills were all being managed properly too. When I was first allocated this gentleman, I visited to complete an assessment and this came up in discussion. I spoke with 2 on his own to ensure that he did not feel pressured into any answers regarding his finances and the current arrangements. He was happy for this to continue and admitted that he ‘would give his money away to other people if he was in charge’. Also identified in the assessment was his need for care and support in the community. 3 and 4 were doing a lot for 2 to assist him with his daily living tasks. They would arrive early each morning to ensure he took his medication. They supported him with personal hygiene and dressing. They would also make him breakfast and do his laundry for him.  </w:t>
            </w:r>
          </w:p>
          <w:p w14:paraId="7783BF01" w14:textId="77777777" w:rsidR="005963AB" w:rsidRPr="00944307" w:rsidRDefault="005963AB" w:rsidP="005963AB">
            <w:pPr>
              <w:jc w:val="both"/>
              <w:rPr>
                <w:sz w:val="24"/>
                <w:szCs w:val="24"/>
              </w:rPr>
            </w:pPr>
          </w:p>
          <w:p w14:paraId="14437C88" w14:textId="77777777" w:rsidR="005963AB" w:rsidRDefault="005963AB" w:rsidP="005963AB">
            <w:pPr>
              <w:jc w:val="both"/>
              <w:rPr>
                <w:sz w:val="24"/>
                <w:szCs w:val="24"/>
              </w:rPr>
            </w:pPr>
            <w:r>
              <w:rPr>
                <w:sz w:val="24"/>
                <w:szCs w:val="24"/>
              </w:rPr>
              <w:t xml:space="preserve">Whilst 2 was content that his parents were managing his finances, it became apparent that he was in need of a long term package of care (LTPOC) to assist him with some of his daily living tasks. 2 had suffered a period of depression and this meant that he was not attending community-based groups, visiting friends or even walking to the shops. As a result, he gained a lot of weight and it became increasingly difficult for him to mobilise independently. I explained that 2 was at risk of self-neglect and told him that in order to safeguard him from further potential harm, I would like to coordinate a multiagency approach to ensure he achieves his desired outcome – to regain his independence and mobility. 2 consented to disclosing information to other professional agencies. It was agreed that in order to address some of the concerns around his mobility and independence around the flat, I would request that an occupational therapist attend to complete an assessment around 2’s transitioning and mobilising to ascertain whether any adjustments needed to be made to his flat. I explained that they can also provide equipment to make it easier for him to access the bathroom/shower facilities. </w:t>
            </w:r>
            <w:r w:rsidRPr="00944307">
              <w:rPr>
                <w:sz w:val="24"/>
                <w:szCs w:val="24"/>
              </w:rPr>
              <w:t xml:space="preserve">The British Association of </w:t>
            </w:r>
            <w:r>
              <w:rPr>
                <w:sz w:val="24"/>
                <w:szCs w:val="24"/>
              </w:rPr>
              <w:t xml:space="preserve">Social Work (BASW) outlines a </w:t>
            </w:r>
            <w:r w:rsidRPr="00944307">
              <w:rPr>
                <w:sz w:val="24"/>
                <w:szCs w:val="24"/>
              </w:rPr>
              <w:t>code of ethics</w:t>
            </w:r>
            <w:r>
              <w:rPr>
                <w:sz w:val="24"/>
                <w:szCs w:val="24"/>
              </w:rPr>
              <w:t xml:space="preserve"> for social work professionals</w:t>
            </w:r>
            <w:r w:rsidRPr="00944307">
              <w:rPr>
                <w:sz w:val="24"/>
                <w:szCs w:val="24"/>
              </w:rPr>
              <w:t xml:space="preserve"> and</w:t>
            </w:r>
            <w:r>
              <w:rPr>
                <w:sz w:val="24"/>
                <w:szCs w:val="24"/>
              </w:rPr>
              <w:t xml:space="preserve"> offers a range of other resources </w:t>
            </w:r>
            <w:r w:rsidRPr="00944307">
              <w:rPr>
                <w:sz w:val="24"/>
                <w:szCs w:val="24"/>
              </w:rPr>
              <w:t xml:space="preserve">for social work students </w:t>
            </w:r>
            <w:r>
              <w:rPr>
                <w:sz w:val="24"/>
                <w:szCs w:val="24"/>
              </w:rPr>
              <w:t xml:space="preserve">and practitioners to assist their ongoing </w:t>
            </w:r>
            <w:r w:rsidRPr="00944307">
              <w:rPr>
                <w:sz w:val="24"/>
                <w:szCs w:val="24"/>
              </w:rPr>
              <w:t>stud</w:t>
            </w:r>
            <w:r>
              <w:rPr>
                <w:sz w:val="24"/>
                <w:szCs w:val="24"/>
              </w:rPr>
              <w:t>ies, and to enhance their practice. I am developing a knowledge of the range of services and resources within the local community, in order to provide up to date information to the people I work with. As s</w:t>
            </w:r>
            <w:r w:rsidRPr="00944307">
              <w:rPr>
                <w:sz w:val="24"/>
                <w:szCs w:val="24"/>
              </w:rPr>
              <w:t>ocial work</w:t>
            </w:r>
            <w:r>
              <w:rPr>
                <w:sz w:val="24"/>
                <w:szCs w:val="24"/>
              </w:rPr>
              <w:t xml:space="preserve"> professionals, we act as advocates for the people we work with and I needed to ensure that 2’s voice was being heard when completing my assessment and during discussions separately with his parents. Within this profession we are guided by many pieces of key legislation and follow a framework set out from these legal documents as we go about our practice. We uphold</w:t>
            </w:r>
            <w:r w:rsidRPr="00944307">
              <w:rPr>
                <w:sz w:val="24"/>
                <w:szCs w:val="24"/>
              </w:rPr>
              <w:t xml:space="preserve"> </w:t>
            </w:r>
            <w:r>
              <w:rPr>
                <w:sz w:val="24"/>
                <w:szCs w:val="24"/>
              </w:rPr>
              <w:t xml:space="preserve">a person’s </w:t>
            </w:r>
            <w:r w:rsidRPr="00944307">
              <w:rPr>
                <w:sz w:val="24"/>
                <w:szCs w:val="24"/>
              </w:rPr>
              <w:t>human rights</w:t>
            </w:r>
            <w:r>
              <w:rPr>
                <w:sz w:val="24"/>
                <w:szCs w:val="24"/>
              </w:rPr>
              <w:t xml:space="preserve"> (Human Rights Act, 1998) and stand against s</w:t>
            </w:r>
            <w:r w:rsidRPr="00944307">
              <w:rPr>
                <w:sz w:val="24"/>
                <w:szCs w:val="24"/>
              </w:rPr>
              <w:t>ocial justice</w:t>
            </w:r>
            <w:r>
              <w:rPr>
                <w:sz w:val="24"/>
                <w:szCs w:val="24"/>
              </w:rPr>
              <w:t>s. We act with a</w:t>
            </w:r>
            <w:r w:rsidRPr="00944307">
              <w:rPr>
                <w:sz w:val="24"/>
                <w:szCs w:val="24"/>
              </w:rPr>
              <w:t xml:space="preserve"> professional integrity</w:t>
            </w:r>
            <w:r>
              <w:rPr>
                <w:sz w:val="24"/>
                <w:szCs w:val="24"/>
              </w:rPr>
              <w:t xml:space="preserve"> in order to ensure that people’s voice can be heard and that they have control over the decisions which affect their lives.</w:t>
            </w:r>
            <w:r w:rsidRPr="00944307">
              <w:rPr>
                <w:sz w:val="24"/>
                <w:szCs w:val="24"/>
              </w:rPr>
              <w:t xml:space="preserve"> Social workers also have a responsibility to </w:t>
            </w:r>
            <w:r>
              <w:rPr>
                <w:sz w:val="24"/>
                <w:szCs w:val="24"/>
              </w:rPr>
              <w:t xml:space="preserve">practice in an anti-oppressive and anti-discriminatory way. In doing so, we recognise the many forms of </w:t>
            </w:r>
            <w:r w:rsidRPr="00944307">
              <w:rPr>
                <w:sz w:val="24"/>
                <w:szCs w:val="24"/>
              </w:rPr>
              <w:t>diversity</w:t>
            </w:r>
            <w:r>
              <w:rPr>
                <w:sz w:val="24"/>
                <w:szCs w:val="24"/>
              </w:rPr>
              <w:t xml:space="preserve"> and ensure that individuals are treated with equality</w:t>
            </w:r>
            <w:r w:rsidRPr="00944307">
              <w:rPr>
                <w:sz w:val="24"/>
                <w:szCs w:val="24"/>
              </w:rPr>
              <w:t xml:space="preserve">. Professional integrity </w:t>
            </w:r>
            <w:r>
              <w:rPr>
                <w:sz w:val="24"/>
                <w:szCs w:val="24"/>
              </w:rPr>
              <w:t>places</w:t>
            </w:r>
            <w:r w:rsidRPr="00944307">
              <w:rPr>
                <w:sz w:val="24"/>
                <w:szCs w:val="24"/>
              </w:rPr>
              <w:t xml:space="preserve"> importance </w:t>
            </w:r>
            <w:r>
              <w:rPr>
                <w:sz w:val="24"/>
                <w:szCs w:val="24"/>
              </w:rPr>
              <w:t>in</w:t>
            </w:r>
            <w:r w:rsidRPr="00944307">
              <w:rPr>
                <w:sz w:val="24"/>
                <w:szCs w:val="24"/>
              </w:rPr>
              <w:t xml:space="preserve"> honest</w:t>
            </w:r>
            <w:r>
              <w:rPr>
                <w:sz w:val="24"/>
                <w:szCs w:val="24"/>
              </w:rPr>
              <w:t>y</w:t>
            </w:r>
            <w:r w:rsidRPr="00944307">
              <w:rPr>
                <w:sz w:val="24"/>
                <w:szCs w:val="24"/>
              </w:rPr>
              <w:t>, reliab</w:t>
            </w:r>
            <w:r>
              <w:rPr>
                <w:sz w:val="24"/>
                <w:szCs w:val="24"/>
              </w:rPr>
              <w:t>i</w:t>
            </w:r>
            <w:r w:rsidRPr="00944307">
              <w:rPr>
                <w:sz w:val="24"/>
                <w:szCs w:val="24"/>
              </w:rPr>
              <w:t>l</w:t>
            </w:r>
            <w:r>
              <w:rPr>
                <w:sz w:val="24"/>
                <w:szCs w:val="24"/>
              </w:rPr>
              <w:t xml:space="preserve">ity and maintaining </w:t>
            </w:r>
            <w:r w:rsidRPr="00944307">
              <w:rPr>
                <w:sz w:val="24"/>
                <w:szCs w:val="24"/>
              </w:rPr>
              <w:t>professional boundaries (BASW, 2012)</w:t>
            </w:r>
            <w:r>
              <w:rPr>
                <w:sz w:val="24"/>
                <w:szCs w:val="24"/>
              </w:rPr>
              <w:t xml:space="preserve">. </w:t>
            </w:r>
            <w:r>
              <w:rPr>
                <w:sz w:val="24"/>
                <w:szCs w:val="24"/>
              </w:rPr>
              <w:lastRenderedPageBreak/>
              <w:t xml:space="preserve">Throughout my work with 2, his family and the other professionals involved, I have maintained open lines of communication and ensured that any information communicated is clear and transparent. </w:t>
            </w:r>
          </w:p>
          <w:p w14:paraId="7C0D27EC" w14:textId="77777777" w:rsidR="005963AB" w:rsidRDefault="005963AB" w:rsidP="005963AB">
            <w:pPr>
              <w:jc w:val="both"/>
              <w:rPr>
                <w:sz w:val="24"/>
                <w:szCs w:val="24"/>
              </w:rPr>
            </w:pPr>
          </w:p>
          <w:p w14:paraId="1FC1839E" w14:textId="77777777" w:rsidR="005963AB" w:rsidRDefault="005963AB" w:rsidP="005963AB">
            <w:pPr>
              <w:jc w:val="both"/>
              <w:rPr>
                <w:sz w:val="24"/>
                <w:szCs w:val="24"/>
              </w:rPr>
            </w:pPr>
            <w:r>
              <w:rPr>
                <w:sz w:val="24"/>
                <w:szCs w:val="24"/>
              </w:rPr>
              <w:t xml:space="preserve">Prior to my initial meeting with 2 and his family, I asked them if they would like to conduct their meetings in the Welsh language or to receive correspondence in Welsh. Although this was declined at this time, 3 appreciated the option as she values the language. She informed me that he parents spoke Welsh fluently but that she had not used it for so many years, she felt as though she had lost some of the conversational Welsh. We had a good discussion about the Welsh Measures (2011) and how the ‘Active Offer’ must be a part of our practice with families. She informed me that 2 had never learned and neither had her husband. They stated that their preferred method of communication was verbal communication via the English language, including letters. </w:t>
            </w:r>
          </w:p>
          <w:p w14:paraId="5DE31A0A" w14:textId="77777777" w:rsidR="005963AB" w:rsidRPr="00944307" w:rsidRDefault="005963AB" w:rsidP="005963AB">
            <w:pPr>
              <w:jc w:val="both"/>
              <w:rPr>
                <w:sz w:val="24"/>
                <w:szCs w:val="24"/>
              </w:rPr>
            </w:pPr>
          </w:p>
          <w:p w14:paraId="6C6AE312" w14:textId="77777777" w:rsidR="005963AB" w:rsidRDefault="005963AB" w:rsidP="005963AB">
            <w:pPr>
              <w:jc w:val="both"/>
              <w:rPr>
                <w:sz w:val="24"/>
                <w:szCs w:val="24"/>
              </w:rPr>
            </w:pPr>
            <w:r>
              <w:rPr>
                <w:sz w:val="24"/>
                <w:szCs w:val="24"/>
              </w:rPr>
              <w:t xml:space="preserve">The National Occupational Standards (NOS) are followed by anyone wishing to pursue a career in health and social care. </w:t>
            </w:r>
            <w:r w:rsidRPr="0032542C">
              <w:rPr>
                <w:sz w:val="24"/>
                <w:szCs w:val="24"/>
              </w:rPr>
              <w:t xml:space="preserve">The Code of Professional Practice (CoPP) offers a framework to form good practice for </w:t>
            </w:r>
            <w:r>
              <w:rPr>
                <w:sz w:val="24"/>
                <w:szCs w:val="24"/>
              </w:rPr>
              <w:t xml:space="preserve">health and </w:t>
            </w:r>
            <w:r w:rsidRPr="0032542C">
              <w:rPr>
                <w:sz w:val="24"/>
                <w:szCs w:val="24"/>
              </w:rPr>
              <w:t>social care professionals. There is an emphasis on respect, honesty and integrity throughout the code and this enables professionals to develop strong working relationships. This assists us to build trust and to work collaboratively with the people in receipt of services to enable them to have more control of the decisions that affect their lives. We can empower people to enhance their own well-being but making positive changes which they have identified. The assessment process offers a good opportunity to discuss the aspects of a people’s life that they are enjoying and what they might like to change. In capturing a person’s views and wishes in this way we can evidence a person’s voice and control being heard and acted upon in collaboration with services. ‘Respect the views and wishes, and promote the rights and interests, of individuals and carers’ (CoPP, 2002).</w:t>
            </w:r>
            <w:r>
              <w:rPr>
                <w:sz w:val="24"/>
                <w:szCs w:val="24"/>
              </w:rPr>
              <w:t xml:space="preserve"> Following this framework has enabled me to work closely with 2 and his family during the assessment process. These high standards are an integral part of our studies and careers thereafter. Built from strong social work values, the legislation allows for a smooth transition from student to qualified practitioner. With these skills it is possible to reduce any barriers to engagement and develop good working relationships with the people we support. 3 and 4 were more difficult to engage than 2 as they had had a negative experience with social services in the past. Once they saw that I was willing to provide as much person-centred support as needed, they quickly realised that my intentions were to help their son and were happy to work alongside me to address concerns. </w:t>
            </w:r>
          </w:p>
          <w:p w14:paraId="5B9629E4" w14:textId="77777777" w:rsidR="005963AB" w:rsidRDefault="005963AB" w:rsidP="005963AB">
            <w:pPr>
              <w:jc w:val="both"/>
              <w:rPr>
                <w:sz w:val="24"/>
                <w:szCs w:val="24"/>
              </w:rPr>
            </w:pPr>
          </w:p>
          <w:p w14:paraId="2AD1EF83" w14:textId="77777777" w:rsidR="005963AB" w:rsidRPr="0032542C" w:rsidRDefault="005963AB" w:rsidP="005963AB">
            <w:pPr>
              <w:jc w:val="both"/>
              <w:rPr>
                <w:sz w:val="24"/>
                <w:szCs w:val="24"/>
              </w:rPr>
            </w:pPr>
            <w:r>
              <w:rPr>
                <w:rFonts w:cstheme="minorHAnsi"/>
                <w:sz w:val="24"/>
                <w:szCs w:val="24"/>
              </w:rPr>
              <w:t xml:space="preserve">It is important to gain consent to share certain information as 2 has the right to privacy. The Freedom of Information Act (2000) and </w:t>
            </w:r>
            <w:r w:rsidRPr="00D5730D">
              <w:rPr>
                <w:rFonts w:cstheme="minorHAnsi"/>
                <w:sz w:val="24"/>
                <w:szCs w:val="24"/>
              </w:rPr>
              <w:t>General Data Protection Regulation</w:t>
            </w:r>
            <w:r>
              <w:rPr>
                <w:rFonts w:cstheme="minorHAnsi"/>
                <w:sz w:val="24"/>
                <w:szCs w:val="24"/>
              </w:rPr>
              <w:t>s</w:t>
            </w:r>
            <w:r w:rsidRPr="00D5730D">
              <w:rPr>
                <w:rFonts w:cstheme="minorHAnsi"/>
                <w:sz w:val="24"/>
                <w:szCs w:val="24"/>
              </w:rPr>
              <w:t xml:space="preserve"> (GDPR)</w:t>
            </w:r>
            <w:r>
              <w:rPr>
                <w:rFonts w:cstheme="minorHAnsi"/>
                <w:sz w:val="24"/>
                <w:szCs w:val="24"/>
              </w:rPr>
              <w:t xml:space="preserve"> provides a legal framework which aims to protect a person’s data getting in to the wrong hands. One of the first things I discuss with people I work with is confidentiality as I assure them that discussions which take place between them and I will remain private. However, should they disclose anything which may be a safeguarding concern or be a police matter, then I inform them that I am duty bound to report this immediately to ensure all of the facts are accurate, and to allow the issue to be investigated properly. 2 was happy to discuss things in front of his parents but I explained to them all that I would still like to schedule a meeting every now and then where it is just 2 and I. I assured them that this is not because I do not </w:t>
            </w:r>
            <w:r>
              <w:rPr>
                <w:rFonts w:cstheme="minorHAnsi"/>
                <w:sz w:val="24"/>
                <w:szCs w:val="24"/>
              </w:rPr>
              <w:lastRenderedPageBreak/>
              <w:t xml:space="preserve">trust them, or think that they may be influencing 2’s decision making, but that I needed to ensure I was accurately capturing 2’s views and wishes. All parties were happy for this arrangement. Without actively selecting one theory base to work from, I have naturally been using a range of methods and approaches in order to gain more information and to tailor my support around 2’s needs. </w:t>
            </w:r>
          </w:p>
          <w:p w14:paraId="52DE4CB4" w14:textId="77777777" w:rsidR="005963AB" w:rsidRPr="0032542C" w:rsidRDefault="005963AB" w:rsidP="005963AB">
            <w:pPr>
              <w:jc w:val="both"/>
              <w:rPr>
                <w:sz w:val="24"/>
                <w:szCs w:val="24"/>
              </w:rPr>
            </w:pPr>
          </w:p>
          <w:p w14:paraId="3531869C" w14:textId="77777777" w:rsidR="005963AB" w:rsidRDefault="005963AB" w:rsidP="005963AB">
            <w:pPr>
              <w:jc w:val="both"/>
              <w:rPr>
                <w:sz w:val="24"/>
                <w:szCs w:val="24"/>
              </w:rPr>
            </w:pPr>
            <w:r>
              <w:rPr>
                <w:sz w:val="24"/>
                <w:szCs w:val="24"/>
              </w:rPr>
              <w:t>Systems theory (Bronfenbrenner, 1979) provides some considerations when working with</w:t>
            </w:r>
            <w:r w:rsidRPr="0032542C">
              <w:rPr>
                <w:sz w:val="24"/>
                <w:szCs w:val="24"/>
              </w:rPr>
              <w:t xml:space="preserve"> the person as a whole</w:t>
            </w:r>
            <w:r>
              <w:rPr>
                <w:sz w:val="24"/>
                <w:szCs w:val="24"/>
              </w:rPr>
              <w:t xml:space="preserve"> and encourages us to contemplate external contributing factors such as how the person </w:t>
            </w:r>
            <w:r w:rsidRPr="0032542C">
              <w:rPr>
                <w:sz w:val="24"/>
                <w:szCs w:val="24"/>
              </w:rPr>
              <w:t>interacts with family</w:t>
            </w:r>
            <w:r>
              <w:rPr>
                <w:sz w:val="24"/>
                <w:szCs w:val="24"/>
              </w:rPr>
              <w:t xml:space="preserve"> members</w:t>
            </w:r>
            <w:r w:rsidRPr="0032542C">
              <w:rPr>
                <w:sz w:val="24"/>
                <w:szCs w:val="24"/>
              </w:rPr>
              <w:t xml:space="preserve"> or </w:t>
            </w:r>
            <w:r>
              <w:rPr>
                <w:sz w:val="24"/>
                <w:szCs w:val="24"/>
              </w:rPr>
              <w:t xml:space="preserve">ecologically within their </w:t>
            </w:r>
            <w:r w:rsidRPr="0032542C">
              <w:rPr>
                <w:sz w:val="24"/>
                <w:szCs w:val="24"/>
              </w:rPr>
              <w:t xml:space="preserve">community. This </w:t>
            </w:r>
            <w:r>
              <w:rPr>
                <w:sz w:val="24"/>
                <w:szCs w:val="24"/>
              </w:rPr>
              <w:t>theory base lends itself well to a</w:t>
            </w:r>
            <w:r w:rsidRPr="0032542C">
              <w:rPr>
                <w:sz w:val="24"/>
                <w:szCs w:val="24"/>
              </w:rPr>
              <w:t xml:space="preserve"> person-centred approach</w:t>
            </w:r>
            <w:r>
              <w:rPr>
                <w:sz w:val="24"/>
                <w:szCs w:val="24"/>
              </w:rPr>
              <w:t>,</w:t>
            </w:r>
            <w:r w:rsidRPr="0032542C">
              <w:rPr>
                <w:sz w:val="24"/>
                <w:szCs w:val="24"/>
              </w:rPr>
              <w:t xml:space="preserve"> as the concentration is on the individual and how they choose to engage in services</w:t>
            </w:r>
            <w:r>
              <w:rPr>
                <w:sz w:val="24"/>
                <w:szCs w:val="24"/>
              </w:rPr>
              <w:t xml:space="preserve"> or how they behave when in the company of family members, or in the community (Fook, 2012)</w:t>
            </w:r>
            <w:r w:rsidRPr="0032542C">
              <w:rPr>
                <w:sz w:val="24"/>
                <w:szCs w:val="24"/>
              </w:rPr>
              <w:t xml:space="preserve">. </w:t>
            </w:r>
            <w:r>
              <w:rPr>
                <w:sz w:val="24"/>
                <w:szCs w:val="24"/>
              </w:rPr>
              <w:t>By recognising the different influences in 2’s life, it is possible to identify strengths as we look to plan for positive change within his life. This is known as a</w:t>
            </w:r>
            <w:r w:rsidRPr="0032542C">
              <w:rPr>
                <w:sz w:val="24"/>
                <w:szCs w:val="24"/>
              </w:rPr>
              <w:t xml:space="preserve"> </w:t>
            </w:r>
            <w:r>
              <w:rPr>
                <w:sz w:val="24"/>
                <w:szCs w:val="24"/>
              </w:rPr>
              <w:t xml:space="preserve">strengths-based and </w:t>
            </w:r>
            <w:r w:rsidRPr="0032542C">
              <w:rPr>
                <w:sz w:val="24"/>
                <w:szCs w:val="24"/>
              </w:rPr>
              <w:t xml:space="preserve">solution-focused </w:t>
            </w:r>
            <w:r>
              <w:rPr>
                <w:sz w:val="24"/>
                <w:szCs w:val="24"/>
              </w:rPr>
              <w:t>way of working as it is</w:t>
            </w:r>
            <w:r w:rsidRPr="0032542C">
              <w:rPr>
                <w:sz w:val="24"/>
                <w:szCs w:val="24"/>
              </w:rPr>
              <w:t xml:space="preserve"> geared toward </w:t>
            </w:r>
            <w:r>
              <w:rPr>
                <w:sz w:val="24"/>
                <w:szCs w:val="24"/>
              </w:rPr>
              <w:t xml:space="preserve">a person’s existing </w:t>
            </w:r>
            <w:r w:rsidRPr="0032542C">
              <w:rPr>
                <w:sz w:val="24"/>
                <w:szCs w:val="24"/>
              </w:rPr>
              <w:t>strengths and</w:t>
            </w:r>
            <w:r>
              <w:rPr>
                <w:sz w:val="24"/>
                <w:szCs w:val="24"/>
              </w:rPr>
              <w:t xml:space="preserve"> using them in order to plan to achieve outcomes (Beckett and Homer, 2016)</w:t>
            </w:r>
            <w:r w:rsidRPr="0032542C">
              <w:rPr>
                <w:sz w:val="24"/>
                <w:szCs w:val="24"/>
              </w:rPr>
              <w:t>.</w:t>
            </w:r>
          </w:p>
          <w:p w14:paraId="4805D3C1" w14:textId="77777777" w:rsidR="005963AB" w:rsidRDefault="005963AB" w:rsidP="005963AB">
            <w:pPr>
              <w:jc w:val="both"/>
              <w:rPr>
                <w:sz w:val="24"/>
                <w:szCs w:val="24"/>
              </w:rPr>
            </w:pPr>
            <w:r w:rsidRPr="0032542C">
              <w:rPr>
                <w:sz w:val="24"/>
                <w:szCs w:val="24"/>
              </w:rPr>
              <w:t xml:space="preserve"> </w:t>
            </w:r>
          </w:p>
          <w:p w14:paraId="22997F16" w14:textId="77777777" w:rsidR="005963AB" w:rsidRPr="0032542C" w:rsidRDefault="005963AB" w:rsidP="005963AB">
            <w:pPr>
              <w:jc w:val="both"/>
              <w:rPr>
                <w:sz w:val="24"/>
                <w:szCs w:val="24"/>
              </w:rPr>
            </w:pPr>
            <w:r>
              <w:rPr>
                <w:sz w:val="24"/>
                <w:szCs w:val="24"/>
              </w:rPr>
              <w:t xml:space="preserve">Social learning theory (Bandura, 1977) describes the way in which a person engages in a certain behaviour after having seen another person behave in this way. It is clear to see examples of this from engaging with 2 and his parents. 3 does not display typically maternal behaviours or show affection towards 2 and 4 has a very stern approach when it comes to what support is needed for 2. As a result of his social learning, 2 has a noticeable lack of confidence and will seek approval from his parents. If after a number of attempts he does not receive the reaction he craves, 2 will quickly change his behaviour to ensure 3 and 4 react accordingly. For instance, 3 and 4 have been present during a morning care call. 2 was being encouraged by a member of staff to sit on the edge of his bed, with a view to eventually transition in to his recliner chair for a few hours. When 2 had initially stated that he did not feel confident to sit in the chair this morning, 3 passed a negative comment which reinforced 2’s lack of confidence. Eventually, after the staff member trying to convince him for a considerable time, and with parents making negative comments, 2 began to raise his voice and become very upset. 3 and 4 became more involved and more animated as 2 started to use bad language and threaten to ‘ban’ the carer from his flat. Once the carer had left, the situation quickly settled and 2’s parents were either side of 2’s bed reinforcing the distressed behaviour by commenting on the carers approach, remarking that she was ‘too firm’.  </w:t>
            </w:r>
          </w:p>
          <w:p w14:paraId="75AD3F03" w14:textId="77777777" w:rsidR="005963AB" w:rsidRDefault="005963AB" w:rsidP="005963AB">
            <w:pPr>
              <w:jc w:val="both"/>
              <w:rPr>
                <w:sz w:val="24"/>
                <w:szCs w:val="24"/>
              </w:rPr>
            </w:pPr>
          </w:p>
          <w:p w14:paraId="125755FF" w14:textId="77777777" w:rsidR="005963AB" w:rsidRDefault="005963AB" w:rsidP="005963AB">
            <w:pPr>
              <w:jc w:val="both"/>
              <w:rPr>
                <w:sz w:val="24"/>
                <w:szCs w:val="24"/>
              </w:rPr>
            </w:pPr>
            <w:r>
              <w:rPr>
                <w:sz w:val="24"/>
                <w:szCs w:val="24"/>
              </w:rPr>
              <w:t xml:space="preserve">I feel it is important to mention feminist theory as the staffing ratio within the health and social care sector is predominantly female. Local authorities are working in a far more productive way with consideration of the issues facing female members of staff. Menopause discussion and support groups have been set up as a regular calendar invite so that women who are experiencing difficulties with the menopause have a platform to talk about their symptoms, feelings and how they would like their employer to support them. This invitation is also extended to males members of staff as there is a shared expectation on looking after each other’s wellbeing. If the information is made more readily available to men then we can look at our own behaviours and look at ways to reduce levels of stress during an already turbulent time for our colleagues. In relation to 2’s case, it is very clear that 3 is the matriarch in the family and 2 is more likely to listen to her than his father. </w:t>
            </w:r>
          </w:p>
          <w:p w14:paraId="3B8ACD83" w14:textId="77777777" w:rsidR="005963AB" w:rsidRDefault="005963AB" w:rsidP="005963AB">
            <w:pPr>
              <w:jc w:val="both"/>
              <w:rPr>
                <w:sz w:val="24"/>
                <w:szCs w:val="24"/>
              </w:rPr>
            </w:pPr>
          </w:p>
          <w:p w14:paraId="56FAE511" w14:textId="77777777" w:rsidR="005963AB" w:rsidRPr="0032542C" w:rsidRDefault="005963AB" w:rsidP="005963AB">
            <w:pPr>
              <w:jc w:val="both"/>
              <w:rPr>
                <w:sz w:val="24"/>
                <w:szCs w:val="24"/>
              </w:rPr>
            </w:pPr>
            <w:r w:rsidRPr="00B858FE">
              <w:rPr>
                <w:sz w:val="24"/>
                <w:szCs w:val="24"/>
              </w:rPr>
              <w:t xml:space="preserve">Person-centred theory of personality was </w:t>
            </w:r>
            <w:r>
              <w:rPr>
                <w:sz w:val="24"/>
                <w:szCs w:val="24"/>
              </w:rPr>
              <w:t xml:space="preserve">researched and </w:t>
            </w:r>
            <w:r w:rsidRPr="00B858FE">
              <w:rPr>
                <w:sz w:val="24"/>
                <w:szCs w:val="24"/>
              </w:rPr>
              <w:t xml:space="preserve">developed by Carl Rogers (1959) from </w:t>
            </w:r>
            <w:r>
              <w:rPr>
                <w:sz w:val="24"/>
                <w:szCs w:val="24"/>
              </w:rPr>
              <w:t>his t</w:t>
            </w:r>
            <w:r w:rsidRPr="00B858FE">
              <w:rPr>
                <w:sz w:val="24"/>
                <w:szCs w:val="24"/>
              </w:rPr>
              <w:t>herapeutic</w:t>
            </w:r>
            <w:r>
              <w:rPr>
                <w:sz w:val="24"/>
                <w:szCs w:val="24"/>
              </w:rPr>
              <w:t xml:space="preserve"> work with clients of his practice. He bases his studies</w:t>
            </w:r>
            <w:r w:rsidRPr="00B858FE">
              <w:rPr>
                <w:sz w:val="24"/>
                <w:szCs w:val="24"/>
              </w:rPr>
              <w:t xml:space="preserve"> on the premise that </w:t>
            </w:r>
            <w:r>
              <w:rPr>
                <w:sz w:val="24"/>
                <w:szCs w:val="24"/>
              </w:rPr>
              <w:t>people want</w:t>
            </w:r>
            <w:r w:rsidRPr="00B858FE">
              <w:rPr>
                <w:sz w:val="24"/>
                <w:szCs w:val="24"/>
              </w:rPr>
              <w:t xml:space="preserve"> to grow and to discover their true se</w:t>
            </w:r>
            <w:r>
              <w:rPr>
                <w:sz w:val="24"/>
                <w:szCs w:val="24"/>
              </w:rPr>
              <w:t>lves</w:t>
            </w:r>
            <w:r w:rsidRPr="00B858FE">
              <w:rPr>
                <w:sz w:val="24"/>
                <w:szCs w:val="24"/>
              </w:rPr>
              <w:t xml:space="preserve">. (Rogers, 1959) </w:t>
            </w:r>
            <w:r>
              <w:rPr>
                <w:sz w:val="24"/>
                <w:szCs w:val="24"/>
              </w:rPr>
              <w:t>The</w:t>
            </w:r>
            <w:r w:rsidRPr="00B858FE">
              <w:rPr>
                <w:sz w:val="24"/>
                <w:szCs w:val="24"/>
              </w:rPr>
              <w:t xml:space="preserve"> theory considers the whole person and places them in control of the service and support which they receive. This is supported by key legislation and is highly important when working with adults with learning disabilities. The Human Rights Act (1998) reflects key social work values as its focus is on fairness, respect, equality, dignity and autonomy. The Human Rights Act (1998) and the Equality Act (2010) ensure that people’s basic human rights are respected and that they are treated no less favourably regardless of their gender, sexuality or disability etc. As social work professionals we work in an anti-oppressive and anti-discriminatory way to ensure that no person is treated unfairly and that they have the opportunity to contribute as much as they wish to their community life. The </w:t>
            </w:r>
            <w:r>
              <w:rPr>
                <w:sz w:val="24"/>
                <w:szCs w:val="24"/>
              </w:rPr>
              <w:t>individual’</w:t>
            </w:r>
            <w:r w:rsidRPr="00B858FE">
              <w:rPr>
                <w:sz w:val="24"/>
                <w:szCs w:val="24"/>
              </w:rPr>
              <w:t xml:space="preserve">s views </w:t>
            </w:r>
            <w:r>
              <w:rPr>
                <w:sz w:val="24"/>
                <w:szCs w:val="24"/>
              </w:rPr>
              <w:t xml:space="preserve">are always </w:t>
            </w:r>
            <w:r w:rsidRPr="00B858FE">
              <w:rPr>
                <w:sz w:val="24"/>
                <w:szCs w:val="24"/>
              </w:rPr>
              <w:t xml:space="preserve">obtained </w:t>
            </w:r>
            <w:r>
              <w:rPr>
                <w:sz w:val="24"/>
                <w:szCs w:val="24"/>
              </w:rPr>
              <w:t>during</w:t>
            </w:r>
            <w:r w:rsidRPr="00B858FE">
              <w:rPr>
                <w:sz w:val="24"/>
                <w:szCs w:val="24"/>
              </w:rPr>
              <w:t xml:space="preserve"> the </w:t>
            </w:r>
            <w:r>
              <w:rPr>
                <w:sz w:val="24"/>
                <w:szCs w:val="24"/>
              </w:rPr>
              <w:t xml:space="preserve">intervention or meeting in whatever communication method suits them (Parrott, 2010). </w:t>
            </w:r>
          </w:p>
          <w:p w14:paraId="7232AC24" w14:textId="77777777" w:rsidR="005963AB" w:rsidRPr="00EB5CD6" w:rsidRDefault="005963AB" w:rsidP="005963AB">
            <w:pPr>
              <w:jc w:val="both"/>
              <w:rPr>
                <w:sz w:val="24"/>
                <w:szCs w:val="24"/>
              </w:rPr>
            </w:pPr>
          </w:p>
          <w:p w14:paraId="1D02E1A8" w14:textId="77777777" w:rsidR="005963AB" w:rsidRDefault="005963AB" w:rsidP="005963AB">
            <w:pPr>
              <w:jc w:val="both"/>
              <w:rPr>
                <w:sz w:val="24"/>
                <w:szCs w:val="24"/>
              </w:rPr>
            </w:pPr>
            <w:r>
              <w:rPr>
                <w:sz w:val="24"/>
                <w:szCs w:val="24"/>
              </w:rPr>
              <w:t>In order to address concerns around 2’s peer support group and to build a stronger support network around him</w:t>
            </w:r>
            <w:r w:rsidRPr="00EB5CD6">
              <w:rPr>
                <w:sz w:val="24"/>
                <w:szCs w:val="24"/>
              </w:rPr>
              <w:t xml:space="preserve"> </w:t>
            </w:r>
            <w:r>
              <w:rPr>
                <w:sz w:val="24"/>
                <w:szCs w:val="24"/>
              </w:rPr>
              <w:t>from</w:t>
            </w:r>
            <w:r w:rsidRPr="00EB5CD6">
              <w:rPr>
                <w:sz w:val="24"/>
                <w:szCs w:val="24"/>
              </w:rPr>
              <w:t xml:space="preserve"> exist</w:t>
            </w:r>
            <w:r>
              <w:rPr>
                <w:sz w:val="24"/>
                <w:szCs w:val="24"/>
              </w:rPr>
              <w:t>ing resources</w:t>
            </w:r>
            <w:r w:rsidRPr="00EB5CD6">
              <w:rPr>
                <w:sz w:val="24"/>
                <w:szCs w:val="24"/>
              </w:rPr>
              <w:t xml:space="preserve"> within </w:t>
            </w:r>
            <w:r>
              <w:rPr>
                <w:sz w:val="24"/>
                <w:szCs w:val="24"/>
              </w:rPr>
              <w:t>the</w:t>
            </w:r>
            <w:r w:rsidRPr="00EB5CD6">
              <w:rPr>
                <w:sz w:val="24"/>
                <w:szCs w:val="24"/>
              </w:rPr>
              <w:t xml:space="preserve"> community</w:t>
            </w:r>
            <w:r>
              <w:rPr>
                <w:sz w:val="24"/>
                <w:szCs w:val="24"/>
              </w:rPr>
              <w:t xml:space="preserve">. Firstly, I needed to ensure that communication was open and transparent at all times. There are many different sources of support systems within a person’s </w:t>
            </w:r>
            <w:r w:rsidRPr="00EB5CD6">
              <w:rPr>
                <w:sz w:val="24"/>
                <w:szCs w:val="24"/>
              </w:rPr>
              <w:t>family</w:t>
            </w:r>
            <w:r>
              <w:rPr>
                <w:sz w:val="24"/>
                <w:szCs w:val="24"/>
              </w:rPr>
              <w:t xml:space="preserve"> or </w:t>
            </w:r>
            <w:r w:rsidRPr="00EB5CD6">
              <w:rPr>
                <w:sz w:val="24"/>
                <w:szCs w:val="24"/>
              </w:rPr>
              <w:t>friends</w:t>
            </w:r>
            <w:r>
              <w:rPr>
                <w:sz w:val="24"/>
                <w:szCs w:val="24"/>
              </w:rPr>
              <w:t>hip groups</w:t>
            </w:r>
            <w:r w:rsidRPr="00EB5CD6">
              <w:rPr>
                <w:sz w:val="24"/>
                <w:szCs w:val="24"/>
              </w:rPr>
              <w:t>,</w:t>
            </w:r>
            <w:r>
              <w:rPr>
                <w:sz w:val="24"/>
                <w:szCs w:val="24"/>
              </w:rPr>
              <w:t xml:space="preserve"> in his college</w:t>
            </w:r>
            <w:r w:rsidRPr="00EB5CD6">
              <w:rPr>
                <w:sz w:val="24"/>
                <w:szCs w:val="24"/>
              </w:rPr>
              <w:t xml:space="preserve">, </w:t>
            </w:r>
            <w:r>
              <w:rPr>
                <w:sz w:val="24"/>
                <w:szCs w:val="24"/>
              </w:rPr>
              <w:t>or in</w:t>
            </w:r>
            <w:r w:rsidRPr="00EB5CD6">
              <w:rPr>
                <w:sz w:val="24"/>
                <w:szCs w:val="24"/>
              </w:rPr>
              <w:t xml:space="preserve"> third sector community-based </w:t>
            </w:r>
            <w:r>
              <w:rPr>
                <w:sz w:val="24"/>
                <w:szCs w:val="24"/>
              </w:rPr>
              <w:t xml:space="preserve">groups (Trivithick, 2005). Secondly, I needed to complete a care and support plan. This is an essential working document which outlines what 2’s care and support needs are. It contains specific information regarding they types of tasks he requires support with and how often. It has a timetable of when the support is needed throughout the week and how care staff are requires to prompt 2 when supporting him to complete personal hygiene. For example, verbal prompting, using an item of reference and gesturing, or physical prompting. 2 requires a lot of physical support but can perform certain tasks with verbal prompts. On the care and support plan it also states that 2 ‘loves a chat’ as we felt it was important for care staff to know that he is friendly and enjoys talking. This is written in the plan to make people aware that it is important for 2 to have an opportunity to build those relationships, and it is also to ensure that 2 does not get distracted with chatting as this will make it more likely for him to fall or forget something. </w:t>
            </w:r>
          </w:p>
          <w:p w14:paraId="1297B82F" w14:textId="77777777" w:rsidR="005963AB" w:rsidRDefault="005963AB" w:rsidP="005963AB">
            <w:pPr>
              <w:jc w:val="both"/>
              <w:rPr>
                <w:sz w:val="24"/>
                <w:szCs w:val="24"/>
              </w:rPr>
            </w:pPr>
          </w:p>
          <w:p w14:paraId="6181A7DB" w14:textId="77777777" w:rsidR="005963AB" w:rsidRDefault="005963AB" w:rsidP="005963AB">
            <w:pPr>
              <w:jc w:val="both"/>
              <w:rPr>
                <w:sz w:val="24"/>
                <w:szCs w:val="24"/>
              </w:rPr>
            </w:pPr>
            <w:r>
              <w:rPr>
                <w:sz w:val="24"/>
                <w:szCs w:val="24"/>
              </w:rPr>
              <w:t xml:space="preserve">Attachment theory was developed from studying relationships between children and their parents, it encourages us to look at a person’s life course in order to properly understand their present situation. If a child were to grow up in an environment where they did not feel wanted or loved, this would have an impact on their ability to form healthy or stable relationships as an adult.  2 was adopted as a baby and parents were unaware at first that he had a learning disability. As he grew older they noticed a change in some of his behaviours and it soon became clear that they were not prepared for some of the challenges this may pose. 2 became more aware of his parents disappointment and would try a variety of different ways to seek their approval. The impact this has had on 2’s life and ability to form healthy relationships is evident to see when interacting with his family. </w:t>
            </w:r>
          </w:p>
          <w:p w14:paraId="46117305" w14:textId="77777777" w:rsidR="005963AB" w:rsidRDefault="005963AB" w:rsidP="005963AB">
            <w:pPr>
              <w:jc w:val="both"/>
              <w:rPr>
                <w:sz w:val="24"/>
                <w:szCs w:val="24"/>
              </w:rPr>
            </w:pPr>
          </w:p>
          <w:p w14:paraId="26766753" w14:textId="77777777" w:rsidR="005963AB" w:rsidRDefault="005963AB" w:rsidP="005963AB">
            <w:pPr>
              <w:jc w:val="both"/>
              <w:rPr>
                <w:sz w:val="24"/>
                <w:szCs w:val="24"/>
              </w:rPr>
            </w:pPr>
            <w:r>
              <w:rPr>
                <w:sz w:val="24"/>
                <w:szCs w:val="24"/>
              </w:rPr>
              <w:t xml:space="preserve">Through regular supervision sessions, I have had the opportunity to reflect on what I have done with 2 and his family. My mentor and I discussed what the current situation is and what the plans were for the future. I recognised some of the theoretical approaches I have taken </w:t>
            </w:r>
            <w:r>
              <w:rPr>
                <w:sz w:val="24"/>
                <w:szCs w:val="24"/>
              </w:rPr>
              <w:lastRenderedPageBreak/>
              <w:t xml:space="preserve">along the way without realising it at the time. My mentor enabled me to consider the safeguarding element of 2’s relationship with his parents as we discussed the case in depth. We discuss the differences in some of the legislation which we follow and how other countries have different versions. </w:t>
            </w:r>
          </w:p>
          <w:p w14:paraId="2766B332" w14:textId="77777777" w:rsidR="005963AB" w:rsidRDefault="005963AB" w:rsidP="005963AB">
            <w:pPr>
              <w:jc w:val="both"/>
              <w:rPr>
                <w:sz w:val="24"/>
                <w:szCs w:val="24"/>
              </w:rPr>
            </w:pPr>
          </w:p>
          <w:p w14:paraId="29F5490D" w14:textId="77777777" w:rsidR="005963AB" w:rsidRDefault="005963AB" w:rsidP="005963AB">
            <w:pPr>
              <w:jc w:val="both"/>
              <w:rPr>
                <w:sz w:val="24"/>
                <w:szCs w:val="24"/>
              </w:rPr>
            </w:pPr>
            <w:r>
              <w:rPr>
                <w:sz w:val="24"/>
                <w:szCs w:val="24"/>
              </w:rPr>
              <w:t xml:space="preserve">In Wales, we have specific legislation such as, </w:t>
            </w:r>
            <w:r w:rsidRPr="003F5237">
              <w:rPr>
                <w:sz w:val="24"/>
                <w:szCs w:val="24"/>
              </w:rPr>
              <w:t xml:space="preserve">The Wales Safeguarding Procedures </w:t>
            </w:r>
            <w:r>
              <w:rPr>
                <w:sz w:val="24"/>
                <w:szCs w:val="24"/>
              </w:rPr>
              <w:t>(2019) replaces the All Wales Child Protection Procedures and were introduced in order to provide additional guidance for practitioners as they seek to apply legislation and statutory framework. The Social Services and Well</w:t>
            </w:r>
            <w:r w:rsidRPr="003F5237">
              <w:rPr>
                <w:sz w:val="24"/>
                <w:szCs w:val="24"/>
              </w:rPr>
              <w:t xml:space="preserve">being (Wales) Act </w:t>
            </w:r>
            <w:r>
              <w:rPr>
                <w:sz w:val="24"/>
                <w:szCs w:val="24"/>
              </w:rPr>
              <w:t>(</w:t>
            </w:r>
            <w:r w:rsidRPr="003F5237">
              <w:rPr>
                <w:sz w:val="24"/>
                <w:szCs w:val="24"/>
              </w:rPr>
              <w:t>2014</w:t>
            </w:r>
            <w:r>
              <w:rPr>
                <w:sz w:val="24"/>
                <w:szCs w:val="24"/>
              </w:rPr>
              <w:t>) is the most important piece of legislation which provides duties to assess the needs of children and vulnerable adults, and to safeguard them from harm or abuse</w:t>
            </w:r>
            <w:r w:rsidRPr="003F5237">
              <w:rPr>
                <w:sz w:val="24"/>
                <w:szCs w:val="24"/>
              </w:rPr>
              <w:t xml:space="preserve">. </w:t>
            </w:r>
            <w:r>
              <w:rPr>
                <w:sz w:val="24"/>
                <w:szCs w:val="24"/>
              </w:rPr>
              <w:t xml:space="preserve">This differs from legislation in neighbouring countries. The key comparison being The Social Services and Wellbeing (Wales) Act (2014) provides a duty to make enquiries regarding a child or adult in need of support. This differs in England as under The Care Act (2014), children are not considered. In Wales, the Act has a clear emphasis on co-production and having a collaborative approach to working alongside health professionals. There is a focus on safeguarding and how to improve procedures across Wales too. </w:t>
            </w:r>
          </w:p>
          <w:p w14:paraId="420040EE" w14:textId="77777777" w:rsidR="005963AB" w:rsidRDefault="005963AB" w:rsidP="005963AB">
            <w:pPr>
              <w:jc w:val="both"/>
              <w:rPr>
                <w:sz w:val="24"/>
                <w:szCs w:val="24"/>
              </w:rPr>
            </w:pPr>
          </w:p>
          <w:p w14:paraId="1EC7AFB2" w14:textId="77777777" w:rsidR="005963AB" w:rsidRPr="00BC1AC7" w:rsidRDefault="005963AB" w:rsidP="005963AB">
            <w:pPr>
              <w:jc w:val="both"/>
              <w:rPr>
                <w:sz w:val="24"/>
                <w:szCs w:val="24"/>
              </w:rPr>
            </w:pPr>
            <w:r>
              <w:rPr>
                <w:sz w:val="24"/>
                <w:szCs w:val="24"/>
              </w:rPr>
              <w:t xml:space="preserve">There are many other key pieces of legislation to consider when working in health and social care; Social Services and Wellbeing (Wales) Act (2014) was </w:t>
            </w:r>
            <w:r w:rsidRPr="002C5609">
              <w:rPr>
                <w:sz w:val="24"/>
                <w:szCs w:val="24"/>
              </w:rPr>
              <w:t>introduced in 2016 to reform and simplify the law</w:t>
            </w:r>
            <w:r>
              <w:rPr>
                <w:sz w:val="24"/>
                <w:szCs w:val="24"/>
              </w:rPr>
              <w:t xml:space="preserve">. It builds on existing legislation and new pieces have been produced since its implementation. </w:t>
            </w:r>
            <w:r w:rsidRPr="002C5609">
              <w:rPr>
                <w:sz w:val="24"/>
                <w:szCs w:val="24"/>
              </w:rPr>
              <w:t>Working Together to Safeguard People</w:t>
            </w:r>
            <w:r>
              <w:rPr>
                <w:sz w:val="24"/>
                <w:szCs w:val="24"/>
              </w:rPr>
              <w:t xml:space="preserve"> – a code of safeguarding practice set out by the Welsh Government/Senedd Cymru. The </w:t>
            </w:r>
            <w:r w:rsidRPr="00BC1AC7">
              <w:rPr>
                <w:sz w:val="24"/>
                <w:szCs w:val="24"/>
              </w:rPr>
              <w:t xml:space="preserve">Mental Capacity Act </w:t>
            </w:r>
            <w:r>
              <w:rPr>
                <w:sz w:val="24"/>
                <w:szCs w:val="24"/>
              </w:rPr>
              <w:t>(</w:t>
            </w:r>
            <w:r w:rsidRPr="00BC1AC7">
              <w:rPr>
                <w:sz w:val="24"/>
                <w:szCs w:val="24"/>
              </w:rPr>
              <w:t>2005</w:t>
            </w:r>
            <w:r>
              <w:rPr>
                <w:sz w:val="24"/>
                <w:szCs w:val="24"/>
              </w:rPr>
              <w:t>)</w:t>
            </w:r>
            <w:r w:rsidRPr="00BC1AC7">
              <w:rPr>
                <w:sz w:val="24"/>
                <w:szCs w:val="24"/>
              </w:rPr>
              <w:t xml:space="preserve"> and the Mental Health Act </w:t>
            </w:r>
            <w:r>
              <w:rPr>
                <w:sz w:val="24"/>
                <w:szCs w:val="24"/>
              </w:rPr>
              <w:t>(</w:t>
            </w:r>
            <w:r w:rsidRPr="00BC1AC7">
              <w:rPr>
                <w:sz w:val="24"/>
                <w:szCs w:val="24"/>
              </w:rPr>
              <w:t>1983</w:t>
            </w:r>
            <w:r>
              <w:rPr>
                <w:sz w:val="24"/>
                <w:szCs w:val="24"/>
              </w:rPr>
              <w:t>) are closely linked, along with the</w:t>
            </w:r>
            <w:r w:rsidRPr="00BC1AC7">
              <w:rPr>
                <w:sz w:val="24"/>
                <w:szCs w:val="24"/>
              </w:rPr>
              <w:t xml:space="preserve"> Human Rights Act </w:t>
            </w:r>
            <w:r>
              <w:rPr>
                <w:sz w:val="24"/>
                <w:szCs w:val="24"/>
              </w:rPr>
              <w:t>(</w:t>
            </w:r>
            <w:r w:rsidRPr="00BC1AC7">
              <w:rPr>
                <w:sz w:val="24"/>
                <w:szCs w:val="24"/>
              </w:rPr>
              <w:t>1998</w:t>
            </w:r>
            <w:r>
              <w:rPr>
                <w:sz w:val="24"/>
                <w:szCs w:val="24"/>
              </w:rPr>
              <w:t>) produced by The</w:t>
            </w:r>
            <w:r w:rsidRPr="00BC1AC7">
              <w:rPr>
                <w:sz w:val="24"/>
                <w:szCs w:val="24"/>
              </w:rPr>
              <w:t xml:space="preserve"> European Convention of Human Rights</w:t>
            </w:r>
            <w:r>
              <w:rPr>
                <w:sz w:val="24"/>
                <w:szCs w:val="24"/>
              </w:rPr>
              <w:t xml:space="preserve">. Although not all countries have signed up to this convention, and does not recognise the same basic human rights (Dominelli, 2010). Working with elderly people, I find that completing mental capacity assessments is becoming more frequent as part of my practice. As dementia starts to affect a person’s cognitive ability, families often become concerned regarding some of the choices the person is making. I ensure that some of the key principles of the mental health act are explained to the family and agree to complete a capacity assessment regarding specific decisions. It is important to note that capacity can fluctuate and that an assessment completed today may have a different outcome next week (Hill-Weld, 2011). </w:t>
            </w:r>
          </w:p>
          <w:p w14:paraId="6DAC1335" w14:textId="77777777" w:rsidR="005963AB" w:rsidRDefault="005963AB" w:rsidP="005963AB">
            <w:pPr>
              <w:jc w:val="both"/>
              <w:rPr>
                <w:sz w:val="24"/>
                <w:szCs w:val="24"/>
              </w:rPr>
            </w:pPr>
          </w:p>
          <w:p w14:paraId="7D69C665" w14:textId="77777777" w:rsidR="005963AB" w:rsidRDefault="005963AB" w:rsidP="005963AB">
            <w:pPr>
              <w:jc w:val="both"/>
              <w:rPr>
                <w:sz w:val="24"/>
                <w:szCs w:val="24"/>
              </w:rPr>
            </w:pPr>
            <w:r>
              <w:rPr>
                <w:sz w:val="24"/>
                <w:szCs w:val="24"/>
              </w:rPr>
              <w:t xml:space="preserve">2 had identified that his weight was an issue for him and that he would like to lose some of this weight in order to regain some independence. He is currently confined to a hospital bed in his lounge as he requires an air-flow mattress to reduce the risk of developing sores and a breakdown of his skin integrity. It is written in his care and support plan which foods he likes to eat and some consideration was paid to healthier choices. Carers were offering healthier options when preparing 2’s breakfast and he was happier with it. Eventually, 3 and 4 began offering breakfast before the carers arrived and this was usually an unhealthy option. Care staff feedback to me that 2 had refused yogurt and fruit for breakfast as he had already eaten a pasty given to him by his parents. I arranged a meeting with the family to express my concerns and to inform them that if they were to continue to undermine the healthier dietary options for 2, then I would be making a safeguarding referral as they were essentially making </w:t>
            </w:r>
            <w:r>
              <w:rPr>
                <w:sz w:val="24"/>
                <w:szCs w:val="24"/>
              </w:rPr>
              <w:lastRenderedPageBreak/>
              <w:t xml:space="preserve">the situation worse. They accepted what I said and were supportive in buying healthy foods for 2’s fridge. After some time, 2’s weight decreased slightly and he was proud of himself. </w:t>
            </w:r>
          </w:p>
          <w:p w14:paraId="5DED117E" w14:textId="77777777" w:rsidR="005963AB" w:rsidRDefault="005963AB" w:rsidP="005963AB">
            <w:pPr>
              <w:jc w:val="both"/>
              <w:rPr>
                <w:sz w:val="24"/>
                <w:szCs w:val="24"/>
              </w:rPr>
            </w:pPr>
          </w:p>
          <w:p w14:paraId="6AC4F1E7" w14:textId="77777777" w:rsidR="005963AB" w:rsidRPr="00EB5CD6" w:rsidRDefault="005963AB" w:rsidP="005963AB">
            <w:pPr>
              <w:jc w:val="both"/>
              <w:rPr>
                <w:sz w:val="24"/>
                <w:szCs w:val="24"/>
              </w:rPr>
            </w:pPr>
            <w:r>
              <w:rPr>
                <w:sz w:val="24"/>
                <w:szCs w:val="24"/>
              </w:rPr>
              <w:t xml:space="preserve">A few weeks later, I received an email from the care agency manager outlining concerns around a few matters; 2’s threatening behaviour, 3 and 4’s demands on the staff to get 2 out of bed when he was refusing, and an issue where 2 had been given the wrong medication by 3. They had made a safeguarding referral regarding the medication error and this was promptly investigated by the safeguarding team. I also visited 2 to discuss his threatening behaviour toward staff members and explained that if this continued then the agency would be within their rights to serve notice to withdraw and he would be in effect opting to be without care. I also spoke with parents regarding their demands on staff to be firmer with 2 and to get him out of bed regardless whether he wanted to or not. I informed them that this was not acceptable and that care staff are to encourage 2 out of bed and will not ‘force’ anyone to do anything they do not wish to. I went on to state that if 2 was refusing to engage in support that morning, then the carers would complete their duties on the bed and try again the following day. In order to confirm that 2 had understood what was being said, I used simple sentences and allowed him plenty of time to respond. He asked questions about ‘other agencies’ and I explained that if there were any other agencies available, they would not be available for some time due to the care crisis. We discussed some of the things he was finding difficult with his current care provider and I was able to relay this to them in a diplomatic way to ensure a consistent approach from all members of staff. This worked very well as I was able to listen to 2’s perspective and understand how he would like his care to look. I was also able to reinforce what was written in the care and support plan to him as we agreed a firmer approach but I agreed that this could be discussed with the agency. He told me that he was happy that I was going to speak to them on his behalf. </w:t>
            </w:r>
          </w:p>
          <w:p w14:paraId="208110AC" w14:textId="77777777" w:rsidR="005963AB" w:rsidRDefault="005963AB" w:rsidP="005963AB">
            <w:pPr>
              <w:jc w:val="both"/>
              <w:rPr>
                <w:i/>
                <w:sz w:val="24"/>
                <w:szCs w:val="24"/>
              </w:rPr>
            </w:pPr>
          </w:p>
          <w:p w14:paraId="126963BD" w14:textId="77777777" w:rsidR="005963AB" w:rsidRDefault="005963AB" w:rsidP="005963AB">
            <w:pPr>
              <w:jc w:val="both"/>
              <w:rPr>
                <w:sz w:val="24"/>
                <w:szCs w:val="24"/>
              </w:rPr>
            </w:pPr>
            <w:r>
              <w:rPr>
                <w:sz w:val="24"/>
                <w:szCs w:val="24"/>
              </w:rPr>
              <w:t>(Word count – 4015)</w:t>
            </w:r>
          </w:p>
          <w:p w14:paraId="20370495" w14:textId="79B79501"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4E95B" w14:textId="77777777" w:rsidR="00B51CC9" w:rsidRDefault="00B51CC9">
      <w:r>
        <w:separator/>
      </w:r>
    </w:p>
  </w:endnote>
  <w:endnote w:type="continuationSeparator" w:id="0">
    <w:p w14:paraId="475650A1" w14:textId="77777777" w:rsidR="00B51CC9" w:rsidRDefault="00B51C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7572A8E6" w:rsidR="00A5656A" w:rsidRDefault="00A5656A">
    <w:pPr>
      <w:pStyle w:val="Footer"/>
      <w:jc w:val="right"/>
    </w:pPr>
    <w:r>
      <w:fldChar w:fldCharType="begin"/>
    </w:r>
    <w:r>
      <w:instrText xml:space="preserve"> PAGE   \* MERGEFORMAT </w:instrText>
    </w:r>
    <w:r>
      <w:fldChar w:fldCharType="separate"/>
    </w:r>
    <w:r w:rsidR="00C43281">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918" w14:textId="77777777" w:rsidR="00B51CC9" w:rsidRDefault="00B51CC9">
      <w:r>
        <w:separator/>
      </w:r>
    </w:p>
  </w:footnote>
  <w:footnote w:type="continuationSeparator" w:id="0">
    <w:p w14:paraId="6C0917EB" w14:textId="77777777" w:rsidR="00B51CC9" w:rsidRDefault="00B51C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03287381">
    <w:abstractNumId w:val="1"/>
    <w:lvlOverride w:ilvl="0">
      <w:lvl w:ilvl="0">
        <w:start w:val="1"/>
        <w:numFmt w:val="bullet"/>
        <w:lvlText w:val=""/>
        <w:lvlJc w:val="left"/>
        <w:pPr>
          <w:ind w:left="720" w:hanging="360"/>
        </w:pPr>
        <w:rPr>
          <w:rFonts w:ascii="Symbol" w:hAnsi="Symbol" w:hint="default"/>
        </w:rPr>
      </w:lvl>
    </w:lvlOverride>
  </w:num>
  <w:num w:numId="2" w16cid:durableId="2014216108">
    <w:abstractNumId w:val="22"/>
  </w:num>
  <w:num w:numId="3" w16cid:durableId="1496609215">
    <w:abstractNumId w:val="45"/>
  </w:num>
  <w:num w:numId="4" w16cid:durableId="142234365">
    <w:abstractNumId w:val="47"/>
  </w:num>
  <w:num w:numId="5" w16cid:durableId="2074543178">
    <w:abstractNumId w:val="34"/>
  </w:num>
  <w:num w:numId="6" w16cid:durableId="1395201285">
    <w:abstractNumId w:val="32"/>
  </w:num>
  <w:num w:numId="7" w16cid:durableId="869564044">
    <w:abstractNumId w:val="29"/>
  </w:num>
  <w:num w:numId="8" w16cid:durableId="266043025">
    <w:abstractNumId w:val="30"/>
  </w:num>
  <w:num w:numId="9" w16cid:durableId="243345079">
    <w:abstractNumId w:val="10"/>
  </w:num>
  <w:num w:numId="10" w16cid:durableId="565458257">
    <w:abstractNumId w:val="33"/>
  </w:num>
  <w:num w:numId="11" w16cid:durableId="1566992848">
    <w:abstractNumId w:val="17"/>
  </w:num>
  <w:num w:numId="12" w16cid:durableId="1795903388">
    <w:abstractNumId w:val="16"/>
  </w:num>
  <w:num w:numId="13" w16cid:durableId="891884766">
    <w:abstractNumId w:val="27"/>
  </w:num>
  <w:num w:numId="14" w16cid:durableId="1088884852">
    <w:abstractNumId w:val="8"/>
  </w:num>
  <w:num w:numId="15" w16cid:durableId="2081050742">
    <w:abstractNumId w:val="26"/>
  </w:num>
  <w:num w:numId="16" w16cid:durableId="1528182489">
    <w:abstractNumId w:val="15"/>
  </w:num>
  <w:num w:numId="17" w16cid:durableId="855390196">
    <w:abstractNumId w:val="13"/>
  </w:num>
  <w:num w:numId="18" w16cid:durableId="109736126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74845618">
    <w:abstractNumId w:val="23"/>
  </w:num>
  <w:num w:numId="20" w16cid:durableId="1401639563">
    <w:abstractNumId w:val="18"/>
  </w:num>
  <w:num w:numId="21" w16cid:durableId="1760249336">
    <w:abstractNumId w:val="14"/>
  </w:num>
  <w:num w:numId="22" w16cid:durableId="2028873223">
    <w:abstractNumId w:val="11"/>
  </w:num>
  <w:num w:numId="23" w16cid:durableId="1729457874">
    <w:abstractNumId w:val="28"/>
  </w:num>
  <w:num w:numId="24" w16cid:durableId="2065643364">
    <w:abstractNumId w:val="19"/>
  </w:num>
  <w:num w:numId="25" w16cid:durableId="270824958">
    <w:abstractNumId w:val="41"/>
  </w:num>
  <w:num w:numId="26" w16cid:durableId="1597517101">
    <w:abstractNumId w:val="35"/>
  </w:num>
  <w:num w:numId="27" w16cid:durableId="1887791001">
    <w:abstractNumId w:val="40"/>
  </w:num>
  <w:num w:numId="28" w16cid:durableId="1264729093">
    <w:abstractNumId w:val="20"/>
  </w:num>
  <w:num w:numId="29" w16cid:durableId="1490826030">
    <w:abstractNumId w:val="43"/>
  </w:num>
  <w:num w:numId="30" w16cid:durableId="1511260337">
    <w:abstractNumId w:val="31"/>
  </w:num>
  <w:num w:numId="31" w16cid:durableId="741105243">
    <w:abstractNumId w:val="12"/>
  </w:num>
  <w:num w:numId="32" w16cid:durableId="1553423371">
    <w:abstractNumId w:val="44"/>
  </w:num>
  <w:num w:numId="33" w16cid:durableId="1306427002">
    <w:abstractNumId w:val="39"/>
  </w:num>
  <w:num w:numId="34" w16cid:durableId="1598250702">
    <w:abstractNumId w:val="5"/>
  </w:num>
  <w:num w:numId="35" w16cid:durableId="1775248493">
    <w:abstractNumId w:val="46"/>
  </w:num>
  <w:num w:numId="36" w16cid:durableId="1813063470">
    <w:abstractNumId w:val="42"/>
  </w:num>
  <w:num w:numId="37" w16cid:durableId="1557665970">
    <w:abstractNumId w:val="36"/>
  </w:num>
  <w:num w:numId="38" w16cid:durableId="1305426291">
    <w:abstractNumId w:val="37"/>
  </w:num>
  <w:num w:numId="39" w16cid:durableId="2125534546">
    <w:abstractNumId w:val="4"/>
  </w:num>
  <w:num w:numId="40" w16cid:durableId="1034617286">
    <w:abstractNumId w:val="6"/>
  </w:num>
  <w:num w:numId="41" w16cid:durableId="211966718">
    <w:abstractNumId w:val="25"/>
  </w:num>
  <w:num w:numId="42" w16cid:durableId="1469981289">
    <w:abstractNumId w:val="7"/>
  </w:num>
  <w:num w:numId="43" w16cid:durableId="447969345">
    <w:abstractNumId w:val="3"/>
  </w:num>
  <w:num w:numId="44" w16cid:durableId="1360425993">
    <w:abstractNumId w:val="38"/>
  </w:num>
  <w:num w:numId="45" w16cid:durableId="134027233">
    <w:abstractNumId w:val="0"/>
  </w:num>
  <w:num w:numId="46" w16cid:durableId="1714964569">
    <w:abstractNumId w:val="14"/>
  </w:num>
  <w:num w:numId="47" w16cid:durableId="2030982505">
    <w:abstractNumId w:val="48"/>
  </w:num>
  <w:num w:numId="48" w16cid:durableId="151055647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576">
    <w:abstractNumId w:val="11"/>
  </w:num>
  <w:num w:numId="50" w16cid:durableId="547448582">
    <w:abstractNumId w:val="28"/>
  </w:num>
  <w:num w:numId="51" w16cid:durableId="1803571999">
    <w:abstractNumId w:val="24"/>
  </w:num>
  <w:num w:numId="52" w16cid:durableId="453446028">
    <w:abstractNumId w:val="21"/>
  </w:num>
  <w:num w:numId="53" w16cid:durableId="1338970019">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AE8"/>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5991"/>
    <w:rsid w:val="001F4552"/>
    <w:rsid w:val="002019EB"/>
    <w:rsid w:val="00204B58"/>
    <w:rsid w:val="00205051"/>
    <w:rsid w:val="002060F4"/>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A37"/>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59A"/>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63AB"/>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1CC9"/>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281"/>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634A"/>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1AC"/>
    <w:rsid w:val="00DF2469"/>
    <w:rsid w:val="00DF7899"/>
    <w:rsid w:val="00E0524C"/>
    <w:rsid w:val="00E15751"/>
    <w:rsid w:val="00E17160"/>
    <w:rsid w:val="00E17D41"/>
    <w:rsid w:val="00E231D1"/>
    <w:rsid w:val="00E3288D"/>
    <w:rsid w:val="00E35112"/>
    <w:rsid w:val="00E35BEC"/>
    <w:rsid w:val="00E41A6A"/>
    <w:rsid w:val="00E50821"/>
    <w:rsid w:val="00E51F91"/>
    <w:rsid w:val="00E53672"/>
    <w:rsid w:val="00E5498A"/>
    <w:rsid w:val="00E559CE"/>
    <w:rsid w:val="00E60F42"/>
    <w:rsid w:val="00E66BE5"/>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DE61AC"/>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legds">
    <w:name w:val="legds"/>
    <w:basedOn w:val="DefaultParagraphFont"/>
    <w:rsid w:val="00DE6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01EDBA1-E997-4428-B276-BCE38741E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3685</Words>
  <Characters>21007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SAUNDERS R. (651776)</cp:lastModifiedBy>
  <cp:revision>7</cp:revision>
  <cp:lastPrinted>2020-02-11T19:20:00Z</cp:lastPrinted>
  <dcterms:created xsi:type="dcterms:W3CDTF">2022-10-08T13:39:00Z</dcterms:created>
  <dcterms:modified xsi:type="dcterms:W3CDTF">2023-02-27T10:58:00Z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