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97B29" w:rsidRPr="00C108F4" w:rsidRDefault="00797B29" w:rsidP="00420348">
      <w:pPr>
        <w:jc w:val="center"/>
        <w:rPr>
          <w:rFonts w:ascii="Arial" w:hAnsi="Arial" w:cs="Arial"/>
          <w:b/>
          <w:sz w:val="36"/>
          <w:szCs w:val="36"/>
          <w:u w:val="single"/>
        </w:rPr>
      </w:pPr>
    </w:p>
    <w:p w:rsidR="00420348" w:rsidRPr="00C108F4" w:rsidRDefault="00162781" w:rsidP="00420348">
      <w:pPr>
        <w:jc w:val="center"/>
        <w:rPr>
          <w:rFonts w:ascii="Arial" w:hAnsi="Arial" w:cs="Arial"/>
          <w:b/>
          <w:sz w:val="36"/>
          <w:szCs w:val="36"/>
          <w:u w:val="single"/>
        </w:rPr>
      </w:pPr>
      <w:r w:rsidRPr="00C108F4">
        <w:rPr>
          <w:rFonts w:ascii="Arial" w:hAnsi="Arial" w:cs="Arial"/>
          <w:b/>
          <w:sz w:val="36"/>
          <w:szCs w:val="36"/>
          <w:u w:val="single"/>
        </w:rPr>
        <w:t>Suspect</w:t>
      </w:r>
      <w:r w:rsidR="00842A20" w:rsidRPr="00C108F4">
        <w:rPr>
          <w:rFonts w:ascii="Arial" w:hAnsi="Arial" w:cs="Arial"/>
          <w:b/>
          <w:sz w:val="36"/>
          <w:szCs w:val="36"/>
          <w:u w:val="single"/>
        </w:rPr>
        <w:t xml:space="preserve"> Interview Handling Stolen Goods</w:t>
      </w:r>
      <w:r w:rsidR="000101C6" w:rsidRPr="00C108F4">
        <w:rPr>
          <w:rFonts w:ascii="Arial" w:hAnsi="Arial" w:cs="Arial"/>
          <w:b/>
          <w:sz w:val="36"/>
          <w:szCs w:val="36"/>
          <w:u w:val="single"/>
        </w:rPr>
        <w:t xml:space="preserve"> Task Sheet</w:t>
      </w:r>
    </w:p>
    <w:p w:rsidR="00420348" w:rsidRPr="00C108F4" w:rsidRDefault="005B296D" w:rsidP="00420348">
      <w:pPr>
        <w:jc w:val="center"/>
        <w:rPr>
          <w:rFonts w:ascii="Arial" w:hAnsi="Arial" w:cs="Arial"/>
          <w:b/>
          <w:sz w:val="36"/>
          <w:szCs w:val="36"/>
          <w:u w:val="single"/>
        </w:rPr>
      </w:pPr>
      <w:r w:rsidRPr="00C108F4">
        <w:rPr>
          <w:rFonts w:ascii="Arial" w:hAnsi="Arial" w:cs="Arial"/>
          <w:b/>
          <w:sz w:val="36"/>
          <w:szCs w:val="36"/>
          <w:u w:val="single"/>
        </w:rPr>
        <w:t>Scenario 8 Handling Stolen Goods</w:t>
      </w:r>
      <w:r w:rsidR="001233A1" w:rsidRPr="00C108F4">
        <w:rPr>
          <w:rFonts w:ascii="Arial" w:hAnsi="Arial" w:cs="Arial"/>
          <w:b/>
          <w:sz w:val="36"/>
          <w:szCs w:val="36"/>
          <w:u w:val="single"/>
        </w:rPr>
        <w:t xml:space="preserve"> </w:t>
      </w:r>
      <w:r w:rsidR="00933CE1" w:rsidRPr="00C108F4">
        <w:rPr>
          <w:rFonts w:ascii="Arial" w:hAnsi="Arial" w:cs="Arial"/>
          <w:b/>
          <w:sz w:val="36"/>
          <w:szCs w:val="36"/>
          <w:u w:val="single"/>
        </w:rPr>
        <w:t>–</w:t>
      </w:r>
      <w:r w:rsidR="001233A1" w:rsidRPr="00C108F4">
        <w:rPr>
          <w:rFonts w:ascii="Arial" w:hAnsi="Arial" w:cs="Arial"/>
          <w:b/>
          <w:sz w:val="36"/>
          <w:szCs w:val="36"/>
          <w:u w:val="single"/>
        </w:rPr>
        <w:t xml:space="preserve"> </w:t>
      </w:r>
      <w:r w:rsidR="00FB47BD" w:rsidRPr="00C108F4">
        <w:rPr>
          <w:rFonts w:ascii="Arial" w:hAnsi="Arial" w:cs="Arial"/>
          <w:b/>
          <w:sz w:val="36"/>
          <w:szCs w:val="36"/>
          <w:u w:val="single"/>
        </w:rPr>
        <w:t xml:space="preserve">Suspect </w:t>
      </w:r>
      <w:r w:rsidR="000101C6" w:rsidRPr="00C108F4">
        <w:rPr>
          <w:rFonts w:ascii="Arial" w:hAnsi="Arial" w:cs="Arial"/>
          <w:b/>
          <w:sz w:val="36"/>
          <w:szCs w:val="36"/>
          <w:u w:val="single"/>
        </w:rPr>
        <w:t>brief</w:t>
      </w:r>
    </w:p>
    <w:p w:rsidR="00425416" w:rsidRDefault="00425416" w:rsidP="00425416">
      <w:pPr>
        <w:spacing w:after="0" w:line="360" w:lineRule="auto"/>
        <w:rPr>
          <w:rFonts w:ascii="Arial" w:eastAsia="Times New Roman" w:hAnsi="Arial" w:cs="Arial"/>
          <w:b/>
          <w:sz w:val="28"/>
          <w:szCs w:val="28"/>
          <w:u w:val="single"/>
          <w:lang w:eastAsia="en-GB"/>
        </w:rPr>
      </w:pPr>
    </w:p>
    <w:p w:rsidR="00FB47BD" w:rsidRPr="00FB47BD" w:rsidRDefault="00FB47BD" w:rsidP="00FB47BD">
      <w:pPr>
        <w:spacing w:after="0" w:line="360" w:lineRule="auto"/>
        <w:rPr>
          <w:rFonts w:ascii="Arial" w:eastAsia="Times New Roman" w:hAnsi="Arial" w:cs="Arial"/>
          <w:b/>
          <w:sz w:val="24"/>
          <w:szCs w:val="24"/>
          <w:lang w:eastAsia="en-GB"/>
        </w:rPr>
      </w:pPr>
      <w:r w:rsidRPr="00FB47BD">
        <w:rPr>
          <w:rFonts w:ascii="Arial" w:eastAsia="Times New Roman" w:hAnsi="Arial" w:cs="Arial"/>
          <w:b/>
          <w:sz w:val="24"/>
          <w:szCs w:val="24"/>
          <w:lang w:eastAsia="en-GB"/>
        </w:rPr>
        <w:t>Suspect: Use your own details</w:t>
      </w:r>
    </w:p>
    <w:p w:rsidR="00FB47BD" w:rsidRPr="00BF3043" w:rsidRDefault="00BF3043" w:rsidP="00FB47BD">
      <w:pPr>
        <w:spacing w:after="0" w:line="360" w:lineRule="auto"/>
        <w:rPr>
          <w:rFonts w:ascii="Arial" w:eastAsia="Times New Roman" w:hAnsi="Arial" w:cs="Arial"/>
          <w:b/>
          <w:sz w:val="24"/>
          <w:szCs w:val="24"/>
          <w:lang w:eastAsia="en-GB"/>
        </w:rPr>
      </w:pPr>
      <w:r>
        <w:rPr>
          <w:rFonts w:ascii="Arial" w:eastAsia="Times New Roman" w:hAnsi="Arial" w:cs="Arial"/>
          <w:sz w:val="24"/>
          <w:szCs w:val="24"/>
          <w:lang w:eastAsia="en-GB"/>
        </w:rPr>
        <w:tab/>
      </w:r>
      <w:r>
        <w:rPr>
          <w:rFonts w:ascii="Arial" w:eastAsia="Times New Roman" w:hAnsi="Arial" w:cs="Arial"/>
          <w:sz w:val="24"/>
          <w:szCs w:val="24"/>
          <w:lang w:eastAsia="en-GB"/>
        </w:rPr>
        <w:tab/>
      </w:r>
      <w:r>
        <w:rPr>
          <w:rFonts w:ascii="Arial" w:eastAsia="Times New Roman" w:hAnsi="Arial" w:cs="Arial"/>
          <w:sz w:val="24"/>
          <w:szCs w:val="24"/>
          <w:lang w:eastAsia="en-GB"/>
        </w:rPr>
        <w:tab/>
      </w:r>
      <w:bookmarkStart w:id="0" w:name="_GoBack"/>
      <w:bookmarkEnd w:id="0"/>
      <w:r>
        <w:rPr>
          <w:rFonts w:ascii="Arial" w:eastAsia="Times New Roman" w:hAnsi="Arial" w:cs="Arial"/>
          <w:sz w:val="24"/>
          <w:szCs w:val="24"/>
          <w:lang w:eastAsia="en-GB"/>
        </w:rPr>
        <w:tab/>
      </w:r>
      <w:r w:rsidRPr="00BF3043">
        <w:rPr>
          <w:rFonts w:ascii="Arial" w:eastAsia="Times New Roman" w:hAnsi="Arial" w:cs="Arial"/>
          <w:b/>
          <w:sz w:val="24"/>
          <w:szCs w:val="24"/>
          <w:highlight w:val="cyan"/>
          <w:lang w:eastAsia="en-GB"/>
        </w:rPr>
        <w:t>*** WATCH VIDEO ***</w:t>
      </w:r>
    </w:p>
    <w:p w:rsidR="00BF3043" w:rsidRDefault="00BF3043" w:rsidP="00FB47BD">
      <w:pPr>
        <w:spacing w:after="0" w:line="360" w:lineRule="auto"/>
        <w:rPr>
          <w:rFonts w:ascii="Arial" w:eastAsia="Times New Roman" w:hAnsi="Arial" w:cs="Arial"/>
          <w:sz w:val="24"/>
          <w:szCs w:val="24"/>
          <w:lang w:eastAsia="en-GB"/>
        </w:rPr>
      </w:pPr>
    </w:p>
    <w:p w:rsidR="00FB47BD" w:rsidRDefault="00FB47BD" w:rsidP="00FB47BD">
      <w:pPr>
        <w:spacing w:after="0" w:line="360" w:lineRule="auto"/>
        <w:rPr>
          <w:rFonts w:ascii="Arial" w:eastAsia="Times New Roman" w:hAnsi="Arial" w:cs="Arial"/>
          <w:sz w:val="24"/>
          <w:szCs w:val="24"/>
          <w:lang w:eastAsia="en-GB"/>
        </w:rPr>
      </w:pPr>
      <w:r w:rsidRPr="00FB47BD">
        <w:rPr>
          <w:rFonts w:ascii="Arial" w:eastAsia="Times New Roman" w:hAnsi="Arial" w:cs="Arial"/>
          <w:b/>
          <w:sz w:val="24"/>
          <w:szCs w:val="24"/>
          <w:lang w:eastAsia="en-GB"/>
        </w:rPr>
        <w:t>Caution Reply</w:t>
      </w:r>
      <w:r>
        <w:rPr>
          <w:rFonts w:ascii="Arial" w:eastAsia="Times New Roman" w:hAnsi="Arial" w:cs="Arial"/>
          <w:sz w:val="24"/>
          <w:szCs w:val="24"/>
          <w:lang w:eastAsia="en-GB"/>
        </w:rPr>
        <w:t>;</w:t>
      </w:r>
    </w:p>
    <w:p w:rsidR="00FB47BD" w:rsidRDefault="00FB47BD" w:rsidP="00FB47BD">
      <w:pPr>
        <w:spacing w:after="0" w:line="360" w:lineRule="auto"/>
        <w:rPr>
          <w:rFonts w:ascii="Arial" w:eastAsia="Times New Roman" w:hAnsi="Arial" w:cs="Arial"/>
          <w:sz w:val="24"/>
          <w:szCs w:val="24"/>
          <w:lang w:eastAsia="en-GB"/>
        </w:rPr>
      </w:pPr>
    </w:p>
    <w:p w:rsidR="00FB47BD" w:rsidRDefault="00FB47BD" w:rsidP="00FB47BD">
      <w:pPr>
        <w:spacing w:after="0" w:line="360" w:lineRule="auto"/>
        <w:rPr>
          <w:rFonts w:ascii="Arial" w:eastAsia="Times New Roman" w:hAnsi="Arial" w:cs="Arial"/>
          <w:b/>
          <w:sz w:val="24"/>
          <w:szCs w:val="24"/>
          <w:lang w:eastAsia="en-GB"/>
        </w:rPr>
      </w:pPr>
      <w:r>
        <w:rPr>
          <w:rFonts w:ascii="Arial" w:eastAsia="Times New Roman" w:hAnsi="Arial" w:cs="Arial"/>
          <w:sz w:val="24"/>
          <w:szCs w:val="24"/>
          <w:lang w:eastAsia="en-GB"/>
        </w:rPr>
        <w:t>“</w:t>
      </w:r>
      <w:r w:rsidR="00E457DA">
        <w:rPr>
          <w:rFonts w:ascii="Arial" w:eastAsia="Times New Roman" w:hAnsi="Arial" w:cs="Arial"/>
          <w:b/>
          <w:sz w:val="24"/>
          <w:szCs w:val="24"/>
          <w:lang w:eastAsia="en-GB"/>
        </w:rPr>
        <w:t>WHAT YOU ON ABOUT</w:t>
      </w:r>
      <w:r>
        <w:rPr>
          <w:rFonts w:ascii="Arial" w:eastAsia="Times New Roman" w:hAnsi="Arial" w:cs="Arial"/>
          <w:b/>
          <w:sz w:val="24"/>
          <w:szCs w:val="24"/>
          <w:lang w:eastAsia="en-GB"/>
        </w:rPr>
        <w:t>”</w:t>
      </w:r>
    </w:p>
    <w:p w:rsidR="00FB47BD" w:rsidRPr="00CF6A25" w:rsidRDefault="00FB47BD" w:rsidP="00FB47BD">
      <w:pPr>
        <w:spacing w:after="0" w:line="360" w:lineRule="auto"/>
        <w:rPr>
          <w:rFonts w:ascii="Arial" w:eastAsia="Times New Roman" w:hAnsi="Arial" w:cs="Arial"/>
          <w:b/>
          <w:sz w:val="24"/>
          <w:szCs w:val="24"/>
          <w:lang w:eastAsia="en-GB"/>
        </w:rPr>
      </w:pPr>
    </w:p>
    <w:p w:rsidR="00FB47BD" w:rsidRDefault="00FB47BD" w:rsidP="00FB47BD">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You are a local and enjoy a bit of buying and selling, you don’t ask any questions and will buy anything that seems a good deal and sell i</w:t>
      </w:r>
      <w:r w:rsidR="004E4616">
        <w:rPr>
          <w:rFonts w:ascii="Arial" w:eastAsia="Times New Roman" w:hAnsi="Arial" w:cs="Arial"/>
          <w:sz w:val="24"/>
          <w:szCs w:val="24"/>
          <w:lang w:eastAsia="en-GB"/>
        </w:rPr>
        <w:t>t at a p</w:t>
      </w:r>
      <w:r w:rsidR="00C108F4">
        <w:rPr>
          <w:rFonts w:ascii="Arial" w:eastAsia="Times New Roman" w:hAnsi="Arial" w:cs="Arial"/>
          <w:sz w:val="24"/>
          <w:szCs w:val="24"/>
          <w:lang w:eastAsia="en-GB"/>
        </w:rPr>
        <w:t>rofit on your stall in Bridgend</w:t>
      </w:r>
      <w:r w:rsidR="004E4616">
        <w:rPr>
          <w:rFonts w:ascii="Arial" w:eastAsia="Times New Roman" w:hAnsi="Arial" w:cs="Arial"/>
          <w:sz w:val="24"/>
          <w:szCs w:val="24"/>
          <w:lang w:eastAsia="en-GB"/>
        </w:rPr>
        <w:t xml:space="preserve"> market</w:t>
      </w:r>
      <w:r w:rsidR="00262538">
        <w:rPr>
          <w:rFonts w:ascii="Arial" w:eastAsia="Times New Roman" w:hAnsi="Arial" w:cs="Arial"/>
          <w:sz w:val="24"/>
          <w:szCs w:val="24"/>
          <w:lang w:eastAsia="en-GB"/>
        </w:rPr>
        <w:t xml:space="preserve"> – THE BARGAIN BOOTH</w:t>
      </w:r>
      <w:r>
        <w:rPr>
          <w:rFonts w:ascii="Arial" w:eastAsia="Times New Roman" w:hAnsi="Arial" w:cs="Arial"/>
          <w:sz w:val="24"/>
          <w:szCs w:val="24"/>
          <w:lang w:eastAsia="en-GB"/>
        </w:rPr>
        <w:t>.</w:t>
      </w:r>
    </w:p>
    <w:p w:rsidR="00FB47BD" w:rsidRDefault="00FB47BD" w:rsidP="00FB47BD">
      <w:pPr>
        <w:spacing w:after="0" w:line="360" w:lineRule="auto"/>
        <w:rPr>
          <w:rFonts w:ascii="Arial" w:eastAsia="Times New Roman" w:hAnsi="Arial" w:cs="Arial"/>
          <w:sz w:val="24"/>
          <w:szCs w:val="24"/>
          <w:lang w:eastAsia="en-GB"/>
        </w:rPr>
      </w:pPr>
    </w:p>
    <w:p w:rsidR="00C108F4" w:rsidRDefault="00FB47BD" w:rsidP="00C108F4">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You bought the </w:t>
      </w:r>
      <w:r w:rsidR="00C108F4">
        <w:rPr>
          <w:rFonts w:ascii="Arial" w:eastAsia="Times New Roman" w:hAnsi="Arial" w:cs="Arial"/>
          <w:sz w:val="24"/>
          <w:szCs w:val="24"/>
          <w:lang w:eastAsia="en-GB"/>
        </w:rPr>
        <w:t>NavMan</w:t>
      </w:r>
      <w:r>
        <w:rPr>
          <w:rFonts w:ascii="Arial" w:eastAsia="Times New Roman" w:hAnsi="Arial" w:cs="Arial"/>
          <w:sz w:val="24"/>
          <w:szCs w:val="24"/>
          <w:lang w:eastAsia="en-GB"/>
        </w:rPr>
        <w:t xml:space="preserve"> sat nav for £25 from a person in the pub</w:t>
      </w:r>
      <w:r w:rsidR="00262538">
        <w:rPr>
          <w:rFonts w:ascii="Arial" w:eastAsia="Times New Roman" w:hAnsi="Arial" w:cs="Arial"/>
          <w:sz w:val="24"/>
          <w:szCs w:val="24"/>
          <w:lang w:eastAsia="en-GB"/>
        </w:rPr>
        <w:t xml:space="preserve"> on Monday evening</w:t>
      </w:r>
      <w:r>
        <w:rPr>
          <w:rFonts w:ascii="Arial" w:eastAsia="Times New Roman" w:hAnsi="Arial" w:cs="Arial"/>
          <w:sz w:val="24"/>
          <w:szCs w:val="24"/>
          <w:lang w:eastAsia="en-GB"/>
        </w:rPr>
        <w:t xml:space="preserve"> and you will refuse to name this person.</w:t>
      </w:r>
      <w:r w:rsidR="00C108F4">
        <w:rPr>
          <w:rFonts w:ascii="Arial" w:eastAsia="Times New Roman" w:hAnsi="Arial" w:cs="Arial"/>
          <w:sz w:val="24"/>
          <w:szCs w:val="24"/>
          <w:lang w:eastAsia="en-GB"/>
        </w:rPr>
        <w:t xml:space="preserve">  If pushed about the identification of the person you state “I’M NOT A GRASS”</w:t>
      </w:r>
    </w:p>
    <w:p w:rsidR="00FB47BD" w:rsidRDefault="00FB47BD" w:rsidP="00FB47BD">
      <w:pPr>
        <w:spacing w:after="0" w:line="360" w:lineRule="auto"/>
        <w:rPr>
          <w:rFonts w:ascii="Arial" w:eastAsia="Times New Roman" w:hAnsi="Arial" w:cs="Arial"/>
          <w:sz w:val="24"/>
          <w:szCs w:val="24"/>
          <w:lang w:eastAsia="en-GB"/>
        </w:rPr>
      </w:pPr>
    </w:p>
    <w:p w:rsidR="00C108F4" w:rsidRPr="00225788" w:rsidRDefault="00552CAA" w:rsidP="00C108F4">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You know that the Sat Nav</w:t>
      </w:r>
      <w:r w:rsidR="00FB47BD">
        <w:rPr>
          <w:rFonts w:ascii="Arial" w:eastAsia="Times New Roman" w:hAnsi="Arial" w:cs="Arial"/>
          <w:sz w:val="24"/>
          <w:szCs w:val="24"/>
          <w:lang w:eastAsia="en-GB"/>
        </w:rPr>
        <w:t xml:space="preserve"> is probably stolen but you don’t care but you won’t admit that in interview. </w:t>
      </w:r>
      <w:r w:rsidR="00C108F4">
        <w:rPr>
          <w:rFonts w:ascii="Arial" w:eastAsia="Times New Roman" w:hAnsi="Arial" w:cs="Arial"/>
          <w:sz w:val="24"/>
          <w:szCs w:val="24"/>
          <w:lang w:eastAsia="en-GB"/>
        </w:rPr>
        <w:t xml:space="preserve">You admit you perhaps should have checked but thought it was alright just to try to make some money. </w:t>
      </w:r>
    </w:p>
    <w:p w:rsidR="00C108F4" w:rsidRDefault="00C108F4" w:rsidP="00FB47BD">
      <w:pPr>
        <w:spacing w:after="0" w:line="360" w:lineRule="auto"/>
        <w:rPr>
          <w:rFonts w:ascii="Arial" w:eastAsia="Times New Roman" w:hAnsi="Arial" w:cs="Arial"/>
          <w:sz w:val="24"/>
          <w:szCs w:val="24"/>
          <w:lang w:eastAsia="en-GB"/>
        </w:rPr>
      </w:pPr>
    </w:p>
    <w:p w:rsidR="00C108F4" w:rsidRDefault="00C108F4" w:rsidP="00FB47BD">
      <w:pPr>
        <w:spacing w:after="0" w:line="360" w:lineRule="auto"/>
        <w:rPr>
          <w:rFonts w:ascii="Arial" w:eastAsia="Times New Roman" w:hAnsi="Arial" w:cs="Arial"/>
          <w:sz w:val="24"/>
          <w:szCs w:val="24"/>
          <w:lang w:eastAsia="en-GB"/>
        </w:rPr>
      </w:pPr>
    </w:p>
    <w:p w:rsidR="00C108F4" w:rsidRDefault="00C108F4" w:rsidP="00FB47BD">
      <w:pPr>
        <w:spacing w:after="0" w:line="360" w:lineRule="auto"/>
        <w:rPr>
          <w:rFonts w:ascii="Arial" w:eastAsia="Times New Roman" w:hAnsi="Arial" w:cs="Arial"/>
          <w:sz w:val="24"/>
          <w:szCs w:val="24"/>
          <w:lang w:eastAsia="en-GB"/>
        </w:rPr>
      </w:pPr>
    </w:p>
    <w:p w:rsidR="00C108F4" w:rsidRDefault="00C108F4" w:rsidP="00FB47BD">
      <w:pPr>
        <w:spacing w:after="0" w:line="360" w:lineRule="auto"/>
        <w:rPr>
          <w:rFonts w:ascii="Arial" w:eastAsia="Times New Roman" w:hAnsi="Arial" w:cs="Arial"/>
          <w:sz w:val="24"/>
          <w:szCs w:val="24"/>
          <w:lang w:eastAsia="en-GB"/>
        </w:rPr>
      </w:pPr>
    </w:p>
    <w:p w:rsidR="00FB47BD" w:rsidRDefault="00FB47BD" w:rsidP="00FB47BD">
      <w:pPr>
        <w:spacing w:after="0" w:line="360" w:lineRule="auto"/>
        <w:rPr>
          <w:rFonts w:ascii="Arial" w:eastAsia="Times New Roman" w:hAnsi="Arial" w:cs="Arial"/>
          <w:sz w:val="24"/>
          <w:szCs w:val="24"/>
          <w:lang w:eastAsia="en-GB"/>
        </w:rPr>
      </w:pPr>
    </w:p>
    <w:p w:rsidR="00C00D21" w:rsidRDefault="00C00D21">
      <w:pPr>
        <w:rPr>
          <w:b/>
          <w:sz w:val="28"/>
          <w:szCs w:val="28"/>
          <w:u w:val="single"/>
        </w:rPr>
      </w:pPr>
    </w:p>
    <w:p w:rsidR="00C108F4" w:rsidRDefault="00C108F4">
      <w:pPr>
        <w:rPr>
          <w:b/>
          <w:sz w:val="28"/>
          <w:szCs w:val="28"/>
          <w:u w:val="single"/>
        </w:rPr>
      </w:pPr>
    </w:p>
    <w:p w:rsidR="00C108F4" w:rsidRDefault="00C108F4" w:rsidP="00646163">
      <w:pPr>
        <w:spacing w:line="360" w:lineRule="auto"/>
        <w:rPr>
          <w:rFonts w:ascii="Arial" w:hAnsi="Arial" w:cs="Arial"/>
          <w:b/>
          <w:sz w:val="28"/>
          <w:szCs w:val="28"/>
          <w:u w:val="single"/>
        </w:rPr>
      </w:pPr>
    </w:p>
    <w:p w:rsidR="00BD1C22" w:rsidRPr="00C108F4" w:rsidRDefault="004900BD" w:rsidP="00646163">
      <w:pPr>
        <w:spacing w:line="360" w:lineRule="auto"/>
        <w:rPr>
          <w:rFonts w:ascii="Arial" w:hAnsi="Arial" w:cs="Arial"/>
          <w:noProof/>
          <w:lang w:eastAsia="en-GB"/>
        </w:rPr>
      </w:pPr>
      <w:r w:rsidRPr="00C108F4">
        <w:rPr>
          <w:rFonts w:ascii="Arial" w:hAnsi="Arial" w:cs="Arial"/>
          <w:b/>
          <w:sz w:val="28"/>
          <w:szCs w:val="28"/>
          <w:u w:val="single"/>
        </w:rPr>
        <w:t>Aims of the Scenario</w:t>
      </w:r>
    </w:p>
    <w:p w:rsidR="004900BD" w:rsidRPr="00C108F4" w:rsidRDefault="004900BD">
      <w:pPr>
        <w:rPr>
          <w:rFonts w:ascii="Arial" w:hAnsi="Arial" w:cs="Arial"/>
          <w:sz w:val="24"/>
          <w:szCs w:val="24"/>
        </w:rPr>
      </w:pPr>
    </w:p>
    <w:p w:rsidR="004900BD" w:rsidRPr="00C108F4" w:rsidRDefault="004900BD" w:rsidP="004900BD">
      <w:pPr>
        <w:pStyle w:val="ListParagraph"/>
        <w:numPr>
          <w:ilvl w:val="0"/>
          <w:numId w:val="13"/>
        </w:numPr>
        <w:rPr>
          <w:rFonts w:ascii="Arial" w:hAnsi="Arial" w:cs="Arial"/>
          <w:sz w:val="28"/>
          <w:szCs w:val="28"/>
        </w:rPr>
      </w:pPr>
      <w:r w:rsidRPr="00C108F4">
        <w:rPr>
          <w:rFonts w:ascii="Arial" w:hAnsi="Arial" w:cs="Arial"/>
          <w:sz w:val="28"/>
          <w:szCs w:val="28"/>
        </w:rPr>
        <w:t>The aim of investigative interviewing is to obtain accurate and reliable accounts from victims, witnesses or suspects about matters under police investigation.</w:t>
      </w:r>
    </w:p>
    <w:p w:rsidR="004900BD" w:rsidRPr="00C108F4" w:rsidRDefault="004900BD" w:rsidP="004900BD">
      <w:pPr>
        <w:pStyle w:val="ListParagraph"/>
        <w:numPr>
          <w:ilvl w:val="0"/>
          <w:numId w:val="13"/>
        </w:numPr>
        <w:rPr>
          <w:rFonts w:ascii="Arial" w:hAnsi="Arial" w:cs="Arial"/>
          <w:sz w:val="28"/>
          <w:szCs w:val="28"/>
        </w:rPr>
      </w:pPr>
      <w:r w:rsidRPr="00C108F4">
        <w:rPr>
          <w:rFonts w:ascii="Arial" w:hAnsi="Arial" w:cs="Arial"/>
          <w:sz w:val="28"/>
          <w:szCs w:val="28"/>
        </w:rPr>
        <w:t>Investigators must act fairly when questioning victims, witnesses or suspects. Vulnerable people must be treated with particular consideration at all times.</w:t>
      </w:r>
    </w:p>
    <w:p w:rsidR="004900BD" w:rsidRPr="00C108F4" w:rsidRDefault="004900BD" w:rsidP="004900BD">
      <w:pPr>
        <w:pStyle w:val="ListParagraph"/>
        <w:numPr>
          <w:ilvl w:val="0"/>
          <w:numId w:val="13"/>
        </w:numPr>
        <w:rPr>
          <w:rFonts w:ascii="Arial" w:hAnsi="Arial" w:cs="Arial"/>
          <w:sz w:val="28"/>
          <w:szCs w:val="28"/>
        </w:rPr>
      </w:pPr>
      <w:r w:rsidRPr="00C108F4">
        <w:rPr>
          <w:rFonts w:ascii="Arial" w:hAnsi="Arial" w:cs="Arial"/>
          <w:sz w:val="28"/>
          <w:szCs w:val="28"/>
        </w:rPr>
        <w:t>Investigative interviewing should be approached with an investigative mind-set. Accounts obtained from the person who is being interviewed should always be tested against what the interviewer already knows or what can reasonably be established.</w:t>
      </w:r>
    </w:p>
    <w:p w:rsidR="005156C4" w:rsidRPr="00C108F4" w:rsidRDefault="005156C4" w:rsidP="005156C4">
      <w:pPr>
        <w:pStyle w:val="ListParagraph"/>
        <w:numPr>
          <w:ilvl w:val="0"/>
          <w:numId w:val="13"/>
        </w:numPr>
        <w:rPr>
          <w:rFonts w:ascii="Arial" w:hAnsi="Arial" w:cs="Arial"/>
          <w:sz w:val="28"/>
          <w:szCs w:val="28"/>
        </w:rPr>
      </w:pPr>
      <w:r w:rsidRPr="00C108F4">
        <w:rPr>
          <w:rFonts w:ascii="Arial" w:hAnsi="Arial" w:cs="Arial"/>
          <w:sz w:val="28"/>
          <w:szCs w:val="28"/>
        </w:rPr>
        <w:t>When conducting an interview, investigators are free to ask a wide range of questions in order to obtain material which may assist an investigation.</w:t>
      </w:r>
    </w:p>
    <w:p w:rsidR="005156C4" w:rsidRPr="00C108F4" w:rsidRDefault="005156C4" w:rsidP="005156C4">
      <w:pPr>
        <w:pStyle w:val="ListParagraph"/>
        <w:numPr>
          <w:ilvl w:val="0"/>
          <w:numId w:val="13"/>
        </w:numPr>
        <w:rPr>
          <w:rFonts w:ascii="Arial" w:hAnsi="Arial" w:cs="Arial"/>
          <w:sz w:val="28"/>
          <w:szCs w:val="28"/>
        </w:rPr>
      </w:pPr>
      <w:r w:rsidRPr="00C108F4">
        <w:rPr>
          <w:rFonts w:ascii="Arial" w:hAnsi="Arial" w:cs="Arial"/>
          <w:sz w:val="28"/>
          <w:szCs w:val="28"/>
        </w:rPr>
        <w:t>Investigators should recognise the positive impact of an early admission in the context of the criminal justice system.</w:t>
      </w:r>
    </w:p>
    <w:p w:rsidR="005156C4" w:rsidRPr="00C108F4" w:rsidRDefault="005156C4" w:rsidP="005156C4">
      <w:pPr>
        <w:pStyle w:val="ListParagraph"/>
        <w:numPr>
          <w:ilvl w:val="0"/>
          <w:numId w:val="13"/>
        </w:numPr>
        <w:rPr>
          <w:rFonts w:ascii="Arial" w:hAnsi="Arial" w:cs="Arial"/>
          <w:sz w:val="28"/>
          <w:szCs w:val="28"/>
        </w:rPr>
      </w:pPr>
      <w:r w:rsidRPr="00C108F4">
        <w:rPr>
          <w:rFonts w:ascii="Arial" w:hAnsi="Arial" w:cs="Arial"/>
          <w:sz w:val="28"/>
          <w:szCs w:val="28"/>
        </w:rPr>
        <w:t>Investigators are not bound to accept the first answer given. Questioning is not unfair merely because it is persistent.</w:t>
      </w:r>
    </w:p>
    <w:p w:rsidR="005156C4" w:rsidRPr="00C108F4" w:rsidRDefault="005156C4" w:rsidP="005156C4">
      <w:pPr>
        <w:pStyle w:val="ListParagraph"/>
        <w:numPr>
          <w:ilvl w:val="0"/>
          <w:numId w:val="13"/>
        </w:numPr>
        <w:rPr>
          <w:rFonts w:ascii="Arial" w:hAnsi="Arial" w:cs="Arial"/>
          <w:sz w:val="28"/>
          <w:szCs w:val="28"/>
        </w:rPr>
      </w:pPr>
      <w:r w:rsidRPr="00C108F4">
        <w:rPr>
          <w:rFonts w:ascii="Arial" w:hAnsi="Arial" w:cs="Arial"/>
          <w:sz w:val="28"/>
          <w:szCs w:val="28"/>
        </w:rPr>
        <w:t>Even when the right of silence is exercised by a suspect, investigators have a responsibility to put questions to them.</w:t>
      </w:r>
    </w:p>
    <w:p w:rsidR="005156C4" w:rsidRPr="005156C4" w:rsidRDefault="005156C4" w:rsidP="005156C4">
      <w:pPr>
        <w:pStyle w:val="ListParagraph"/>
        <w:rPr>
          <w:sz w:val="28"/>
          <w:szCs w:val="28"/>
        </w:rPr>
      </w:pPr>
    </w:p>
    <w:p w:rsidR="00C00D21" w:rsidRDefault="00C00D21">
      <w:pPr>
        <w:rPr>
          <w:sz w:val="20"/>
          <w:szCs w:val="20"/>
        </w:rPr>
      </w:pPr>
      <w:r>
        <w:rPr>
          <w:sz w:val="20"/>
          <w:szCs w:val="20"/>
        </w:rPr>
        <w:br w:type="page"/>
      </w:r>
    </w:p>
    <w:p w:rsidR="00C108F4" w:rsidRDefault="00C108F4" w:rsidP="00A30027">
      <w:pPr>
        <w:rPr>
          <w:rFonts w:ascii="Arial" w:hAnsi="Arial" w:cs="Arial"/>
          <w:b/>
          <w:sz w:val="28"/>
          <w:szCs w:val="24"/>
          <w:u w:val="single"/>
        </w:rPr>
      </w:pPr>
    </w:p>
    <w:p w:rsidR="00A30027" w:rsidRPr="00C108F4" w:rsidRDefault="004107B3" w:rsidP="00A30027">
      <w:pPr>
        <w:rPr>
          <w:rFonts w:ascii="Arial" w:hAnsi="Arial" w:cs="Arial"/>
          <w:b/>
          <w:sz w:val="28"/>
          <w:szCs w:val="24"/>
          <w:u w:val="single"/>
        </w:rPr>
      </w:pPr>
      <w:r w:rsidRPr="00C108F4">
        <w:rPr>
          <w:rFonts w:ascii="Arial" w:hAnsi="Arial" w:cs="Arial"/>
          <w:b/>
          <w:sz w:val="28"/>
          <w:szCs w:val="24"/>
          <w:u w:val="single"/>
        </w:rPr>
        <w:t>Outcome of the S</w:t>
      </w:r>
      <w:r w:rsidR="00A30027" w:rsidRPr="00C108F4">
        <w:rPr>
          <w:rFonts w:ascii="Arial" w:hAnsi="Arial" w:cs="Arial"/>
          <w:b/>
          <w:sz w:val="28"/>
          <w:szCs w:val="24"/>
          <w:u w:val="single"/>
        </w:rPr>
        <w:t>cenario</w:t>
      </w:r>
    </w:p>
    <w:p w:rsidR="004107B3" w:rsidRPr="00C108F4" w:rsidRDefault="004107B3" w:rsidP="00694E01">
      <w:pPr>
        <w:rPr>
          <w:rFonts w:ascii="Arial" w:hAnsi="Arial" w:cs="Arial"/>
          <w:b/>
          <w:sz w:val="28"/>
          <w:szCs w:val="28"/>
          <w:u w:val="single"/>
        </w:rPr>
      </w:pPr>
    </w:p>
    <w:p w:rsidR="00EE7207" w:rsidRPr="00C108F4" w:rsidRDefault="00013198" w:rsidP="00013198">
      <w:pPr>
        <w:numPr>
          <w:ilvl w:val="0"/>
          <w:numId w:val="12"/>
        </w:numPr>
        <w:rPr>
          <w:rFonts w:ascii="Arial" w:hAnsi="Arial" w:cs="Arial"/>
          <w:sz w:val="28"/>
          <w:szCs w:val="28"/>
        </w:rPr>
      </w:pPr>
      <w:r w:rsidRPr="00C108F4">
        <w:rPr>
          <w:rFonts w:ascii="Arial" w:hAnsi="Arial" w:cs="Arial"/>
          <w:sz w:val="28"/>
          <w:szCs w:val="28"/>
        </w:rPr>
        <w:t>Aim</w:t>
      </w:r>
      <w:r w:rsidR="000C67F8" w:rsidRPr="00C108F4">
        <w:rPr>
          <w:rFonts w:ascii="Arial" w:hAnsi="Arial" w:cs="Arial"/>
          <w:sz w:val="28"/>
          <w:szCs w:val="28"/>
        </w:rPr>
        <w:t xml:space="preserve">: To Provide interviewers with the competence to prepare and </w:t>
      </w:r>
      <w:r w:rsidRPr="00C108F4">
        <w:rPr>
          <w:rFonts w:ascii="Arial" w:hAnsi="Arial" w:cs="Arial"/>
          <w:sz w:val="28"/>
          <w:szCs w:val="28"/>
        </w:rPr>
        <w:t>plan interviews</w:t>
      </w:r>
      <w:r w:rsidR="000C67F8" w:rsidRPr="00C108F4">
        <w:rPr>
          <w:rFonts w:ascii="Arial" w:hAnsi="Arial" w:cs="Arial"/>
          <w:sz w:val="28"/>
          <w:szCs w:val="28"/>
        </w:rPr>
        <w:t xml:space="preserve"> with suspects.</w:t>
      </w:r>
    </w:p>
    <w:p w:rsidR="00EE7207" w:rsidRPr="00C108F4" w:rsidRDefault="000C67F8" w:rsidP="00013198">
      <w:pPr>
        <w:numPr>
          <w:ilvl w:val="0"/>
          <w:numId w:val="12"/>
        </w:numPr>
        <w:rPr>
          <w:rFonts w:ascii="Arial" w:hAnsi="Arial" w:cs="Arial"/>
          <w:sz w:val="28"/>
          <w:szCs w:val="28"/>
        </w:rPr>
      </w:pPr>
      <w:r w:rsidRPr="00C108F4">
        <w:rPr>
          <w:rFonts w:ascii="Arial" w:hAnsi="Arial" w:cs="Arial"/>
          <w:sz w:val="28"/>
          <w:szCs w:val="28"/>
        </w:rPr>
        <w:t>Objectives</w:t>
      </w:r>
    </w:p>
    <w:p w:rsidR="00EE7207" w:rsidRPr="00C108F4" w:rsidRDefault="000C67F8" w:rsidP="00013198">
      <w:pPr>
        <w:numPr>
          <w:ilvl w:val="0"/>
          <w:numId w:val="12"/>
        </w:numPr>
        <w:rPr>
          <w:rFonts w:ascii="Arial" w:hAnsi="Arial" w:cs="Arial"/>
          <w:sz w:val="28"/>
          <w:szCs w:val="28"/>
        </w:rPr>
      </w:pPr>
      <w:r w:rsidRPr="00C108F4">
        <w:rPr>
          <w:rFonts w:ascii="Arial" w:hAnsi="Arial" w:cs="Arial"/>
          <w:sz w:val="28"/>
          <w:szCs w:val="28"/>
        </w:rPr>
        <w:t>Assess information gathered about  suspect(s)</w:t>
      </w:r>
    </w:p>
    <w:p w:rsidR="00EE7207" w:rsidRPr="00C108F4" w:rsidRDefault="000C67F8" w:rsidP="00013198">
      <w:pPr>
        <w:numPr>
          <w:ilvl w:val="0"/>
          <w:numId w:val="12"/>
        </w:numPr>
        <w:rPr>
          <w:rFonts w:ascii="Arial" w:hAnsi="Arial" w:cs="Arial"/>
          <w:sz w:val="28"/>
          <w:szCs w:val="28"/>
        </w:rPr>
      </w:pPr>
      <w:r w:rsidRPr="00C108F4">
        <w:rPr>
          <w:rFonts w:ascii="Arial" w:hAnsi="Arial" w:cs="Arial"/>
          <w:sz w:val="28"/>
          <w:szCs w:val="28"/>
        </w:rPr>
        <w:t>Assess the type and current condition of the suspect to inform the approach to the interview in accordance with legal requirements.</w:t>
      </w:r>
    </w:p>
    <w:p w:rsidR="00EE7207" w:rsidRPr="00C108F4" w:rsidRDefault="000C67F8" w:rsidP="00013198">
      <w:pPr>
        <w:numPr>
          <w:ilvl w:val="0"/>
          <w:numId w:val="12"/>
        </w:numPr>
        <w:rPr>
          <w:rFonts w:ascii="Arial" w:hAnsi="Arial" w:cs="Arial"/>
          <w:sz w:val="28"/>
          <w:szCs w:val="28"/>
        </w:rPr>
      </w:pPr>
      <w:r w:rsidRPr="00C108F4">
        <w:rPr>
          <w:rFonts w:ascii="Arial" w:hAnsi="Arial" w:cs="Arial"/>
          <w:sz w:val="28"/>
          <w:szCs w:val="28"/>
        </w:rPr>
        <w:t xml:space="preserve">Establish the correct interview approach utilising the engage and explain phase aide memoir </w:t>
      </w:r>
    </w:p>
    <w:p w:rsidR="00EE7207" w:rsidRPr="00C108F4" w:rsidRDefault="000C67F8" w:rsidP="00013198">
      <w:pPr>
        <w:numPr>
          <w:ilvl w:val="0"/>
          <w:numId w:val="12"/>
        </w:numPr>
        <w:rPr>
          <w:rFonts w:ascii="Arial" w:hAnsi="Arial" w:cs="Arial"/>
          <w:sz w:val="28"/>
          <w:szCs w:val="28"/>
        </w:rPr>
      </w:pPr>
      <w:r w:rsidRPr="00C108F4">
        <w:rPr>
          <w:rFonts w:ascii="Arial" w:hAnsi="Arial" w:cs="Arial"/>
          <w:sz w:val="28"/>
          <w:szCs w:val="28"/>
        </w:rPr>
        <w:t>Identify the nature of the allegation and identify investigative important information</w:t>
      </w:r>
    </w:p>
    <w:p w:rsidR="00EE7207" w:rsidRPr="00C108F4" w:rsidRDefault="000C67F8" w:rsidP="00013198">
      <w:pPr>
        <w:numPr>
          <w:ilvl w:val="0"/>
          <w:numId w:val="12"/>
        </w:numPr>
        <w:rPr>
          <w:rFonts w:ascii="Arial" w:hAnsi="Arial" w:cs="Arial"/>
          <w:sz w:val="28"/>
          <w:szCs w:val="28"/>
        </w:rPr>
      </w:pPr>
      <w:r w:rsidRPr="00C108F4">
        <w:rPr>
          <w:rFonts w:ascii="Arial" w:hAnsi="Arial" w:cs="Arial"/>
          <w:sz w:val="28"/>
          <w:szCs w:val="28"/>
        </w:rPr>
        <w:t>Produce a written interview plan that takes account of the suspect assessment , the needs of the investigation and legal requirements</w:t>
      </w:r>
    </w:p>
    <w:p w:rsidR="00EE7207" w:rsidRPr="00C108F4" w:rsidRDefault="000C67F8" w:rsidP="00013198">
      <w:pPr>
        <w:numPr>
          <w:ilvl w:val="0"/>
          <w:numId w:val="12"/>
        </w:numPr>
        <w:rPr>
          <w:rFonts w:ascii="Arial" w:hAnsi="Arial" w:cs="Arial"/>
          <w:sz w:val="28"/>
          <w:szCs w:val="28"/>
        </w:rPr>
      </w:pPr>
      <w:r w:rsidRPr="00C108F4">
        <w:rPr>
          <w:rFonts w:ascii="Arial" w:hAnsi="Arial" w:cs="Arial"/>
          <w:sz w:val="28"/>
          <w:szCs w:val="28"/>
        </w:rPr>
        <w:t>Select and set up t</w:t>
      </w:r>
      <w:r w:rsidR="00013198" w:rsidRPr="00C108F4">
        <w:rPr>
          <w:rFonts w:ascii="Arial" w:hAnsi="Arial" w:cs="Arial"/>
          <w:sz w:val="28"/>
          <w:szCs w:val="28"/>
        </w:rPr>
        <w:t>he necessary interview location</w:t>
      </w:r>
      <w:r w:rsidRPr="00C108F4">
        <w:rPr>
          <w:rFonts w:ascii="Arial" w:hAnsi="Arial" w:cs="Arial"/>
          <w:sz w:val="28"/>
          <w:szCs w:val="28"/>
        </w:rPr>
        <w:t>, resources and personnel.</w:t>
      </w: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235993" w:rsidRDefault="00235993" w:rsidP="00694E01">
      <w:pPr>
        <w:rPr>
          <w:sz w:val="28"/>
          <w:szCs w:val="28"/>
        </w:rPr>
      </w:pPr>
      <w:r>
        <w:rPr>
          <w:noProof/>
          <w:lang w:eastAsia="en-GB"/>
        </w:rPr>
        <w:lastRenderedPageBreak/>
        <w:drawing>
          <wp:inline distT="0" distB="0" distL="0" distR="0" wp14:anchorId="4C884840" wp14:editId="4D42D587">
            <wp:extent cx="5731510" cy="6203950"/>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6203950"/>
                    </a:xfrm>
                    <a:prstGeom prst="rect">
                      <a:avLst/>
                    </a:prstGeom>
                  </pic:spPr>
                </pic:pic>
              </a:graphicData>
            </a:graphic>
          </wp:inline>
        </w:drawing>
      </w:r>
    </w:p>
    <w:p w:rsidR="004107B3" w:rsidRDefault="004107B3" w:rsidP="00694E01">
      <w:pPr>
        <w:rPr>
          <w:sz w:val="28"/>
          <w:szCs w:val="28"/>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615E30" w:rsidRPr="00615E30" w:rsidRDefault="00615E30" w:rsidP="00615E30">
      <w:pPr>
        <w:pStyle w:val="first"/>
        <w:rPr>
          <w:rFonts w:ascii="Arial" w:hAnsi="Arial" w:cs="Arial"/>
          <w:b/>
          <w:color w:val="000000"/>
          <w:sz w:val="32"/>
          <w:szCs w:val="28"/>
          <w:u w:val="single"/>
        </w:rPr>
      </w:pPr>
      <w:r w:rsidRPr="00615E30">
        <w:rPr>
          <w:rFonts w:ascii="Arial" w:hAnsi="Arial" w:cs="Arial"/>
          <w:b/>
          <w:color w:val="000000"/>
          <w:sz w:val="32"/>
          <w:szCs w:val="28"/>
          <w:u w:val="single"/>
        </w:rPr>
        <w:t>Section 1 of the Theft Act 1968 provides the legal definition of theft.</w:t>
      </w:r>
    </w:p>
    <w:p w:rsidR="00615E30" w:rsidRPr="00615E30" w:rsidRDefault="00615E30" w:rsidP="00615E30">
      <w:pPr>
        <w:pStyle w:val="NormalWeb"/>
        <w:spacing w:after="0"/>
        <w:rPr>
          <w:rFonts w:ascii="Arial" w:hAnsi="Arial" w:cs="Arial"/>
          <w:color w:val="000000"/>
        </w:rPr>
      </w:pPr>
      <w:r w:rsidRPr="00615E30">
        <w:rPr>
          <w:rFonts w:ascii="Arial" w:hAnsi="Arial" w:cs="Arial"/>
          <w:color w:val="000000"/>
        </w:rPr>
        <w:t xml:space="preserve">1(1) A person is guilty of theft if he </w:t>
      </w:r>
      <w:hyperlink r:id="rId8" w:history="1">
        <w:r w:rsidRPr="00615E30">
          <w:rPr>
            <w:rStyle w:val="Hyperlink"/>
            <w:rFonts w:ascii="Arial" w:hAnsi="Arial" w:cs="Arial"/>
          </w:rPr>
          <w:t>dishonestly</w:t>
        </w:r>
      </w:hyperlink>
      <w:r w:rsidRPr="00615E30">
        <w:rPr>
          <w:rFonts w:ascii="Arial" w:hAnsi="Arial" w:cs="Arial"/>
          <w:color w:val="000000"/>
        </w:rPr>
        <w:t> </w:t>
      </w:r>
      <w:hyperlink r:id="rId9" w:history="1">
        <w:r w:rsidRPr="00615E30">
          <w:rPr>
            <w:rStyle w:val="Hyperlink"/>
            <w:rFonts w:ascii="Arial" w:hAnsi="Arial" w:cs="Arial"/>
          </w:rPr>
          <w:t>appropriates</w:t>
        </w:r>
      </w:hyperlink>
      <w:r w:rsidRPr="00615E30">
        <w:rPr>
          <w:rFonts w:ascii="Arial" w:hAnsi="Arial" w:cs="Arial"/>
          <w:color w:val="000000"/>
        </w:rPr>
        <w:t> </w:t>
      </w:r>
      <w:hyperlink r:id="rId10" w:history="1">
        <w:r w:rsidRPr="00615E30">
          <w:rPr>
            <w:rStyle w:val="Hyperlink"/>
            <w:rFonts w:ascii="Arial" w:hAnsi="Arial" w:cs="Arial"/>
          </w:rPr>
          <w:t>property</w:t>
        </w:r>
      </w:hyperlink>
      <w:r w:rsidRPr="00615E30">
        <w:rPr>
          <w:rFonts w:ascii="Arial" w:hAnsi="Arial" w:cs="Arial"/>
          <w:color w:val="000000"/>
        </w:rPr>
        <w:t> </w:t>
      </w:r>
      <w:hyperlink r:id="rId11" w:history="1">
        <w:r w:rsidRPr="00615E30">
          <w:rPr>
            <w:rStyle w:val="Hyperlink"/>
            <w:rFonts w:ascii="Arial" w:hAnsi="Arial" w:cs="Arial"/>
          </w:rPr>
          <w:t>belonging to another</w:t>
        </w:r>
      </w:hyperlink>
      <w:r w:rsidRPr="00615E30">
        <w:rPr>
          <w:rFonts w:ascii="Arial" w:hAnsi="Arial" w:cs="Arial"/>
          <w:color w:val="000000"/>
        </w:rPr>
        <w:t> </w:t>
      </w:r>
      <w:hyperlink r:id="rId12" w:history="1">
        <w:r w:rsidRPr="00615E30">
          <w:rPr>
            <w:rStyle w:val="Hyperlink"/>
            <w:rFonts w:ascii="Arial" w:hAnsi="Arial" w:cs="Arial"/>
          </w:rPr>
          <w:t>with the intention of permanently depriving the other of it</w:t>
        </w:r>
      </w:hyperlink>
      <w:r w:rsidRPr="00615E30">
        <w:rPr>
          <w:rFonts w:ascii="Arial" w:hAnsi="Arial" w:cs="Arial"/>
          <w:color w:val="000000"/>
        </w:rPr>
        <w:t xml:space="preserve"> and 'thief' and 'steal' shall be construed accordingly. </w:t>
      </w:r>
    </w:p>
    <w:p w:rsidR="00615E30" w:rsidRPr="00615E30" w:rsidRDefault="00615E30" w:rsidP="00615E30">
      <w:pPr>
        <w:pStyle w:val="NormalWeb"/>
        <w:rPr>
          <w:rFonts w:ascii="Arial" w:hAnsi="Arial" w:cs="Arial"/>
          <w:color w:val="000000"/>
        </w:rPr>
      </w:pPr>
      <w:r w:rsidRPr="00615E30">
        <w:rPr>
          <w:rFonts w:ascii="Arial" w:hAnsi="Arial" w:cs="Arial"/>
          <w:color w:val="000000"/>
        </w:rPr>
        <w:t>1(2) It is immaterial whether the appropriation is made with a view to gain, or is made for the thief's own benefit.</w:t>
      </w:r>
    </w:p>
    <w:p w:rsidR="00615E30" w:rsidRPr="00615E30" w:rsidRDefault="00615E30" w:rsidP="00615E30">
      <w:pPr>
        <w:pStyle w:val="NormalWeb"/>
        <w:rPr>
          <w:rFonts w:ascii="Arial" w:hAnsi="Arial" w:cs="Arial"/>
          <w:color w:val="000000"/>
        </w:rPr>
      </w:pPr>
      <w:r w:rsidRPr="00615E30">
        <w:rPr>
          <w:rFonts w:ascii="Arial" w:hAnsi="Arial" w:cs="Arial"/>
          <w:color w:val="000000"/>
        </w:rPr>
        <w:t>1(3) The five following sections of this Act shall have effect as regards the interpretation and operation of this section (and, except as otherwise provided by this Act, shall apply only for purposes of this section).</w:t>
      </w:r>
    </w:p>
    <w:p w:rsidR="00615E30" w:rsidRPr="00615E30" w:rsidRDefault="00615E30" w:rsidP="00615E30">
      <w:pPr>
        <w:pStyle w:val="last"/>
        <w:spacing w:after="0"/>
        <w:rPr>
          <w:rFonts w:ascii="Arial" w:hAnsi="Arial" w:cs="Arial"/>
          <w:color w:val="000000"/>
        </w:rPr>
      </w:pPr>
      <w:r w:rsidRPr="00615E30">
        <w:rPr>
          <w:rStyle w:val="Strong"/>
          <w:rFonts w:ascii="Arial" w:hAnsi="Arial" w:cs="Arial"/>
          <w:color w:val="000000"/>
        </w:rPr>
        <w:t xml:space="preserve">Notes </w:t>
      </w:r>
      <w:r w:rsidRPr="00615E30">
        <w:rPr>
          <w:rFonts w:ascii="Arial" w:hAnsi="Arial" w:cs="Arial"/>
          <w:b/>
          <w:bCs/>
          <w:color w:val="000000"/>
        </w:rPr>
        <w:br/>
      </w:r>
      <w:r w:rsidRPr="00615E30">
        <w:rPr>
          <w:rStyle w:val="Emphasis"/>
          <w:rFonts w:ascii="Arial" w:hAnsi="Arial" w:cs="Arial"/>
          <w:color w:val="000000"/>
        </w:rPr>
        <w:t xml:space="preserve">(i) The wording which makes the above an offence is found in section 7 of the Act. All five of these elements must be proved to obtain a </w:t>
      </w:r>
      <w:r w:rsidR="00F3051D" w:rsidRPr="00615E30">
        <w:rPr>
          <w:rStyle w:val="Emphasis"/>
          <w:rFonts w:ascii="Arial" w:hAnsi="Arial" w:cs="Arial"/>
          <w:color w:val="000000"/>
        </w:rPr>
        <w:t>conviction. The</w:t>
      </w:r>
      <w:r w:rsidRPr="00615E30">
        <w:rPr>
          <w:rStyle w:val="Emphasis"/>
          <w:rFonts w:ascii="Arial" w:hAnsi="Arial" w:cs="Arial"/>
          <w:color w:val="000000"/>
        </w:rPr>
        <w:t xml:space="preserve"> term 'property' in this Act is not the same as that in the offence of </w:t>
      </w:r>
      <w:hyperlink r:id="rId13" w:history="1">
        <w:r w:rsidRPr="00615E30">
          <w:rPr>
            <w:rStyle w:val="Hyperlink"/>
            <w:rFonts w:ascii="Arial" w:hAnsi="Arial" w:cs="Arial"/>
            <w:i/>
            <w:iCs/>
          </w:rPr>
          <w:t>criminal damage</w:t>
        </w:r>
      </w:hyperlink>
      <w:r w:rsidRPr="00615E30">
        <w:rPr>
          <w:rStyle w:val="Emphasis"/>
          <w:rFonts w:ascii="Arial" w:hAnsi="Arial" w:cs="Arial"/>
          <w:color w:val="000000"/>
        </w:rPr>
        <w:t>.</w:t>
      </w:r>
      <w:r w:rsidRPr="00615E30">
        <w:rPr>
          <w:rFonts w:ascii="Arial" w:hAnsi="Arial" w:cs="Arial"/>
          <w:i/>
          <w:iCs/>
          <w:color w:val="000000"/>
        </w:rPr>
        <w:br/>
      </w:r>
      <w:r w:rsidRPr="00615E30">
        <w:rPr>
          <w:rStyle w:val="Emphasis"/>
          <w:rFonts w:ascii="Arial" w:hAnsi="Arial" w:cs="Arial"/>
          <w:color w:val="000000"/>
        </w:rPr>
        <w:t xml:space="preserve">(ii) Immigration officers have a power of arrest for theft (see </w:t>
      </w:r>
      <w:hyperlink r:id="rId14" w:history="1">
        <w:r w:rsidRPr="00615E30">
          <w:rPr>
            <w:rStyle w:val="Emphasis"/>
            <w:rFonts w:ascii="Arial" w:hAnsi="Arial" w:cs="Arial"/>
            <w:color w:val="0000FF"/>
            <w:u w:val="single"/>
          </w:rPr>
          <w:t xml:space="preserve">section 14 </w:t>
        </w:r>
      </w:hyperlink>
      <w:r w:rsidRPr="00615E30">
        <w:rPr>
          <w:rStyle w:val="Emphasis"/>
          <w:rFonts w:ascii="Arial" w:hAnsi="Arial" w:cs="Arial"/>
          <w:color w:val="000000"/>
        </w:rPr>
        <w:t xml:space="preserve">of the Asylum and Immigration (Treatment of Claimants, </w:t>
      </w:r>
      <w:r w:rsidR="00F3051D" w:rsidRPr="00615E30">
        <w:rPr>
          <w:rStyle w:val="Emphasis"/>
          <w:rFonts w:ascii="Arial" w:hAnsi="Arial" w:cs="Arial"/>
          <w:color w:val="000000"/>
        </w:rPr>
        <w:t>etc.</w:t>
      </w:r>
      <w:r w:rsidRPr="00615E30">
        <w:rPr>
          <w:rStyle w:val="Emphasis"/>
          <w:rFonts w:ascii="Arial" w:hAnsi="Arial" w:cs="Arial"/>
          <w:color w:val="000000"/>
        </w:rPr>
        <w:t>) Act 2004). This power is available to an immigration officer who uncovers evidence of this (and other offences) whilst in the course of their usual duties (investigating immigration matters).</w:t>
      </w:r>
      <w:r w:rsidRPr="00615E30">
        <w:rPr>
          <w:rFonts w:ascii="Arial" w:hAnsi="Arial" w:cs="Arial"/>
          <w:color w:val="000000"/>
        </w:rPr>
        <w:br/>
      </w:r>
      <w:r w:rsidRPr="00615E30">
        <w:rPr>
          <w:rStyle w:val="Emphasis"/>
          <w:rFonts w:ascii="Arial" w:hAnsi="Arial" w:cs="Arial"/>
          <w:color w:val="000000"/>
        </w:rPr>
        <w:t xml:space="preserve">(iii) A secure network which protects jewellery, watches and other treasured items, providing the police with a nationwide database to search and trace the owners of recovered items can be found at </w:t>
      </w:r>
      <w:hyperlink r:id="rId15" w:history="1">
        <w:r w:rsidRPr="00615E30">
          <w:rPr>
            <w:rStyle w:val="Emphasis"/>
            <w:rFonts w:ascii="Arial" w:hAnsi="Arial" w:cs="Arial"/>
            <w:color w:val="0000FF"/>
            <w:u w:val="single"/>
          </w:rPr>
          <w:t>www.police.e-register.net</w:t>
        </w:r>
      </w:hyperlink>
      <w:r w:rsidRPr="00615E30">
        <w:rPr>
          <w:rFonts w:ascii="Arial" w:hAnsi="Arial" w:cs="Arial"/>
          <w:color w:val="000000"/>
        </w:rPr>
        <w:t>.</w:t>
      </w:r>
      <w:r w:rsidRPr="00615E30">
        <w:rPr>
          <w:rFonts w:ascii="Arial" w:hAnsi="Arial" w:cs="Arial"/>
          <w:color w:val="000000"/>
        </w:rPr>
        <w:br/>
      </w:r>
      <w:r w:rsidRPr="00615E30">
        <w:rPr>
          <w:rStyle w:val="Emphasis"/>
          <w:rFonts w:ascii="Arial" w:hAnsi="Arial" w:cs="Arial"/>
          <w:color w:val="000000"/>
        </w:rPr>
        <w:t xml:space="preserve">(iv) Please see the document on </w:t>
      </w:r>
      <w:hyperlink r:id="rId16" w:history="1">
        <w:r w:rsidR="00F3051D" w:rsidRPr="00615E30">
          <w:rPr>
            <w:rStyle w:val="Hyperlink"/>
            <w:rFonts w:ascii="Arial" w:hAnsi="Arial" w:cs="Arial"/>
            <w:i/>
            <w:iCs/>
          </w:rPr>
          <w:t>carjacking</w:t>
        </w:r>
      </w:hyperlink>
      <w:r w:rsidRPr="00615E30">
        <w:rPr>
          <w:rStyle w:val="Emphasis"/>
          <w:rFonts w:ascii="Arial" w:hAnsi="Arial" w:cs="Arial"/>
          <w:color w:val="000000"/>
        </w:rPr>
        <w:t>, where the offence of theft may be applicable.</w:t>
      </w:r>
      <w:r w:rsidRPr="00615E30">
        <w:rPr>
          <w:rFonts w:ascii="Arial" w:hAnsi="Arial" w:cs="Arial"/>
          <w:color w:val="000000"/>
        </w:rPr>
        <w:br/>
      </w:r>
      <w:r w:rsidRPr="00615E30">
        <w:rPr>
          <w:rStyle w:val="Emphasis"/>
          <w:rFonts w:ascii="Arial" w:hAnsi="Arial" w:cs="Arial"/>
          <w:color w:val="000000"/>
        </w:rPr>
        <w:t>(v) There are a substantial number of cases concerning the different terms used as part of the definition of theft. These cases are not listed under this document, but under the documents containing the definition of that particular term. For example, cases relating to the meaning of 'property' can be found by accessing document D4 on the subject of 'property in theft' and viewing a list of cases from that document. Any case listed in this document is only concerned with the general concept of stealing and not the specific terminology. This principle applies to other topics broken down in this way.</w:t>
      </w:r>
      <w:r w:rsidRPr="00615E30">
        <w:rPr>
          <w:rFonts w:ascii="Arial" w:hAnsi="Arial" w:cs="Arial"/>
          <w:i/>
          <w:iCs/>
          <w:color w:val="000000"/>
        </w:rPr>
        <w:br/>
      </w:r>
      <w:r w:rsidRPr="00615E30">
        <w:rPr>
          <w:rStyle w:val="Emphasis"/>
          <w:rFonts w:ascii="Arial" w:hAnsi="Arial" w:cs="Arial"/>
          <w:color w:val="000000"/>
        </w:rPr>
        <w:t xml:space="preserve">(vi) With reference to subsection 1(2), an example might be, an oil tanker is parked at the side of the road and a suspect releases its valve. The oil pours out and down the drains. Has the suspect gained anything? No - apart from the dubious satisfaction of seeing the oil wasted. Providing he fulfils the requirement for 'dishonesty' then he has 'appropriated property' (oil) 'belonging to another' (the oil company) 'with the intention of permanently depriving the other of it' (pouring it down the drains). </w:t>
      </w:r>
    </w:p>
    <w:p w:rsidR="004107B3" w:rsidRPr="00694E01" w:rsidRDefault="004107B3" w:rsidP="00694E01">
      <w:pPr>
        <w:rPr>
          <w:sz w:val="28"/>
          <w:szCs w:val="28"/>
        </w:rPr>
      </w:pPr>
    </w:p>
    <w:p w:rsidR="00135735" w:rsidRDefault="00135735" w:rsidP="004C18A5">
      <w:pPr>
        <w:spacing w:before="240"/>
        <w:rPr>
          <w:rFonts w:ascii="Arial" w:hAnsi="Arial" w:cs="Arial"/>
          <w:sz w:val="24"/>
          <w:szCs w:val="24"/>
        </w:rPr>
      </w:pPr>
    </w:p>
    <w:p w:rsidR="00615E30" w:rsidRPr="00615E30" w:rsidRDefault="00615E30" w:rsidP="004C18A5">
      <w:pPr>
        <w:spacing w:before="240"/>
        <w:rPr>
          <w:rFonts w:ascii="Arial" w:hAnsi="Arial" w:cs="Arial"/>
          <w:b/>
          <w:sz w:val="28"/>
          <w:szCs w:val="28"/>
          <w:u w:val="single"/>
        </w:rPr>
      </w:pPr>
    </w:p>
    <w:p w:rsidR="00A802D4" w:rsidRPr="00A802D4" w:rsidRDefault="00A802D4" w:rsidP="00A802D4">
      <w:pPr>
        <w:rPr>
          <w:b/>
          <w:sz w:val="32"/>
          <w:szCs w:val="32"/>
          <w:u w:val="single"/>
        </w:rPr>
      </w:pPr>
      <w:r w:rsidRPr="00A802D4">
        <w:rPr>
          <w:rFonts w:ascii="Arial" w:hAnsi="Arial" w:cs="Arial"/>
          <w:b/>
          <w:color w:val="000000"/>
          <w:sz w:val="32"/>
          <w:szCs w:val="32"/>
          <w:u w:val="single"/>
          <w:shd w:val="clear" w:color="auto" w:fill="FFFFFF"/>
        </w:rPr>
        <w:t xml:space="preserve">Section 22 of the Theft Act 1968 creates various offences relating to handling stolen goods. </w:t>
      </w:r>
    </w:p>
    <w:p w:rsidR="00A802D4" w:rsidRPr="00A802D4" w:rsidRDefault="00A802D4" w:rsidP="00A802D4">
      <w:pPr>
        <w:pStyle w:val="NormalWeb"/>
        <w:spacing w:after="0"/>
        <w:rPr>
          <w:rFonts w:ascii="Arial" w:hAnsi="Arial" w:cs="Arial"/>
          <w:color w:val="000000"/>
        </w:rPr>
      </w:pPr>
      <w:r w:rsidRPr="00A802D4">
        <w:rPr>
          <w:rFonts w:ascii="Arial" w:hAnsi="Arial" w:cs="Arial"/>
          <w:color w:val="000000"/>
        </w:rPr>
        <w:t xml:space="preserve">22(1) A person handles stolen goods if (otherwise than in the course of the </w:t>
      </w:r>
      <w:hyperlink r:id="rId17" w:history="1">
        <w:r w:rsidRPr="00A802D4">
          <w:rPr>
            <w:rStyle w:val="Hyperlink"/>
            <w:rFonts w:ascii="Arial" w:hAnsi="Arial" w:cs="Arial"/>
            <w:bdr w:val="none" w:sz="0" w:space="0" w:color="auto" w:frame="1"/>
          </w:rPr>
          <w:t>stealing</w:t>
        </w:r>
      </w:hyperlink>
      <w:r w:rsidRPr="00A802D4">
        <w:rPr>
          <w:rFonts w:ascii="Arial" w:hAnsi="Arial" w:cs="Arial"/>
          <w:color w:val="000000"/>
        </w:rPr>
        <w:t xml:space="preserve">) knowing or believing them to be </w:t>
      </w:r>
      <w:hyperlink r:id="rId18" w:history="1">
        <w:r w:rsidRPr="00A802D4">
          <w:rPr>
            <w:rStyle w:val="Hyperlink"/>
            <w:rFonts w:ascii="Arial" w:hAnsi="Arial" w:cs="Arial"/>
          </w:rPr>
          <w:t>stolen goods</w:t>
        </w:r>
      </w:hyperlink>
      <w:r w:rsidRPr="00A802D4">
        <w:rPr>
          <w:rFonts w:ascii="Arial" w:hAnsi="Arial" w:cs="Arial"/>
          <w:color w:val="000000"/>
        </w:rPr>
        <w:t xml:space="preserve"> he </w:t>
      </w:r>
      <w:hyperlink r:id="rId19" w:history="1">
        <w:r w:rsidRPr="00A802D4">
          <w:rPr>
            <w:rStyle w:val="Hyperlink"/>
            <w:rFonts w:ascii="Arial" w:hAnsi="Arial" w:cs="Arial"/>
          </w:rPr>
          <w:t>dishonestly</w:t>
        </w:r>
      </w:hyperlink>
      <w:r w:rsidRPr="00A802D4">
        <w:rPr>
          <w:rFonts w:ascii="Arial" w:hAnsi="Arial" w:cs="Arial"/>
          <w:color w:val="000000"/>
        </w:rPr>
        <w:t xml:space="preserve"> receives the </w:t>
      </w:r>
      <w:hyperlink r:id="rId20" w:history="1">
        <w:r w:rsidRPr="00A802D4">
          <w:rPr>
            <w:rStyle w:val="Hyperlink"/>
            <w:rFonts w:ascii="Arial" w:hAnsi="Arial" w:cs="Arial"/>
          </w:rPr>
          <w:t>goods</w:t>
        </w:r>
      </w:hyperlink>
      <w:r w:rsidRPr="00A802D4">
        <w:rPr>
          <w:rFonts w:ascii="Arial" w:hAnsi="Arial" w:cs="Arial"/>
          <w:color w:val="000000"/>
        </w:rPr>
        <w:t>, or dishonestly undertakes or assists in their retention, removal, disposal, or realisation by or for the benefit of another person, or if he arranges to do so.</w:t>
      </w:r>
    </w:p>
    <w:p w:rsidR="00A802D4" w:rsidRPr="00A802D4" w:rsidRDefault="00A802D4" w:rsidP="00A802D4">
      <w:pPr>
        <w:pStyle w:val="NormalWeb"/>
        <w:rPr>
          <w:rFonts w:ascii="Arial" w:hAnsi="Arial" w:cs="Arial"/>
          <w:color w:val="000000"/>
        </w:rPr>
      </w:pPr>
      <w:r w:rsidRPr="00A802D4">
        <w:rPr>
          <w:rFonts w:ascii="Arial" w:hAnsi="Arial" w:cs="Arial"/>
          <w:color w:val="000000"/>
        </w:rPr>
        <w:t xml:space="preserve">22(2) </w:t>
      </w:r>
      <w:r w:rsidRPr="00A802D4">
        <w:rPr>
          <w:rStyle w:val="Emphasis"/>
          <w:rFonts w:ascii="Arial" w:hAnsi="Arial" w:cs="Arial"/>
          <w:color w:val="000000"/>
        </w:rPr>
        <w:t>penalty only - see below</w:t>
      </w:r>
    </w:p>
    <w:p w:rsidR="00A802D4" w:rsidRPr="00A802D4" w:rsidRDefault="00A802D4" w:rsidP="00A802D4">
      <w:pPr>
        <w:pStyle w:val="last"/>
        <w:spacing w:after="0"/>
        <w:rPr>
          <w:rFonts w:ascii="Arial" w:hAnsi="Arial" w:cs="Arial"/>
          <w:color w:val="000000"/>
        </w:rPr>
      </w:pPr>
      <w:r w:rsidRPr="00A802D4">
        <w:rPr>
          <w:rStyle w:val="Strong"/>
          <w:rFonts w:ascii="Arial" w:hAnsi="Arial" w:cs="Arial"/>
          <w:color w:val="000000"/>
        </w:rPr>
        <w:t>Notes</w:t>
      </w:r>
      <w:r w:rsidRPr="00A802D4">
        <w:rPr>
          <w:rFonts w:ascii="Arial" w:hAnsi="Arial" w:cs="Arial"/>
          <w:b/>
          <w:bCs/>
          <w:color w:val="000000"/>
        </w:rPr>
        <w:br/>
      </w:r>
      <w:r w:rsidRPr="00A802D4">
        <w:rPr>
          <w:rStyle w:val="Emphasis"/>
          <w:rFonts w:ascii="Arial" w:hAnsi="Arial" w:cs="Arial"/>
          <w:color w:val="000000"/>
        </w:rPr>
        <w:t xml:space="preserve">(i) The term of </w:t>
      </w:r>
      <w:hyperlink r:id="rId21" w:history="1">
        <w:r w:rsidRPr="00A802D4">
          <w:rPr>
            <w:rStyle w:val="Hyperlink"/>
            <w:rFonts w:ascii="Arial" w:hAnsi="Arial" w:cs="Arial"/>
            <w:i/>
            <w:iCs/>
          </w:rPr>
          <w:t>dishonesty</w:t>
        </w:r>
      </w:hyperlink>
      <w:r w:rsidRPr="00A802D4">
        <w:rPr>
          <w:rStyle w:val="Emphasis"/>
          <w:rFonts w:ascii="Arial" w:hAnsi="Arial" w:cs="Arial"/>
          <w:color w:val="000000"/>
        </w:rPr>
        <w:t xml:space="preserve"> is expanded in the cases of </w:t>
      </w:r>
      <w:hyperlink r:id="rId22" w:history="1">
        <w:r w:rsidRPr="00A802D4">
          <w:rPr>
            <w:rStyle w:val="Hyperlink"/>
            <w:rFonts w:ascii="Arial" w:hAnsi="Arial" w:cs="Arial"/>
            <w:i/>
            <w:iCs/>
          </w:rPr>
          <w:t>R v Feeley</w:t>
        </w:r>
      </w:hyperlink>
      <w:r w:rsidRPr="00A802D4">
        <w:rPr>
          <w:rStyle w:val="Emphasis"/>
          <w:rFonts w:ascii="Arial" w:hAnsi="Arial" w:cs="Arial"/>
          <w:color w:val="000000"/>
        </w:rPr>
        <w:t xml:space="preserve"> and </w:t>
      </w:r>
      <w:hyperlink r:id="rId23" w:history="1">
        <w:r w:rsidRPr="00A802D4">
          <w:rPr>
            <w:rStyle w:val="Hyperlink"/>
            <w:rFonts w:ascii="Arial" w:hAnsi="Arial" w:cs="Arial"/>
            <w:i/>
            <w:iCs/>
          </w:rPr>
          <w:t>R v Ghosh</w:t>
        </w:r>
      </w:hyperlink>
      <w:r w:rsidRPr="00A802D4">
        <w:rPr>
          <w:rFonts w:ascii="Arial" w:hAnsi="Arial" w:cs="Arial"/>
          <w:i/>
          <w:iCs/>
          <w:color w:val="000000"/>
        </w:rPr>
        <w:br/>
      </w:r>
      <w:r w:rsidRPr="00A802D4">
        <w:rPr>
          <w:rStyle w:val="Emphasis"/>
          <w:rFonts w:ascii="Arial" w:hAnsi="Arial" w:cs="Arial"/>
          <w:color w:val="000000"/>
        </w:rPr>
        <w:t>(ii) There are two basic types of offender, the person who actually receives the goods and the person who, for want of a better expression, 'manages' the goods for the benefit of another. There are many different ways in which 'managing' stolen goods can be committed. An offender should not be charged with several different offences of handling the same stolen goods just by using variations in the wordings. Such action has been ruled as being bad for 'duplicity' (a legal term for attempting to double an offender's liability before a Court based on one set of facts). However, it is quite proper to create a 'managing' charge incorporating all of the alternatives.</w:t>
      </w:r>
      <w:r w:rsidRPr="00A802D4">
        <w:rPr>
          <w:rFonts w:ascii="Arial" w:hAnsi="Arial" w:cs="Arial"/>
          <w:i/>
          <w:iCs/>
          <w:color w:val="000000"/>
        </w:rPr>
        <w:br/>
      </w:r>
      <w:r w:rsidRPr="00A802D4">
        <w:rPr>
          <w:rStyle w:val="Emphasis"/>
          <w:rFonts w:ascii="Arial" w:hAnsi="Arial" w:cs="Arial"/>
          <w:color w:val="000000"/>
        </w:rPr>
        <w:t xml:space="preserve">(iii) Be aware of further provisions relating to this offence in </w:t>
      </w:r>
      <w:hyperlink r:id="rId24" w:history="1">
        <w:r w:rsidRPr="00A802D4">
          <w:rPr>
            <w:rStyle w:val="Hyperlink"/>
            <w:rFonts w:ascii="Arial" w:hAnsi="Arial" w:cs="Arial"/>
            <w:i/>
            <w:iCs/>
          </w:rPr>
          <w:t>section 24</w:t>
        </w:r>
      </w:hyperlink>
      <w:r w:rsidRPr="00A802D4">
        <w:rPr>
          <w:rStyle w:val="Emphasis"/>
          <w:rFonts w:ascii="Arial" w:hAnsi="Arial" w:cs="Arial"/>
          <w:color w:val="000000"/>
        </w:rPr>
        <w:t xml:space="preserve"> and </w:t>
      </w:r>
      <w:hyperlink r:id="rId25" w:history="1">
        <w:r w:rsidRPr="00A802D4">
          <w:rPr>
            <w:rStyle w:val="Hyperlink"/>
            <w:rFonts w:ascii="Arial" w:hAnsi="Arial" w:cs="Arial"/>
            <w:i/>
            <w:iCs/>
          </w:rPr>
          <w:t>section 27</w:t>
        </w:r>
      </w:hyperlink>
      <w:r w:rsidRPr="00A802D4">
        <w:rPr>
          <w:rStyle w:val="Emphasis"/>
          <w:rFonts w:ascii="Arial" w:hAnsi="Arial" w:cs="Arial"/>
          <w:color w:val="000000"/>
        </w:rPr>
        <w:t>.</w:t>
      </w:r>
      <w:r w:rsidRPr="00A802D4">
        <w:rPr>
          <w:rFonts w:ascii="Arial" w:hAnsi="Arial" w:cs="Arial"/>
          <w:i/>
          <w:iCs/>
          <w:color w:val="000000"/>
        </w:rPr>
        <w:br/>
      </w:r>
      <w:r w:rsidRPr="00A802D4">
        <w:rPr>
          <w:rStyle w:val="Emphasis"/>
          <w:rFonts w:ascii="Arial" w:hAnsi="Arial" w:cs="Arial"/>
          <w:color w:val="000000"/>
        </w:rPr>
        <w:t xml:space="preserve">(iv) If the items which are the subject of the investigation are artifacts or antiquities from anywhere in the world (and which have been removed from a site illegally), consider the offence of </w:t>
      </w:r>
      <w:hyperlink r:id="rId26" w:history="1">
        <w:r w:rsidRPr="00A802D4">
          <w:rPr>
            <w:rStyle w:val="Hyperlink"/>
            <w:rFonts w:ascii="Arial" w:hAnsi="Arial" w:cs="Arial"/>
            <w:i/>
            <w:iCs/>
          </w:rPr>
          <w:t>dealing in cultural objects</w:t>
        </w:r>
      </w:hyperlink>
      <w:r w:rsidRPr="00A802D4">
        <w:rPr>
          <w:rStyle w:val="Emphasis"/>
          <w:rFonts w:ascii="Arial" w:hAnsi="Arial" w:cs="Arial"/>
          <w:color w:val="000000"/>
        </w:rPr>
        <w:t xml:space="preserve"> contrary to section 1 of the Dealing in Cultural Objects (Offences) Act 2003.</w:t>
      </w:r>
      <w:r w:rsidRPr="00A802D4">
        <w:rPr>
          <w:rFonts w:ascii="Arial" w:hAnsi="Arial" w:cs="Arial"/>
          <w:i/>
          <w:iCs/>
          <w:color w:val="000000"/>
        </w:rPr>
        <w:br/>
      </w:r>
      <w:r w:rsidRPr="00A802D4">
        <w:rPr>
          <w:rStyle w:val="Emphasis"/>
          <w:rFonts w:ascii="Arial" w:hAnsi="Arial" w:cs="Arial"/>
          <w:color w:val="000000"/>
        </w:rPr>
        <w:t xml:space="preserve">(v) Immigration officers have a power of arrest for theft (see </w:t>
      </w:r>
      <w:hyperlink r:id="rId27" w:history="1">
        <w:r w:rsidRPr="00A802D4">
          <w:rPr>
            <w:rStyle w:val="Hyperlink"/>
            <w:rFonts w:ascii="Arial" w:hAnsi="Arial" w:cs="Arial"/>
            <w:i/>
            <w:iCs/>
          </w:rPr>
          <w:t>section 14</w:t>
        </w:r>
      </w:hyperlink>
      <w:r w:rsidRPr="00A802D4">
        <w:rPr>
          <w:rStyle w:val="Emphasis"/>
          <w:rFonts w:ascii="Arial" w:hAnsi="Arial" w:cs="Arial"/>
          <w:color w:val="000000"/>
        </w:rPr>
        <w:t xml:space="preserve"> of the Asylum &amp; Immigration (Treatment of Claimants, etc.) Act 2004). This power is available to an immigration officer who uncovers evidence of this (and other offences) whilst in the course of their usual duties (investigating immigration matters).</w:t>
      </w:r>
      <w:r w:rsidRPr="00A802D4">
        <w:rPr>
          <w:rFonts w:ascii="Arial" w:hAnsi="Arial" w:cs="Arial"/>
          <w:i/>
          <w:iCs/>
          <w:color w:val="000000"/>
        </w:rPr>
        <w:br/>
      </w:r>
      <w:r w:rsidRPr="00A802D4">
        <w:rPr>
          <w:rStyle w:val="Emphasis"/>
          <w:rFonts w:ascii="Arial" w:hAnsi="Arial" w:cs="Arial"/>
          <w:color w:val="000000"/>
        </w:rPr>
        <w:t xml:space="preserve">(vi) A secure network which protects jewellery, watches and other treasured items, providing the Police with a nationwide database to search and trace the owners of recovered items can be found at </w:t>
      </w:r>
      <w:hyperlink r:id="rId28" w:history="1">
        <w:r w:rsidRPr="00A802D4">
          <w:rPr>
            <w:rStyle w:val="Hyperlink"/>
            <w:rFonts w:ascii="Arial" w:hAnsi="Arial" w:cs="Arial"/>
            <w:i/>
            <w:iCs/>
          </w:rPr>
          <w:t>www.police.e-register.net</w:t>
        </w:r>
      </w:hyperlink>
      <w:r w:rsidRPr="00A802D4">
        <w:rPr>
          <w:rStyle w:val="Emphasis"/>
          <w:rFonts w:ascii="Arial" w:hAnsi="Arial" w:cs="Arial"/>
          <w:color w:val="000000"/>
        </w:rPr>
        <w:t xml:space="preserve"> .</w:t>
      </w:r>
      <w:r w:rsidRPr="00A802D4">
        <w:rPr>
          <w:rFonts w:ascii="Arial" w:hAnsi="Arial" w:cs="Arial"/>
          <w:i/>
          <w:iCs/>
          <w:color w:val="000000"/>
        </w:rPr>
        <w:br/>
      </w:r>
      <w:r w:rsidRPr="00A802D4">
        <w:rPr>
          <w:rStyle w:val="Emphasis"/>
          <w:rFonts w:ascii="Arial" w:hAnsi="Arial" w:cs="Arial"/>
          <w:color w:val="000000"/>
        </w:rPr>
        <w:t xml:space="preserve">(vii) </w:t>
      </w:r>
      <w:r w:rsidRPr="00A802D4">
        <w:rPr>
          <w:rStyle w:val="Strong"/>
          <w:rFonts w:ascii="Arial" w:hAnsi="Arial" w:cs="Arial"/>
          <w:i/>
          <w:iCs/>
          <w:color w:val="000000"/>
        </w:rPr>
        <w:t xml:space="preserve">Otherwise than in the course of stealing: </w:t>
      </w:r>
      <w:r w:rsidRPr="00A802D4">
        <w:rPr>
          <w:rStyle w:val="Emphasis"/>
          <w:rFonts w:ascii="Arial" w:hAnsi="Arial" w:cs="Arial"/>
          <w:color w:val="000000"/>
        </w:rPr>
        <w:t xml:space="preserve">Sometimes the facts of a case may fit either </w:t>
      </w:r>
      <w:hyperlink r:id="rId29" w:history="1">
        <w:r w:rsidRPr="00A802D4">
          <w:rPr>
            <w:rStyle w:val="Emphasis"/>
            <w:rFonts w:ascii="Arial" w:hAnsi="Arial" w:cs="Arial"/>
            <w:color w:val="0000FF"/>
            <w:u w:val="single"/>
            <w:bdr w:val="none" w:sz="0" w:space="0" w:color="auto" w:frame="1"/>
          </w:rPr>
          <w:t>stealing</w:t>
        </w:r>
      </w:hyperlink>
      <w:r w:rsidRPr="00A802D4">
        <w:rPr>
          <w:rStyle w:val="Emphasis"/>
          <w:rFonts w:ascii="Arial" w:hAnsi="Arial" w:cs="Arial"/>
          <w:color w:val="000000"/>
        </w:rPr>
        <w:t xml:space="preserve"> or handling. In order to determine whether goods were handled 'otherwise than in the course of stealing', it should be considered whether or not the actions of the suspect formed an on-going part of the theft, or if the theft was complete and he/she was a third party becoming involved after the event. In many instances where the circumstances are unclear it will be for the Court to make the </w:t>
      </w:r>
      <w:r w:rsidRPr="00A802D4">
        <w:rPr>
          <w:rStyle w:val="Emphasis"/>
          <w:rFonts w:ascii="Arial" w:hAnsi="Arial" w:cs="Arial"/>
          <w:color w:val="000000"/>
        </w:rPr>
        <w:lastRenderedPageBreak/>
        <w:t>decision and alternative charges of theft and handling should be preferred. For example, S, who works in a warehouse, throws goods out of an open window onto spare ground. Then . . . .</w:t>
      </w:r>
    </w:p>
    <w:p w:rsidR="00A802D4" w:rsidRPr="00A802D4" w:rsidRDefault="00A802D4" w:rsidP="00A802D4">
      <w:pPr>
        <w:numPr>
          <w:ilvl w:val="0"/>
          <w:numId w:val="16"/>
        </w:numPr>
        <w:spacing w:before="100" w:beforeAutospacing="1" w:after="100" w:afterAutospacing="1" w:line="240" w:lineRule="auto"/>
        <w:rPr>
          <w:rFonts w:ascii="Arial" w:hAnsi="Arial" w:cs="Arial"/>
          <w:i/>
          <w:iCs/>
          <w:color w:val="000000"/>
          <w:sz w:val="24"/>
          <w:szCs w:val="24"/>
        </w:rPr>
      </w:pPr>
      <w:r w:rsidRPr="00A802D4">
        <w:rPr>
          <w:rStyle w:val="Emphasis"/>
          <w:rFonts w:ascii="Arial" w:hAnsi="Arial" w:cs="Arial"/>
          <w:color w:val="000000"/>
          <w:sz w:val="24"/>
          <w:szCs w:val="24"/>
        </w:rPr>
        <w:t xml:space="preserve">By pre-arrangement, an accomplice, X, is waiting and takes the goods away. X commits theft. </w:t>
      </w:r>
    </w:p>
    <w:p w:rsidR="00A802D4" w:rsidRPr="00A802D4" w:rsidRDefault="00A802D4" w:rsidP="00A802D4">
      <w:pPr>
        <w:numPr>
          <w:ilvl w:val="0"/>
          <w:numId w:val="16"/>
        </w:numPr>
        <w:spacing w:before="100" w:beforeAutospacing="1" w:after="100" w:afterAutospacing="1" w:line="240" w:lineRule="auto"/>
        <w:rPr>
          <w:rFonts w:ascii="Arial" w:hAnsi="Arial" w:cs="Arial"/>
          <w:i/>
          <w:iCs/>
          <w:color w:val="000000"/>
          <w:sz w:val="24"/>
          <w:szCs w:val="24"/>
        </w:rPr>
      </w:pPr>
      <w:r w:rsidRPr="00A802D4">
        <w:rPr>
          <w:rStyle w:val="Emphasis"/>
          <w:rFonts w:ascii="Arial" w:hAnsi="Arial" w:cs="Arial"/>
          <w:color w:val="000000"/>
          <w:sz w:val="24"/>
          <w:szCs w:val="24"/>
        </w:rPr>
        <w:t xml:space="preserve">By pre-arrangement, an accomplice, X, arrives half an hour later and takes the goods. It is most likely that X commits theft particularly if his role was a joint enterprise and the goods were to be shared out between the two men. However a court may consider handling appropriate if X was taking the goods and giving S cash in payment (in which case it may not matter if the removal was half an hour later or at the time the goods were thrown out of the window). </w:t>
      </w:r>
    </w:p>
    <w:p w:rsidR="00A802D4" w:rsidRPr="00A802D4" w:rsidRDefault="00A802D4" w:rsidP="00A802D4">
      <w:pPr>
        <w:numPr>
          <w:ilvl w:val="0"/>
          <w:numId w:val="16"/>
        </w:numPr>
        <w:spacing w:before="100" w:beforeAutospacing="1" w:after="100" w:afterAutospacing="1" w:line="240" w:lineRule="auto"/>
        <w:rPr>
          <w:rFonts w:ascii="Arial" w:hAnsi="Arial" w:cs="Arial"/>
          <w:i/>
          <w:iCs/>
          <w:color w:val="000000"/>
          <w:sz w:val="24"/>
          <w:szCs w:val="24"/>
        </w:rPr>
      </w:pPr>
      <w:r w:rsidRPr="00A802D4">
        <w:rPr>
          <w:rStyle w:val="Emphasis"/>
          <w:rFonts w:ascii="Arial" w:hAnsi="Arial" w:cs="Arial"/>
          <w:color w:val="000000"/>
          <w:sz w:val="24"/>
          <w:szCs w:val="24"/>
        </w:rPr>
        <w:t xml:space="preserve">After work S goes to a pub and tells a friend, Y, what he has done. The friend goes and collects the goods. Y commits handling. </w:t>
      </w:r>
    </w:p>
    <w:p w:rsidR="00A802D4" w:rsidRPr="00A802D4" w:rsidRDefault="00A802D4" w:rsidP="00A802D4">
      <w:pPr>
        <w:pStyle w:val="NormalWeb"/>
        <w:rPr>
          <w:rFonts w:ascii="Arial" w:hAnsi="Arial" w:cs="Arial"/>
          <w:i/>
          <w:iCs/>
          <w:color w:val="000000"/>
        </w:rPr>
      </w:pPr>
      <w:r w:rsidRPr="00A802D4">
        <w:rPr>
          <w:rStyle w:val="Emphasis"/>
          <w:rFonts w:ascii="Arial" w:hAnsi="Arial" w:cs="Arial"/>
          <w:color w:val="000000"/>
        </w:rPr>
        <w:t>For all practical purposes, a thief can only become the handler of property that he/she has stolen, once he/she has severed his/her control over the property and later decides, (whilst they are still stolen goods) to have dealings with the property once again. For example:</w:t>
      </w:r>
    </w:p>
    <w:p w:rsidR="00A802D4" w:rsidRPr="00A802D4" w:rsidRDefault="00A802D4" w:rsidP="00A802D4">
      <w:pPr>
        <w:pStyle w:val="NormalWeb"/>
        <w:rPr>
          <w:rFonts w:ascii="Arial" w:hAnsi="Arial" w:cs="Arial"/>
          <w:i/>
          <w:iCs/>
          <w:color w:val="000000"/>
        </w:rPr>
      </w:pPr>
      <w:r w:rsidRPr="00A802D4">
        <w:rPr>
          <w:rStyle w:val="Emphasis"/>
          <w:rFonts w:ascii="Arial" w:hAnsi="Arial" w:cs="Arial"/>
          <w:color w:val="000000"/>
        </w:rPr>
        <w:t>T steals a television. He sells it to H who sells it on to V (both believing it to be stolen). Unexpectedly, T gets a better offer for the television from a different source and buys it back from V. T would be a handler of the television.</w:t>
      </w:r>
    </w:p>
    <w:p w:rsidR="00615E30" w:rsidRPr="00A802D4" w:rsidRDefault="00A802D4" w:rsidP="00A802D4">
      <w:pPr>
        <w:spacing w:before="240"/>
        <w:rPr>
          <w:rFonts w:ascii="Arial" w:hAnsi="Arial" w:cs="Arial"/>
          <w:sz w:val="24"/>
          <w:szCs w:val="24"/>
        </w:rPr>
      </w:pPr>
      <w:r w:rsidRPr="00A802D4">
        <w:rPr>
          <w:rStyle w:val="Emphasis"/>
          <w:rFonts w:ascii="Arial" w:hAnsi="Arial" w:cs="Arial"/>
          <w:color w:val="000000"/>
          <w:sz w:val="24"/>
          <w:szCs w:val="24"/>
        </w:rPr>
        <w:t xml:space="preserve">(viii) </w:t>
      </w:r>
      <w:r w:rsidRPr="00A802D4">
        <w:rPr>
          <w:rStyle w:val="Strong"/>
          <w:rFonts w:ascii="Arial" w:hAnsi="Arial" w:cs="Arial"/>
          <w:i/>
          <w:iCs/>
          <w:color w:val="000000"/>
          <w:sz w:val="24"/>
          <w:szCs w:val="24"/>
        </w:rPr>
        <w:t>Knowing and Believing:</w:t>
      </w:r>
      <w:r w:rsidRPr="00A802D4">
        <w:rPr>
          <w:rStyle w:val="Emphasis"/>
          <w:rFonts w:ascii="Arial" w:hAnsi="Arial" w:cs="Arial"/>
          <w:color w:val="000000"/>
          <w:sz w:val="24"/>
          <w:szCs w:val="24"/>
        </w:rPr>
        <w:t xml:space="preserve"> Knowing includes having actually been told that the goods are stolen, by someone with </w:t>
      </w:r>
      <w:r w:rsidR="001623F2" w:rsidRPr="00A802D4">
        <w:rPr>
          <w:rStyle w:val="Emphasis"/>
          <w:rFonts w:ascii="Arial" w:hAnsi="Arial" w:cs="Arial"/>
          <w:color w:val="000000"/>
          <w:sz w:val="24"/>
          <w:szCs w:val="24"/>
        </w:rPr>
        <w:t>first-hand</w:t>
      </w:r>
      <w:r w:rsidRPr="00A802D4">
        <w:rPr>
          <w:rStyle w:val="Emphasis"/>
          <w:rFonts w:ascii="Arial" w:hAnsi="Arial" w:cs="Arial"/>
          <w:color w:val="000000"/>
          <w:sz w:val="24"/>
          <w:szCs w:val="24"/>
        </w:rPr>
        <w:t xml:space="preserve"> knowledge, such as the thief or burglar. Believing means the state of mind of a person who says to himself that he could not be certain that goods are stolen, but there could be no other reasonable conclusion in the light of all the circumstances. Knowledge or belief that goods are stolen can be proved by direct evidence from the thief, an admission by the handler or circumstantial evidence such as - the low price paid for them; the method of storage; furtive disposal; removal of identifying marks; denial of possession; possession soon after the theft (i.e. the doctrine of recent possession (R v Abramovitch (1916) 11 Cr AppR 45), if someone is found in possession of stolen goods, shortly after they have been stolen, "the jury should be told that they may in the absence of any reasonable explanation, find the prisoner guilty."). Unlawful acts by individuals must be proved, but it has been held that gestures such as a nod or a wink may be sufficient to help prove guilt. There are also statutory provisions relating to </w:t>
      </w:r>
      <w:hyperlink r:id="rId30" w:history="1">
        <w:r w:rsidRPr="00A802D4">
          <w:rPr>
            <w:rStyle w:val="Hyperlink"/>
            <w:rFonts w:ascii="Arial" w:hAnsi="Arial" w:cs="Arial"/>
            <w:i/>
            <w:iCs/>
            <w:sz w:val="24"/>
            <w:szCs w:val="24"/>
          </w:rPr>
          <w:t>special evidence</w:t>
        </w:r>
      </w:hyperlink>
      <w:r w:rsidRPr="00A802D4">
        <w:rPr>
          <w:rStyle w:val="Emphasis"/>
          <w:rFonts w:ascii="Arial" w:hAnsi="Arial" w:cs="Arial"/>
          <w:color w:val="000000"/>
          <w:sz w:val="24"/>
          <w:szCs w:val="24"/>
        </w:rPr>
        <w:t xml:space="preserve"> which could help with this element of the offence. See also </w:t>
      </w:r>
      <w:hyperlink r:id="rId31" w:history="1">
        <w:r w:rsidRPr="00A802D4">
          <w:rPr>
            <w:rStyle w:val="Hyperlink"/>
            <w:rFonts w:ascii="Arial" w:hAnsi="Arial" w:cs="Arial"/>
            <w:i/>
            <w:iCs/>
            <w:sz w:val="24"/>
            <w:szCs w:val="24"/>
          </w:rPr>
          <w:t>R v Hall 1985</w:t>
        </w:r>
      </w:hyperlink>
      <w:r w:rsidRPr="00A802D4">
        <w:rPr>
          <w:rStyle w:val="Emphasis"/>
          <w:rFonts w:ascii="Arial" w:hAnsi="Arial" w:cs="Arial"/>
          <w:color w:val="000000"/>
          <w:sz w:val="24"/>
          <w:szCs w:val="24"/>
        </w:rPr>
        <w:t xml:space="preserve"> and </w:t>
      </w:r>
      <w:hyperlink r:id="rId32" w:history="1">
        <w:r w:rsidRPr="00A802D4">
          <w:rPr>
            <w:rStyle w:val="Hyperlink"/>
            <w:rFonts w:ascii="Arial" w:hAnsi="Arial" w:cs="Arial"/>
            <w:i/>
            <w:iCs/>
            <w:sz w:val="24"/>
            <w:szCs w:val="24"/>
          </w:rPr>
          <w:t>R v Elizabeth Forsyth 1997</w:t>
        </w:r>
      </w:hyperlink>
      <w:r w:rsidRPr="00A802D4">
        <w:rPr>
          <w:rStyle w:val="Emphasis"/>
          <w:rFonts w:ascii="Arial" w:hAnsi="Arial" w:cs="Arial"/>
          <w:color w:val="000000"/>
          <w:sz w:val="24"/>
          <w:szCs w:val="24"/>
        </w:rPr>
        <w:t>.</w:t>
      </w:r>
      <w:r w:rsidRPr="00A802D4">
        <w:rPr>
          <w:rFonts w:ascii="Arial" w:hAnsi="Arial" w:cs="Arial"/>
          <w:i/>
          <w:iCs/>
          <w:color w:val="000000"/>
          <w:sz w:val="24"/>
          <w:szCs w:val="24"/>
        </w:rPr>
        <w:br/>
      </w:r>
      <w:r w:rsidRPr="00A802D4">
        <w:rPr>
          <w:rStyle w:val="Emphasis"/>
          <w:rFonts w:ascii="Arial" w:hAnsi="Arial" w:cs="Arial"/>
          <w:color w:val="000000"/>
          <w:sz w:val="24"/>
          <w:szCs w:val="24"/>
        </w:rPr>
        <w:t>(ix)</w:t>
      </w:r>
      <w:r w:rsidRPr="00A802D4">
        <w:rPr>
          <w:rStyle w:val="Strong"/>
          <w:rFonts w:ascii="Arial" w:hAnsi="Arial" w:cs="Arial"/>
          <w:i/>
          <w:iCs/>
          <w:color w:val="000000"/>
          <w:sz w:val="24"/>
          <w:szCs w:val="24"/>
        </w:rPr>
        <w:t xml:space="preserve"> Receiving:</w:t>
      </w:r>
      <w:r w:rsidRPr="00A802D4">
        <w:rPr>
          <w:rStyle w:val="Emphasis"/>
          <w:rFonts w:ascii="Arial" w:hAnsi="Arial" w:cs="Arial"/>
          <w:color w:val="000000"/>
          <w:sz w:val="24"/>
          <w:szCs w:val="24"/>
        </w:rPr>
        <w:t xml:space="preserve"> Is not specifically defined, but case law has established its meaning as 'gaining possession (actual or constructive) or control' . For more on </w:t>
      </w:r>
      <w:hyperlink r:id="rId33" w:history="1">
        <w:r w:rsidRPr="00A802D4">
          <w:rPr>
            <w:rStyle w:val="Hyperlink"/>
            <w:rFonts w:ascii="Arial" w:hAnsi="Arial" w:cs="Arial"/>
            <w:i/>
            <w:iCs/>
            <w:sz w:val="24"/>
            <w:szCs w:val="24"/>
          </w:rPr>
          <w:t>common law possession and the relevant cases</w:t>
        </w:r>
      </w:hyperlink>
      <w:r w:rsidRPr="00A802D4">
        <w:rPr>
          <w:rStyle w:val="Emphasis"/>
          <w:rFonts w:ascii="Arial" w:hAnsi="Arial" w:cs="Arial"/>
          <w:color w:val="000000"/>
          <w:sz w:val="24"/>
          <w:szCs w:val="24"/>
        </w:rPr>
        <w:t xml:space="preserve">, see the main document on the subject. There does not need to be any benefit to the receiver. The receipt of the goods must be </w:t>
      </w:r>
      <w:r w:rsidRPr="00A802D4">
        <w:rPr>
          <w:rStyle w:val="Emphasis"/>
          <w:rFonts w:ascii="Arial" w:hAnsi="Arial" w:cs="Arial"/>
          <w:color w:val="000000"/>
          <w:sz w:val="24"/>
          <w:szCs w:val="24"/>
        </w:rPr>
        <w:lastRenderedPageBreak/>
        <w:t>proved. If the receiver is still negotiating the receipt then another aspect of the offence of handling stolen goods could apply. The receiver must have knowledge that the goods are stolen at the time of their receipt, a bona fide innocent purchaser cannot become a handler at a later date (</w:t>
      </w:r>
      <w:hyperlink r:id="rId34" w:history="1">
        <w:r w:rsidRPr="00A802D4">
          <w:rPr>
            <w:rStyle w:val="Hyperlink"/>
            <w:rFonts w:ascii="Arial" w:hAnsi="Arial" w:cs="Arial"/>
            <w:i/>
            <w:iCs/>
            <w:sz w:val="24"/>
            <w:szCs w:val="24"/>
          </w:rPr>
          <w:t>R v Bloxham 1982</w:t>
        </w:r>
      </w:hyperlink>
      <w:r w:rsidRPr="00A802D4">
        <w:rPr>
          <w:rStyle w:val="Emphasis"/>
          <w:rFonts w:ascii="Arial" w:hAnsi="Arial" w:cs="Arial"/>
          <w:color w:val="000000"/>
          <w:sz w:val="24"/>
          <w:szCs w:val="24"/>
        </w:rPr>
        <w:t>).</w:t>
      </w:r>
      <w:r w:rsidRPr="00A802D4">
        <w:rPr>
          <w:rFonts w:ascii="Arial" w:hAnsi="Arial" w:cs="Arial"/>
          <w:i/>
          <w:iCs/>
          <w:color w:val="000000"/>
          <w:sz w:val="24"/>
          <w:szCs w:val="24"/>
        </w:rPr>
        <w:br/>
      </w:r>
      <w:r w:rsidRPr="00A802D4">
        <w:rPr>
          <w:rStyle w:val="Emphasis"/>
          <w:rFonts w:ascii="Arial" w:hAnsi="Arial" w:cs="Arial"/>
          <w:color w:val="000000"/>
          <w:sz w:val="24"/>
          <w:szCs w:val="24"/>
        </w:rPr>
        <w:t xml:space="preserve">(x) </w:t>
      </w:r>
      <w:r w:rsidRPr="00A802D4">
        <w:rPr>
          <w:rStyle w:val="Strong"/>
          <w:rFonts w:ascii="Arial" w:hAnsi="Arial" w:cs="Arial"/>
          <w:i/>
          <w:iCs/>
          <w:color w:val="000000"/>
          <w:sz w:val="24"/>
          <w:szCs w:val="24"/>
        </w:rPr>
        <w:t xml:space="preserve">Undertakes or Assists: </w:t>
      </w:r>
      <w:r w:rsidRPr="00A802D4">
        <w:rPr>
          <w:rStyle w:val="Emphasis"/>
          <w:rFonts w:ascii="Arial" w:hAnsi="Arial" w:cs="Arial"/>
          <w:color w:val="000000"/>
          <w:sz w:val="24"/>
          <w:szCs w:val="24"/>
        </w:rPr>
        <w:t>Undertakes has been held to include where the person agrees to perform the act or acts constituting the offence. Assists has been held to include allowing someone to store goods in a flat and refusing to answer police questions about their whereabouts (</w:t>
      </w:r>
      <w:hyperlink r:id="rId35" w:history="1">
        <w:r w:rsidRPr="00A802D4">
          <w:rPr>
            <w:rStyle w:val="Hyperlink"/>
            <w:rFonts w:ascii="Arial" w:hAnsi="Arial" w:cs="Arial"/>
            <w:i/>
            <w:iCs/>
            <w:sz w:val="24"/>
            <w:szCs w:val="24"/>
          </w:rPr>
          <w:t>R v Brown 1968</w:t>
        </w:r>
      </w:hyperlink>
      <w:r w:rsidRPr="00A802D4">
        <w:rPr>
          <w:rStyle w:val="Emphasis"/>
          <w:rFonts w:ascii="Arial" w:hAnsi="Arial" w:cs="Arial"/>
          <w:color w:val="000000"/>
          <w:sz w:val="24"/>
          <w:szCs w:val="24"/>
        </w:rPr>
        <w:t xml:space="preserve">). The act may be one of omission, such as the owner of premises allowing stolen goods to remain there after he becomes aware that they are stolen. </w:t>
      </w:r>
      <w:r w:rsidRPr="00A802D4">
        <w:rPr>
          <w:rFonts w:ascii="Arial" w:hAnsi="Arial" w:cs="Arial"/>
          <w:i/>
          <w:iCs/>
          <w:color w:val="000000"/>
          <w:sz w:val="24"/>
          <w:szCs w:val="24"/>
        </w:rPr>
        <w:br/>
      </w:r>
      <w:r w:rsidRPr="00A802D4">
        <w:rPr>
          <w:rStyle w:val="Emphasis"/>
          <w:rFonts w:ascii="Arial" w:hAnsi="Arial" w:cs="Arial"/>
          <w:color w:val="000000"/>
          <w:sz w:val="24"/>
          <w:szCs w:val="24"/>
        </w:rPr>
        <w:t xml:space="preserve">(xi) </w:t>
      </w:r>
      <w:r w:rsidRPr="00A802D4">
        <w:rPr>
          <w:rStyle w:val="Strong"/>
          <w:rFonts w:ascii="Arial" w:hAnsi="Arial" w:cs="Arial"/>
          <w:i/>
          <w:iCs/>
          <w:color w:val="000000"/>
          <w:sz w:val="24"/>
          <w:szCs w:val="24"/>
        </w:rPr>
        <w:t xml:space="preserve">Retention - Removal - Disposal - Realisation: </w:t>
      </w:r>
      <w:r w:rsidRPr="00A802D4">
        <w:rPr>
          <w:rStyle w:val="Emphasis"/>
          <w:rFonts w:ascii="Arial" w:hAnsi="Arial" w:cs="Arial"/>
          <w:color w:val="000000"/>
          <w:sz w:val="24"/>
          <w:szCs w:val="24"/>
        </w:rPr>
        <w:t xml:space="preserve">These terms are not specifically defined in the Act and should therefore be given their ordinary dictionary meaning. More than one of the terms might fit a particular set of </w:t>
      </w:r>
      <w:r w:rsidR="001623F2" w:rsidRPr="00A802D4">
        <w:rPr>
          <w:rStyle w:val="Emphasis"/>
          <w:rFonts w:ascii="Arial" w:hAnsi="Arial" w:cs="Arial"/>
          <w:color w:val="000000"/>
          <w:sz w:val="24"/>
          <w:szCs w:val="24"/>
        </w:rPr>
        <w:t xml:space="preserve">circumstances. </w:t>
      </w:r>
      <w:r w:rsidRPr="00A802D4">
        <w:rPr>
          <w:rStyle w:val="Emphasis"/>
          <w:rFonts w:ascii="Arial" w:hAnsi="Arial" w:cs="Arial"/>
          <w:color w:val="000000"/>
          <w:sz w:val="24"/>
          <w:szCs w:val="24"/>
        </w:rPr>
        <w:t>If in doubt, charge them as alternatives. Retention means keeping in one's own possession or control. Removal means moving a thing to another place. Disposal means the act of disposing or getting rid of, or bestowing or giving. Realisation means conversion into cash or money.</w:t>
      </w:r>
      <w:r w:rsidRPr="00A802D4">
        <w:rPr>
          <w:rFonts w:ascii="Arial" w:hAnsi="Arial" w:cs="Arial"/>
          <w:i/>
          <w:iCs/>
          <w:color w:val="000000"/>
          <w:sz w:val="24"/>
          <w:szCs w:val="24"/>
        </w:rPr>
        <w:br/>
      </w:r>
      <w:r w:rsidRPr="00A802D4">
        <w:rPr>
          <w:rStyle w:val="Emphasis"/>
          <w:rFonts w:ascii="Arial" w:hAnsi="Arial" w:cs="Arial"/>
          <w:color w:val="000000"/>
          <w:sz w:val="24"/>
          <w:szCs w:val="24"/>
        </w:rPr>
        <w:t xml:space="preserve">(xii) </w:t>
      </w:r>
      <w:r w:rsidRPr="00A802D4">
        <w:rPr>
          <w:rStyle w:val="Strong"/>
          <w:rFonts w:ascii="Arial" w:hAnsi="Arial" w:cs="Arial"/>
          <w:i/>
          <w:iCs/>
          <w:color w:val="000000"/>
          <w:sz w:val="24"/>
          <w:szCs w:val="24"/>
        </w:rPr>
        <w:t xml:space="preserve">Benefit of Another: </w:t>
      </w:r>
      <w:r w:rsidRPr="00A802D4">
        <w:rPr>
          <w:rStyle w:val="Emphasis"/>
          <w:rFonts w:ascii="Arial" w:hAnsi="Arial" w:cs="Arial"/>
          <w:color w:val="000000"/>
          <w:sz w:val="24"/>
          <w:szCs w:val="24"/>
        </w:rPr>
        <w:t xml:space="preserve">The person gaining benefit must gain some sort of advantage from the arrangement (although in some circumstances he/she may not be aware of it at the time) and it need not be financial. Except in very rare circumstances (see 'in the course of stealing' above) a thief cannot be the handler of the property he has stolen, </w:t>
      </w:r>
      <w:r w:rsidRPr="00A802D4">
        <w:rPr>
          <w:rStyle w:val="Emphasis"/>
          <w:rFonts w:ascii="Arial" w:hAnsi="Arial" w:cs="Arial"/>
          <w:color w:val="000000"/>
          <w:sz w:val="24"/>
          <w:szCs w:val="24"/>
          <w:u w:val="single"/>
        </w:rPr>
        <w:t>but</w:t>
      </w:r>
      <w:r w:rsidRPr="00A802D4">
        <w:rPr>
          <w:rStyle w:val="Emphasis"/>
          <w:rFonts w:ascii="Arial" w:hAnsi="Arial" w:cs="Arial"/>
          <w:color w:val="000000"/>
          <w:sz w:val="24"/>
          <w:szCs w:val="24"/>
        </w:rPr>
        <w:t xml:space="preserve"> can be the person who benefits from, for example, someone else storing it for him . The term 'another person' cannot mean the person purchasing goods from the individual who is disposing of them or co-defendants on the same indictment (R v Gingell 1999). The cases of R v Bloxham 1982 and R v Tokeley-Parry 1998 in the below list of cases may also be of assistance. </w:t>
      </w:r>
      <w:r w:rsidRPr="00A802D4">
        <w:rPr>
          <w:rFonts w:ascii="Arial" w:hAnsi="Arial" w:cs="Arial"/>
          <w:i/>
          <w:iCs/>
          <w:color w:val="000000"/>
          <w:sz w:val="24"/>
          <w:szCs w:val="24"/>
        </w:rPr>
        <w:br/>
      </w:r>
      <w:r w:rsidRPr="00A802D4">
        <w:rPr>
          <w:rStyle w:val="Emphasis"/>
          <w:rFonts w:ascii="Arial" w:hAnsi="Arial" w:cs="Arial"/>
          <w:color w:val="000000"/>
          <w:sz w:val="24"/>
          <w:szCs w:val="24"/>
        </w:rPr>
        <w:t xml:space="preserve">(xiii) </w:t>
      </w:r>
      <w:r w:rsidRPr="00A802D4">
        <w:rPr>
          <w:rStyle w:val="Strong"/>
          <w:rFonts w:ascii="Arial" w:hAnsi="Arial" w:cs="Arial"/>
          <w:i/>
          <w:iCs/>
          <w:color w:val="000000"/>
          <w:sz w:val="24"/>
          <w:szCs w:val="24"/>
        </w:rPr>
        <w:t xml:space="preserve">Arranges to do so: </w:t>
      </w:r>
      <w:r w:rsidRPr="00A802D4">
        <w:rPr>
          <w:rStyle w:val="Emphasis"/>
          <w:rFonts w:ascii="Arial" w:hAnsi="Arial" w:cs="Arial"/>
          <w:color w:val="000000"/>
          <w:sz w:val="24"/>
          <w:szCs w:val="24"/>
        </w:rPr>
        <w:t>This phrase is intended to include the go-between or middleman who makes the arrangement, but may never go near the stolen goods themselves.</w:t>
      </w:r>
    </w:p>
    <w:sectPr w:rsidR="00615E30" w:rsidRPr="00A802D4" w:rsidSect="00262538">
      <w:headerReference w:type="even" r:id="rId36"/>
      <w:headerReference w:type="default" r:id="rId37"/>
      <w:footerReference w:type="even" r:id="rId38"/>
      <w:footerReference w:type="default" r:id="rId39"/>
      <w:headerReference w:type="first" r:id="rId40"/>
      <w:footerReference w:type="first" r:id="rId4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618F8" w:rsidRDefault="006618F8" w:rsidP="00FB3AED">
      <w:pPr>
        <w:spacing w:after="0" w:line="240" w:lineRule="auto"/>
      </w:pPr>
      <w:r>
        <w:separator/>
      </w:r>
    </w:p>
  </w:endnote>
  <w:endnote w:type="continuationSeparator" w:id="0">
    <w:p w:rsidR="006618F8" w:rsidRDefault="006618F8" w:rsidP="00FB3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F3043" w:rsidRDefault="00BF3043" w:rsidP="00BF3043">
    <w:pPr>
      <w:pStyle w:val="Footer"/>
      <w:rPr>
        <w:color w:val="000000"/>
        <w:sz w:val="17"/>
      </w:rPr>
    </w:pPr>
    <w:bookmarkStart w:id="3" w:name="TITUS1FooterEvenPages"/>
    <w:r w:rsidRPr="00BF3043">
      <w:rPr>
        <w:color w:val="000000"/>
        <w:sz w:val="17"/>
      </w:rPr>
      <w:t> </w:t>
    </w:r>
  </w:p>
  <w:bookmarkEnd w:id="3"/>
  <w:p w:rsidR="00BF3043" w:rsidRDefault="00BF3043" w:rsidP="00BF3043">
    <w:pPr>
      <w:pStyle w:val="Footer"/>
    </w:pPr>
    <w:r>
      <w:rPr>
        <w:noProof/>
        <w:lang w:eastAsia="en-GB"/>
      </w:rPr>
      <mc:AlternateContent>
        <mc:Choice Requires="wps">
          <w:drawing>
            <wp:anchor distT="0" distB="0" distL="114300" distR="114300" simplePos="0" relativeHeight="251661312" behindDoc="0" locked="0" layoutInCell="1" allowOverlap="1" wp14:anchorId="533544EF" wp14:editId="3DA26748">
              <wp:simplePos x="0" y="0"/>
              <wp:positionH relativeFrom="column">
                <wp:posOffset>-914400</wp:posOffset>
              </wp:positionH>
              <wp:positionV relativeFrom="paragraph">
                <wp:posOffset>24765</wp:posOffset>
              </wp:positionV>
              <wp:extent cx="5943600" cy="274320"/>
              <wp:effectExtent l="0" t="0" r="0" b="0"/>
              <wp:wrapNone/>
              <wp:docPr id="3" name="Rectangle 3"/>
              <wp:cNvGraphicFramePr/>
              <a:graphic xmlns:a="http://schemas.openxmlformats.org/drawingml/2006/main">
                <a:graphicData uri="http://schemas.microsoft.com/office/word/2010/wordprocessingShape">
                  <wps:wsp>
                    <wps:cNvSpPr/>
                    <wps:spPr>
                      <a:xfrm>
                        <a:off x="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9C623F7" id="Rectangle 3" o:spid="_x0000_s1026" style="position:absolute;margin-left:-1in;margin-top:1.95pt;width:468pt;height:21.6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" fillcolor="white [3212]" stroked="f" strokeweight="1pt">
              <v:fill opacity="0"/>
            </v:rect>
          </w:pict>
        </mc:Fallback>
      </mc:AlternateContent>
    </w:r>
  </w:p>
  <w:p w:rsidR="00262538" w:rsidRDefault="0026253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62538" w:rsidRDefault="00BF3043" w:rsidP="00BF3043">
    <w:pPr>
      <w:pStyle w:val="Footer"/>
      <w:rPr>
        <w:color w:val="000000"/>
        <w:sz w:val="17"/>
      </w:rPr>
    </w:pPr>
    <w:bookmarkStart w:id="4" w:name="TITUS1FooterPrimary"/>
    <w:r>
      <w:rPr>
        <w:color w:val="000000"/>
        <w:sz w:val="17"/>
      </w:rPr>
      <w:t> </w:t>
    </w:r>
  </w:p>
  <w:bookmarkEnd w:id="4"/>
  <w:p w:rsidR="006618F8" w:rsidRDefault="00C00D21">
    <w:pPr>
      <w:pStyle w:val="Footer"/>
    </w:pPr>
    <w:r>
      <w:rPr>
        <w:noProof/>
        <w:lang w:eastAsia="en-GB"/>
      </w:rPr>
      <mc:AlternateContent>
        <mc:Choice Requires="wps">
          <w:drawing>
            <wp:anchor distT="0" distB="0" distL="114300" distR="114300" simplePos="0" relativeHeight="251659264" behindDoc="0" locked="0" layoutInCell="1" allowOverlap="1">
              <wp:simplePos x="0" y="0"/>
              <wp:positionH relativeFrom="column">
                <wp:posOffset>-914400</wp:posOffset>
              </wp:positionH>
              <wp:positionV relativeFrom="paragraph">
                <wp:posOffset>24765</wp:posOffset>
              </wp:positionV>
              <wp:extent cx="5943600" cy="274320"/>
              <wp:effectExtent l="0" t="0" r="0" b="0"/>
              <wp:wrapNone/>
              <wp:docPr id="156" name="Rectangle 156"/>
              <wp:cNvGraphicFramePr/>
              <a:graphic xmlns:a="http://schemas.openxmlformats.org/drawingml/2006/main">
                <a:graphicData uri="http://schemas.microsoft.com/office/word/2010/wordprocessingShape">
                  <wps:wsp>
                    <wps:cNvSpPr/>
                    <wps:spPr>
                      <a:xfrm>
                        <a:off x="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36B1F8B" id="Rectangle 156" o:spid="_x0000_s1026" style="position:absolute;margin-left:-1in;margin-top:1.95pt;width:468pt;height:21.6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" fillcolor="white [3212]" stroked="f" strokeweight="1pt">
              <v:fill opacity="0"/>
            </v:rect>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62538" w:rsidRDefault="00BF3043" w:rsidP="00BF3043">
    <w:pPr>
      <w:pStyle w:val="Footer"/>
      <w:rPr>
        <w:color w:val="000000"/>
        <w:sz w:val="17"/>
      </w:rPr>
    </w:pPr>
    <w:bookmarkStart w:id="6" w:name="TITUS1FooterFirstPage"/>
    <w:r>
      <w:rPr>
        <w:color w:val="000000"/>
        <w:sz w:val="17"/>
      </w:rPr>
      <w:t> </w:t>
    </w:r>
  </w:p>
  <w:bookmarkEnd w:id="6"/>
  <w:p w:rsidR="00262538" w:rsidRDefault="002625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618F8" w:rsidRDefault="006618F8" w:rsidP="00FB3AED">
      <w:pPr>
        <w:spacing w:after="0" w:line="240" w:lineRule="auto"/>
      </w:pPr>
      <w:r>
        <w:separator/>
      </w:r>
    </w:p>
  </w:footnote>
  <w:footnote w:type="continuationSeparator" w:id="0">
    <w:p w:rsidR="006618F8" w:rsidRDefault="006618F8" w:rsidP="00FB3A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62538" w:rsidRDefault="00BF3043" w:rsidP="00BF3043">
    <w:pPr>
      <w:pStyle w:val="Header"/>
      <w:rPr>
        <w:color w:val="000000"/>
        <w:sz w:val="17"/>
      </w:rPr>
    </w:pPr>
    <w:bookmarkStart w:id="1" w:name="TITUS1HeaderEvenPages"/>
    <w:r>
      <w:rPr>
        <w:color w:val="000000"/>
        <w:sz w:val="17"/>
      </w:rPr>
      <w:t> </w:t>
    </w:r>
  </w:p>
  <w:bookmarkEnd w:id="1"/>
  <w:p w:rsidR="00262538" w:rsidRDefault="00262538" w:rsidP="00262538">
    <w:pPr>
      <w:pStyle w:val="Header"/>
    </w:pPr>
    <w:r>
      <w:rPr>
        <w:noProof/>
        <w:lang w:eastAsia="en-GB"/>
      </w:rPr>
      <w:drawing>
        <wp:inline distT="0" distB="0" distL="0" distR="0" wp14:anchorId="5C877883" wp14:editId="54272A22">
          <wp:extent cx="5731510" cy="93535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731510" cy="935355"/>
                  </a:xfrm>
                  <a:prstGeom prst="rect">
                    <a:avLst/>
                  </a:prstGeom>
                </pic:spPr>
              </pic:pic>
            </a:graphicData>
          </a:graphic>
        </wp:inline>
      </w:drawing>
    </w:r>
  </w:p>
  <w:p w:rsidR="00262538" w:rsidRDefault="0026253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62538" w:rsidRDefault="00BF3043" w:rsidP="00BF3043">
    <w:pPr>
      <w:pStyle w:val="Header"/>
      <w:rPr>
        <w:color w:val="000000"/>
        <w:sz w:val="17"/>
      </w:rPr>
    </w:pPr>
    <w:bookmarkStart w:id="2" w:name="TITUS1HeaderPrimary"/>
    <w:r>
      <w:rPr>
        <w:color w:val="000000"/>
        <w:sz w:val="17"/>
      </w:rPr>
      <w:t> </w:t>
    </w:r>
  </w:p>
  <w:bookmarkEnd w:id="2"/>
  <w:p w:rsidR="006618F8" w:rsidRDefault="006618F8">
    <w:pPr>
      <w:pStyle w:val="Header"/>
    </w:pPr>
    <w:r>
      <w:rPr>
        <w:noProof/>
        <w:lang w:eastAsia="en-GB"/>
      </w:rPr>
      <w:drawing>
        <wp:inline distT="0" distB="0" distL="0" distR="0" wp14:anchorId="592FDD28" wp14:editId="0418F882">
          <wp:extent cx="5731510" cy="9353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731510" cy="935355"/>
                  </a:xfrm>
                  <a:prstGeom prst="rect">
                    <a:avLst/>
                  </a:prstGeom>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62538" w:rsidRDefault="00BF3043" w:rsidP="00BF3043">
    <w:pPr>
      <w:pStyle w:val="Header"/>
      <w:rPr>
        <w:color w:val="000000"/>
        <w:sz w:val="17"/>
      </w:rPr>
    </w:pPr>
    <w:bookmarkStart w:id="5" w:name="TITUS1HeaderFirstPage"/>
    <w:r>
      <w:rPr>
        <w:color w:val="000000"/>
        <w:sz w:val="17"/>
      </w:rPr>
      <w:t> </w:t>
    </w:r>
  </w:p>
  <w:bookmarkEnd w:id="5"/>
  <w:p w:rsidR="00262538" w:rsidRDefault="00262538" w:rsidP="00262538">
    <w:pPr>
      <w:pStyle w:val="Header"/>
    </w:pPr>
    <w:r>
      <w:rPr>
        <w:noProof/>
        <w:lang w:eastAsia="en-GB"/>
      </w:rPr>
      <w:drawing>
        <wp:inline distT="0" distB="0" distL="0" distR="0" wp14:anchorId="45099D46" wp14:editId="1CE35628">
          <wp:extent cx="5731510" cy="93535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731510" cy="935355"/>
                  </a:xfrm>
                  <a:prstGeom prst="rect">
                    <a:avLst/>
                  </a:prstGeom>
                </pic:spPr>
              </pic:pic>
            </a:graphicData>
          </a:graphic>
        </wp:inline>
      </w:drawing>
    </w:r>
  </w:p>
  <w:p w:rsidR="00262538" w:rsidRDefault="0026253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18473D"/>
    <w:multiLevelType w:val="multilevel"/>
    <w:tmpl w:val="4B0C60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BE7808"/>
    <w:multiLevelType w:val="hybridMultilevel"/>
    <w:tmpl w:val="660E90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5444CF"/>
    <w:multiLevelType w:val="multilevel"/>
    <w:tmpl w:val="D8C6A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3C487F"/>
    <w:multiLevelType w:val="hybridMultilevel"/>
    <w:tmpl w:val="FAE00510"/>
    <w:lvl w:ilvl="0" w:tplc="75A6E2FA">
      <w:start w:val="1"/>
      <w:numFmt w:val="bullet"/>
      <w:lvlText w:val="•"/>
      <w:lvlJc w:val="left"/>
      <w:pPr>
        <w:tabs>
          <w:tab w:val="num" w:pos="720"/>
        </w:tabs>
        <w:ind w:left="720" w:hanging="360"/>
      </w:pPr>
      <w:rPr>
        <w:rFonts w:ascii="Times New Roman" w:hAnsi="Times New Roman" w:hint="default"/>
      </w:rPr>
    </w:lvl>
    <w:lvl w:ilvl="1" w:tplc="13A4EDFC" w:tentative="1">
      <w:start w:val="1"/>
      <w:numFmt w:val="bullet"/>
      <w:lvlText w:val="•"/>
      <w:lvlJc w:val="left"/>
      <w:pPr>
        <w:tabs>
          <w:tab w:val="num" w:pos="1440"/>
        </w:tabs>
        <w:ind w:left="1440" w:hanging="360"/>
      </w:pPr>
      <w:rPr>
        <w:rFonts w:ascii="Times New Roman" w:hAnsi="Times New Roman" w:hint="default"/>
      </w:rPr>
    </w:lvl>
    <w:lvl w:ilvl="2" w:tplc="65E8ECF0" w:tentative="1">
      <w:start w:val="1"/>
      <w:numFmt w:val="bullet"/>
      <w:lvlText w:val="•"/>
      <w:lvlJc w:val="left"/>
      <w:pPr>
        <w:tabs>
          <w:tab w:val="num" w:pos="2160"/>
        </w:tabs>
        <w:ind w:left="2160" w:hanging="360"/>
      </w:pPr>
      <w:rPr>
        <w:rFonts w:ascii="Times New Roman" w:hAnsi="Times New Roman" w:hint="default"/>
      </w:rPr>
    </w:lvl>
    <w:lvl w:ilvl="3" w:tplc="75CC9F8A" w:tentative="1">
      <w:start w:val="1"/>
      <w:numFmt w:val="bullet"/>
      <w:lvlText w:val="•"/>
      <w:lvlJc w:val="left"/>
      <w:pPr>
        <w:tabs>
          <w:tab w:val="num" w:pos="2880"/>
        </w:tabs>
        <w:ind w:left="2880" w:hanging="360"/>
      </w:pPr>
      <w:rPr>
        <w:rFonts w:ascii="Times New Roman" w:hAnsi="Times New Roman" w:hint="default"/>
      </w:rPr>
    </w:lvl>
    <w:lvl w:ilvl="4" w:tplc="E25A1C2C" w:tentative="1">
      <w:start w:val="1"/>
      <w:numFmt w:val="bullet"/>
      <w:lvlText w:val="•"/>
      <w:lvlJc w:val="left"/>
      <w:pPr>
        <w:tabs>
          <w:tab w:val="num" w:pos="3600"/>
        </w:tabs>
        <w:ind w:left="3600" w:hanging="360"/>
      </w:pPr>
      <w:rPr>
        <w:rFonts w:ascii="Times New Roman" w:hAnsi="Times New Roman" w:hint="default"/>
      </w:rPr>
    </w:lvl>
    <w:lvl w:ilvl="5" w:tplc="3AF6622C" w:tentative="1">
      <w:start w:val="1"/>
      <w:numFmt w:val="bullet"/>
      <w:lvlText w:val="•"/>
      <w:lvlJc w:val="left"/>
      <w:pPr>
        <w:tabs>
          <w:tab w:val="num" w:pos="4320"/>
        </w:tabs>
        <w:ind w:left="4320" w:hanging="360"/>
      </w:pPr>
      <w:rPr>
        <w:rFonts w:ascii="Times New Roman" w:hAnsi="Times New Roman" w:hint="default"/>
      </w:rPr>
    </w:lvl>
    <w:lvl w:ilvl="6" w:tplc="A7EC90C8" w:tentative="1">
      <w:start w:val="1"/>
      <w:numFmt w:val="bullet"/>
      <w:lvlText w:val="•"/>
      <w:lvlJc w:val="left"/>
      <w:pPr>
        <w:tabs>
          <w:tab w:val="num" w:pos="5040"/>
        </w:tabs>
        <w:ind w:left="5040" w:hanging="360"/>
      </w:pPr>
      <w:rPr>
        <w:rFonts w:ascii="Times New Roman" w:hAnsi="Times New Roman" w:hint="default"/>
      </w:rPr>
    </w:lvl>
    <w:lvl w:ilvl="7" w:tplc="B184A1D2" w:tentative="1">
      <w:start w:val="1"/>
      <w:numFmt w:val="bullet"/>
      <w:lvlText w:val="•"/>
      <w:lvlJc w:val="left"/>
      <w:pPr>
        <w:tabs>
          <w:tab w:val="num" w:pos="5760"/>
        </w:tabs>
        <w:ind w:left="5760" w:hanging="360"/>
      </w:pPr>
      <w:rPr>
        <w:rFonts w:ascii="Times New Roman" w:hAnsi="Times New Roman" w:hint="default"/>
      </w:rPr>
    </w:lvl>
    <w:lvl w:ilvl="8" w:tplc="A79EF166"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323F67FE"/>
    <w:multiLevelType w:val="hybridMultilevel"/>
    <w:tmpl w:val="0BE6BD00"/>
    <w:lvl w:ilvl="0" w:tplc="7BB0945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D843875"/>
    <w:multiLevelType w:val="hybridMultilevel"/>
    <w:tmpl w:val="39C0E3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F8A45FC"/>
    <w:multiLevelType w:val="hybridMultilevel"/>
    <w:tmpl w:val="A0EE7D3E"/>
    <w:lvl w:ilvl="0" w:tplc="C6AE8D7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43943C13"/>
    <w:multiLevelType w:val="hybridMultilevel"/>
    <w:tmpl w:val="0CDCC392"/>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4C0521DF"/>
    <w:multiLevelType w:val="hybridMultilevel"/>
    <w:tmpl w:val="26B8BF24"/>
    <w:lvl w:ilvl="0" w:tplc="CC00913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580048C2"/>
    <w:multiLevelType w:val="hybridMultilevel"/>
    <w:tmpl w:val="3418C71C"/>
    <w:lvl w:ilvl="0" w:tplc="4D10E82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5CE6E41"/>
    <w:multiLevelType w:val="hybridMultilevel"/>
    <w:tmpl w:val="7DF8F4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4"/>
  </w:num>
  <w:num w:numId="3">
    <w:abstractNumId w:val="13"/>
  </w:num>
  <w:num w:numId="4">
    <w:abstractNumId w:val="7"/>
  </w:num>
  <w:num w:numId="5">
    <w:abstractNumId w:val="3"/>
  </w:num>
  <w:num w:numId="6">
    <w:abstractNumId w:val="6"/>
  </w:num>
  <w:num w:numId="7">
    <w:abstractNumId w:val="14"/>
  </w:num>
  <w:num w:numId="8">
    <w:abstractNumId w:val="11"/>
  </w:num>
  <w:num w:numId="9">
    <w:abstractNumId w:val="9"/>
  </w:num>
  <w:num w:numId="10">
    <w:abstractNumId w:val="1"/>
  </w:num>
  <w:num w:numId="11">
    <w:abstractNumId w:val="10"/>
  </w:num>
  <w:num w:numId="12">
    <w:abstractNumId w:val="5"/>
  </w:num>
  <w:num w:numId="13">
    <w:abstractNumId w:val="15"/>
  </w:num>
  <w:num w:numId="14">
    <w:abstractNumId w:val="2"/>
  </w:num>
  <w:num w:numId="15">
    <w:abstractNumId w:val="8"/>
  </w:num>
  <w:num w:numId="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3072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0348"/>
    <w:rsid w:val="000101C6"/>
    <w:rsid w:val="00013198"/>
    <w:rsid w:val="00027541"/>
    <w:rsid w:val="00070AE2"/>
    <w:rsid w:val="000A12A4"/>
    <w:rsid w:val="000B3C4C"/>
    <w:rsid w:val="000C3B7D"/>
    <w:rsid w:val="000C67F8"/>
    <w:rsid w:val="00106EBD"/>
    <w:rsid w:val="00112114"/>
    <w:rsid w:val="001233A1"/>
    <w:rsid w:val="00125393"/>
    <w:rsid w:val="00135735"/>
    <w:rsid w:val="00153AD4"/>
    <w:rsid w:val="001623F2"/>
    <w:rsid w:val="00162781"/>
    <w:rsid w:val="00175C8D"/>
    <w:rsid w:val="001F78C3"/>
    <w:rsid w:val="001F7FE6"/>
    <w:rsid w:val="002146D8"/>
    <w:rsid w:val="0023158B"/>
    <w:rsid w:val="00235993"/>
    <w:rsid w:val="00262538"/>
    <w:rsid w:val="00280C98"/>
    <w:rsid w:val="00292F35"/>
    <w:rsid w:val="00315217"/>
    <w:rsid w:val="00331A18"/>
    <w:rsid w:val="00341767"/>
    <w:rsid w:val="00361F2D"/>
    <w:rsid w:val="003A5E3B"/>
    <w:rsid w:val="003B6C37"/>
    <w:rsid w:val="003C4D1C"/>
    <w:rsid w:val="004107B3"/>
    <w:rsid w:val="00420348"/>
    <w:rsid w:val="00425416"/>
    <w:rsid w:val="004900BD"/>
    <w:rsid w:val="004B38CA"/>
    <w:rsid w:val="004C18A5"/>
    <w:rsid w:val="004D74F3"/>
    <w:rsid w:val="004E4616"/>
    <w:rsid w:val="004F3D20"/>
    <w:rsid w:val="0050413C"/>
    <w:rsid w:val="005156C4"/>
    <w:rsid w:val="00533058"/>
    <w:rsid w:val="00552CAA"/>
    <w:rsid w:val="005824E7"/>
    <w:rsid w:val="005B296D"/>
    <w:rsid w:val="00603ECF"/>
    <w:rsid w:val="006076C6"/>
    <w:rsid w:val="00615E30"/>
    <w:rsid w:val="00640DC1"/>
    <w:rsid w:val="00646163"/>
    <w:rsid w:val="006618F8"/>
    <w:rsid w:val="00694E01"/>
    <w:rsid w:val="00697638"/>
    <w:rsid w:val="006A20EC"/>
    <w:rsid w:val="0071222A"/>
    <w:rsid w:val="007276B7"/>
    <w:rsid w:val="00730D27"/>
    <w:rsid w:val="007940A3"/>
    <w:rsid w:val="00797B29"/>
    <w:rsid w:val="007B18E4"/>
    <w:rsid w:val="007C0CD1"/>
    <w:rsid w:val="007E31DE"/>
    <w:rsid w:val="008136C2"/>
    <w:rsid w:val="008144AB"/>
    <w:rsid w:val="00842A20"/>
    <w:rsid w:val="008541C8"/>
    <w:rsid w:val="00857649"/>
    <w:rsid w:val="00874AE5"/>
    <w:rsid w:val="00883414"/>
    <w:rsid w:val="0089475A"/>
    <w:rsid w:val="008A6429"/>
    <w:rsid w:val="008B5A97"/>
    <w:rsid w:val="008F3FFF"/>
    <w:rsid w:val="00926D5D"/>
    <w:rsid w:val="00933CE1"/>
    <w:rsid w:val="00963977"/>
    <w:rsid w:val="0098203B"/>
    <w:rsid w:val="00993363"/>
    <w:rsid w:val="00A30027"/>
    <w:rsid w:val="00A45185"/>
    <w:rsid w:val="00A51F43"/>
    <w:rsid w:val="00A5390D"/>
    <w:rsid w:val="00A76E43"/>
    <w:rsid w:val="00A802D4"/>
    <w:rsid w:val="00A90FDF"/>
    <w:rsid w:val="00AA08FF"/>
    <w:rsid w:val="00AB606A"/>
    <w:rsid w:val="00AE7DCF"/>
    <w:rsid w:val="00B1747C"/>
    <w:rsid w:val="00B260D0"/>
    <w:rsid w:val="00B77BD1"/>
    <w:rsid w:val="00B81748"/>
    <w:rsid w:val="00BD1C22"/>
    <w:rsid w:val="00BD738A"/>
    <w:rsid w:val="00BE09C3"/>
    <w:rsid w:val="00BF3043"/>
    <w:rsid w:val="00BF3415"/>
    <w:rsid w:val="00C00D21"/>
    <w:rsid w:val="00C0296F"/>
    <w:rsid w:val="00C108F4"/>
    <w:rsid w:val="00C9663B"/>
    <w:rsid w:val="00D06E57"/>
    <w:rsid w:val="00D07F28"/>
    <w:rsid w:val="00D23791"/>
    <w:rsid w:val="00D52949"/>
    <w:rsid w:val="00D73990"/>
    <w:rsid w:val="00D90B81"/>
    <w:rsid w:val="00DA41CF"/>
    <w:rsid w:val="00E15DCC"/>
    <w:rsid w:val="00E21FEB"/>
    <w:rsid w:val="00E457DA"/>
    <w:rsid w:val="00E858EE"/>
    <w:rsid w:val="00EC48BB"/>
    <w:rsid w:val="00EC7072"/>
    <w:rsid w:val="00EE7207"/>
    <w:rsid w:val="00F3051D"/>
    <w:rsid w:val="00F559B8"/>
    <w:rsid w:val="00F82992"/>
    <w:rsid w:val="00FB3AED"/>
    <w:rsid w:val="00FB47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21"/>
    <o:shapelayout v:ext="edit">
      <o:idmap v:ext="edit" data="1"/>
    </o:shapelayout>
  </w:shapeDefaults>
  <w:decimalSymbol w:val="."/>
  <w:listSeparator w:val=","/>
  <w14:docId w14:val="3E027908"/>
  <w15:chartTrackingRefBased/>
  <w15:docId w15:val="{81B6CD2A-7692-4F22-896B-D1E7ED861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20348"/>
  </w:style>
  <w:style w:type="paragraph" w:styleId="Heading1">
    <w:name w:val="heading 1"/>
    <w:basedOn w:val="Normal"/>
    <w:link w:val="Heading1Char"/>
    <w:uiPriority w:val="9"/>
    <w:qFormat/>
    <w:rsid w:val="0064616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0348"/>
    <w:pPr>
      <w:ind w:left="720"/>
      <w:contextualSpacing/>
    </w:pPr>
  </w:style>
  <w:style w:type="character" w:styleId="Hyperlink">
    <w:name w:val="Hyperlink"/>
    <w:basedOn w:val="DefaultParagraphFont"/>
    <w:uiPriority w:val="99"/>
    <w:unhideWhenUsed/>
    <w:rsid w:val="00341767"/>
    <w:rPr>
      <w:color w:val="0563C1" w:themeColor="hyperlink"/>
      <w:u w:val="single"/>
    </w:rPr>
  </w:style>
  <w:style w:type="paragraph" w:customStyle="1" w:styleId="first">
    <w:name w:val="first"/>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oose">
    <w:name w:val="loose"/>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B3A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3AED"/>
  </w:style>
  <w:style w:type="paragraph" w:styleId="Footer">
    <w:name w:val="footer"/>
    <w:basedOn w:val="Normal"/>
    <w:link w:val="FooterChar"/>
    <w:uiPriority w:val="99"/>
    <w:unhideWhenUsed/>
    <w:rsid w:val="00FB3A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AED"/>
  </w:style>
  <w:style w:type="paragraph" w:customStyle="1" w:styleId="last">
    <w:name w:val="last"/>
    <w:basedOn w:val="Normal"/>
    <w:rsid w:val="000C67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C67F8"/>
    <w:rPr>
      <w:b/>
      <w:bCs/>
    </w:rPr>
  </w:style>
  <w:style w:type="character" w:styleId="Emphasis">
    <w:name w:val="Emphasis"/>
    <w:basedOn w:val="DefaultParagraphFont"/>
    <w:uiPriority w:val="20"/>
    <w:qFormat/>
    <w:rsid w:val="000C67F8"/>
    <w:rPr>
      <w:i/>
      <w:iCs/>
    </w:rPr>
  </w:style>
  <w:style w:type="character" w:customStyle="1" w:styleId="Heading1Char">
    <w:name w:val="Heading 1 Char"/>
    <w:basedOn w:val="DefaultParagraphFont"/>
    <w:link w:val="Heading1"/>
    <w:uiPriority w:val="9"/>
    <w:rsid w:val="00646163"/>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120897">
      <w:bodyDiv w:val="1"/>
      <w:marLeft w:val="0"/>
      <w:marRight w:val="0"/>
      <w:marTop w:val="0"/>
      <w:marBottom w:val="0"/>
      <w:divBdr>
        <w:top w:val="none" w:sz="0" w:space="0" w:color="auto"/>
        <w:left w:val="none" w:sz="0" w:space="0" w:color="auto"/>
        <w:bottom w:val="none" w:sz="0" w:space="0" w:color="auto"/>
        <w:right w:val="none" w:sz="0" w:space="0" w:color="auto"/>
      </w:divBdr>
    </w:div>
    <w:div w:id="140777241">
      <w:bodyDiv w:val="1"/>
      <w:marLeft w:val="0"/>
      <w:marRight w:val="0"/>
      <w:marTop w:val="0"/>
      <w:marBottom w:val="0"/>
      <w:divBdr>
        <w:top w:val="none" w:sz="0" w:space="0" w:color="auto"/>
        <w:left w:val="none" w:sz="0" w:space="0" w:color="auto"/>
        <w:bottom w:val="none" w:sz="0" w:space="0" w:color="auto"/>
        <w:right w:val="none" w:sz="0" w:space="0" w:color="auto"/>
      </w:divBdr>
      <w:divsChild>
        <w:div w:id="853764530">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 w:id="293102739">
      <w:bodyDiv w:val="1"/>
      <w:marLeft w:val="0"/>
      <w:marRight w:val="0"/>
      <w:marTop w:val="0"/>
      <w:marBottom w:val="0"/>
      <w:divBdr>
        <w:top w:val="none" w:sz="0" w:space="0" w:color="auto"/>
        <w:left w:val="none" w:sz="0" w:space="0" w:color="auto"/>
        <w:bottom w:val="none" w:sz="0" w:space="0" w:color="auto"/>
        <w:right w:val="none" w:sz="0" w:space="0" w:color="auto"/>
      </w:divBdr>
      <w:divsChild>
        <w:div w:id="17512676">
          <w:marLeft w:val="547"/>
          <w:marRight w:val="0"/>
          <w:marTop w:val="86"/>
          <w:marBottom w:val="0"/>
          <w:divBdr>
            <w:top w:val="none" w:sz="0" w:space="0" w:color="auto"/>
            <w:left w:val="none" w:sz="0" w:space="0" w:color="auto"/>
            <w:bottom w:val="none" w:sz="0" w:space="0" w:color="auto"/>
            <w:right w:val="none" w:sz="0" w:space="0" w:color="auto"/>
          </w:divBdr>
        </w:div>
        <w:div w:id="39327708">
          <w:marLeft w:val="547"/>
          <w:marRight w:val="0"/>
          <w:marTop w:val="86"/>
          <w:marBottom w:val="0"/>
          <w:divBdr>
            <w:top w:val="none" w:sz="0" w:space="0" w:color="auto"/>
            <w:left w:val="none" w:sz="0" w:space="0" w:color="auto"/>
            <w:bottom w:val="none" w:sz="0" w:space="0" w:color="auto"/>
            <w:right w:val="none" w:sz="0" w:space="0" w:color="auto"/>
          </w:divBdr>
        </w:div>
        <w:div w:id="1784960948">
          <w:marLeft w:val="547"/>
          <w:marRight w:val="0"/>
          <w:marTop w:val="86"/>
          <w:marBottom w:val="0"/>
          <w:divBdr>
            <w:top w:val="none" w:sz="0" w:space="0" w:color="auto"/>
            <w:left w:val="none" w:sz="0" w:space="0" w:color="auto"/>
            <w:bottom w:val="none" w:sz="0" w:space="0" w:color="auto"/>
            <w:right w:val="none" w:sz="0" w:space="0" w:color="auto"/>
          </w:divBdr>
        </w:div>
        <w:div w:id="793402689">
          <w:marLeft w:val="547"/>
          <w:marRight w:val="0"/>
          <w:marTop w:val="86"/>
          <w:marBottom w:val="0"/>
          <w:divBdr>
            <w:top w:val="none" w:sz="0" w:space="0" w:color="auto"/>
            <w:left w:val="none" w:sz="0" w:space="0" w:color="auto"/>
            <w:bottom w:val="none" w:sz="0" w:space="0" w:color="auto"/>
            <w:right w:val="none" w:sz="0" w:space="0" w:color="auto"/>
          </w:divBdr>
        </w:div>
        <w:div w:id="171333612">
          <w:marLeft w:val="547"/>
          <w:marRight w:val="0"/>
          <w:marTop w:val="86"/>
          <w:marBottom w:val="0"/>
          <w:divBdr>
            <w:top w:val="none" w:sz="0" w:space="0" w:color="auto"/>
            <w:left w:val="none" w:sz="0" w:space="0" w:color="auto"/>
            <w:bottom w:val="none" w:sz="0" w:space="0" w:color="auto"/>
            <w:right w:val="none" w:sz="0" w:space="0" w:color="auto"/>
          </w:divBdr>
        </w:div>
        <w:div w:id="254285012">
          <w:marLeft w:val="547"/>
          <w:marRight w:val="0"/>
          <w:marTop w:val="86"/>
          <w:marBottom w:val="0"/>
          <w:divBdr>
            <w:top w:val="none" w:sz="0" w:space="0" w:color="auto"/>
            <w:left w:val="none" w:sz="0" w:space="0" w:color="auto"/>
            <w:bottom w:val="none" w:sz="0" w:space="0" w:color="auto"/>
            <w:right w:val="none" w:sz="0" w:space="0" w:color="auto"/>
          </w:divBdr>
        </w:div>
        <w:div w:id="449201682">
          <w:marLeft w:val="547"/>
          <w:marRight w:val="0"/>
          <w:marTop w:val="86"/>
          <w:marBottom w:val="0"/>
          <w:divBdr>
            <w:top w:val="none" w:sz="0" w:space="0" w:color="auto"/>
            <w:left w:val="none" w:sz="0" w:space="0" w:color="auto"/>
            <w:bottom w:val="none" w:sz="0" w:space="0" w:color="auto"/>
            <w:right w:val="none" w:sz="0" w:space="0" w:color="auto"/>
          </w:divBdr>
        </w:div>
        <w:div w:id="1935900404">
          <w:marLeft w:val="547"/>
          <w:marRight w:val="0"/>
          <w:marTop w:val="86"/>
          <w:marBottom w:val="0"/>
          <w:divBdr>
            <w:top w:val="none" w:sz="0" w:space="0" w:color="auto"/>
            <w:left w:val="none" w:sz="0" w:space="0" w:color="auto"/>
            <w:bottom w:val="none" w:sz="0" w:space="0" w:color="auto"/>
            <w:right w:val="none" w:sz="0" w:space="0" w:color="auto"/>
          </w:divBdr>
        </w:div>
      </w:divsChild>
    </w:div>
    <w:div w:id="852962613">
      <w:bodyDiv w:val="1"/>
      <w:marLeft w:val="0"/>
      <w:marRight w:val="0"/>
      <w:marTop w:val="0"/>
      <w:marBottom w:val="0"/>
      <w:divBdr>
        <w:top w:val="none" w:sz="0" w:space="0" w:color="auto"/>
        <w:left w:val="none" w:sz="0" w:space="0" w:color="auto"/>
        <w:bottom w:val="none" w:sz="0" w:space="0" w:color="auto"/>
        <w:right w:val="none" w:sz="0" w:space="0" w:color="auto"/>
      </w:divBdr>
    </w:div>
    <w:div w:id="1036353112">
      <w:bodyDiv w:val="1"/>
      <w:marLeft w:val="0"/>
      <w:marRight w:val="0"/>
      <w:marTop w:val="0"/>
      <w:marBottom w:val="0"/>
      <w:divBdr>
        <w:top w:val="none" w:sz="0" w:space="0" w:color="auto"/>
        <w:left w:val="none" w:sz="0" w:space="0" w:color="auto"/>
        <w:bottom w:val="none" w:sz="0" w:space="0" w:color="auto"/>
        <w:right w:val="none" w:sz="0" w:space="0" w:color="auto"/>
      </w:divBdr>
      <w:divsChild>
        <w:div w:id="19823399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86613160">
      <w:bodyDiv w:val="1"/>
      <w:marLeft w:val="0"/>
      <w:marRight w:val="0"/>
      <w:marTop w:val="0"/>
      <w:marBottom w:val="0"/>
      <w:divBdr>
        <w:top w:val="none" w:sz="0" w:space="0" w:color="auto"/>
        <w:left w:val="none" w:sz="0" w:space="0" w:color="auto"/>
        <w:bottom w:val="none" w:sz="0" w:space="0" w:color="auto"/>
        <w:right w:val="none" w:sz="0" w:space="0" w:color="auto"/>
      </w:divBdr>
      <w:divsChild>
        <w:div w:id="1761023999">
          <w:blockQuote w:val="1"/>
          <w:marLeft w:val="720"/>
          <w:marRight w:val="720"/>
          <w:marTop w:val="100"/>
          <w:marBottom w:val="100"/>
          <w:divBdr>
            <w:top w:val="none" w:sz="0" w:space="0" w:color="auto"/>
            <w:left w:val="none" w:sz="0" w:space="0" w:color="auto"/>
            <w:bottom w:val="none" w:sz="0" w:space="0" w:color="auto"/>
            <w:right w:val="none" w:sz="0" w:space="0" w:color="auto"/>
          </w:divBdr>
        </w:div>
        <w:div w:id="1503155718">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 w:id="1305040193">
      <w:bodyDiv w:val="1"/>
      <w:marLeft w:val="0"/>
      <w:marRight w:val="0"/>
      <w:marTop w:val="0"/>
      <w:marBottom w:val="0"/>
      <w:divBdr>
        <w:top w:val="none" w:sz="0" w:space="0" w:color="auto"/>
        <w:left w:val="none" w:sz="0" w:space="0" w:color="auto"/>
        <w:bottom w:val="none" w:sz="0" w:space="0" w:color="auto"/>
        <w:right w:val="none" w:sz="0" w:space="0" w:color="auto"/>
      </w:divBdr>
    </w:div>
    <w:div w:id="1464538556">
      <w:bodyDiv w:val="1"/>
      <w:marLeft w:val="0"/>
      <w:marRight w:val="0"/>
      <w:marTop w:val="0"/>
      <w:marBottom w:val="0"/>
      <w:divBdr>
        <w:top w:val="none" w:sz="0" w:space="0" w:color="auto"/>
        <w:left w:val="none" w:sz="0" w:space="0" w:color="auto"/>
        <w:bottom w:val="none" w:sz="0" w:space="0" w:color="auto"/>
        <w:right w:val="none" w:sz="0" w:space="0" w:color="auto"/>
      </w:divBdr>
    </w:div>
    <w:div w:id="1602955215">
      <w:bodyDiv w:val="1"/>
      <w:marLeft w:val="0"/>
      <w:marRight w:val="0"/>
      <w:marTop w:val="0"/>
      <w:marBottom w:val="0"/>
      <w:divBdr>
        <w:top w:val="none" w:sz="0" w:space="0" w:color="auto"/>
        <w:left w:val="none" w:sz="0" w:space="0" w:color="auto"/>
        <w:bottom w:val="none" w:sz="0" w:space="0" w:color="auto"/>
        <w:right w:val="none" w:sz="0" w:space="0" w:color="auto"/>
      </w:divBdr>
      <w:divsChild>
        <w:div w:id="1258096512">
          <w:marLeft w:val="75"/>
          <w:marRight w:val="0"/>
          <w:marTop w:val="0"/>
          <w:marBottom w:val="0"/>
          <w:divBdr>
            <w:top w:val="none" w:sz="0" w:space="0" w:color="auto"/>
            <w:left w:val="none" w:sz="0" w:space="0" w:color="auto"/>
            <w:bottom w:val="none" w:sz="0" w:space="0" w:color="auto"/>
            <w:right w:val="none" w:sz="0" w:space="0" w:color="auto"/>
          </w:divBdr>
        </w:div>
        <w:div w:id="1770274676">
          <w:marLeft w:val="0"/>
          <w:marRight w:val="0"/>
          <w:marTop w:val="0"/>
          <w:marBottom w:val="165"/>
          <w:divBdr>
            <w:top w:val="none" w:sz="0" w:space="0" w:color="auto"/>
            <w:left w:val="none" w:sz="0" w:space="0" w:color="auto"/>
            <w:bottom w:val="none" w:sz="0" w:space="0" w:color="auto"/>
            <w:right w:val="none" w:sz="0" w:space="0" w:color="auto"/>
          </w:divBdr>
          <w:divsChild>
            <w:div w:id="1177690815">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sChild>
    </w:div>
    <w:div w:id="1837762211">
      <w:bodyDiv w:val="1"/>
      <w:marLeft w:val="0"/>
      <w:marRight w:val="0"/>
      <w:marTop w:val="0"/>
      <w:marBottom w:val="0"/>
      <w:divBdr>
        <w:top w:val="none" w:sz="0" w:space="0" w:color="auto"/>
        <w:left w:val="none" w:sz="0" w:space="0" w:color="auto"/>
        <w:bottom w:val="none" w:sz="0" w:space="0" w:color="auto"/>
        <w:right w:val="none" w:sz="0" w:space="0" w:color="auto"/>
      </w:divBdr>
    </w:div>
    <w:div w:id="1950354060">
      <w:bodyDiv w:val="1"/>
      <w:marLeft w:val="0"/>
      <w:marRight w:val="0"/>
      <w:marTop w:val="0"/>
      <w:marBottom w:val="0"/>
      <w:divBdr>
        <w:top w:val="none" w:sz="0" w:space="0" w:color="auto"/>
        <w:left w:val="none" w:sz="0" w:space="0" w:color="auto"/>
        <w:bottom w:val="none" w:sz="0" w:space="0" w:color="auto"/>
        <w:right w:val="none" w:sz="0" w:space="0" w:color="auto"/>
      </w:divBdr>
      <w:divsChild>
        <w:div w:id="237792844">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 w:id="1985701103">
      <w:bodyDiv w:val="1"/>
      <w:marLeft w:val="0"/>
      <w:marRight w:val="0"/>
      <w:marTop w:val="0"/>
      <w:marBottom w:val="0"/>
      <w:divBdr>
        <w:top w:val="none" w:sz="0" w:space="0" w:color="auto"/>
        <w:left w:val="none" w:sz="0" w:space="0" w:color="auto"/>
        <w:bottom w:val="none" w:sz="0" w:space="0" w:color="auto"/>
        <w:right w:val="none" w:sz="0" w:space="0" w:color="auto"/>
      </w:divBdr>
      <w:divsChild>
        <w:div w:id="94804728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122526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cmanager.pnld.co.uk/content/D2.htm" TargetMode="External"/><Relationship Id="rId13" Type="http://schemas.openxmlformats.org/officeDocument/2006/relationships/hyperlink" Target="https://docmanager.pnld.co.uk/content/D16.htm" TargetMode="External"/><Relationship Id="rId18" Type="http://schemas.openxmlformats.org/officeDocument/2006/relationships/hyperlink" Target="https://docmanager.pnld.co.uk/content/D117.htm" TargetMode="External"/><Relationship Id="rId26" Type="http://schemas.openxmlformats.org/officeDocument/2006/relationships/hyperlink" Target="https://docmanager.pnld.co.uk/content/D1503.htm" TargetMode="External"/><Relationship Id="rId39"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hyperlink" Target="https://docmanager.pnld.co.uk/content/D2.htm" TargetMode="External"/><Relationship Id="rId34" Type="http://schemas.openxmlformats.org/officeDocument/2006/relationships/hyperlink" Target="https://docmanager.pnld.co.uk/content/C78.htm" TargetMode="External"/><Relationship Id="rId42"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docmanager.pnld.co.uk/content/D6.htm" TargetMode="External"/><Relationship Id="rId17" Type="http://schemas.openxmlformats.org/officeDocument/2006/relationships/hyperlink" Target="https://docmanager.pnld.co.uk/content/D1.htm" TargetMode="External"/><Relationship Id="rId25" Type="http://schemas.openxmlformats.org/officeDocument/2006/relationships/hyperlink" Target="https://docmanager.pnld.co.uk/content/D166.htm" TargetMode="External"/><Relationship Id="rId33" Type="http://schemas.openxmlformats.org/officeDocument/2006/relationships/hyperlink" Target="https://docmanager.pnld.co.uk/content/D901.htm" TargetMode="External"/><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cmanager.pnld.co.uk/content/D10650.htm" TargetMode="External"/><Relationship Id="rId20" Type="http://schemas.openxmlformats.org/officeDocument/2006/relationships/hyperlink" Target="https://docmanager.pnld.co.uk/content/D118.htm" TargetMode="External"/><Relationship Id="rId29" Type="http://schemas.openxmlformats.org/officeDocument/2006/relationships/hyperlink" Target="https://docmanager.pnld.co.uk/content/D1.htm" TargetMode="External"/><Relationship Id="rId41"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cmanager.pnld.co.uk/content/D5.htm" TargetMode="External"/><Relationship Id="rId24" Type="http://schemas.openxmlformats.org/officeDocument/2006/relationships/hyperlink" Target="https://docmanager.pnld.co.uk/content/D117.htm" TargetMode="External"/><Relationship Id="rId32" Type="http://schemas.openxmlformats.org/officeDocument/2006/relationships/hyperlink" Target="https://docmanager.pnld.co.uk/content/C462.htm" TargetMode="External"/><Relationship Id="rId37" Type="http://schemas.openxmlformats.org/officeDocument/2006/relationships/header" Target="header2.xml"/><Relationship Id="rId40"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hyperlink" Target="https://docmanager.pnld.co.uk/content/D1.htm" TargetMode="External"/><Relationship Id="rId23" Type="http://schemas.openxmlformats.org/officeDocument/2006/relationships/hyperlink" Target="https://docmanager.pnld.co.uk/content/C2.htm" TargetMode="External"/><Relationship Id="rId28" Type="http://schemas.openxmlformats.org/officeDocument/2006/relationships/hyperlink" Target="https://docmanager.pnld.co.uk/content/D121.htm" TargetMode="External"/><Relationship Id="rId36" Type="http://schemas.openxmlformats.org/officeDocument/2006/relationships/header" Target="header1.xml"/><Relationship Id="rId10" Type="http://schemas.openxmlformats.org/officeDocument/2006/relationships/hyperlink" Target="https://docmanager.pnld.co.uk/content/D4.htm" TargetMode="External"/><Relationship Id="rId19" Type="http://schemas.openxmlformats.org/officeDocument/2006/relationships/hyperlink" Target="https://docmanager.pnld.co.uk/content/D2.htm" TargetMode="External"/><Relationship Id="rId31" Type="http://schemas.openxmlformats.org/officeDocument/2006/relationships/hyperlink" Target="https://docmanager.pnld.co.uk/content/C75.htm" TargetMode="External"/><Relationship Id="rId4" Type="http://schemas.openxmlformats.org/officeDocument/2006/relationships/webSettings" Target="webSettings.xml"/><Relationship Id="rId9" Type="http://schemas.openxmlformats.org/officeDocument/2006/relationships/hyperlink" Target="https://docmanager.pnld.co.uk/content/D3.htm" TargetMode="External"/><Relationship Id="rId14" Type="http://schemas.openxmlformats.org/officeDocument/2006/relationships/hyperlink" Target="https://docmanager.pnld.co.uk/content/D13053.htm" TargetMode="External"/><Relationship Id="rId22" Type="http://schemas.openxmlformats.org/officeDocument/2006/relationships/hyperlink" Target="https://docmanager.pnld.co.uk/content/C1.htm" TargetMode="External"/><Relationship Id="rId27" Type="http://schemas.openxmlformats.org/officeDocument/2006/relationships/hyperlink" Target="https://docmanager.pnld.co.uk/content/D13053.htm" TargetMode="External"/><Relationship Id="rId30" Type="http://schemas.openxmlformats.org/officeDocument/2006/relationships/hyperlink" Target="https://docmanager.pnld.co.uk/content/D166.htm" TargetMode="External"/><Relationship Id="rId35" Type="http://schemas.openxmlformats.org/officeDocument/2006/relationships/hyperlink" Target="https://docmanager.pnld.co.uk/content/C73.htm" TargetMode="External"/><Relationship Id="rId43"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8</Pages>
  <Words>2208</Words>
  <Characters>12590</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14769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Jones,Carys swp5046</cp:lastModifiedBy>
  <cp:revision>8</cp:revision>
  <dcterms:created xsi:type="dcterms:W3CDTF">2019-01-24T14:38:00Z</dcterms:created>
  <dcterms:modified xsi:type="dcterms:W3CDTF">2020-01-15T15:10:00Z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y fmtid="{D5CDD505-2E9C-101B-9397-08002B2CF9AE}" pid="5" name="TitusGUID">
    <vt:lpwstr>be96d120-ed63-4508-8072-bcba18efeed4</vt:lpwstr>
  </property>
  <property fmtid="{D5CDD505-2E9C-101B-9397-08002B2CF9AE}" pid="6" name="Classification">
    <vt:lpwstr>OFFICIAL</vt:lpwstr>
  </property>
  <property fmtid="{D5CDD505-2E9C-101B-9397-08002B2CF9AE}" pid="7" name="Visibility">
    <vt:lpwstr>NOT VISIBLE</vt:lpwstr>
  </property>
</Properties>
</file>