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6842" w:rsidRDefault="0044134E">
      <w:r>
        <w:t>Louie Hall</w:t>
      </w:r>
    </w:p>
    <w:p w:rsidR="0044134E" w:rsidRDefault="0044134E">
      <w:r>
        <w:t>PC 6962 – South Wales Police</w:t>
      </w:r>
    </w:p>
    <w:p w:rsidR="0044134E" w:rsidRDefault="0044134E">
      <w:r>
        <w:t>Student No: 2029379</w:t>
      </w:r>
    </w:p>
    <w:p w:rsidR="0044134E" w:rsidRDefault="0044134E">
      <w:r>
        <w:t>Exam 2 – 23/08/2021</w:t>
      </w:r>
    </w:p>
    <w:p w:rsidR="00ED02A0" w:rsidRDefault="00ED02A0"/>
    <w:p w:rsidR="00ED02A0" w:rsidRDefault="00ED02A0" w:rsidP="00ED02A0">
      <w:pPr>
        <w:pStyle w:val="ListParagraph"/>
        <w:numPr>
          <w:ilvl w:val="0"/>
          <w:numId w:val="2"/>
        </w:numPr>
      </w:pPr>
      <w:r>
        <w:t>Section 163 is the power to stop a vehicle, a constable may stop a vehicle without warrant any person who: he has reasonable cause to suspect the person has been involved in a crime/offence not related to road offences, he has reasonable cause to suspect the person is about to commit a crime &amp; if the person is unreasonably at large.</w:t>
      </w:r>
    </w:p>
    <w:p w:rsidR="00ED02A0" w:rsidRDefault="00ED02A0" w:rsidP="00ED02A0">
      <w:pPr>
        <w:pStyle w:val="ListParagraph"/>
      </w:pPr>
      <w:r>
        <w:t>This must be approved by superintendent or above, this is more commonly used for serious crimes such as kidnappings, murders, etc.. Whereas it is essential for police to arrest this person using tactics such as road blocks.</w:t>
      </w:r>
    </w:p>
    <w:p w:rsidR="00ED02A0" w:rsidRDefault="00ED02A0" w:rsidP="00ED02A0">
      <w:pPr>
        <w:pStyle w:val="ListParagraph"/>
      </w:pPr>
    </w:p>
    <w:p w:rsidR="00ED02A0" w:rsidRDefault="00ED02A0" w:rsidP="00ED02A0">
      <w:pPr>
        <w:pStyle w:val="ListParagraph"/>
        <w:numPr>
          <w:ilvl w:val="0"/>
          <w:numId w:val="2"/>
        </w:numPr>
      </w:pPr>
      <w:r>
        <w:t>Section 6(4) relates to an officer having reasonable suspicion that a person has committed an offence and that at the time driving, they were under the influence of drink or drugs and the officer has reasonable suspicion that the person that was driving exceeds the driving limit for drink or drugs.</w:t>
      </w:r>
    </w:p>
    <w:p w:rsidR="00ED02A0" w:rsidRDefault="00ED02A0" w:rsidP="00ED02A0">
      <w:pPr>
        <w:pStyle w:val="ListParagraph"/>
      </w:pPr>
    </w:p>
    <w:p w:rsidR="00ED02A0" w:rsidRDefault="00ED02A0" w:rsidP="00ED02A0">
      <w:pPr>
        <w:pStyle w:val="ListParagraph"/>
        <w:numPr>
          <w:ilvl w:val="0"/>
          <w:numId w:val="2"/>
        </w:numPr>
      </w:pPr>
      <w:r>
        <w:t xml:space="preserve">Section 3 of the Road Traffic Act 1988 is the offence of Driving </w:t>
      </w:r>
      <w:bookmarkStart w:id="0" w:name="_GoBack"/>
      <w:bookmarkEnd w:id="0"/>
      <w:r>
        <w:t>without due care and attention or without reasonable consideration. A person who drives, attempts to drive or is in charge of a mechanically propelled vehicle on a road or a public place and drives without due care and attention or without reasonable consideration for other users of the road or public place is guilty of this offence.</w:t>
      </w:r>
    </w:p>
    <w:p w:rsidR="00ED02A0" w:rsidRDefault="00ED02A0" w:rsidP="00ED02A0">
      <w:pPr>
        <w:pStyle w:val="ListParagraph"/>
      </w:pPr>
    </w:p>
    <w:p w:rsidR="00ED02A0" w:rsidRDefault="00ED02A0" w:rsidP="00ED02A0">
      <w:pPr>
        <w:pStyle w:val="ListParagraph"/>
        <w:numPr>
          <w:ilvl w:val="0"/>
          <w:numId w:val="2"/>
        </w:numPr>
      </w:pPr>
      <w:r>
        <w:t>Possible defences for driving without due care/reasonable consideration are: the driver having a medical emergency such as cardiac arrest, heart attack. Emergency response will be required to drive ‘aggressively’ in order to respond to emergencies within a timely manner, using their sirens will alert other users of the road to clear pathways for them. ‘Sneezing’ would be considered a defence as it is an involuntary body reaction that cannot be controlled and may cause someone to briefly lose control for a split second when driving.</w:t>
      </w:r>
    </w:p>
    <w:p w:rsidR="00ED02A0" w:rsidRDefault="00ED02A0" w:rsidP="00ED02A0">
      <w:pPr>
        <w:pStyle w:val="ListParagraph"/>
      </w:pPr>
    </w:p>
    <w:p w:rsidR="00ED02A0" w:rsidRDefault="00ED02A0" w:rsidP="00ED02A0">
      <w:pPr>
        <w:pStyle w:val="ListParagraph"/>
        <w:numPr>
          <w:ilvl w:val="0"/>
          <w:numId w:val="2"/>
        </w:numPr>
      </w:pPr>
      <w:r>
        <w:t>Section 165A allows for a constable to seize a motor vehicle (motorcycle) as the person driving, attempting to drive or in charge of the vehicle has either: failed to provide names and addresses, motor vehicle insurance, proof of m.o.t &amp; road tax or the driver is not insured on said vehicle and therefor is not legally allowed to use the vehicle, has committed an offence not related to road traffic &amp; is arrested which would require the vehicle to be seized and retained.</w:t>
      </w:r>
    </w:p>
    <w:p w:rsidR="00ED02A0" w:rsidRDefault="00ED02A0" w:rsidP="00ED02A0">
      <w:pPr>
        <w:pStyle w:val="ListParagraph"/>
      </w:pPr>
    </w:p>
    <w:p w:rsidR="00ED02A0" w:rsidRDefault="00ED02A0" w:rsidP="00ED02A0">
      <w:pPr>
        <w:pStyle w:val="ListParagraph"/>
        <w:numPr>
          <w:ilvl w:val="0"/>
          <w:numId w:val="2"/>
        </w:numPr>
      </w:pPr>
      <w:r>
        <w:t>The definition of a reportable road traffic collision under Section 170(1); A reportable road traffic collision is when a person or persons believe that an offence has been committed, a person/s is injured &amp; an ambulance is required, the collision is causing an obstruction of the highway, there are hazards present for oncoming traffic &amp; a person/driver believes the other is at fault, an RTC requires two separate motor vehicles to collide.</w:t>
      </w:r>
    </w:p>
    <w:p w:rsidR="00ED02A0" w:rsidRDefault="00ED02A0" w:rsidP="00ED02A0">
      <w:pPr>
        <w:pStyle w:val="ListParagraph"/>
      </w:pPr>
    </w:p>
    <w:p w:rsidR="00ED02A0" w:rsidRDefault="00ED02A0" w:rsidP="00ED02A0">
      <w:pPr>
        <w:pStyle w:val="ListParagraph"/>
        <w:numPr>
          <w:ilvl w:val="0"/>
          <w:numId w:val="2"/>
        </w:numPr>
      </w:pPr>
      <w:r>
        <w:lastRenderedPageBreak/>
        <w:t>Road – A road can be anywhere a MPV has access to that contains signs, road markings &amp; lights, this can include lanes, paths (sometimes) &amp; alleys.</w:t>
      </w:r>
    </w:p>
    <w:p w:rsidR="00ED02A0" w:rsidRDefault="00ED02A0" w:rsidP="00ED02A0">
      <w:pPr>
        <w:pStyle w:val="ListParagraph"/>
      </w:pPr>
      <w:r>
        <w:t xml:space="preserve">Public place – A public place is  a place where a member of the public has access to, if in relation to RTA 1988, is can be considered a place where a MPV has access to that is not a road, such as a car park, mechanical garage. </w:t>
      </w:r>
    </w:p>
    <w:p w:rsidR="00ED02A0" w:rsidRDefault="00ED02A0" w:rsidP="00ED02A0">
      <w:pPr>
        <w:pStyle w:val="ListParagraph"/>
      </w:pPr>
      <w:r>
        <w:t>Mechanically Propelled Vehicle – These are vehicles that are mechanically propelled by one of the following propulsions; Steam, Electric, Petrol, Diesel, Oil or Gas.</w:t>
      </w:r>
    </w:p>
    <w:p w:rsidR="00ED02A0" w:rsidRDefault="00ED02A0" w:rsidP="00ED02A0">
      <w:pPr>
        <w:pStyle w:val="ListParagraph"/>
      </w:pPr>
      <w:r>
        <w:t>Animal- A mammal that lives on land or in water.</w:t>
      </w:r>
    </w:p>
    <w:p w:rsidR="00ED02A0" w:rsidRDefault="00ED02A0" w:rsidP="00ED02A0">
      <w:pPr>
        <w:pStyle w:val="ListParagraph"/>
      </w:pPr>
    </w:p>
    <w:p w:rsidR="00ED02A0" w:rsidRDefault="00ED02A0" w:rsidP="00ED02A0">
      <w:pPr>
        <w:pStyle w:val="ListParagraph"/>
        <w:numPr>
          <w:ilvl w:val="0"/>
          <w:numId w:val="2"/>
        </w:numPr>
      </w:pPr>
      <w:r>
        <w:t>It is a drivers responsibility to report an Road Traffic Collision under section 170 of the Road Traffic Act 1988, once an rtc has occurred, the drivers requirement is to contact the emergency services from a place of safety (e.g. away from the car &amp; road) notify the emergencies of the location that the RTC has occurred, provide a preliminary sample of breath to the police officers that arrive, provide drivers licence &amp; proof of insurance to the officer, exchange details with the other driver such as insurance numbers and name and number in order to contact the insurance companies to further resolve the matter.</w:t>
      </w:r>
    </w:p>
    <w:p w:rsidR="00ED02A0" w:rsidRDefault="00ED02A0" w:rsidP="00ED02A0"/>
    <w:p w:rsidR="00ED02A0" w:rsidRDefault="00ED02A0" w:rsidP="00ED02A0">
      <w:pPr>
        <w:pStyle w:val="ListParagraph"/>
        <w:numPr>
          <w:ilvl w:val="0"/>
          <w:numId w:val="2"/>
        </w:numPr>
      </w:pPr>
      <w:r>
        <w:t>Powers of entry, A constable may enter without warrant a premises using reasonable force if he has reasonable cause to suspect: a person has provided a positive test for drink/drugs whilst driving, a person has failed to co-operate without reasonable excuse in providing a sample (preliminary test) and the officer reasonably suspects that the person exceeds the legal limit for driving under the influence of drink/drugs. A person has committed a moving traffic offence and at the time the officer reasonably suspects the driver to have exceeded the limit for alcohol/drugs in their blood, breath or urine. The person was involved or witness to a traffic offence and at the time the officer has reasonable cause to suspect that the person had exceeded the prescribed limit for drink/drugs – This relates to section 4 of pace, must be authorised by Superintendent or above.</w:t>
      </w:r>
    </w:p>
    <w:p w:rsidR="00ED02A0" w:rsidRDefault="00ED02A0" w:rsidP="00ED02A0">
      <w:pPr>
        <w:pStyle w:val="ListParagraph"/>
      </w:pPr>
    </w:p>
    <w:p w:rsidR="00ED02A0" w:rsidRDefault="00ED02A0" w:rsidP="00ED02A0">
      <w:pPr>
        <w:pStyle w:val="ListParagraph"/>
        <w:numPr>
          <w:ilvl w:val="0"/>
          <w:numId w:val="2"/>
        </w:numPr>
      </w:pPr>
      <w:r>
        <w:t>A person who causes the death of another person when driving a mechanically propelled vehicle dangerously on a road or a public place is guilty of this offence.</w:t>
      </w:r>
    </w:p>
    <w:p w:rsidR="00ED02A0" w:rsidRDefault="00ED02A0" w:rsidP="00ED02A0">
      <w:pPr>
        <w:pStyle w:val="ListParagraph"/>
      </w:pPr>
    </w:p>
    <w:p w:rsidR="00ED02A0" w:rsidRDefault="00ED02A0" w:rsidP="00ED02A0">
      <w:pPr>
        <w:pStyle w:val="ListParagraph"/>
        <w:numPr>
          <w:ilvl w:val="0"/>
          <w:numId w:val="2"/>
        </w:numPr>
      </w:pPr>
      <w:r>
        <w:t>Prescribed limit for alcohol: 35 micrograms per 100ml in breath. 80 milligrams per 100ml in blood &amp; 107 milligrams per 100ml in urine. 2mg per 100 ml for cocaine &amp; 8mg per 100ml for THC.</w:t>
      </w:r>
    </w:p>
    <w:p w:rsidR="00ED02A0" w:rsidRDefault="00ED02A0" w:rsidP="00ED02A0">
      <w:pPr>
        <w:pStyle w:val="ListParagraph"/>
      </w:pPr>
    </w:p>
    <w:p w:rsidR="00ED02A0" w:rsidRDefault="00ED02A0" w:rsidP="00ED02A0">
      <w:pPr>
        <w:pStyle w:val="ListParagraph"/>
        <w:numPr>
          <w:ilvl w:val="0"/>
          <w:numId w:val="2"/>
        </w:numPr>
      </w:pPr>
      <w:r>
        <w:t>During a suspect interview, a solicitor is legally trained &amp; may be present, their role is to provide legal advice for the suspect &amp; help them to build a defence depending on circumstances. The solicitor will be present for any interview if the suspect wishes them to be present, a solicitor can also help the suspect to write a prepared statement.</w:t>
      </w:r>
    </w:p>
    <w:p w:rsidR="00ED02A0" w:rsidRDefault="00ED02A0" w:rsidP="00ED02A0">
      <w:pPr>
        <w:pStyle w:val="ListParagraph"/>
      </w:pPr>
    </w:p>
    <w:p w:rsidR="00ED02A0" w:rsidRDefault="00ED02A0" w:rsidP="00ED02A0">
      <w:pPr>
        <w:pStyle w:val="ListParagraph"/>
      </w:pPr>
      <w:r>
        <w:t>An appropriate adult may be present during a suspect interview, whether the suspect is under the age of 18 or is a vulnerable adult over the age of 18 an appropriate adult can be present, the appropriate adult can help calm the suspect and provide a level of care to make them feel comfortable in order the answer questions. An appropriate adult during a suspect interview cannot be a family member or relative.</w:t>
      </w:r>
    </w:p>
    <w:p w:rsidR="00ED02A0" w:rsidRDefault="00ED02A0" w:rsidP="00ED02A0">
      <w:pPr>
        <w:pStyle w:val="ListParagraph"/>
      </w:pPr>
    </w:p>
    <w:p w:rsidR="00ED02A0" w:rsidRDefault="00ED02A0" w:rsidP="00ED02A0">
      <w:pPr>
        <w:pStyle w:val="ListParagraph"/>
      </w:pPr>
      <w:r>
        <w:lastRenderedPageBreak/>
        <w:t>Secondary officer, they may be present during the interview to assist with the interviewing officer, their role is to help summarise any statements or comments that a suspect may make and also ask questions or challenge what the suspect may say. It can prove beneficial for a secondary officer to be present as they may identify something that the interviewing officer may have missed.</w:t>
      </w:r>
    </w:p>
    <w:p w:rsidR="00ED02A0" w:rsidRDefault="00ED02A0" w:rsidP="00ED02A0">
      <w:pPr>
        <w:pStyle w:val="ListParagraph"/>
      </w:pPr>
    </w:p>
    <w:p w:rsidR="00ED02A0" w:rsidRDefault="00ED02A0" w:rsidP="00ED02A0">
      <w:pPr>
        <w:pStyle w:val="ListParagraph"/>
        <w:numPr>
          <w:ilvl w:val="0"/>
          <w:numId w:val="2"/>
        </w:numPr>
      </w:pPr>
      <w:r>
        <w:t>The national police interviewing model is essential for interviewing officers to follow as it provides a layout in which the interview can flow through;</w:t>
      </w:r>
    </w:p>
    <w:p w:rsidR="00ED02A0" w:rsidRDefault="00ED02A0" w:rsidP="00ED02A0">
      <w:pPr>
        <w:pStyle w:val="ListParagraph"/>
      </w:pPr>
      <w:r>
        <w:t xml:space="preserve"> Planning and preparation of the interview can help the officer to identify what they are dealing with (suspect/witness), what questions they may want to ask, any evidence that can be exhibited and used in interview, the offence that has occurred and the points to prove of the offence, any other relevant factors such as whether an appropriate adult or special measures are required in order for the interview to proceed.</w:t>
      </w:r>
    </w:p>
    <w:p w:rsidR="00ED02A0" w:rsidRDefault="00ED02A0" w:rsidP="00ED02A0">
      <w:pPr>
        <w:pStyle w:val="ListParagraph"/>
      </w:pPr>
      <w:r>
        <w:t xml:space="preserve">Engage and explain, another crucial part in the interview phase as this is where you meet and speak with the witness/suspect for the first time, this is where you can set out your wants and needs of the interview and the method you will use in doing so, Greeting the person and building a rapport primarily can assist to make the person feel at ease, telling the witness the reason that they are here or asking them the reason of why they are here for an interview, routine of the interview how it will proceed and what you plan to do &amp; finally roadmap the method and routine so that they are able to understand completely the steps &amp; process of the interview. </w:t>
      </w:r>
    </w:p>
    <w:p w:rsidR="00ED02A0" w:rsidRDefault="00ED02A0" w:rsidP="00ED02A0">
      <w:pPr>
        <w:pStyle w:val="ListParagraph"/>
      </w:pPr>
      <w:r>
        <w:t>Account, this is the part where a witness/suspect will provide the interviewing officer with an account, this can be with a written statement, or free speech where they explain what has happened in their own account, during this stage an officer may take notes using several methods such as a spider diagram in order to note down events that he will want to probe after the free speech account has been given, it is also important at this stage for an officer to challenge the account, especially if there are discrepancies in their account. This can also be a time if you already have a statement or interview from a separate person regarding this incident/offence that contradicts what they are saying.</w:t>
      </w:r>
    </w:p>
    <w:p w:rsidR="00ED02A0" w:rsidRDefault="00ED02A0" w:rsidP="00ED02A0">
      <w:pPr>
        <w:pStyle w:val="ListParagraph"/>
      </w:pPr>
      <w:r>
        <w:t>Closure, making sure you have covered every part of their account and that you have all the information that you require prior to terminating the interview.</w:t>
      </w:r>
    </w:p>
    <w:p w:rsidR="00ED02A0" w:rsidRDefault="00ED02A0" w:rsidP="00ED02A0">
      <w:pPr>
        <w:pStyle w:val="ListParagraph"/>
      </w:pPr>
      <w:r>
        <w:t>Evaluate, this is where an officer will evaluate the evidence, statements, accounts &amp; evidence given by the witness/suspect and provide an evaluation of what they think might happen.</w:t>
      </w:r>
    </w:p>
    <w:p w:rsidR="00ED02A0" w:rsidRDefault="00ED02A0" w:rsidP="00ED02A0">
      <w:pPr>
        <w:pStyle w:val="ListParagraph"/>
      </w:pPr>
    </w:p>
    <w:p w:rsidR="00ED02A0" w:rsidRDefault="00ED02A0" w:rsidP="00ED02A0">
      <w:pPr>
        <w:pStyle w:val="ListParagraph"/>
        <w:numPr>
          <w:ilvl w:val="0"/>
          <w:numId w:val="2"/>
        </w:numPr>
      </w:pPr>
      <w:r>
        <w:t>Where person (a)’s behaviour towards person (b) is domestic, they are both over the age of 16, they are both personally connect intimately or not, person (a)’s behaviour towards person (b) is controlling and causing person (b) harm, alarm or distress.  Person (b) lives in fear of person (a) and person (a) begins to verbally and physically abuse person (b)</w:t>
      </w:r>
    </w:p>
    <w:p w:rsidR="00ED02A0" w:rsidRDefault="00ED02A0" w:rsidP="00ED02A0">
      <w:pPr>
        <w:pStyle w:val="ListParagraph"/>
      </w:pPr>
      <w:r>
        <w:t>Person (b) begins to feel that they are unable to live a usual day to day life and requires person (a) to guide them as they are in fear of threats and/or abuse.</w:t>
      </w:r>
    </w:p>
    <w:p w:rsidR="00ED02A0" w:rsidRDefault="00ED02A0" w:rsidP="00ED02A0">
      <w:pPr>
        <w:pStyle w:val="ListParagraph"/>
      </w:pPr>
      <w:r>
        <w:t>This can also occur in a family relationship (non-intimate) where a parent or sibling can use methods of abuse such as verbal abuse and negative associations to make the other person feel worthless or less of a person that needs approval from the other.</w:t>
      </w:r>
    </w:p>
    <w:p w:rsidR="00ED02A0" w:rsidRDefault="00ED02A0" w:rsidP="00ED02A0">
      <w:pPr>
        <w:pStyle w:val="ListParagraph"/>
      </w:pPr>
    </w:p>
    <w:p w:rsidR="00ED02A0" w:rsidRDefault="00ED02A0" w:rsidP="00ED02A0">
      <w:pPr>
        <w:pStyle w:val="ListParagraph"/>
        <w:numPr>
          <w:ilvl w:val="0"/>
          <w:numId w:val="2"/>
        </w:numPr>
      </w:pPr>
      <w:r>
        <w:t>It is important because prior to 2015 and the Coercive control act there was no real act or sentence in place for the abuse. It also holds a longer sentence as there are more points to prove in the offence &amp; can appear to have a longer lasting effect on the victim.</w:t>
      </w:r>
    </w:p>
    <w:p w:rsidR="00ED02A0" w:rsidRDefault="00ED02A0" w:rsidP="00ED02A0"/>
    <w:p w:rsidR="00ED02A0" w:rsidRDefault="00ED02A0" w:rsidP="00ED02A0">
      <w:pPr>
        <w:pStyle w:val="ListParagraph"/>
        <w:numPr>
          <w:ilvl w:val="0"/>
          <w:numId w:val="2"/>
        </w:numPr>
      </w:pPr>
      <w:r>
        <w:t>A child under the age of 18 and is in danger of suffering significant harm due to their circumstances would remove from the place of these circumstances and taken to the nearest place of safety such as a police station, this would include contacting other child agencies such as social services &amp; NSPCC in order to provide the relevant agencies with up to date information. A public protection notification would be implemented and attached to the victims and perpetrator who presents as a threat to the child. This would be issued on NICHE and filled in by the officer in case at the time. Identifying who is likely to cause the significant harm &amp; potentially issuing a DVPO/DVPN. The child may be subject to child abuse from the parent/s such as physical abuse, emotional abuse, neglect &amp;/or child sexual abuse.</w:t>
      </w:r>
    </w:p>
    <w:p w:rsidR="00ED02A0" w:rsidRDefault="00ED02A0" w:rsidP="00ED02A0">
      <w:pPr>
        <w:pStyle w:val="ListParagraph"/>
      </w:pPr>
    </w:p>
    <w:p w:rsidR="00ED02A0" w:rsidRDefault="00ED02A0" w:rsidP="00ED02A0">
      <w:pPr>
        <w:pStyle w:val="ListParagraph"/>
        <w:numPr>
          <w:ilvl w:val="0"/>
          <w:numId w:val="2"/>
        </w:numPr>
      </w:pPr>
      <w:r>
        <w:t>A child cruelty, a child is subject to child cruelty under the following sections;</w:t>
      </w:r>
    </w:p>
    <w:p w:rsidR="00ED02A0" w:rsidRDefault="00ED02A0" w:rsidP="00ED02A0">
      <w:pPr>
        <w:pStyle w:val="ListParagraph"/>
      </w:pPr>
    </w:p>
    <w:p w:rsidR="00ED02A0" w:rsidRDefault="00ED02A0" w:rsidP="00ED02A0">
      <w:pPr>
        <w:pStyle w:val="ListParagraph"/>
      </w:pPr>
      <w:r>
        <w:t>Physical abuse- the child is being physically hurt by their parent or person 18 or over.</w:t>
      </w:r>
    </w:p>
    <w:p w:rsidR="00ED02A0" w:rsidRDefault="00ED02A0" w:rsidP="00ED02A0">
      <w:pPr>
        <w:pStyle w:val="ListParagraph"/>
      </w:pPr>
      <w:r>
        <w:t>Emotional abuse – a person such as a guardian or parent says verbal abuse to the child causing them harm alarm and/distress. Calling them names, etc.</w:t>
      </w:r>
    </w:p>
    <w:p w:rsidR="00ED02A0" w:rsidRDefault="00ED02A0" w:rsidP="00ED02A0">
      <w:pPr>
        <w:pStyle w:val="ListParagraph"/>
      </w:pPr>
      <w:r>
        <w:t>Neglect – not providing a child with crucial needs such as a clean home, regular food &amp; water, clean clothing, this can sometimes be due to a parent/guardian suffering from  mental health illnesses or they are unaware and do not know what they’re doing is neglect.</w:t>
      </w:r>
    </w:p>
    <w:p w:rsidR="00ED02A0" w:rsidRDefault="00ED02A0" w:rsidP="00ED02A0">
      <w:pPr>
        <w:pStyle w:val="ListParagraph"/>
      </w:pPr>
      <w:r>
        <w:t xml:space="preserve">Criminal neglect – When the guardian/parent is aware of what they are doing however continues to neglect the child, this is an indictable offence and punishable by imprisonment. </w:t>
      </w:r>
    </w:p>
    <w:p w:rsidR="00ED02A0" w:rsidRDefault="00ED02A0" w:rsidP="00ED02A0">
      <w:pPr>
        <w:pStyle w:val="ListParagraph"/>
      </w:pPr>
    </w:p>
    <w:p w:rsidR="00ED02A0" w:rsidRDefault="00ED02A0" w:rsidP="00ED02A0">
      <w:pPr>
        <w:pStyle w:val="ListParagraph"/>
      </w:pPr>
    </w:p>
    <w:p w:rsidR="00ED02A0" w:rsidRDefault="00ED02A0" w:rsidP="00ED02A0">
      <w:pPr>
        <w:pStyle w:val="ListParagraph"/>
        <w:numPr>
          <w:ilvl w:val="0"/>
          <w:numId w:val="2"/>
        </w:numPr>
      </w:pPr>
      <w:r>
        <w:t>The DASH model – domestic abuse, stalking &amp; harassment model should be used when dealing with cases such as domestic abuse, the model identifies 27 questions on NICHE that requires an officer to ask the victim/s when dealing with a domestic abuse incident. The questions relate to abuse that has occurred recently or in the past, or likely to occur in the near future. It allows the officer to risk assess the level (low, medium or high) and proceed with the necessary threat level once review and approved by their supervisor. Once the DASH has been completed, a Domestic Violence Protection Notice may be issued for up to 48 hours if the officer believes the victim is in danger of further Domestic Abuse, this can also be attached to the perpetrator via NICHE so that other police officers are aware of it.</w:t>
      </w:r>
    </w:p>
    <w:p w:rsidR="00ED02A0" w:rsidRDefault="00ED02A0" w:rsidP="00ED02A0"/>
    <w:p w:rsidR="00ED02A0" w:rsidRDefault="00ED02A0" w:rsidP="00ED02A0">
      <w:pPr>
        <w:pStyle w:val="ListParagraph"/>
        <w:numPr>
          <w:ilvl w:val="0"/>
          <w:numId w:val="2"/>
        </w:numPr>
      </w:pPr>
      <w:r>
        <w:t>A Public protection Notification process requires an officer to fill in a document in that provides protection for a victim/s and alerts other relevant agencies about the public protection. Anyone can be a victim so it is down to the officer to identify who is a victim of abuse. The abuse can be in many forms such as, threats, domestic abuse, stalking, and harassment and so on. This allows the victim to have support in the police where crime may have occurred or is likely to occur in the near future.</w:t>
      </w:r>
    </w:p>
    <w:p w:rsidR="00ED02A0" w:rsidRDefault="00ED02A0" w:rsidP="00ED02A0">
      <w:pPr>
        <w:pStyle w:val="ListParagraph"/>
      </w:pPr>
    </w:p>
    <w:p w:rsidR="00ED02A0" w:rsidRDefault="00ED02A0" w:rsidP="00ED02A0"/>
    <w:p w:rsidR="00ED02A0" w:rsidRDefault="00ED02A0" w:rsidP="00ED02A0">
      <w:pPr>
        <w:pStyle w:val="ListParagraph"/>
        <w:numPr>
          <w:ilvl w:val="0"/>
          <w:numId w:val="2"/>
        </w:numPr>
      </w:pPr>
      <w:r>
        <w:t xml:space="preserve">A Domestic Violence Protection Notice can be issued where a police officer cannot arrest a person as no offence has yet been committed, however with approval of Superintendent/Chief Inspector or above, this notice allows for who the officer has identified as a victim/s to receive a level of protection. The alleged perpetrator will be issued </w:t>
      </w:r>
      <w:r>
        <w:lastRenderedPageBreak/>
        <w:t>with the ‘DVPN’ and asked to leave the premises. In cases of domestic violence, the DVPN prohibits the suspect from entering the premises for 24-48 hours, it prohibits the suspect from evicting the victim from the property, it prohibits the suspect from entering within a certain radius of the premises. It also prohibits the suspect from contacts the victim by any means. The Notice will be send to magistrates within 48 hours in case of a Domestic Violence Protection Order.</w:t>
      </w:r>
    </w:p>
    <w:p w:rsidR="00ED02A0" w:rsidRDefault="00ED02A0" w:rsidP="00ED02A0">
      <w:pPr>
        <w:pStyle w:val="ListParagraph"/>
      </w:pPr>
      <w:r>
        <w:t>The Multi Agency Risk Assessment Conference (MARAC) can aid in cases like this in order to help provide: safeguarding for victims</w:t>
      </w:r>
    </w:p>
    <w:p w:rsidR="00ED02A0" w:rsidRDefault="00ED02A0" w:rsidP="00ED02A0">
      <w:pPr>
        <w:pStyle w:val="ListParagraph"/>
      </w:pPr>
      <w:r>
        <w:t>Safeguarding for agency staff</w:t>
      </w:r>
    </w:p>
    <w:p w:rsidR="00ED02A0" w:rsidRDefault="00ED02A0" w:rsidP="00ED02A0">
      <w:pPr>
        <w:pStyle w:val="ListParagraph"/>
      </w:pPr>
      <w:r>
        <w:t>&amp; educates the perpetrator.</w:t>
      </w:r>
    </w:p>
    <w:p w:rsidR="00ED02A0" w:rsidRDefault="00ED02A0" w:rsidP="00ED02A0">
      <w:pPr>
        <w:pStyle w:val="ListParagraph"/>
      </w:pPr>
    </w:p>
    <w:p w:rsidR="00ED02A0" w:rsidRDefault="00ED02A0" w:rsidP="00ED02A0">
      <w:pPr>
        <w:pStyle w:val="ListParagraph"/>
        <w:numPr>
          <w:ilvl w:val="0"/>
          <w:numId w:val="2"/>
        </w:numPr>
      </w:pPr>
      <w:r>
        <w:t xml:space="preserve">A person over the age of 18 who causes, uses or aids a child (under the age of 18) to engage in any form of sexual motives, this may include indecent images or videos, sexual intimacy with them or other persons &amp;/or verbal sexual contact in order to make a gain for themselves or other persons. A child cannot to consent to any form of sexual acts by law therefor if exploited then the person who causes the child to engage in any sexual activity is guilty of child sexual exploitation. </w:t>
      </w:r>
    </w:p>
    <w:p w:rsidR="00ED02A0" w:rsidRDefault="00ED02A0" w:rsidP="00ED02A0">
      <w:pPr>
        <w:pStyle w:val="ListParagraph"/>
      </w:pPr>
    </w:p>
    <w:p w:rsidR="00ED02A0" w:rsidRDefault="00ED02A0" w:rsidP="00ED02A0">
      <w:pPr>
        <w:pStyle w:val="ListParagraph"/>
      </w:pPr>
    </w:p>
    <w:p w:rsidR="00ED02A0" w:rsidRDefault="00ED02A0" w:rsidP="00ED02A0">
      <w:pPr>
        <w:pStyle w:val="ListParagraph"/>
        <w:numPr>
          <w:ilvl w:val="0"/>
          <w:numId w:val="2"/>
        </w:numPr>
      </w:pPr>
      <w:r>
        <w:t>Rape – is when person (a) penetrates person (b)’s vagina, anus, mouth using their penis and that person (b) does not consent to it &amp; person (a) knows or ought to know or reasonably believe that person (b) consents to it is guilty of this offence.</w:t>
      </w:r>
    </w:p>
    <w:p w:rsidR="00ED02A0" w:rsidRDefault="00ED02A0" w:rsidP="00ED02A0"/>
    <w:p w:rsidR="00ED02A0" w:rsidRDefault="00ED02A0" w:rsidP="00ED02A0">
      <w:pPr>
        <w:pStyle w:val="ListParagraph"/>
        <w:numPr>
          <w:ilvl w:val="0"/>
          <w:numId w:val="2"/>
        </w:numPr>
      </w:pPr>
      <w:r>
        <w:t>Evidential presumptions that a court can make are, the suspect has committed the rape, he knows or ought to know that the victim does not consent – Extenuating circumstances</w:t>
      </w:r>
    </w:p>
    <w:p w:rsidR="00ED02A0" w:rsidRDefault="00ED02A0" w:rsidP="00ED02A0">
      <w:pPr>
        <w:pStyle w:val="ListParagraph"/>
      </w:pPr>
    </w:p>
    <w:p w:rsidR="00ED02A0" w:rsidRDefault="00ED02A0" w:rsidP="00ED02A0">
      <w:pPr>
        <w:pStyle w:val="ListParagraph"/>
        <w:numPr>
          <w:ilvl w:val="0"/>
          <w:numId w:val="3"/>
        </w:numPr>
      </w:pPr>
      <w:r>
        <w:t>The victim was asleep</w:t>
      </w:r>
    </w:p>
    <w:p w:rsidR="00ED02A0" w:rsidRDefault="00ED02A0" w:rsidP="00ED02A0">
      <w:pPr>
        <w:pStyle w:val="ListParagraph"/>
        <w:numPr>
          <w:ilvl w:val="0"/>
          <w:numId w:val="3"/>
        </w:numPr>
      </w:pPr>
      <w:r>
        <w:t xml:space="preserve">The victim was unconscious &amp; unable to consent </w:t>
      </w:r>
    </w:p>
    <w:p w:rsidR="00ED02A0" w:rsidRDefault="00ED02A0" w:rsidP="00ED02A0">
      <w:pPr>
        <w:pStyle w:val="ListParagraph"/>
        <w:numPr>
          <w:ilvl w:val="0"/>
          <w:numId w:val="3"/>
        </w:numPr>
      </w:pPr>
      <w:r>
        <w:t>The victim was unable to comprehend what was happening (under the influence or alcohol or drugs)</w:t>
      </w:r>
    </w:p>
    <w:p w:rsidR="00ED02A0" w:rsidRDefault="00ED02A0" w:rsidP="00ED02A0">
      <w:pPr>
        <w:pStyle w:val="ListParagraph"/>
        <w:numPr>
          <w:ilvl w:val="0"/>
          <w:numId w:val="3"/>
        </w:numPr>
      </w:pPr>
      <w:r>
        <w:t>The victim was under the age of 18</w:t>
      </w:r>
    </w:p>
    <w:p w:rsidR="00ED02A0" w:rsidRDefault="00ED02A0" w:rsidP="00ED02A0">
      <w:pPr>
        <w:pStyle w:val="ListParagraph"/>
        <w:numPr>
          <w:ilvl w:val="0"/>
          <w:numId w:val="3"/>
        </w:numPr>
      </w:pPr>
      <w:r>
        <w:t>He did the rape</w:t>
      </w:r>
    </w:p>
    <w:p w:rsidR="00ED02A0" w:rsidRDefault="00ED02A0" w:rsidP="00ED02A0"/>
    <w:p w:rsidR="00ED02A0" w:rsidRDefault="00ED02A0" w:rsidP="00ED02A0">
      <w:pPr>
        <w:pStyle w:val="ListParagraph"/>
        <w:numPr>
          <w:ilvl w:val="0"/>
          <w:numId w:val="2"/>
        </w:numPr>
      </w:pPr>
      <w:r>
        <w:t>Powers of entry under Section 18 (1)</w:t>
      </w:r>
    </w:p>
    <w:p w:rsidR="00ED02A0" w:rsidRDefault="00ED02A0" w:rsidP="00ED02A0">
      <w:pPr>
        <w:pStyle w:val="ListParagraph"/>
      </w:pPr>
      <w:r>
        <w:t>An officer may enter a property with a warrant issued by chief inspector or above in order to search for any person or property relating to an offence in which the warrant was issued for. This items seized during the search must be relative to that offence/crime unless it is in plain view. A separate crime may be imposed if an officer seizes prohibited items that aren’t related to the crime in which the warrant was issued for, but at the time of searching the premises, prohibited items were found during the relevant search.</w:t>
      </w:r>
    </w:p>
    <w:p w:rsidR="00ED02A0" w:rsidRDefault="00ED02A0" w:rsidP="00ED02A0">
      <w:pPr>
        <w:pStyle w:val="ListParagraph"/>
      </w:pPr>
    </w:p>
    <w:p w:rsidR="00ED02A0" w:rsidRDefault="00ED02A0" w:rsidP="00ED02A0">
      <w:pPr>
        <w:pStyle w:val="ListParagraph"/>
        <w:numPr>
          <w:ilvl w:val="0"/>
          <w:numId w:val="2"/>
        </w:numPr>
      </w:pPr>
      <w:r>
        <w:t xml:space="preserve">The power of seizure 32(b) PACE is required for when during a warrant search, prohibited items or property found relating to the offence in which the warrant is issued is seized and exhibited. This allows for a constable to seize items which he deems relative to the offence the suspect is or will be charged with. The power of seized is require in order to – provide best evidence, link a suspect to a crime, potentially solve other crimes that may have not </w:t>
      </w:r>
      <w:r>
        <w:lastRenderedPageBreak/>
        <w:t>been related but are now related (occurrences), the preservation of evidence in order to maintain the evidence as it was found, continuity of evidence so from that point on the evidence seized would be documented in case file and on policing databases.</w:t>
      </w:r>
    </w:p>
    <w:sectPr w:rsidR="00ED02A0" w:rsidSect="0044134E">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134E" w:rsidRDefault="0044134E" w:rsidP="0044134E">
      <w:pPr>
        <w:spacing w:after="0" w:line="240" w:lineRule="auto"/>
      </w:pPr>
      <w:r>
        <w:separator/>
      </w:r>
    </w:p>
  </w:endnote>
  <w:endnote w:type="continuationSeparator" w:id="0">
    <w:p w:rsidR="0044134E" w:rsidRDefault="0044134E" w:rsidP="00441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001" w:rsidRDefault="00261001" w:rsidP="00261001">
    <w:pPr>
      <w:pStyle w:val="Footer"/>
      <w:rPr>
        <w:color w:val="000000"/>
        <w:sz w:val="17"/>
      </w:rPr>
    </w:pPr>
    <w:bookmarkStart w:id="3" w:name="TITUS1FooterEvenPages"/>
    <w:r w:rsidRPr="00261001">
      <w:rPr>
        <w:color w:val="000000"/>
        <w:sz w:val="17"/>
      </w:rPr>
      <w:t> </w:t>
    </w:r>
  </w:p>
  <w:bookmarkEnd w:id="3"/>
  <w:p w:rsidR="00261001" w:rsidRDefault="00261001" w:rsidP="00261001">
    <w:pPr>
      <w:pStyle w:val="Footer"/>
    </w:pPr>
  </w:p>
  <w:p w:rsidR="0044134E" w:rsidRDefault="004413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34E" w:rsidRDefault="00261001" w:rsidP="00261001">
    <w:pPr>
      <w:pStyle w:val="Footer"/>
      <w:rPr>
        <w:color w:val="000000"/>
        <w:sz w:val="17"/>
      </w:rPr>
    </w:pPr>
    <w:bookmarkStart w:id="4" w:name="TITUS1FooterPrimary"/>
    <w:r>
      <w:rPr>
        <w:color w:val="000000"/>
        <w:sz w:val="17"/>
      </w:rPr>
      <w:t> </w:t>
    </w:r>
  </w:p>
  <w:bookmarkEnd w:id="4"/>
  <w:p w:rsidR="0044134E" w:rsidRDefault="004413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34E" w:rsidRDefault="00261001" w:rsidP="00261001">
    <w:pPr>
      <w:pStyle w:val="Footer"/>
      <w:rPr>
        <w:color w:val="000000"/>
        <w:sz w:val="17"/>
      </w:rPr>
    </w:pPr>
    <w:bookmarkStart w:id="6" w:name="TITUS1FooterFirstPage"/>
    <w:r>
      <w:rPr>
        <w:color w:val="000000"/>
        <w:sz w:val="17"/>
      </w:rPr>
      <w:t> </w:t>
    </w:r>
  </w:p>
  <w:bookmarkEnd w:id="6"/>
  <w:p w:rsidR="0044134E" w:rsidRDefault="004413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134E" w:rsidRDefault="0044134E" w:rsidP="0044134E">
      <w:pPr>
        <w:spacing w:after="0" w:line="240" w:lineRule="auto"/>
      </w:pPr>
      <w:r>
        <w:separator/>
      </w:r>
    </w:p>
  </w:footnote>
  <w:footnote w:type="continuationSeparator" w:id="0">
    <w:p w:rsidR="0044134E" w:rsidRDefault="0044134E" w:rsidP="004413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001" w:rsidRDefault="00261001" w:rsidP="00261001">
    <w:pPr>
      <w:pStyle w:val="Header"/>
      <w:rPr>
        <w:color w:val="000000"/>
        <w:sz w:val="17"/>
      </w:rPr>
    </w:pPr>
    <w:bookmarkStart w:id="1" w:name="TITUS1HeaderEvenPages"/>
    <w:r w:rsidRPr="00261001">
      <w:rPr>
        <w:color w:val="000000"/>
        <w:sz w:val="17"/>
      </w:rPr>
      <w:t> </w:t>
    </w:r>
  </w:p>
  <w:bookmarkEnd w:id="1"/>
  <w:p w:rsidR="00261001" w:rsidRDefault="00261001" w:rsidP="00261001">
    <w:pPr>
      <w:pStyle w:val="Header"/>
    </w:pPr>
  </w:p>
  <w:p w:rsidR="0044134E" w:rsidRDefault="004413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34E" w:rsidRDefault="00261001" w:rsidP="00261001">
    <w:pPr>
      <w:pStyle w:val="Header"/>
      <w:rPr>
        <w:color w:val="000000"/>
        <w:sz w:val="17"/>
      </w:rPr>
    </w:pPr>
    <w:bookmarkStart w:id="2" w:name="TITUS1HeaderPrimary"/>
    <w:r>
      <w:rPr>
        <w:color w:val="000000"/>
        <w:sz w:val="17"/>
      </w:rPr>
      <w:t> </w:t>
    </w:r>
  </w:p>
  <w:bookmarkEnd w:id="2"/>
  <w:p w:rsidR="0044134E" w:rsidRDefault="004413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34E" w:rsidRDefault="00261001" w:rsidP="00261001">
    <w:pPr>
      <w:pStyle w:val="Header"/>
      <w:rPr>
        <w:color w:val="000000"/>
        <w:sz w:val="17"/>
      </w:rPr>
    </w:pPr>
    <w:bookmarkStart w:id="5" w:name="TITUS1HeaderFirstPage"/>
    <w:r>
      <w:rPr>
        <w:color w:val="000000"/>
        <w:sz w:val="17"/>
      </w:rPr>
      <w:t> </w:t>
    </w:r>
  </w:p>
  <w:bookmarkEnd w:id="5"/>
  <w:p w:rsidR="0044134E" w:rsidRDefault="004413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23E88"/>
    <w:multiLevelType w:val="hybridMultilevel"/>
    <w:tmpl w:val="1A2A2AE0"/>
    <w:lvl w:ilvl="0" w:tplc="98D0E544">
      <w:start w:val="23"/>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9C23745"/>
    <w:multiLevelType w:val="hybridMultilevel"/>
    <w:tmpl w:val="388A60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ED62F37"/>
    <w:multiLevelType w:val="hybridMultilevel"/>
    <w:tmpl w:val="058038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134E"/>
    <w:rsid w:val="00261001"/>
    <w:rsid w:val="0044134E"/>
    <w:rsid w:val="00A86842"/>
    <w:rsid w:val="00ED02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2B73A4"/>
  <w15:chartTrackingRefBased/>
  <w15:docId w15:val="{DC0FBD75-B578-488E-8B19-DBA57307D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13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134E"/>
  </w:style>
  <w:style w:type="paragraph" w:styleId="Footer">
    <w:name w:val="footer"/>
    <w:basedOn w:val="Normal"/>
    <w:link w:val="FooterChar"/>
    <w:uiPriority w:val="99"/>
    <w:unhideWhenUsed/>
    <w:rsid w:val="004413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134E"/>
  </w:style>
  <w:style w:type="paragraph" w:styleId="ListParagraph">
    <w:name w:val="List Paragraph"/>
    <w:basedOn w:val="Normal"/>
    <w:uiPriority w:val="34"/>
    <w:qFormat/>
    <w:rsid w:val="00ED02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2393</Words>
  <Characters>13646</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16007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Hall,Louie swp6962</dc:creator>
  <cp:keywords/>
  <dc:description/>
  <cp:lastModifiedBy>Hall,Louie swp6962</cp:lastModifiedBy>
  <cp:revision>3</cp:revision>
  <dcterms:created xsi:type="dcterms:W3CDTF">2021-08-23T13:58:00Z</dcterms:created>
  <dcterms:modified xsi:type="dcterms:W3CDTF">2021-08-23T14:01:00Z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1cdbc2c6-1482-4e08-9a2e-50efadbd2493</vt:lpwstr>
  </property>
  <property fmtid="{D5CDD505-2E9C-101B-9397-08002B2CF9AE}" pid="3" name="Classification">
    <vt:lpwstr>OFFICIAL</vt:lpwstr>
  </property>
  <property fmtid="{D5CDD505-2E9C-101B-9397-08002B2CF9AE}" pid="4" name="Visibility">
    <vt:lpwstr>NOT VISIBLE</vt:lpwstr>
  </property>
</Properties>
</file>