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17CB02" w14:textId="77777777" w:rsidR="001B3EE9" w:rsidRDefault="001B3EE9">
      <w:pPr>
        <w:snapToGrid w:val="0"/>
        <w:spacing w:line="360" w:lineRule="auto"/>
        <w:rPr>
          <w:rFonts w:ascii="Calibri" w:eastAsiaTheme="minorEastAsia" w:hAnsi="Calibri" w:cs="Calibri"/>
          <w:color w:val="000000"/>
          <w:sz w:val="24"/>
        </w:rPr>
      </w:pPr>
    </w:p>
    <w:p w14:paraId="1AD3EF75" w14:textId="77777777" w:rsidR="001B3EE9" w:rsidRDefault="00F91A92">
      <w:pPr>
        <w:suppressAutoHyphens/>
        <w:overflowPunct w:val="0"/>
        <w:spacing w:line="360" w:lineRule="auto"/>
        <w:jc w:val="center"/>
        <w:textAlignment w:val="baseline"/>
        <w:rPr>
          <w:rFonts w:ascii="Calibri" w:eastAsia="WenQuanYi Zen Hei Sharp" w:hAnsi="Calibri" w:cs="Calibri"/>
          <w:color w:val="000000"/>
          <w:szCs w:val="24"/>
          <w:lang w:bidi="hi-IN"/>
        </w:rPr>
      </w:pPr>
      <w:r>
        <w:rPr>
          <w:rFonts w:ascii="Calibri" w:hAnsi="Calibri" w:cs="Calibri"/>
          <w:noProof/>
          <w:lang w:eastAsia="en-GB"/>
        </w:rPr>
        <w:drawing>
          <wp:inline distT="0" distB="0" distL="0" distR="0" wp14:anchorId="7F903922" wp14:editId="5AECCDED">
            <wp:extent cx="3601720" cy="1256665"/>
            <wp:effectExtent l="0" t="0" r="0" b="635"/>
            <wp:docPr id="1" name="图片 1" descr="校徽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校徽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601720" cy="1256665"/>
                    </a:xfrm>
                    <a:prstGeom prst="rect">
                      <a:avLst/>
                    </a:prstGeom>
                    <a:noFill/>
                    <a:ln>
                      <a:noFill/>
                    </a:ln>
                  </pic:spPr>
                </pic:pic>
              </a:graphicData>
            </a:graphic>
          </wp:inline>
        </w:drawing>
      </w:r>
      <w:r>
        <w:rPr>
          <w:rFonts w:ascii="Times New Roman" w:hAnsi="Times New Roman"/>
          <w:noProof/>
        </w:rPr>
        <w:drawing>
          <wp:anchor distT="0" distB="0" distL="114300" distR="114300" simplePos="0" relativeHeight="251658240" behindDoc="0" locked="0" layoutInCell="1" allowOverlap="1" wp14:anchorId="49A4F19C" wp14:editId="57D5D8D1">
            <wp:simplePos x="0" y="0"/>
            <wp:positionH relativeFrom="column">
              <wp:posOffset>10130155</wp:posOffset>
            </wp:positionH>
            <wp:positionV relativeFrom="paragraph">
              <wp:posOffset>-1183640</wp:posOffset>
            </wp:positionV>
            <wp:extent cx="3599815" cy="1258570"/>
            <wp:effectExtent l="0" t="0" r="635"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599815" cy="1258570"/>
                    </a:xfrm>
                    <a:prstGeom prst="rect">
                      <a:avLst/>
                    </a:prstGeom>
                    <a:noFill/>
                  </pic:spPr>
                </pic:pic>
              </a:graphicData>
            </a:graphic>
          </wp:anchor>
        </w:drawing>
      </w:r>
    </w:p>
    <w:p w14:paraId="4F962C47" w14:textId="77777777" w:rsidR="001B3EE9" w:rsidRDefault="001B3EE9">
      <w:pPr>
        <w:suppressAutoHyphens/>
        <w:overflowPunct w:val="0"/>
        <w:spacing w:line="360" w:lineRule="auto"/>
        <w:textAlignment w:val="baseline"/>
        <w:rPr>
          <w:rFonts w:ascii="Calibri" w:eastAsia="WenQuanYi Zen Hei Sharp" w:hAnsi="Calibri" w:cs="Calibri"/>
          <w:color w:val="000000"/>
          <w:szCs w:val="24"/>
          <w:lang w:bidi="hi-IN"/>
        </w:rPr>
      </w:pPr>
    </w:p>
    <w:p w14:paraId="4F2D724A" w14:textId="77777777" w:rsidR="001B3EE9" w:rsidRDefault="001B3EE9">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1D865A33" w14:textId="4CA2646B" w:rsidR="001B3EE9" w:rsidRPr="00E31EE0" w:rsidRDefault="00E31EE0">
      <w:pPr>
        <w:suppressAutoHyphens/>
        <w:overflowPunct w:val="0"/>
        <w:spacing w:line="360" w:lineRule="auto"/>
        <w:jc w:val="center"/>
        <w:textAlignment w:val="baseline"/>
        <w:rPr>
          <w:rFonts w:ascii="Times New Roman" w:eastAsia="WenQuanYi Zen Hei Sharp" w:hAnsi="Times New Roman" w:cs="Times New Roman"/>
          <w:color w:val="000000"/>
          <w:sz w:val="40"/>
          <w:szCs w:val="40"/>
          <w:lang w:bidi="hi-IN"/>
        </w:rPr>
      </w:pPr>
      <w:r w:rsidRPr="00E31EE0">
        <w:rPr>
          <w:rFonts w:ascii="Times New Roman" w:eastAsiaTheme="minorEastAsia" w:hAnsi="Times New Roman" w:cs="Times New Roman"/>
          <w:b/>
          <w:color w:val="000000"/>
          <w:sz w:val="40"/>
          <w:szCs w:val="40"/>
          <w:lang w:bidi="hi-IN"/>
        </w:rPr>
        <w:t>Data</w:t>
      </w:r>
      <w:r w:rsidRPr="00E31EE0">
        <w:rPr>
          <w:rFonts w:ascii="Times New Roman" w:eastAsia="WenQuanYi Zen Hei Sharp" w:hAnsi="Times New Roman" w:cs="Times New Roman"/>
          <w:b/>
          <w:color w:val="000000"/>
          <w:sz w:val="40"/>
          <w:szCs w:val="40"/>
          <w:lang w:bidi="hi-IN"/>
        </w:rPr>
        <w:t xml:space="preserve"> Security</w:t>
      </w:r>
      <w:r w:rsidR="00F91A92" w:rsidRPr="00E31EE0">
        <w:rPr>
          <w:rFonts w:ascii="Times New Roman" w:eastAsia="WenQuanYi Zen Hei Sharp" w:hAnsi="Times New Roman" w:cs="Times New Roman"/>
          <w:b/>
          <w:color w:val="000000"/>
          <w:sz w:val="40"/>
          <w:szCs w:val="40"/>
          <w:lang w:bidi="hi-IN"/>
        </w:rPr>
        <w:t xml:space="preserve"> report</w:t>
      </w:r>
    </w:p>
    <w:p w14:paraId="463F1DC9" w14:textId="77777777" w:rsidR="001B3EE9" w:rsidRDefault="001B3EE9">
      <w:pPr>
        <w:suppressAutoHyphens/>
        <w:overflowPunct w:val="0"/>
        <w:spacing w:line="360" w:lineRule="auto"/>
        <w:jc w:val="center"/>
        <w:textAlignment w:val="baseline"/>
        <w:rPr>
          <w:rFonts w:ascii="Calibri" w:eastAsia="WenQuanYi Zen Hei Sharp" w:hAnsi="Calibri" w:cs="Calibri"/>
          <w:color w:val="000000"/>
          <w:sz w:val="24"/>
          <w:szCs w:val="24"/>
          <w:lang w:bidi="hi-IN"/>
        </w:rPr>
      </w:pPr>
    </w:p>
    <w:p w14:paraId="7E6677E4" w14:textId="77777777" w:rsidR="001B3EE9" w:rsidRDefault="00F91A92">
      <w:pPr>
        <w:suppressAutoHyphens/>
        <w:overflowPunct w:val="0"/>
        <w:spacing w:line="360" w:lineRule="auto"/>
        <w:jc w:val="center"/>
        <w:textAlignment w:val="baseline"/>
        <w:rPr>
          <w:rFonts w:ascii="Calibri" w:eastAsia="WenQuanYi Zen Hei Sharp" w:hAnsi="Calibri" w:cs="Calibri"/>
          <w:color w:val="000000"/>
          <w:szCs w:val="24"/>
          <w:lang w:bidi="hi-IN"/>
        </w:rPr>
      </w:pPr>
      <w:r>
        <w:rPr>
          <w:rFonts w:ascii="Calibri" w:eastAsia="WenQuanYi Zen Hei Sharp" w:hAnsi="Calibri" w:cs="Calibri"/>
          <w:color w:val="000000"/>
          <w:szCs w:val="24"/>
          <w:lang w:bidi="hi-IN"/>
        </w:rPr>
        <w:t>by</w:t>
      </w:r>
    </w:p>
    <w:p w14:paraId="3C1257CB" w14:textId="77777777" w:rsidR="001B3EE9" w:rsidRDefault="00F91A92">
      <w:pPr>
        <w:suppressAutoHyphens/>
        <w:overflowPunct w:val="0"/>
        <w:spacing w:line="360" w:lineRule="auto"/>
        <w:jc w:val="center"/>
        <w:textAlignment w:val="baseline"/>
        <w:rPr>
          <w:rFonts w:ascii="微软雅黑" w:eastAsia="微软雅黑" w:hAnsi="微软雅黑" w:cs="Calibri"/>
          <w:color w:val="000000"/>
          <w:szCs w:val="24"/>
          <w:lang w:bidi="hi-IN"/>
        </w:rPr>
      </w:pPr>
      <w:r>
        <w:rPr>
          <w:rFonts w:ascii="微软雅黑" w:eastAsia="微软雅黑" w:hAnsi="微软雅黑" w:cs="Calibri" w:hint="eastAsia"/>
          <w:color w:val="000000"/>
          <w:szCs w:val="24"/>
          <w:lang w:bidi="hi-IN"/>
        </w:rPr>
        <w:t>Liang Jin</w:t>
      </w:r>
    </w:p>
    <w:p w14:paraId="26BEEB3A" w14:textId="77777777" w:rsidR="001B3EE9" w:rsidRDefault="00F91A92">
      <w:pPr>
        <w:suppressAutoHyphens/>
        <w:overflowPunct w:val="0"/>
        <w:spacing w:line="360" w:lineRule="auto"/>
        <w:jc w:val="center"/>
        <w:textAlignment w:val="baseline"/>
        <w:rPr>
          <w:rFonts w:ascii="Microsoft YaHei UI" w:eastAsia="Microsoft YaHei UI" w:hAnsi="Microsoft YaHei UI"/>
          <w:color w:val="323130"/>
          <w:sz w:val="21"/>
          <w:szCs w:val="21"/>
          <w:shd w:val="clear" w:color="auto" w:fill="FFFFFF"/>
        </w:rPr>
      </w:pPr>
      <w:r>
        <w:rPr>
          <w:rFonts w:ascii="Calibri" w:eastAsia="WenQuanYi Zen Hei Sharp" w:hAnsi="Calibri" w:cs="Calibri"/>
          <w:color w:val="000000"/>
          <w:szCs w:val="24"/>
          <w:lang w:bidi="hi-IN"/>
        </w:rPr>
        <w:t>Supervisor: Dr Carlene Campbell</w:t>
      </w:r>
    </w:p>
    <w:p w14:paraId="0552D9CE" w14:textId="77777777" w:rsidR="001B3EE9" w:rsidRDefault="00F91A92">
      <w:pPr>
        <w:suppressAutoHyphens/>
        <w:overflowPunct w:val="0"/>
        <w:spacing w:line="360" w:lineRule="auto"/>
        <w:jc w:val="center"/>
        <w:textAlignment w:val="baseline"/>
        <w:rPr>
          <w:rFonts w:ascii="Calibri" w:eastAsia="WenQuanYi Zen Hei Sharp" w:hAnsi="Calibri" w:cs="Calibri"/>
          <w:color w:val="000000"/>
          <w:szCs w:val="24"/>
          <w:lang w:bidi="hi-IN"/>
        </w:rPr>
      </w:pPr>
      <w:r>
        <w:rPr>
          <w:rFonts w:ascii="Microsoft YaHei UI" w:eastAsia="Microsoft YaHei UI" w:hAnsi="Microsoft YaHei UI" w:hint="eastAsia"/>
          <w:color w:val="323130"/>
          <w:sz w:val="21"/>
          <w:szCs w:val="21"/>
          <w:shd w:val="clear" w:color="auto" w:fill="FFFFFF"/>
        </w:rPr>
        <w:t> </w:t>
      </w:r>
    </w:p>
    <w:p w14:paraId="567A5D1F" w14:textId="77777777" w:rsidR="001B3EE9" w:rsidRDefault="001B3EE9">
      <w:pPr>
        <w:suppressAutoHyphens/>
        <w:overflowPunct w:val="0"/>
        <w:spacing w:line="360" w:lineRule="auto"/>
        <w:jc w:val="center"/>
        <w:textAlignment w:val="baseline"/>
        <w:rPr>
          <w:rFonts w:ascii="Calibri" w:eastAsiaTheme="minorEastAsia" w:hAnsi="Calibri" w:cs="Calibri"/>
          <w:color w:val="000000"/>
          <w:szCs w:val="24"/>
          <w:lang w:bidi="hi-IN"/>
        </w:rPr>
      </w:pPr>
    </w:p>
    <w:p w14:paraId="2F534B53" w14:textId="77777777" w:rsidR="001B3EE9" w:rsidRDefault="001B3EE9">
      <w:pPr>
        <w:suppressAutoHyphens/>
        <w:overflowPunct w:val="0"/>
        <w:spacing w:line="360" w:lineRule="auto"/>
        <w:jc w:val="center"/>
        <w:textAlignment w:val="baseline"/>
        <w:rPr>
          <w:rFonts w:ascii="Calibri" w:hAnsi="Calibri" w:cs="Calibri"/>
          <w:color w:val="000000"/>
          <w:szCs w:val="24"/>
          <w:lang w:bidi="hi-IN"/>
        </w:rPr>
      </w:pPr>
    </w:p>
    <w:p w14:paraId="297D798F" w14:textId="77777777" w:rsidR="001B3EE9" w:rsidRDefault="001B3EE9">
      <w:pPr>
        <w:suppressAutoHyphens/>
        <w:overflowPunct w:val="0"/>
        <w:spacing w:line="360" w:lineRule="auto"/>
        <w:jc w:val="center"/>
        <w:textAlignment w:val="baseline"/>
        <w:rPr>
          <w:rFonts w:ascii="Calibri" w:hAnsi="Calibri" w:cs="Calibri"/>
          <w:color w:val="000000"/>
          <w:szCs w:val="24"/>
          <w:lang w:bidi="hi-IN"/>
        </w:rPr>
      </w:pPr>
    </w:p>
    <w:p w14:paraId="4DAD2496" w14:textId="77777777" w:rsidR="001B3EE9" w:rsidRDefault="001B3EE9">
      <w:pPr>
        <w:suppressAutoHyphens/>
        <w:overflowPunct w:val="0"/>
        <w:spacing w:line="360" w:lineRule="auto"/>
        <w:jc w:val="center"/>
        <w:textAlignment w:val="baseline"/>
        <w:rPr>
          <w:rFonts w:ascii="Calibri" w:hAnsi="Calibri" w:cs="Calibri"/>
          <w:color w:val="000000"/>
          <w:szCs w:val="24"/>
          <w:lang w:bidi="hi-IN"/>
        </w:rPr>
      </w:pPr>
    </w:p>
    <w:p w14:paraId="06616CD5" w14:textId="77777777" w:rsidR="001B3EE9" w:rsidRDefault="001B3EE9">
      <w:pPr>
        <w:suppressAutoHyphens/>
        <w:overflowPunct w:val="0"/>
        <w:spacing w:line="360" w:lineRule="auto"/>
        <w:jc w:val="center"/>
        <w:textAlignment w:val="baseline"/>
        <w:rPr>
          <w:rFonts w:ascii="Calibri" w:hAnsi="Calibri" w:cs="Calibri"/>
          <w:color w:val="000000"/>
          <w:szCs w:val="24"/>
          <w:lang w:bidi="hi-IN"/>
        </w:rPr>
      </w:pPr>
    </w:p>
    <w:p w14:paraId="6298CECA" w14:textId="77777777" w:rsidR="001B3EE9" w:rsidRDefault="001B3EE9">
      <w:pPr>
        <w:suppressAutoHyphens/>
        <w:overflowPunct w:val="0"/>
        <w:spacing w:line="360" w:lineRule="auto"/>
        <w:jc w:val="center"/>
        <w:textAlignment w:val="baseline"/>
        <w:rPr>
          <w:rFonts w:ascii="Calibri" w:hAnsi="Calibri" w:cs="Calibri"/>
          <w:color w:val="000000"/>
          <w:szCs w:val="24"/>
          <w:lang w:bidi="hi-IN"/>
        </w:rPr>
      </w:pPr>
    </w:p>
    <w:p w14:paraId="1B420A0E" w14:textId="77777777" w:rsidR="001B3EE9" w:rsidRDefault="001B3EE9">
      <w:pPr>
        <w:suppressAutoHyphens/>
        <w:overflowPunct w:val="0"/>
        <w:spacing w:line="360" w:lineRule="auto"/>
        <w:jc w:val="center"/>
        <w:textAlignment w:val="baseline"/>
        <w:rPr>
          <w:rFonts w:ascii="Calibri" w:hAnsi="Calibri" w:cs="Calibri"/>
          <w:color w:val="000000"/>
          <w:szCs w:val="24"/>
          <w:lang w:bidi="hi-IN"/>
        </w:rPr>
      </w:pPr>
    </w:p>
    <w:p w14:paraId="4F88796D" w14:textId="77777777" w:rsidR="001B3EE9" w:rsidRDefault="001B3EE9">
      <w:pPr>
        <w:suppressAutoHyphens/>
        <w:overflowPunct w:val="0"/>
        <w:spacing w:line="360" w:lineRule="auto"/>
        <w:jc w:val="center"/>
        <w:textAlignment w:val="baseline"/>
        <w:rPr>
          <w:rFonts w:ascii="Calibri" w:hAnsi="Calibri" w:cs="Calibri"/>
          <w:color w:val="000000"/>
          <w:szCs w:val="24"/>
          <w:lang w:bidi="hi-IN"/>
        </w:rPr>
      </w:pPr>
    </w:p>
    <w:p w14:paraId="41A7293B" w14:textId="77777777" w:rsidR="001B3EE9" w:rsidRDefault="001B3EE9">
      <w:pPr>
        <w:suppressAutoHyphens/>
        <w:overflowPunct w:val="0"/>
        <w:spacing w:line="360" w:lineRule="auto"/>
        <w:jc w:val="center"/>
        <w:textAlignment w:val="baseline"/>
        <w:rPr>
          <w:rFonts w:ascii="Calibri" w:hAnsi="Calibri" w:cs="Calibri"/>
          <w:color w:val="000000"/>
          <w:szCs w:val="24"/>
          <w:lang w:bidi="hi-IN"/>
        </w:rPr>
      </w:pPr>
    </w:p>
    <w:p w14:paraId="44E5A615" w14:textId="77777777" w:rsidR="001B3EE9" w:rsidRDefault="001B3EE9">
      <w:pPr>
        <w:suppressAutoHyphens/>
        <w:overflowPunct w:val="0"/>
        <w:spacing w:line="360" w:lineRule="auto"/>
        <w:jc w:val="center"/>
        <w:textAlignment w:val="baseline"/>
        <w:rPr>
          <w:rFonts w:ascii="Calibri" w:hAnsi="Calibri" w:cs="Calibri"/>
          <w:color w:val="000000"/>
          <w:szCs w:val="24"/>
          <w:lang w:bidi="hi-IN"/>
        </w:rPr>
      </w:pPr>
    </w:p>
    <w:p w14:paraId="392151D1" w14:textId="77777777" w:rsidR="001B3EE9" w:rsidRDefault="001B3EE9">
      <w:pPr>
        <w:suppressAutoHyphens/>
        <w:overflowPunct w:val="0"/>
        <w:spacing w:line="360" w:lineRule="auto"/>
        <w:jc w:val="center"/>
        <w:textAlignment w:val="baseline"/>
        <w:rPr>
          <w:rFonts w:ascii="Calibri" w:hAnsi="Calibri" w:cs="Calibri"/>
          <w:color w:val="000000"/>
          <w:szCs w:val="24"/>
          <w:lang w:bidi="hi-IN"/>
        </w:rPr>
      </w:pPr>
    </w:p>
    <w:p w14:paraId="4E4C7EC4" w14:textId="77777777" w:rsidR="001B3EE9" w:rsidRDefault="001B3EE9">
      <w:pPr>
        <w:suppressAutoHyphens/>
        <w:overflowPunct w:val="0"/>
        <w:spacing w:line="360" w:lineRule="auto"/>
        <w:jc w:val="center"/>
        <w:textAlignment w:val="baseline"/>
        <w:rPr>
          <w:rFonts w:ascii="Calibri" w:hAnsi="Calibri" w:cs="Calibri"/>
          <w:color w:val="000000"/>
          <w:szCs w:val="24"/>
          <w:lang w:bidi="hi-IN"/>
        </w:rPr>
      </w:pPr>
    </w:p>
    <w:p w14:paraId="318BAAB5" w14:textId="77777777" w:rsidR="001B3EE9" w:rsidRPr="00303410" w:rsidRDefault="001B3EE9" w:rsidP="00303410">
      <w:pPr>
        <w:suppressAutoHyphens/>
        <w:overflowPunct w:val="0"/>
        <w:spacing w:line="360" w:lineRule="auto"/>
        <w:jc w:val="center"/>
        <w:textAlignment w:val="baseline"/>
        <w:rPr>
          <w:rFonts w:ascii="Calibri" w:eastAsiaTheme="minorEastAsia" w:hAnsi="Calibri" w:cs="Calibri"/>
          <w:color w:val="000000"/>
          <w:szCs w:val="24"/>
          <w:lang w:bidi="hi-IN"/>
        </w:rPr>
      </w:pPr>
    </w:p>
    <w:p w14:paraId="5620A111" w14:textId="77777777" w:rsidR="001B3EE9" w:rsidRDefault="00F91A92">
      <w:pPr>
        <w:spacing w:line="360" w:lineRule="auto"/>
        <w:jc w:val="center"/>
        <w:rPr>
          <w:rFonts w:ascii="Calibri" w:eastAsiaTheme="minorEastAsia" w:hAnsi="Calibri" w:cs="Calibri"/>
          <w:szCs w:val="24"/>
        </w:rPr>
      </w:pPr>
      <w:r>
        <w:rPr>
          <w:rFonts w:ascii="Calibri" w:eastAsia="WenQuanYi Zen Hei Sharp" w:hAnsi="Calibri" w:cs="Calibri"/>
          <w:color w:val="000000"/>
          <w:szCs w:val="24"/>
          <w:lang w:bidi="hi-IN"/>
        </w:rPr>
        <w:t xml:space="preserve">January 11, 2021 </w:t>
      </w:r>
    </w:p>
    <w:p w14:paraId="3CCFF5AC" w14:textId="77777777" w:rsidR="001B3EE9" w:rsidRDefault="00F91A92">
      <w:pPr>
        <w:pStyle w:val="1"/>
        <w:rPr>
          <w:rFonts w:ascii="Times New Roman" w:eastAsiaTheme="minorEastAsia" w:hAnsi="Times New Roman" w:cs="Times New Roman"/>
          <w:sz w:val="40"/>
          <w:szCs w:val="40"/>
        </w:rPr>
      </w:pPr>
      <w:r>
        <w:rPr>
          <w:rFonts w:ascii="Times New Roman" w:eastAsiaTheme="minorEastAsia" w:hAnsi="Times New Roman" w:cs="Times New Roman"/>
          <w:sz w:val="40"/>
          <w:szCs w:val="40"/>
        </w:rPr>
        <w:lastRenderedPageBreak/>
        <w:t>Introduction</w:t>
      </w:r>
    </w:p>
    <w:p w14:paraId="1110A1ED" w14:textId="77777777" w:rsidR="001B3EE9" w:rsidRDefault="001B3EE9">
      <w:pPr>
        <w:rPr>
          <w:rFonts w:ascii="Times New Roman" w:eastAsiaTheme="minorEastAsia" w:hAnsi="Times New Roman" w:cs="Times New Roman"/>
        </w:rPr>
      </w:pPr>
    </w:p>
    <w:p w14:paraId="4620BDCA" w14:textId="0477B9EB" w:rsidR="001B3EE9" w:rsidRDefault="00F91A92">
      <w:pPr>
        <w:rPr>
          <w:rFonts w:ascii="Times New Roman" w:eastAsiaTheme="minorEastAsia" w:hAnsi="Times New Roman" w:cs="Times New Roman"/>
        </w:rPr>
      </w:pPr>
      <w:r>
        <w:rPr>
          <w:rFonts w:ascii="Times New Roman" w:eastAsiaTheme="minorEastAsia" w:hAnsi="Times New Roman" w:cs="Times New Roman"/>
        </w:rPr>
        <w:t>Under the influence of the rapid development of the Internet, whether it is personal life and work, business expansion, and personnel management of enterprises, or government departments, they cannot be separated from the support of the network. They touch a large amount of data at all times</w:t>
      </w:r>
      <w:r w:rsidR="006647D6">
        <w:rPr>
          <w:rFonts w:ascii="Times New Roman" w:eastAsiaTheme="minorEastAsia" w:hAnsi="Times New Roman" w:cs="Times New Roman"/>
        </w:rPr>
        <w:t xml:space="preserve"> </w:t>
      </w:r>
      <w:r w:rsidR="006647D6">
        <w:rPr>
          <w:rFonts w:ascii="Times New Roman" w:eastAsiaTheme="minorEastAsia" w:hAnsi="Times New Roman" w:cs="Times New Roman"/>
        </w:rPr>
        <w:fldChar w:fldCharType="begin" w:fldLock="1"/>
      </w:r>
      <w:r w:rsidR="00B50C1C">
        <w:rPr>
          <w:rFonts w:ascii="Times New Roman" w:eastAsiaTheme="minorEastAsia" w:hAnsi="Times New Roman" w:cs="Times New Roman"/>
        </w:rPr>
        <w:instrText>ADDIN CSL_CITATION {"citationItems":[{"id":"ITEM-1","itemData":{"DOI":"10.1057/s41288-018-0083-6","ISSN":"14680440","author":[{"dropping-particle":"","family":"Eling","given":"Martin","non-dropping-particle":"","parse-names":false,"suffix":""}],"container-title":"Geneva Papers on Risk and Insurance: Issues and Practice","id":"ITEM-1","issue":"2","issued":{"date-parts":[["2018"]]},"page":"175-179","publisher":"Palgrave Macmillan UK","title":"Cyber Risk and Cyber Risk Insurance: Status Quo and Future Research","type":"article-journal","volume":"43"},"uris":["http://www.mendeley.com/documents/?uuid=5988ab5c-f2ae-4522-b743-0f972fdb9625"]}],"mendeley":{"formattedCitation":"[1]","plainTextFormattedCitation":"[1]","previouslyFormattedCitation":"[1]"},"properties":{"noteIndex":0},"schema":"https://github.com/citation-style-language/schema/raw/master/csl-citation.json"}</w:instrText>
      </w:r>
      <w:r w:rsidR="006647D6">
        <w:rPr>
          <w:rFonts w:ascii="Times New Roman" w:eastAsiaTheme="minorEastAsia" w:hAnsi="Times New Roman" w:cs="Times New Roman"/>
        </w:rPr>
        <w:fldChar w:fldCharType="separate"/>
      </w:r>
      <w:r w:rsidR="006647D6" w:rsidRPr="006647D6">
        <w:rPr>
          <w:rFonts w:ascii="Times New Roman" w:eastAsiaTheme="minorEastAsia" w:hAnsi="Times New Roman" w:cs="Times New Roman"/>
          <w:noProof/>
        </w:rPr>
        <w:t>[1]</w:t>
      </w:r>
      <w:r w:rsidR="006647D6">
        <w:rPr>
          <w:rFonts w:ascii="Times New Roman" w:eastAsiaTheme="minorEastAsia" w:hAnsi="Times New Roman" w:cs="Times New Roman"/>
        </w:rPr>
        <w:fldChar w:fldCharType="end"/>
      </w:r>
      <w:r>
        <w:rPr>
          <w:rFonts w:ascii="Times New Roman" w:eastAsiaTheme="minorEastAsia" w:hAnsi="Times New Roman" w:cs="Times New Roman"/>
        </w:rPr>
        <w:t>. Indeed, the Internet facilitates communication between people, greatly improves the efficiency of enterprises and governments, and brings a lot of convenience to the development of this society. However, it also brings a series of problems, for example, Computer network information security issues. The emergence of information security issues will not only reduce the effectiveness of information utilization but also affect the pertinence of information and data. The main reason for affecting information security is the openness of the network, which leads to hacker attacks, Virus intrusion often occurs. In this case, can we encrypt and protect computer systems and computer technology, strengthen network monitoring, and achieve data security protection?</w:t>
      </w:r>
      <w:r>
        <w:rPr>
          <w:rFonts w:ascii="Times New Roman" w:hAnsi="Times New Roman" w:cs="Times New Roman"/>
        </w:rPr>
        <w:t xml:space="preserve"> </w:t>
      </w:r>
      <w:r>
        <w:rPr>
          <w:rFonts w:ascii="Times New Roman" w:eastAsiaTheme="minorEastAsia" w:hAnsi="Times New Roman" w:cs="Times New Roman"/>
        </w:rPr>
        <w:t xml:space="preserve">Therefore, it is very necessary to ensure information security, so what is information security? From the definition of security attributes, information security should maintain the confidentiality, integrity, and </w:t>
      </w:r>
      <w:r>
        <w:rPr>
          <w:rFonts w:ascii="Times New Roman" w:hAnsi="Times New Roman" w:cs="Times New Roman"/>
          <w:color w:val="202122"/>
          <w:sz w:val="21"/>
          <w:szCs w:val="21"/>
          <w:shd w:val="clear" w:color="auto" w:fill="FFFFFF"/>
        </w:rPr>
        <w:t xml:space="preserve">availability </w:t>
      </w:r>
      <w:r>
        <w:rPr>
          <w:rFonts w:ascii="Times New Roman" w:eastAsia="宋体" w:hAnsi="Times New Roman" w:cs="Times New Roman"/>
          <w:color w:val="202122"/>
          <w:sz w:val="21"/>
          <w:szCs w:val="21"/>
          <w:shd w:val="clear" w:color="auto" w:fill="FFFFFF"/>
        </w:rPr>
        <w:t>(CIA)</w:t>
      </w:r>
      <w:r>
        <w:rPr>
          <w:rFonts w:ascii="Times New Roman" w:hAnsi="Times New Roman" w:cs="Times New Roman"/>
          <w:color w:val="202122"/>
          <w:sz w:val="21"/>
          <w:szCs w:val="21"/>
          <w:shd w:val="clear" w:color="auto" w:fill="FFFFFF"/>
        </w:rPr>
        <w:t xml:space="preserve"> </w:t>
      </w:r>
      <w:r>
        <w:rPr>
          <w:rFonts w:ascii="Times New Roman" w:eastAsiaTheme="minorEastAsia" w:hAnsi="Times New Roman" w:cs="Times New Roman"/>
        </w:rPr>
        <w:t xml:space="preserve">of information; also, it can include authenticity, verifiability, non-repudiation, and </w:t>
      </w:r>
      <w:r>
        <w:rPr>
          <w:rFonts w:ascii="Times New Roman" w:hAnsi="Times New Roman" w:cs="Times New Roman"/>
          <w:color w:val="202122"/>
          <w:sz w:val="21"/>
          <w:szCs w:val="21"/>
          <w:shd w:val="clear" w:color="auto" w:fill="FFFFFF"/>
        </w:rPr>
        <w:t>availability</w:t>
      </w:r>
      <w:r w:rsidR="00A75972">
        <w:rPr>
          <w:rFonts w:ascii="Times New Roman" w:hAnsi="Times New Roman" w:cs="Times New Roman"/>
          <w:color w:val="202122"/>
          <w:sz w:val="21"/>
          <w:szCs w:val="21"/>
          <w:shd w:val="clear" w:color="auto" w:fill="FFFFFF"/>
        </w:rPr>
        <w:t xml:space="preserve"> </w:t>
      </w:r>
      <w:r w:rsidR="00A75972">
        <w:rPr>
          <w:rFonts w:ascii="Times New Roman" w:hAnsi="Times New Roman" w:cs="Times New Roman"/>
          <w:color w:val="202122"/>
          <w:sz w:val="21"/>
          <w:szCs w:val="21"/>
          <w:shd w:val="clear" w:color="auto" w:fill="FFFFFF"/>
        </w:rPr>
        <w:fldChar w:fldCharType="begin" w:fldLock="1"/>
      </w:r>
      <w:r w:rsidR="00B50C1C">
        <w:rPr>
          <w:rFonts w:ascii="Times New Roman" w:hAnsi="Times New Roman" w:cs="Times New Roman"/>
          <w:color w:val="202122"/>
          <w:sz w:val="21"/>
          <w:szCs w:val="21"/>
          <w:shd w:val="clear" w:color="auto" w:fill="FFFFFF"/>
        </w:rPr>
        <w:instrText>ADDIN CSL_CITATION {"citationItems":[{"id":"ITEM-1","itemData":{"DOI":"10.1016/j.cose.2013.04.004","ISSN":"01674048","abstract":"The term cyber security is often used interchangeably with the term information security. This paper argues that, although there is a substantial overlap between cyber security and information security, these two concepts are not totally analogous. Moreover, the paper posits that cyber security goes beyond the boundaries of traditional information security to include not only the protection of information resources, but also that of other assets, including the person him/herself. In information security, reference to the human factor usually relates to the role(s) of humans in the security process. In cyber security this factor has an additional dimension, namely, the humans as potential targets of cyber attacks or even unknowingly participating in a cyber attack. This additional dimension has ethical implications for society as a whole, since the protection of certain vulnerable groups, for example children, could be seen as a societal responsibility. © 2013 Elsevier Ltd.","author":[{"dropping-particle":"","family":"Solms","given":"Rossouw","non-dropping-particle":"Von","parse-names":false,"suffix":""},{"dropping-particle":"","family":"Niekerk","given":"Johan","non-dropping-particle":"Van","parse-names":false,"suffix":""}],"container-title":"Computers and Security","id":"ITEM-1","issued":{"date-parts":[["2013"]]},"page":"97-102","publisher":"Elsevier Ltd","title":"From information security to cyber security","type":"article-journal","volume":"38"},"uris":["http://www.mendeley.com/documents/?uuid=508b4f64-550c-44ed-810d-70f9decbba3f"]}],"mendeley":{"formattedCitation":"[2]","plainTextFormattedCitation":"[2]","previouslyFormattedCitation":"[2]"},"properties":{"noteIndex":0},"schema":"https://github.com/citation-style-language/schema/raw/master/csl-citation.json"}</w:instrText>
      </w:r>
      <w:r w:rsidR="00A75972">
        <w:rPr>
          <w:rFonts w:ascii="Times New Roman" w:hAnsi="Times New Roman" w:cs="Times New Roman"/>
          <w:color w:val="202122"/>
          <w:sz w:val="21"/>
          <w:szCs w:val="21"/>
          <w:shd w:val="clear" w:color="auto" w:fill="FFFFFF"/>
        </w:rPr>
        <w:fldChar w:fldCharType="separate"/>
      </w:r>
      <w:r w:rsidR="006647D6" w:rsidRPr="006647D6">
        <w:rPr>
          <w:rFonts w:ascii="Times New Roman" w:hAnsi="Times New Roman" w:cs="Times New Roman"/>
          <w:noProof/>
          <w:color w:val="202122"/>
          <w:sz w:val="21"/>
          <w:szCs w:val="21"/>
          <w:shd w:val="clear" w:color="auto" w:fill="FFFFFF"/>
        </w:rPr>
        <w:t>[2]</w:t>
      </w:r>
      <w:r w:rsidR="00A75972">
        <w:rPr>
          <w:rFonts w:ascii="Times New Roman" w:hAnsi="Times New Roman" w:cs="Times New Roman"/>
          <w:color w:val="202122"/>
          <w:sz w:val="21"/>
          <w:szCs w:val="21"/>
          <w:shd w:val="clear" w:color="auto" w:fill="FFFFFF"/>
        </w:rPr>
        <w:fldChar w:fldCharType="end"/>
      </w:r>
      <w:r>
        <w:rPr>
          <w:rFonts w:ascii="Times New Roman" w:eastAsiaTheme="minorEastAsia" w:hAnsi="Times New Roman" w:cs="Times New Roman"/>
        </w:rPr>
        <w:t>. The same information has different values</w:t>
      </w:r>
      <w:r>
        <w:rPr>
          <w:rFonts w:ascii="Times New Roman" w:eastAsiaTheme="minorEastAsia" w:hAnsi="Times New Roman" w:cs="Times New Roman" w:hint="eastAsia"/>
        </w:rPr>
        <w:t xml:space="preserve"> </w:t>
      </w:r>
      <w:r>
        <w:rPr>
          <w:rFonts w:ascii="Times New Roman" w:eastAsiaTheme="minorEastAsia" w:hAnsi="Times New Roman" w:cs="Times New Roman"/>
        </w:rPr>
        <w:t>for different people. Whether something is information or data depends mainly on the judgment and perception of the recipient. Information should be regarded as a production factor, and business activities and processes cannot exist independently of information. In some organizations, integrity and possibility are more important than confidentiality.</w:t>
      </w:r>
    </w:p>
    <w:p w14:paraId="711DCD2A" w14:textId="77777777" w:rsidR="001B3EE9" w:rsidRDefault="001B3EE9">
      <w:pPr>
        <w:rPr>
          <w:rFonts w:ascii="Times New Roman" w:eastAsiaTheme="minorEastAsia" w:hAnsi="Times New Roman" w:cs="Times New Roman"/>
        </w:rPr>
      </w:pPr>
    </w:p>
    <w:p w14:paraId="1F54BBD8"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 xml:space="preserve">In the development of enterprises, with the continuous development of network information technology and modern enterprise management in recent years, it is particularly important to be able to effectively ensure information security. To ensure enterprise information security, not only </w:t>
      </w:r>
      <w:r>
        <w:rPr>
          <w:rFonts w:ascii="Times New Roman" w:hAnsi="Times New Roman" w:cs="Times New Roman"/>
          <w:color w:val="202122"/>
          <w:sz w:val="21"/>
          <w:szCs w:val="21"/>
          <w:shd w:val="clear" w:color="auto" w:fill="FFFFFF"/>
        </w:rPr>
        <w:t>available</w:t>
      </w:r>
      <w:r>
        <w:rPr>
          <w:rFonts w:ascii="Times New Roman" w:eastAsiaTheme="minorEastAsia" w:hAnsi="Times New Roman" w:cs="Times New Roman"/>
        </w:rPr>
        <w:t xml:space="preserve"> security technology strategies, but also security management measures are needed. Both technology and management can guarantee the normal operation of the enterprise and truly ensure the information security of the enterprise. </w:t>
      </w:r>
      <w:r>
        <w:rPr>
          <w:rFonts w:ascii="Times New Roman" w:eastAsiaTheme="minorEastAsia" w:hAnsi="Times New Roman" w:cs="Times New Roman" w:hint="eastAsia"/>
        </w:rPr>
        <w:t>T</w:t>
      </w:r>
      <w:r>
        <w:rPr>
          <w:rFonts w:ascii="Times New Roman" w:eastAsiaTheme="minorEastAsia" w:hAnsi="Times New Roman" w:cs="Times New Roman"/>
        </w:rPr>
        <w:t>herefore, strengthen the information of the enterprise and further research on the construction of the safety management system are no time to delay. For enterprises, the ultimate goal of constructing an information security management system is to use information security management to improve the security of the enterprise’s use of information technology, thereby enhancing the overall competitiveness of the enterprise. At the same time, it is also necessary to consider the standards and standardization of information security management to improve information security. The integration of the management system and the overall corporate system with internationally recognized information security management standards can combine the corporate information security management level with the corporate business development and over-draft level information management mode, and increase the overall corporate information management capabilities.</w:t>
      </w:r>
    </w:p>
    <w:p w14:paraId="10B7236A" w14:textId="77777777" w:rsidR="001B3EE9" w:rsidRDefault="001B3EE9">
      <w:pPr>
        <w:rPr>
          <w:rFonts w:ascii="Times New Roman" w:eastAsiaTheme="minorEastAsia" w:hAnsi="Times New Roman" w:cs="Times New Roman"/>
        </w:rPr>
      </w:pPr>
    </w:p>
    <w:p w14:paraId="5CD65A18"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 xml:space="preserve">This report will discuss three information security frameworks at first, analyze the advantages </w:t>
      </w:r>
      <w:r>
        <w:rPr>
          <w:rFonts w:ascii="Times New Roman" w:eastAsiaTheme="minorEastAsia" w:hAnsi="Times New Roman" w:cs="Times New Roman"/>
        </w:rPr>
        <w:lastRenderedPageBreak/>
        <w:t>and disadvantages of these three security frameworks</w:t>
      </w:r>
      <w:r>
        <w:rPr>
          <w:rFonts w:ascii="Times New Roman" w:eastAsiaTheme="minorEastAsia" w:hAnsi="Times New Roman" w:cs="Times New Roman"/>
          <w:kern w:val="0"/>
        </w:rPr>
        <w:t>, ISO/IEC 27000-series</w:t>
      </w:r>
      <w:r>
        <w:rPr>
          <w:rFonts w:ascii="Times New Roman" w:eastAsiaTheme="minorEastAsia" w:hAnsi="Times New Roman" w:cs="Times New Roman" w:hint="eastAsia"/>
          <w:kern w:val="0"/>
        </w:rPr>
        <w:t>,</w:t>
      </w:r>
      <w:r>
        <w:rPr>
          <w:rFonts w:ascii="Times New Roman" w:eastAsiaTheme="minorEastAsia" w:hAnsi="Times New Roman" w:cs="Times New Roman"/>
          <w:kern w:val="0"/>
        </w:rPr>
        <w:t xml:space="preserve"> PCI DSS (Payment Card Industry Data Security Standard), </w:t>
      </w:r>
      <w:r>
        <w:rPr>
          <w:rStyle w:val="md-plain"/>
          <w:rFonts w:ascii="Times New Roman" w:eastAsiaTheme="minorEastAsia" w:hAnsi="Times New Roman" w:cs="Times New Roman"/>
          <w:color w:val="333333"/>
          <w:shd w:val="clear" w:color="auto" w:fill="FFFFFF"/>
        </w:rPr>
        <w:t>NIST (National Institute of Standards and Technology)</w:t>
      </w:r>
      <w:r>
        <w:rPr>
          <w:rFonts w:ascii="Times New Roman" w:eastAsiaTheme="minorEastAsia" w:hAnsi="Times New Roman" w:cs="Times New Roman"/>
        </w:rPr>
        <w:t xml:space="preserve">, and combine this information to design an </w:t>
      </w:r>
      <w:r>
        <w:rPr>
          <w:rFonts w:ascii="Times New Roman" w:hAnsi="Times New Roman" w:cs="Times New Roman"/>
        </w:rPr>
        <w:t xml:space="preserve">approach </w:t>
      </w:r>
      <w:r>
        <w:rPr>
          <w:rFonts w:ascii="Times New Roman" w:eastAsiaTheme="minorEastAsia" w:hAnsi="Times New Roman" w:cs="Times New Roman"/>
        </w:rPr>
        <w:t>to meet the company's information system security, governance, and compliance requirements.</w:t>
      </w:r>
    </w:p>
    <w:p w14:paraId="264B3A97" w14:textId="77777777" w:rsidR="001B3EE9" w:rsidRDefault="001B3EE9">
      <w:pPr>
        <w:rPr>
          <w:rFonts w:ascii="Times New Roman" w:eastAsiaTheme="minorEastAsia" w:hAnsi="Times New Roman" w:cs="Times New Roman"/>
        </w:rPr>
      </w:pPr>
    </w:p>
    <w:p w14:paraId="2F136D9A" w14:textId="77777777" w:rsidR="001B3EE9" w:rsidRDefault="00F91A92">
      <w:pPr>
        <w:pStyle w:val="1"/>
        <w:rPr>
          <w:rFonts w:ascii="Times New Roman" w:eastAsiaTheme="minorEastAsia" w:hAnsi="Times New Roman" w:cs="Times New Roman"/>
          <w:sz w:val="40"/>
          <w:szCs w:val="40"/>
        </w:rPr>
      </w:pPr>
      <w:r>
        <w:rPr>
          <w:rFonts w:ascii="Times New Roman" w:eastAsiaTheme="minorEastAsia" w:hAnsi="Times New Roman" w:cs="Times New Roman"/>
          <w:sz w:val="40"/>
          <w:szCs w:val="40"/>
        </w:rPr>
        <w:t>Analysis of the three frameworks</w:t>
      </w:r>
    </w:p>
    <w:p w14:paraId="17607002" w14:textId="77777777" w:rsidR="001B3EE9" w:rsidRDefault="00F91A92">
      <w:pPr>
        <w:pStyle w:val="2"/>
        <w:numPr>
          <w:ilvl w:val="0"/>
          <w:numId w:val="1"/>
        </w:numPr>
        <w:rPr>
          <w:rFonts w:ascii="Times New Roman" w:hAnsi="Times New Roman" w:cs="Times New Roman"/>
        </w:rPr>
      </w:pPr>
      <w:r>
        <w:rPr>
          <w:rFonts w:ascii="Times New Roman" w:hAnsi="Times New Roman" w:cs="Times New Roman"/>
        </w:rPr>
        <w:t xml:space="preserve">ISO/IEC 27000-series </w:t>
      </w:r>
    </w:p>
    <w:p w14:paraId="69B5C601" w14:textId="0EF69BE4" w:rsidR="001B3EE9" w:rsidRDefault="00F91A92">
      <w:pPr>
        <w:rPr>
          <w:rFonts w:ascii="Times New Roman" w:eastAsiaTheme="minorEastAsia" w:hAnsi="Times New Roman" w:cs="Times New Roman"/>
        </w:rPr>
      </w:pPr>
      <w:r>
        <w:rPr>
          <w:rFonts w:ascii="Times New Roman" w:eastAsiaTheme="minorEastAsia" w:hAnsi="Times New Roman" w:cs="Times New Roman"/>
        </w:rPr>
        <w:t xml:space="preserve">The ISO 27000 series is currently the most popular information security management system guidance standard and best practice in the world. The latest statistics available on the ISO website as of the end of 2020, a total of 23,593 organizations have passed ISO 27000 certification worldwide, involving 165 countries, </w:t>
      </w:r>
      <w:r>
        <w:rPr>
          <w:rFonts w:ascii="Times New Roman" w:eastAsiaTheme="minorEastAsia" w:hAnsi="Times New Roman" w:cs="Times New Roman" w:hint="eastAsia"/>
        </w:rPr>
        <w:t>a</w:t>
      </w:r>
      <w:r>
        <w:rPr>
          <w:rFonts w:ascii="Times New Roman" w:eastAsiaTheme="minorEastAsia" w:hAnsi="Times New Roman" w:cs="Times New Roman"/>
        </w:rPr>
        <w:t>nd the number of certifications continues to increase</w:t>
      </w:r>
      <w:r w:rsidR="0030200F">
        <w:rPr>
          <w:rFonts w:ascii="Times New Roman" w:eastAsiaTheme="minorEastAsia" w:hAnsi="Times New Roman" w:cs="Times New Roman"/>
        </w:rPr>
        <w:t xml:space="preserve"> </w:t>
      </w:r>
      <w:r w:rsidR="0030200F">
        <w:rPr>
          <w:rFonts w:ascii="Times New Roman" w:eastAsiaTheme="minorEastAsia" w:hAnsi="Times New Roman" w:cs="Times New Roman"/>
        </w:rPr>
        <w:fldChar w:fldCharType="begin" w:fldLock="1"/>
      </w:r>
      <w:r w:rsidR="00B50C1C">
        <w:rPr>
          <w:rFonts w:ascii="Times New Roman" w:eastAsiaTheme="minorEastAsia" w:hAnsi="Times New Roman" w:cs="Times New Roman"/>
        </w:rPr>
        <w:instrText>ADDIN CSL_CITATION {"citationItems":[{"id":"ITEM-1","itemData":{"DOI":"10.1016/j.procs.2019.09.447","ISBN":"2165328799","ISSN":"18770509","abstract":"Security management standards as ISO/IEC 27000 series provide guidelines, which enable to evaluate the security in the company on a continuous basis. Security ontology technology is the most recommended to make links between security concepts and related standards. This paper presents on a review of ontologies based ISO/IEC 27000 series security standards and provides recommendations for professionals and researchers who need to understand or incorporate one of ISO/IEC 27000 standards features to cover their business security needs. We select and examine in details six main ontologies focusing on the usage of ISO/IEC 27000 series security standards. For each security ontology, we review and then describe it in terms of aim, security concepts and ISO 27000 features. Based on this analysis, we propose a comparison between these ontologies considering several factors to pick out their benefits and limits in order to give a set of recommendations to security decision makers helping them to select an ontology regarding their security requirements.","author":[{"dropping-particle":"","family":"Meriah","given":"Ines","non-dropping-particle":"","parse-names":false,"suffix":""},{"dropping-particle":"","family":"Rabai","given":"Latifa Ben Arfa","non-dropping-particle":"","parse-names":false,"suffix":""}],"container-title":"Procedia Computer Science","id":"ITEM-1","issued":{"date-parts":[["2019"]]},"page":"85-92","publisher":"Elsevier B.V.","title":"Comparative study of ontologies based iso 27000 series security standards","type":"article-journal","volume":"160"},"uris":["http://www.mendeley.com/documents/?uuid=9cb513d1-a701-422a-ab92-e10dff8d78b0"]}],"mendeley":{"formattedCitation":"[3]","plainTextFormattedCitation":"[3]","previouslyFormattedCitation":"[3]"},"properties":{"noteIndex":0},"schema":"https://github.com/citation-style-language/schema/raw/master/csl-citation.json"}</w:instrText>
      </w:r>
      <w:r w:rsidR="0030200F">
        <w:rPr>
          <w:rFonts w:ascii="Times New Roman" w:eastAsiaTheme="minorEastAsia" w:hAnsi="Times New Roman" w:cs="Times New Roman"/>
        </w:rPr>
        <w:fldChar w:fldCharType="separate"/>
      </w:r>
      <w:r w:rsidR="006647D6" w:rsidRPr="006647D6">
        <w:rPr>
          <w:rFonts w:ascii="Times New Roman" w:eastAsiaTheme="minorEastAsia" w:hAnsi="Times New Roman" w:cs="Times New Roman"/>
          <w:noProof/>
        </w:rPr>
        <w:t>[3]</w:t>
      </w:r>
      <w:r w:rsidR="0030200F">
        <w:rPr>
          <w:rFonts w:ascii="Times New Roman" w:eastAsiaTheme="minorEastAsia" w:hAnsi="Times New Roman" w:cs="Times New Roman"/>
        </w:rPr>
        <w:fldChar w:fldCharType="end"/>
      </w:r>
      <w:r>
        <w:rPr>
          <w:rFonts w:ascii="Times New Roman" w:eastAsiaTheme="minorEastAsia" w:hAnsi="Times New Roman" w:cs="Times New Roman"/>
        </w:rPr>
        <w:t>.</w:t>
      </w:r>
      <w:r>
        <w:t xml:space="preserve"> </w:t>
      </w:r>
      <w:r>
        <w:rPr>
          <w:rFonts w:ascii="Times New Roman" w:eastAsiaTheme="minorEastAsia" w:hAnsi="Times New Roman" w:cs="Times New Roman"/>
        </w:rPr>
        <w:t>This report will mainly discuss the 2013 version.</w:t>
      </w:r>
    </w:p>
    <w:p w14:paraId="7D7A06ED" w14:textId="77777777" w:rsidR="001B3EE9" w:rsidRDefault="001B3EE9">
      <w:pPr>
        <w:rPr>
          <w:rFonts w:ascii="Times New Roman" w:eastAsiaTheme="minorEastAsia" w:hAnsi="Times New Roman" w:cs="Times New Roman"/>
        </w:rPr>
      </w:pPr>
    </w:p>
    <w:p w14:paraId="4D68A7E2"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After ISO 27001:2005 has been used for 8 years, the industry’s long-awaited version of the information security management system ISO 27001:2013 was officially released, and ISO 27002:2005 was subsequently simultaneously updated to ISO 27002:2013, the two main members of the ISO 27000 standard family. The standards are all updated in place. ISO 27003, 27004, 27005, and other related standards are also being revised. Compared with the 2005 version, the ISO 27001:2013 and ISO 27002:2013 standards have greatly improved in terms of framework, structure, content, logic, requirements, etc, and stipulate requirements for guiding organizations to establish, implement, maintain, and continuously improve information security management systems, and provides a more flexible implementation space. In contrast, the new standard is more practical and has stronger operability. Its main features are:</w:t>
      </w:r>
    </w:p>
    <w:p w14:paraId="42FD779F" w14:textId="4F547EDF" w:rsidR="001B3EE9" w:rsidRDefault="00F91A92">
      <w:pPr>
        <w:pStyle w:val="a8"/>
        <w:numPr>
          <w:ilvl w:val="0"/>
          <w:numId w:val="2"/>
        </w:numPr>
        <w:ind w:firstLineChars="0"/>
        <w:rPr>
          <w:rFonts w:ascii="Times New Roman" w:eastAsiaTheme="minorEastAsia" w:hAnsi="Times New Roman" w:cs="Times New Roman"/>
        </w:rPr>
      </w:pPr>
      <w:r>
        <w:rPr>
          <w:rFonts w:ascii="Times New Roman" w:eastAsiaTheme="minorEastAsia" w:hAnsi="Times New Roman" w:cs="Times New Roman"/>
        </w:rPr>
        <w:t>There are major changes in the structure. The version of ISO 27001:2013 adopts the standardized ISO Annex SL general framework—ISO Guide 83 as the structural requirement of the entire standard (same as ISO 22301). ISO 27001 expanded from 8 chapters of the 2008 edition to 10 chapters of the 2013 edition and adjusted the development of the PDCA process method from the chapter structure. In ISO 27001:2013, except for the first three chapters (scope, normative references, terms, and definitions), there are no major changes, other chapters have been adjusted, including the complete Plan (plan), Do (operation), Check (check), Act (improvement) four links</w:t>
      </w:r>
      <w:r w:rsidR="00A75972">
        <w:rPr>
          <w:rFonts w:ascii="Times New Roman" w:eastAsiaTheme="minorEastAsia" w:hAnsi="Times New Roman" w:cs="Times New Roman"/>
        </w:rPr>
        <w:t xml:space="preserve"> </w:t>
      </w:r>
      <w:r w:rsidR="00A75972">
        <w:rPr>
          <w:rFonts w:ascii="Times New Roman" w:eastAsiaTheme="minorEastAsia" w:hAnsi="Times New Roman" w:cs="Times New Roman"/>
        </w:rPr>
        <w:fldChar w:fldCharType="begin" w:fldLock="1"/>
      </w:r>
      <w:r w:rsidR="00B50C1C">
        <w:rPr>
          <w:rFonts w:ascii="Times New Roman" w:eastAsiaTheme="minorEastAsia" w:hAnsi="Times New Roman" w:cs="Times New Roman"/>
        </w:rPr>
        <w:instrText>ADDIN CSL_CITATION {"citationItems":[{"id":"ITEM-1","itemData":{"DOI":"10.4236/jis.2013.42011","ISSN":"2153-1234","PMID":"13429209","abstract":"With the increasing significance of information technology, there is an urgent need for adequate measures of informa-tion security. Systematic information security management is one of most important initiatives for IT management. At least since reports about privacy and security breaches, fraudulent accounting practices, and attacks on IT systems ap-peared in public, organizations have recognized their responsibilities to safeguard physical and information assets. Se-curity standards can be used as guideline or framework to develop and maintain an adequate information security man-agement system (ISMS). The standards ISO/IEC 27000, 27001 and 27002 are international standards that are receiving growing recognition and adoption. They are referred to as \" common language of organizations around the world \" for information security [1]. With ISO/IEC 27001 companies can have their ISMS certified by a third-party organization and thus show their customers evidence of their security measures.","author":[{"dropping-particle":"","family":"Disterer","given":"Georg","non-dropping-particle":"","parse-names":false,"suffix":""}],"container-title":"Journal of Information Security","id":"ITEM-1","issue":"02","issued":{"date-parts":[["2013"]]},"page":"92-100","title":"ISO/IEC 27000, 27001 and 27002 for Information Security Management","type":"article-journal","volume":"04"},"uris":["http://www.mendeley.com/documents/?uuid=dbafb58e-8804-4c5a-818f-267ab83c604e"]}],"mendeley":{"formattedCitation":"[4]","plainTextFormattedCitation":"[4]","previouslyFormattedCitation":"[4]"},"properties":{"noteIndex":0},"schema":"https://github.com/citation-style-language/schema/raw/master/csl-citation.json"}</w:instrText>
      </w:r>
      <w:r w:rsidR="00A75972">
        <w:rPr>
          <w:rFonts w:ascii="Times New Roman" w:eastAsiaTheme="minorEastAsia" w:hAnsi="Times New Roman" w:cs="Times New Roman"/>
        </w:rPr>
        <w:fldChar w:fldCharType="separate"/>
      </w:r>
      <w:r w:rsidR="006647D6" w:rsidRPr="006647D6">
        <w:rPr>
          <w:rFonts w:ascii="Times New Roman" w:eastAsiaTheme="minorEastAsia" w:hAnsi="Times New Roman" w:cs="Times New Roman"/>
          <w:noProof/>
        </w:rPr>
        <w:t>[4]</w:t>
      </w:r>
      <w:r w:rsidR="00A75972">
        <w:rPr>
          <w:rFonts w:ascii="Times New Roman" w:eastAsiaTheme="minorEastAsia" w:hAnsi="Times New Roman" w:cs="Times New Roman"/>
        </w:rPr>
        <w:fldChar w:fldCharType="end"/>
      </w:r>
      <w:r>
        <w:rPr>
          <w:rFonts w:ascii="Times New Roman" w:eastAsiaTheme="minorEastAsia" w:hAnsi="Times New Roman" w:cs="Times New Roman"/>
        </w:rPr>
        <w:t>. After the above adjustments, the structure of ISO 27001:2013 is clearer and more rigorous, and the compatibility between management systems has been strengthened, which is conducive to the integration and integration of different management systems. ISO 27002:2013 deleted Chapter 4 "Risk Assessment and Disposal" in ISO 27002:2005, and added Chapter 2 "Normative Reference Documents" so that the chapter before the description of the security control domain remains as 4 chapters. At the same time, because of the addition of 3 control domains, the total number of chapters has increased from 15 to 18 chapters.</w:t>
      </w:r>
    </w:p>
    <w:p w14:paraId="10E2E588" w14:textId="77777777" w:rsidR="001B3EE9" w:rsidRDefault="00F91A92">
      <w:pPr>
        <w:pStyle w:val="a8"/>
        <w:numPr>
          <w:ilvl w:val="0"/>
          <w:numId w:val="2"/>
        </w:numPr>
        <w:ind w:firstLineChars="0"/>
        <w:rPr>
          <w:rFonts w:ascii="Times New Roman" w:eastAsiaTheme="minorEastAsia" w:hAnsi="Times New Roman" w:cs="Times New Roman"/>
        </w:rPr>
      </w:pPr>
      <w:r>
        <w:rPr>
          <w:rFonts w:ascii="Times New Roman" w:eastAsiaTheme="minorEastAsia" w:hAnsi="Times New Roman" w:cs="Times New Roman"/>
        </w:rPr>
        <w:t xml:space="preserve">There is a difference in positioning. ISO 27001:2005 points out that the organization's </w:t>
      </w:r>
      <w:r>
        <w:rPr>
          <w:rFonts w:ascii="Times New Roman" w:eastAsiaTheme="minorEastAsia" w:hAnsi="Times New Roman" w:cs="Times New Roman"/>
        </w:rPr>
        <w:lastRenderedPageBreak/>
        <w:t>information security management should be the responsibility of the organization's management, while ISO 27001:2013 emphasizes that information security is the responsibility of the organization's top management. The subtle difference in terms of the two versions reflects the strategic improvement of the new version of the standard's positioning of information security. Also, in terms of the main body of information security management system construction, ISO 27001:2005 takes assets and technology as the main body, while ISO 27001:2013 takes the organizational business relationship as the main body. Taking the organizational business relationship as the main body will make the construction process of the information security management system more consistent and reasonable, and can reduce cross-duplication. The old version of the standard strongly emphasized the process method and PDCA, while the 2013 version of the standard no longer spends a lot of space explaining the general concepts defined in other standards such as process methods and models while continuing to follow the PDCA framework, but focuses on proposing goals Requirements, the choice of specific methods under the PDCA framework is not regulated. Similarly, in terms of risk assessment methods, the new standard no longer emphasizes the identification of risk elements such as assets, threats, and vulnerabilities. Organizations can flexibly and freely choose any feasible risk assessment methods according to their own circumstances, or continue to use existing methods. It can be seen that the 2013 version of the standard has been repositioned in terms of managers, subjects, methods, and procedures. The positioning makes the operation more practical, convenient, flexible, and effective.</w:t>
      </w:r>
    </w:p>
    <w:p w14:paraId="6B8C52EB" w14:textId="77777777" w:rsidR="001B3EE9" w:rsidRDefault="00F91A92">
      <w:pPr>
        <w:pStyle w:val="a8"/>
        <w:numPr>
          <w:ilvl w:val="0"/>
          <w:numId w:val="2"/>
        </w:numPr>
        <w:ind w:firstLineChars="0"/>
        <w:rPr>
          <w:rFonts w:ascii="Times New Roman" w:eastAsiaTheme="minorEastAsia" w:hAnsi="Times New Roman" w:cs="Times New Roman"/>
        </w:rPr>
      </w:pPr>
      <w:r>
        <w:rPr>
          <w:rFonts w:ascii="Times New Roman" w:eastAsiaTheme="minorEastAsia" w:hAnsi="Times New Roman" w:cs="Times New Roman"/>
        </w:rPr>
        <w:t>Improved requirements. The 2005 version has 11 control domains, 39 security categories, and 133 control elements. The ISO 27001:2013 Appendix A and ISO 27002:2013 text strictly correspond, including 14 control domains, 35 security categories, and 113 controls.  Elements. The 2013 version of the standard decomposes part of the control domains in the old version, integrates similar or similar control elements, and deletes some outdated and too specific control elements. Besides, in response to the development of information technology in recent years, some new control elements have been added to make the control domain and control elements more concise and clear and highlight the key points. At the same time, the inspection requirements are more clear and strict, including monitoring, measurement, analysis, evaluation, and other links, and 5W1H (what to test, how to test, when to test, when to analyze, who will analyze, who is responsible for evaluation) other methods put forward the requirements of monitoring and measurement. On the whole, the 2013 version of the standard reduces the focus on technology implementation and increases the requirements for management control, which is more in line with the golden rule of "three-point technology and seven-point management" in the field of information security.</w:t>
      </w:r>
    </w:p>
    <w:p w14:paraId="0155EA46" w14:textId="77777777" w:rsidR="001B3EE9" w:rsidRDefault="00F91A92">
      <w:pPr>
        <w:pStyle w:val="2"/>
        <w:numPr>
          <w:ilvl w:val="0"/>
          <w:numId w:val="1"/>
        </w:numPr>
        <w:rPr>
          <w:rFonts w:ascii="Times New Roman" w:hAnsi="Times New Roman" w:cs="Times New Roman"/>
        </w:rPr>
      </w:pPr>
      <w:r>
        <w:rPr>
          <w:rFonts w:ascii="Times New Roman" w:hAnsi="Times New Roman" w:cs="Times New Roman"/>
        </w:rPr>
        <w:t>PCI DSS</w:t>
      </w:r>
    </w:p>
    <w:p w14:paraId="58093E4B" w14:textId="3BACC1B3" w:rsidR="001B3EE9" w:rsidRDefault="00F91A92">
      <w:pPr>
        <w:rPr>
          <w:rFonts w:ascii="Times New Roman" w:eastAsiaTheme="minorEastAsia" w:hAnsi="Times New Roman" w:cs="Times New Roman"/>
        </w:rPr>
      </w:pPr>
      <w:r>
        <w:rPr>
          <w:rFonts w:ascii="Times New Roman" w:eastAsiaTheme="minorEastAsia" w:hAnsi="Times New Roman" w:cs="Times New Roman"/>
        </w:rPr>
        <w:t>PCI DSS is a technical and operational requirement for the protection of cardholder information formulated by the Payment Card Industry Security Standards Council (PCI SSC)</w:t>
      </w:r>
      <w:r w:rsidR="00A75972">
        <w:rPr>
          <w:rFonts w:ascii="Times New Roman" w:eastAsiaTheme="minorEastAsia" w:hAnsi="Times New Roman" w:cs="Times New Roman"/>
        </w:rPr>
        <w:t xml:space="preserve"> </w:t>
      </w:r>
      <w:r w:rsidR="00A75972">
        <w:rPr>
          <w:rFonts w:ascii="Times New Roman" w:eastAsiaTheme="minorEastAsia" w:hAnsi="Times New Roman" w:cs="Times New Roman"/>
        </w:rPr>
        <w:fldChar w:fldCharType="begin" w:fldLock="1"/>
      </w:r>
      <w:r w:rsidR="00B50C1C">
        <w:rPr>
          <w:rFonts w:ascii="Times New Roman" w:eastAsiaTheme="minorEastAsia" w:hAnsi="Times New Roman" w:cs="Times New Roman"/>
        </w:rPr>
        <w:instrText>ADDIN CSL_CITATION {"citationItems":[{"id":"ITEM-1","itemData":{"DOI":"10.1016/j.clsr.2008.07.001","ISSN":"02673649","abstract":"In recent years, the payment card industry has dealt with the matter of consumer liability for unauthorized charges. However, risks to consumers from identity theft and related use of personal data present new challenges for cardholders and those who profit from their usage, including merchants, banks, and payment card companies. This article examines the varying and sometimes complementary roles that legal obligations and private ordering play in incentivizing security measures to protect consumers. It shows that, in the legal environment within the United States, which lacks comprehensive legal protections for consumer privacy and security, private ordering rooted in economic incentives within the payment card industry can also bring about enhanced security for consumers. The Payment Card Industry Data Security Standards (\"PCI DSS\") have emerged from private ordering, although threats of legal liability have also influenced their development and implementation. The article evaluates the basic framework of PCI DSS and raises issues for further development as the government, the legal system, and the industry cope with security threats in this environment. © 2008 Edward A. Morse &amp; Vasant Raval.","author":[{"dropping-particle":"","family":"Morse","given":"Edward A.","non-dropping-particle":"","parse-names":false,"suffix":""},{"dropping-particle":"","family":"Raval","given":"Vasant","non-dropping-particle":"","parse-names":false,"suffix":""}],"container-title":"Computer Law and Security Report","id":"ITEM-1","issue":"6","issued":{"date-parts":[["2008"]]},"page":"540-554","publisher":"Edward A. Morse &amp; Vasant Raval","title":"PCI DSS: Payment card industry data security standards in context","type":"article-journal","volume":"24"},"uris":["http://www.mendeley.com/documents/?uuid=b770fa54-260d-4b42-831c-9a04e2a7048c"]}],"mendeley":{"formattedCitation":"[5]","plainTextFormattedCitation":"[5]","previouslyFormattedCitation":"[5]"},"properties":{"noteIndex":0},"schema":"https://github.com/citation-style-language/schema/raw/master/csl-citation.json"}</w:instrText>
      </w:r>
      <w:r w:rsidR="00A75972">
        <w:rPr>
          <w:rFonts w:ascii="Times New Roman" w:eastAsiaTheme="minorEastAsia" w:hAnsi="Times New Roman" w:cs="Times New Roman"/>
        </w:rPr>
        <w:fldChar w:fldCharType="separate"/>
      </w:r>
      <w:r w:rsidR="006647D6" w:rsidRPr="006647D6">
        <w:rPr>
          <w:rFonts w:ascii="Times New Roman" w:eastAsiaTheme="minorEastAsia" w:hAnsi="Times New Roman" w:cs="Times New Roman"/>
          <w:noProof/>
        </w:rPr>
        <w:t>[5]</w:t>
      </w:r>
      <w:r w:rsidR="00A75972">
        <w:rPr>
          <w:rFonts w:ascii="Times New Roman" w:eastAsiaTheme="minorEastAsia" w:hAnsi="Times New Roman" w:cs="Times New Roman"/>
        </w:rPr>
        <w:fldChar w:fldCharType="end"/>
      </w:r>
      <w:r>
        <w:rPr>
          <w:rFonts w:ascii="Times New Roman" w:eastAsiaTheme="minorEastAsia" w:hAnsi="Times New Roman" w:cs="Times New Roman"/>
        </w:rPr>
        <w:t>.</w:t>
      </w:r>
      <w:r w:rsidR="00A75972">
        <w:rPr>
          <w:rFonts w:ascii="Times New Roman" w:eastAsiaTheme="minorEastAsia" w:hAnsi="Times New Roman" w:cs="Times New Roman"/>
        </w:rPr>
        <w:t xml:space="preserve"> </w:t>
      </w:r>
      <w:r>
        <w:rPr>
          <w:rFonts w:ascii="Times New Roman" w:eastAsiaTheme="minorEastAsia" w:hAnsi="Times New Roman" w:cs="Times New Roman"/>
        </w:rPr>
        <w:t>PCI SSC was jointly established in 2006 by five payment brands: Visa International, MasterCard International, American Express, American Discovery Finance, and JCB International.</w:t>
      </w:r>
      <w:r w:rsidR="00A75972">
        <w:rPr>
          <w:rFonts w:ascii="Times New Roman" w:eastAsiaTheme="minorEastAsia" w:hAnsi="Times New Roman" w:cs="Times New Roman"/>
        </w:rPr>
        <w:t xml:space="preserve"> </w:t>
      </w:r>
      <w:r>
        <w:rPr>
          <w:rFonts w:ascii="Times New Roman" w:eastAsiaTheme="minorEastAsia" w:hAnsi="Times New Roman" w:cs="Times New Roman"/>
        </w:rPr>
        <w:t xml:space="preserve"> PCI SSC has also formulated the PIN transmission security standard and the "Payment Application </w:t>
      </w:r>
      <w:r>
        <w:rPr>
          <w:rFonts w:ascii="Times New Roman" w:eastAsiaTheme="minorEastAsia" w:hAnsi="Times New Roman" w:cs="Times New Roman"/>
        </w:rPr>
        <w:lastRenderedPageBreak/>
        <w:t>Data Security Standard" that regulates application security. PCI DSS applies to all entities involved in payment card processing, including merchants, payment processors, acquirers, card issuers, service providers, and all other entities that store, process, or transmit cardholder data. Among them, all payment industry participants such as acquiring banks, payment gateways and online merchants engaged in five major card organization e-commerce transactions such as Visa and MasterCard must pass the PCI DSS certification.</w:t>
      </w:r>
    </w:p>
    <w:p w14:paraId="75A7AC4B" w14:textId="77777777" w:rsidR="001B3EE9" w:rsidRDefault="001B3EE9">
      <w:pPr>
        <w:rPr>
          <w:rFonts w:ascii="Times New Roman" w:eastAsiaTheme="minorEastAsia" w:hAnsi="Times New Roman" w:cs="Times New Roman"/>
        </w:rPr>
      </w:pPr>
    </w:p>
    <w:p w14:paraId="3C89B7E0"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PCI DSS is divided into 6 major areas with a total of 12 requirements, mainly including: establishing and maintaining a secure network and system, protecting cardholder data, maintaining vulnerability management procedures, implementing strong access control measures, regularly monitoring and testing the network, and maintaining Information security policy. Each PCI DSS requirement has very detailed safety requirements rules for strict control during safety certification. For example, it is required to point out that protection methods such as encryption and hashing are an important part of cardholder data protection. Unless absolutely necessary, storage of cardholder data is not allowed. PCI DSS is a technical baseline standard that has a greater degree of compatibility and interoperability with ISO/IEC 27001 and its series of information security standards. Compared with the compliance requirements of other business areas, such as the Sarbanes-Oxley Act, the Financial Services Modernization Act, the US Federal Financial Institutions Inspection Commission, etc., PCI DSS is more focused on protecting stored payment account information and minimizing unauthorized intrusion or the risk of account security incidents. But the relationship between PCI DSS and these bills is complementary and mutually reinforcing.</w:t>
      </w:r>
    </w:p>
    <w:p w14:paraId="0A5FE552" w14:textId="77777777" w:rsidR="001B3EE9" w:rsidRDefault="001B3EE9">
      <w:pPr>
        <w:rPr>
          <w:rFonts w:ascii="Times New Roman" w:eastAsiaTheme="minorEastAsia" w:hAnsi="Times New Roman" w:cs="Times New Roman"/>
        </w:rPr>
      </w:pPr>
    </w:p>
    <w:p w14:paraId="1BED1F35"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To ensure the correctness and application of PCI DSS, PCI SSC continuously checks the application status of the standard, and adjusts relevant requirements according to the development of information technology and security trends, and updates the version every 2 to 3 years to meet actual needs.</w:t>
      </w:r>
    </w:p>
    <w:p w14:paraId="72D2F25E" w14:textId="77777777" w:rsidR="001B3EE9" w:rsidRDefault="001B3EE9">
      <w:pPr>
        <w:rPr>
          <w:rFonts w:ascii="Times New Roman" w:eastAsiaTheme="minorEastAsia" w:hAnsi="Times New Roman" w:cs="Times New Roman"/>
        </w:rPr>
      </w:pPr>
    </w:p>
    <w:p w14:paraId="21A8F03E"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1) The authorization evaluation system of PCI SSC. PCI SSC implements the authorized evaluation system of "Approved Scanning Vendors" (hereinafter referred to as ASV) and "Qualified Security Assessors" (hereinafter referred to as QSA) for merchants, acquirers, card issuers, and service providers Suppliers provide security scanning and assessment services and issue compliance reports and compliance certificates. In foreign countries, the certification bodies authorized by the PCI committee include Applus, Trustwave, Mcafee, atsec, UL, etc.  At present, the companies that carry out PCI DSS certification services in my country are foreign companies or their domestic partners in my country.</w:t>
      </w:r>
    </w:p>
    <w:p w14:paraId="69154A2C" w14:textId="77777777" w:rsidR="001B3EE9" w:rsidRDefault="001B3EE9">
      <w:pPr>
        <w:rPr>
          <w:rFonts w:ascii="Times New Roman" w:eastAsiaTheme="minorEastAsia" w:hAnsi="Times New Roman" w:cs="Times New Roman"/>
        </w:rPr>
      </w:pPr>
    </w:p>
    <w:p w14:paraId="70CB570B"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 xml:space="preserve">2) PCI DSS certification review. The main process of PCI DSS security certification is completed by QSA, a third-party compliance security assessment agency authorized by PCI SSC. Contains 12 requirements in 6 fields, and nearly 200 review items. The certification process includes three stages: self-security inspection, vulnerability analysis, and security investigation performed by PCI SSC. The inspection scope covers various indicators such as software and hardware configuration, network architecture, operation system, and security mechanism, focusing on evaluating enterprise storage, processing, The ability to transfer </w:t>
      </w:r>
      <w:r>
        <w:rPr>
          <w:rFonts w:ascii="Times New Roman" w:eastAsiaTheme="minorEastAsia" w:hAnsi="Times New Roman" w:cs="Times New Roman"/>
        </w:rPr>
        <w:lastRenderedPageBreak/>
        <w:t>cardholder data. In addition, based on the unified PCI data security standard and its ASV and QSA evaluation systems, mainstream international payment brands have their own clear guidelines and requirements. For example, VISA International uses the "Account Information Security" (AIS) system in the Asia-Pacific region, and uses the "Cardholder Information Security" (CISP) system in North America. The systems maintained by each payment card brand separately stipulate enforcement requirements, fines, fees and deadlines, verification procedures and roles, approval and release by compliance agencies, and merchant and service provider level definitions. Payment brands are also responsible for collecting evidence and responding to account data security incidents. Worldwide, most credit card acquirers and issuers, merchants, and service providers have passed the PCI DSS compliance assessment, or are working on compliance building.</w:t>
      </w:r>
    </w:p>
    <w:p w14:paraId="43D731C3" w14:textId="77777777" w:rsidR="001B3EE9" w:rsidRDefault="001B3EE9">
      <w:pPr>
        <w:rPr>
          <w:rFonts w:ascii="Times New Roman" w:eastAsiaTheme="minorEastAsia" w:hAnsi="Times New Roman" w:cs="Times New Roman"/>
        </w:rPr>
      </w:pPr>
    </w:p>
    <w:p w14:paraId="319CEDEB" w14:textId="77777777" w:rsidR="001B3EE9" w:rsidRDefault="00F91A92">
      <w:pPr>
        <w:pStyle w:val="2"/>
        <w:numPr>
          <w:ilvl w:val="0"/>
          <w:numId w:val="1"/>
        </w:numPr>
      </w:pPr>
      <w:r>
        <w:t>NIST Cybersecurity Framework</w:t>
      </w:r>
    </w:p>
    <w:p w14:paraId="6C600F4F" w14:textId="657D5365" w:rsidR="001B3EE9" w:rsidRDefault="00F91A92">
      <w:pPr>
        <w:rPr>
          <w:rFonts w:ascii="Times New Roman" w:eastAsiaTheme="minorEastAsia" w:hAnsi="Times New Roman" w:cs="Times New Roman"/>
        </w:rPr>
      </w:pPr>
      <w:r>
        <w:rPr>
          <w:rFonts w:ascii="Times New Roman" w:eastAsiaTheme="minorEastAsia" w:hAnsi="Times New Roman" w:cs="Times New Roman"/>
        </w:rPr>
        <w:t>The core of the framework describes a series of methods to achieve a specific network security state and proposes effective network security risk management methods in industrial practice as a reference</w:t>
      </w:r>
      <w:r w:rsidR="006647D6">
        <w:rPr>
          <w:rFonts w:ascii="Times New Roman" w:eastAsiaTheme="minorEastAsia" w:hAnsi="Times New Roman" w:cs="Times New Roman"/>
        </w:rPr>
        <w:t xml:space="preserve"> </w:t>
      </w:r>
      <w:r w:rsidR="006647D6">
        <w:rPr>
          <w:rFonts w:ascii="Times New Roman" w:eastAsiaTheme="minorEastAsia" w:hAnsi="Times New Roman" w:cs="Times New Roman"/>
        </w:rPr>
        <w:fldChar w:fldCharType="begin" w:fldLock="1"/>
      </w:r>
      <w:r w:rsidR="00B50C1C">
        <w:rPr>
          <w:rFonts w:ascii="Times New Roman" w:eastAsiaTheme="minorEastAsia" w:hAnsi="Times New Roman" w:cs="Times New Roman"/>
        </w:rPr>
        <w:instrText>ADDIN CSL_CITATION {"citationItems":[{"id":"ITEM-1","itemData":{"DOI":"10.1093/cybsec/tyaa005","ISSN":"2057-2085","abstract":"The National Institute for Standards and Technology (NIST) Cybersecurity Framework has rapidly become a widely accepted approach to facilitating cybersecurity risk management within organizations. An insightful aspect of the NIST Cybersecurity Framework is its explicit recognition that the activities associated with managing cybersecurity risk are organization specific. The NIST Framework also recognizes that organizations should evaluate their cybersecurity risk management on a cost–benefit basis. The NIST Framework, however, does not provide guidance on how to carry out such a cost–benefit analysis. This article provides an approach for integrating cost–benefit analysis into the NIST Cybersecurity Framework. The Gordon–Loeb (GL) Model for cybersecurity investments is proposed as a basis for deriving a cost-effective level of spending on cybersecurity activities and for selecting the appropriate NIST Implementation Tier level. The analysis shows that the GL Model provides a logical approach to use when considering the cost–benefit aspects of cybersecurity investments during an organization’s process of selecting the most appropriate NIST Implementation Tier level. In addition, the cost–benefit approach provided in this article helps to identify conditions under which there is an incentive to move to a higher NIST Implementation Tier.","author":[{"dropping-particle":"","family":"Gordon","given":"Lawrence A","non-dropping-particle":"","parse-names":false,"suffix":""},{"dropping-particle":"","family":"Loeb","given":"Martin P","non-dropping-particle":"","parse-names":false,"suffix":""},{"dropping-particle":"","family":"Zhou","given":"Lei","non-dropping-particle":"","parse-names":false,"suffix":""}],"container-title":"Journal of Cybersecurity","id":"ITEM-1","issue":"1","issued":{"date-parts":[["2020"]]},"page":"1-8","title":"Integrating cost–benefit analysis into the NIST Cybersecurity Framework via the Gordon–Loeb Model","type":"article-journal","volume":"6"},"uris":["http://www.mendeley.com/documents/?uuid=594cc4a5-103a-48ad-8f73-2280f1117a82"]}],"mendeley":{"formattedCitation":"[6]","plainTextFormattedCitation":"[6]","previouslyFormattedCitation":"[6]"},"properties":{"noteIndex":0},"schema":"https://github.com/citation-style-language/schema/raw/master/csl-citation.json"}</w:instrText>
      </w:r>
      <w:r w:rsidR="006647D6">
        <w:rPr>
          <w:rFonts w:ascii="Times New Roman" w:eastAsiaTheme="minorEastAsia" w:hAnsi="Times New Roman" w:cs="Times New Roman"/>
        </w:rPr>
        <w:fldChar w:fldCharType="separate"/>
      </w:r>
      <w:r w:rsidR="006647D6" w:rsidRPr="006647D6">
        <w:rPr>
          <w:rFonts w:ascii="Times New Roman" w:eastAsiaTheme="minorEastAsia" w:hAnsi="Times New Roman" w:cs="Times New Roman"/>
          <w:noProof/>
        </w:rPr>
        <w:t>[6]</w:t>
      </w:r>
      <w:r w:rsidR="006647D6">
        <w:rPr>
          <w:rFonts w:ascii="Times New Roman" w:eastAsiaTheme="minorEastAsia" w:hAnsi="Times New Roman" w:cs="Times New Roman"/>
        </w:rPr>
        <w:fldChar w:fldCharType="end"/>
      </w:r>
      <w:r>
        <w:rPr>
          <w:rFonts w:ascii="Times New Roman" w:eastAsiaTheme="minorEastAsia" w:hAnsi="Times New Roman" w:cs="Times New Roman"/>
        </w:rPr>
        <w:t>.</w:t>
      </w:r>
    </w:p>
    <w:p w14:paraId="3C3839B8" w14:textId="77777777" w:rsidR="001B3EE9" w:rsidRDefault="001B3EE9">
      <w:pPr>
        <w:rPr>
          <w:rFonts w:ascii="Times New Roman" w:eastAsiaTheme="minorEastAsia" w:hAnsi="Times New Roman" w:cs="Times New Roman"/>
        </w:rPr>
      </w:pPr>
    </w:p>
    <w:p w14:paraId="540B1099"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1) The function includes five important elements of identification, protection, detection, response, and recovery, which are actually the overall goals proposed for network security.  These functions are in line with the methodology of PDRR (protection, detection, response, recovery), but with the addition of "identification", they are consistent with the WPDRRC (early warning, protection, detection, response, recovery, counterattack) proposed by Chinese experts.</w:t>
      </w:r>
    </w:p>
    <w:p w14:paraId="4788A5BB" w14:textId="77777777" w:rsidR="001B3EE9" w:rsidRDefault="001B3EE9">
      <w:pPr>
        <w:rPr>
          <w:rFonts w:ascii="Times New Roman" w:eastAsiaTheme="minorEastAsia" w:hAnsi="Times New Roman" w:cs="Times New Roman"/>
        </w:rPr>
      </w:pPr>
    </w:p>
    <w:p w14:paraId="604AE334"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2) The category is a network security element that is divided into functions according to the different security requirements of the organization.</w:t>
      </w:r>
    </w:p>
    <w:p w14:paraId="33FB2DCA" w14:textId="77777777" w:rsidR="001B3EE9" w:rsidRDefault="001B3EE9">
      <w:pPr>
        <w:rPr>
          <w:rFonts w:ascii="Times New Roman" w:eastAsiaTheme="minorEastAsia" w:hAnsi="Times New Roman" w:cs="Times New Roman"/>
        </w:rPr>
      </w:pPr>
    </w:p>
    <w:p w14:paraId="46186770"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3) The sub-category is a further refinement of "category" based on technical or management activities.</w:t>
      </w:r>
    </w:p>
    <w:p w14:paraId="31451159" w14:textId="77777777" w:rsidR="001B3EE9" w:rsidRDefault="001B3EE9">
      <w:pPr>
        <w:rPr>
          <w:rFonts w:ascii="Times New Roman" w:eastAsiaTheme="minorEastAsia" w:hAnsi="Times New Roman" w:cs="Times New Roman"/>
        </w:rPr>
      </w:pPr>
    </w:p>
    <w:p w14:paraId="41B75F1F"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4) Informative references include a series of existing standards, guidelines, and practices that correspond to the safety requirements of the “sub-categories” and applay to critical infrastructure departments. Functions, categories, and sub-categories only give progressively detailed safety goals, but do not put forward specific requirements on how to achieve the safety goals. These specific requirements are reflected in the specific provisions of the standards, guidelines and practices listed in the "Informative Reference". In other words, the "NIST Cybersecurity Framework" does not propose any new safety requirements, but only clarifies a number of safety goals, and points the measures to achieve the safety goals to the specific provisions of existing standards, guidelines and practices. It is called "informative" to show that the standards, guidelines and practices cited are not mandatory, and the standards, guidelines and practices that can be referred to are not limited to this.</w:t>
      </w:r>
    </w:p>
    <w:p w14:paraId="32C8EF4B" w14:textId="77777777" w:rsidR="001B3EE9" w:rsidRDefault="001B3EE9">
      <w:pPr>
        <w:rPr>
          <w:rFonts w:ascii="Times New Roman" w:eastAsiaTheme="minorEastAsia" w:hAnsi="Times New Roman" w:cs="Times New Roman"/>
        </w:rPr>
      </w:pPr>
    </w:p>
    <w:p w14:paraId="6190F194"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lastRenderedPageBreak/>
        <w:t>5) Identification: Promote the organization's understanding of cybersecurity risk management.</w:t>
      </w:r>
    </w:p>
    <w:p w14:paraId="109092BC" w14:textId="77777777" w:rsidR="001B3EE9" w:rsidRDefault="001B3EE9">
      <w:pPr>
        <w:rPr>
          <w:rFonts w:ascii="Times New Roman" w:eastAsiaTheme="minorEastAsia" w:hAnsi="Times New Roman" w:cs="Times New Roman"/>
        </w:rPr>
      </w:pPr>
    </w:p>
    <w:p w14:paraId="1559F337"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6) Protection: Formulate and implement relevant protective measures to ensure the delivery of critical infrastructure services.</w:t>
      </w:r>
    </w:p>
    <w:p w14:paraId="36D4524F" w14:textId="77777777" w:rsidR="001B3EE9" w:rsidRDefault="001B3EE9">
      <w:pPr>
        <w:rPr>
          <w:rFonts w:ascii="Times New Roman" w:eastAsiaTheme="minorEastAsia" w:hAnsi="Times New Roman" w:cs="Times New Roman"/>
        </w:rPr>
      </w:pPr>
    </w:p>
    <w:p w14:paraId="0A666590"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7) Detection: formulate and implement relevant measures to identify the occurrence of network security incidents.</w:t>
      </w:r>
    </w:p>
    <w:p w14:paraId="1552F605"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(8) Response: Formulate and implement relevant measures to take action on detected cybersecurity incidents.</w:t>
      </w:r>
    </w:p>
    <w:p w14:paraId="2AB4D3D7"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(9) Recovery: Formulate and implement relevant measures to maintain the ability to recover after a cybersecurity incident.</w:t>
      </w:r>
    </w:p>
    <w:p w14:paraId="762FB785" w14:textId="77777777" w:rsidR="001B3EE9" w:rsidRDefault="00F91A92">
      <w:pPr>
        <w:rPr>
          <w:rFonts w:ascii="Times New Roman" w:eastAsiaTheme="minorEastAsia" w:hAnsi="Times New Roman" w:cs="Times New Roman"/>
        </w:rPr>
      </w:pPr>
      <w:r>
        <w:rPr>
          <w:rFonts w:ascii="Times New Roman" w:eastAsiaTheme="minorEastAsia" w:hAnsi="Times New Roman" w:cs="Times New Roman"/>
        </w:rPr>
        <w:t>The above (5) identification, (6) protection, (7) detection, (8) response, and (9) recovery are the five functions defined by the "framework core".</w:t>
      </w:r>
    </w:p>
    <w:p w14:paraId="1FA0500C" w14:textId="77777777" w:rsidR="001B3EE9" w:rsidRDefault="001B3EE9">
      <w:pPr>
        <w:rPr>
          <w:rFonts w:ascii="Times New Roman" w:eastAsiaTheme="minorEastAsia" w:hAnsi="Times New Roman" w:cs="Times New Roman"/>
        </w:rPr>
      </w:pPr>
    </w:p>
    <w:p w14:paraId="642B9108" w14:textId="77777777" w:rsidR="001B3EE9" w:rsidRDefault="00F91A92">
      <w:pPr>
        <w:pStyle w:val="1"/>
        <w:rPr>
          <w:rFonts w:ascii="Times New Roman" w:eastAsiaTheme="minorEastAsia" w:hAnsi="Times New Roman" w:cs="Times New Roman"/>
        </w:rPr>
      </w:pPr>
      <w:r>
        <w:rPr>
          <w:rFonts w:ascii="Times New Roman" w:eastAsiaTheme="minorEastAsia" w:hAnsi="Times New Roman" w:cs="Times New Roman"/>
        </w:rPr>
        <w:t>Design Information System Security</w:t>
      </w:r>
    </w:p>
    <w:p w14:paraId="7667D458" w14:textId="21B2B7C5" w:rsidR="001B3EE9" w:rsidRDefault="00F91A92">
      <w:pPr>
        <w:rPr>
          <w:rFonts w:ascii="Times New Roman" w:eastAsiaTheme="minorEastAsia" w:hAnsi="Times New Roman" w:cs="Times New Roman"/>
        </w:rPr>
      </w:pPr>
      <w:r>
        <w:rPr>
          <w:rFonts w:ascii="Times New Roman" w:eastAsiaTheme="minorEastAsia" w:hAnsi="Times New Roman" w:cs="Times New Roman"/>
        </w:rPr>
        <w:t>For Caribbean Coffee, the company’s cloud services are used to improve IT services for the company’s employees and customers. At the same time, as the company expands, its demand for network resources is also increasing, and 95% of its networks are based on wireless, in order to ensure that both employees and customers can use personal devices to access the company’s network resources, while also being able to effectively ensure the safety of employees and customers’ personal information, a better information system is needed to protect it</w:t>
      </w:r>
      <w:r w:rsidR="0030200F">
        <w:rPr>
          <w:rFonts w:ascii="Times New Roman" w:eastAsiaTheme="minorEastAsia" w:hAnsi="Times New Roman" w:cs="Times New Roman"/>
        </w:rPr>
        <w:t xml:space="preserve"> </w:t>
      </w:r>
      <w:r w:rsidR="0030200F">
        <w:rPr>
          <w:rFonts w:ascii="Times New Roman" w:eastAsiaTheme="minorEastAsia" w:hAnsi="Times New Roman" w:cs="Times New Roman"/>
        </w:rPr>
        <w:fldChar w:fldCharType="begin" w:fldLock="1"/>
      </w:r>
      <w:r w:rsidR="00B50C1C">
        <w:rPr>
          <w:rFonts w:ascii="Times New Roman" w:eastAsiaTheme="minorEastAsia" w:hAnsi="Times New Roman" w:cs="Times New Roman"/>
        </w:rPr>
        <w:instrText>ADDIN CSL_CITATION {"citationItems":[{"id":"ITEM-1","itemData":{"DOI":"10.1109/RCIS.2011.6006850","ISBN":"9781424486694","ISSN":"21511349","abstract":"The impact of information technology on business operations is widely recognized and its role in the emergence of new business models is well-known. In order to leverage the benefits of IT-supported business processes the security of the underlying information systems must be managed. Various socalled best-practice models and information security standards have positioned themselves as generic solutions for a broad range of risks. In this paper we inspect the metamodel of the information security standard ISO 27001 and describe its application for a set of generalized phases in information security management. We conclude with a demonstration of its practicality by providing an example of how such a metamodel can be applied, before discussing potential future research. © 2011 IEEE.","author":[{"dropping-particle":"","family":"Milicevic","given":"Danijel","non-dropping-particle":"","parse-names":false,"suffix":""},{"dropping-particle":"","family":"Goeken","given":"Matthias","non-dropping-particle":"","parse-names":false,"suffix":""}],"container-title":"Proceedings - International Conference on Research Challenges in Information Science","id":"ITEM-1","issue":"May","issued":{"date-parts":[["2011"]]},"title":"Application of models in information security management","type":"article-journal"},"uris":["http://www.mendeley.com/documents/?uuid=f44f2a55-eec9-4db6-9906-6b960fa45d66"]}],"mendeley":{"formattedCitation":"[7]","plainTextFormattedCitation":"[7]","previouslyFormattedCitation":"[7]"},"properties":{"noteIndex":0},"schema":"https://github.com/citation-style-language/schema/raw/master/csl-citation.json"}</w:instrText>
      </w:r>
      <w:r w:rsidR="0030200F">
        <w:rPr>
          <w:rFonts w:ascii="Times New Roman" w:eastAsiaTheme="minorEastAsia" w:hAnsi="Times New Roman" w:cs="Times New Roman"/>
        </w:rPr>
        <w:fldChar w:fldCharType="separate"/>
      </w:r>
      <w:r w:rsidR="006647D6" w:rsidRPr="006647D6">
        <w:rPr>
          <w:rFonts w:ascii="Times New Roman" w:eastAsiaTheme="minorEastAsia" w:hAnsi="Times New Roman" w:cs="Times New Roman"/>
          <w:noProof/>
        </w:rPr>
        <w:t>[7]</w:t>
      </w:r>
      <w:r w:rsidR="0030200F">
        <w:rPr>
          <w:rFonts w:ascii="Times New Roman" w:eastAsiaTheme="minorEastAsia" w:hAnsi="Times New Roman" w:cs="Times New Roman"/>
        </w:rPr>
        <w:fldChar w:fldCharType="end"/>
      </w:r>
      <w:r>
        <w:rPr>
          <w:rFonts w:ascii="Times New Roman" w:eastAsiaTheme="minorEastAsia" w:hAnsi="Times New Roman" w:cs="Times New Roman"/>
        </w:rPr>
        <w:t>.</w:t>
      </w:r>
    </w:p>
    <w:p w14:paraId="084A1827" w14:textId="77777777" w:rsidR="001B3EE9" w:rsidRDefault="001B3EE9">
      <w:pPr>
        <w:rPr>
          <w:rFonts w:ascii="Times New Roman" w:eastAsiaTheme="minorEastAsia" w:hAnsi="Times New Roman" w:cs="Times New Roman"/>
        </w:rPr>
      </w:pPr>
    </w:p>
    <w:p w14:paraId="1D8D3E1A" w14:textId="75E5FDE2" w:rsidR="001B3EE9" w:rsidRDefault="00F91A92">
      <w:pPr>
        <w:rPr>
          <w:rFonts w:ascii="Times New Roman" w:eastAsiaTheme="minorEastAsia" w:hAnsi="Times New Roman" w:cs="Times New Roman"/>
        </w:rPr>
      </w:pPr>
      <w:r>
        <w:rPr>
          <w:rFonts w:ascii="Times New Roman" w:eastAsiaTheme="minorEastAsia" w:hAnsi="Times New Roman" w:cs="Times New Roman"/>
        </w:rPr>
        <w:t>Faced with such a large and complicated equipment situation, if only relying on traditional and completely passive manual management and maintenance methods, it will lead to a large number of maintenance personnel, low efficiency, and long processing cycles</w:t>
      </w:r>
      <w:r w:rsidR="00A834B2">
        <w:rPr>
          <w:rFonts w:ascii="Times New Roman" w:eastAsiaTheme="minorEastAsia" w:hAnsi="Times New Roman" w:cs="Times New Roman"/>
        </w:rPr>
        <w:t xml:space="preserve"> </w:t>
      </w:r>
      <w:r w:rsidR="00A834B2">
        <w:rPr>
          <w:rFonts w:ascii="Times New Roman" w:eastAsiaTheme="minorEastAsia" w:hAnsi="Times New Roman" w:cs="Times New Roman"/>
        </w:rPr>
        <w:fldChar w:fldCharType="begin" w:fldLock="1"/>
      </w:r>
      <w:r w:rsidR="00B50C1C">
        <w:rPr>
          <w:rFonts w:ascii="Times New Roman" w:eastAsiaTheme="minorEastAsia" w:hAnsi="Times New Roman" w:cs="Times New Roman"/>
        </w:rPr>
        <w:instrText>ADDIN CSL_CITATION {"citationItems":[{"id":"ITEM-1","itemData":{"DOI":"10.1109/MSP.2010.117","ISSN":"15407993","abstract":"Over the past four decades, various information security risk management (ISRM) approaches have emerged. However, there is a lack of sound verification, validation, and evaluation methods for these approaches. Although restrictions, such as the impossibility of measuring exact values for probabilities and follow-up costs, obviously exist, verification, validation, and evaluation of research is essential in any field, and ISRM is no exception. So far, there is no systematic overview of the available methods. In this article, the authors survey verification, validation, and evaluation methods referenced in ISRM literature and discuss which ISRM phase to apply the methods. They then demonstrate how to select appropriate methods with a real-world example. This systematic analysis draws conclusions on the current status of ISRM verification, validation, and evaluation and can serve as a reference for ISRM researchers and users who aim to establish trust in their results. © 2011 IEEE.","author":[{"dropping-particle":"","family":"Fenz","given":"Stefan","non-dropping-particle":"","parse-names":false,"suffix":""},{"dropping-particle":"","family":"Ekelhart","given":"Andreas","non-dropping-particle":"","parse-names":false,"suffix":""}],"container-title":"IEEE Security and Privacy","id":"ITEM-1","issue":"2","issued":{"date-parts":[["2011"]]},"page":"58-65","title":"Verification, validation, and evaluation in information security risk management","type":"article-journal","volume":"9"},"uris":["http://www.mendeley.com/documents/?uuid=56938194-0bd8-4351-8203-d1b28dd7d0e7"]}],"mendeley":{"formattedCitation":"[8]","plainTextFormattedCitation":"[8]","previouslyFormattedCitation":"[8]"},"properties":{"noteIndex":0},"schema":"https://github.com/citation-style-language/schema/raw/master/csl-citation.json"}</w:instrText>
      </w:r>
      <w:r w:rsidR="00A834B2">
        <w:rPr>
          <w:rFonts w:ascii="Times New Roman" w:eastAsiaTheme="minorEastAsia" w:hAnsi="Times New Roman" w:cs="Times New Roman"/>
        </w:rPr>
        <w:fldChar w:fldCharType="separate"/>
      </w:r>
      <w:r w:rsidR="006647D6" w:rsidRPr="006647D6">
        <w:rPr>
          <w:rFonts w:ascii="Times New Roman" w:eastAsiaTheme="minorEastAsia" w:hAnsi="Times New Roman" w:cs="Times New Roman"/>
          <w:noProof/>
        </w:rPr>
        <w:t>[8]</w:t>
      </w:r>
      <w:r w:rsidR="00A834B2">
        <w:rPr>
          <w:rFonts w:ascii="Times New Roman" w:eastAsiaTheme="minorEastAsia" w:hAnsi="Times New Roman" w:cs="Times New Roman"/>
        </w:rPr>
        <w:fldChar w:fldCharType="end"/>
      </w:r>
      <w:r>
        <w:rPr>
          <w:rFonts w:ascii="Times New Roman" w:eastAsiaTheme="minorEastAsia" w:hAnsi="Times New Roman" w:cs="Times New Roman"/>
        </w:rPr>
        <w:t>. At the same time, there are various potential security threats on the external network, and the internal network may suffer from network whey, leading to various security incidents such as data loss, secret theft, and virus infection</w:t>
      </w:r>
      <w:r w:rsidR="006647D6">
        <w:rPr>
          <w:rFonts w:ascii="Times New Roman" w:eastAsiaTheme="minorEastAsia" w:hAnsi="Times New Roman" w:cs="Times New Roman"/>
        </w:rPr>
        <w:t xml:space="preserve"> </w:t>
      </w:r>
      <w:r w:rsidR="006647D6">
        <w:rPr>
          <w:rFonts w:ascii="Times New Roman" w:eastAsiaTheme="minorEastAsia" w:hAnsi="Times New Roman" w:cs="Times New Roman"/>
        </w:rPr>
        <w:fldChar w:fldCharType="begin" w:fldLock="1"/>
      </w:r>
      <w:r w:rsidR="00B50C1C">
        <w:rPr>
          <w:rFonts w:ascii="Times New Roman" w:eastAsiaTheme="minorEastAsia" w:hAnsi="Times New Roman" w:cs="Times New Roman"/>
        </w:rPr>
        <w:instrText>ADDIN CSL_CITATION {"citationItems":[{"id":"ITEM-1","itemData":{"DOI":"10.1093/cybsec/tyy006","ISSN":"20572093","abstract":"Technological advances have resulted in organizations digitalizing many parts of their operations. The threat landscape of cyberattacks is rapidly changing and the potential impact of such attacks is uncertain, because there is a lack of effective metrics, tools and frameworks to understand and assess the harm organizations face from cyber-attacks. In this article, we reflect on the literature on harm, and how it has been conceptualized in disciplines such as criminology and economics, and investigate how other notions such as risk and impact relate to harm. Based on an extensive literature survey and on reviewing news articles and databases reporting cyber-incidents, cybercrimes, hacks and other attacks, we identify various types of harm and create a taxonomy of cyber-harms encountered by organizations. This taxonomy comprises five broad themes: physical or digital harm; economic harm; psychological harm; reputational harm; and social and societal harm. In each of these themes, we present several cyber-harms that can result from cyber-attacks. To provide initial indications about how these different types of harm are connected and how cyber-harm in general may propagate, this article also analyses and draws insight from four real-world case studies, involving Sony (2011 and 2014), JPMorgan and Ashley Madison. We conclude by arguing for the need for analytical tools for organizational cyber-harm, which can be based on a taxonomy such as the one we propose here. These would allow organizations to identify corporate assets, link these to different types of cyber-harm, measure those harms and, finally, consider the security controls needed for the treatment of harm.","author":[{"dropping-particle":"","family":"Agrafiotis","given":"Ioannis","non-dropping-particle":"","parse-names":false,"suffix":""},{"dropping-particle":"","family":"Nurse","given":"Jason R.C.","non-dropping-particle":"","parse-names":false,"suffix":""},{"dropping-particle":"","family":"Goldsmith","given":"Michael","non-dropping-particle":"","parse-names":false,"suffix":""},{"dropping-particle":"","family":"Creese","given":"Sadie","non-dropping-particle":"","parse-names":false,"suffix":""},{"dropping-particle":"","family":"Upton","given":"David","non-dropping-particle":"","parse-names":false,"suffix":""}],"container-title":"Journal of Cybersecurity","id":"ITEM-1","issue":"1","issued":{"date-parts":[["2018"]]},"page":"1-15","title":"A taxonomy of cyber-harms: Defining the impacts of cyber-attacks and understanding how they propagate","type":"article-journal","volume":"4"},"uris":["http://www.mendeley.com/documents/?uuid=ef4345d7-d80a-402c-93fc-58317ea3aeeb"]}],"mendeley":{"formattedCitation":"[9]","plainTextFormattedCitation":"[9]","previouslyFormattedCitation":"[9]"},"properties":{"noteIndex":0},"schema":"https://github.com/citation-style-language/schema/raw/master/csl-citation.json"}</w:instrText>
      </w:r>
      <w:r w:rsidR="006647D6">
        <w:rPr>
          <w:rFonts w:ascii="Times New Roman" w:eastAsiaTheme="minorEastAsia" w:hAnsi="Times New Roman" w:cs="Times New Roman"/>
        </w:rPr>
        <w:fldChar w:fldCharType="separate"/>
      </w:r>
      <w:r w:rsidR="006647D6" w:rsidRPr="006647D6">
        <w:rPr>
          <w:rFonts w:ascii="Times New Roman" w:eastAsiaTheme="minorEastAsia" w:hAnsi="Times New Roman" w:cs="Times New Roman"/>
          <w:noProof/>
        </w:rPr>
        <w:t>[9]</w:t>
      </w:r>
      <w:r w:rsidR="006647D6">
        <w:rPr>
          <w:rFonts w:ascii="Times New Roman" w:eastAsiaTheme="minorEastAsia" w:hAnsi="Times New Roman" w:cs="Times New Roman"/>
        </w:rPr>
        <w:fldChar w:fldCharType="end"/>
      </w:r>
      <w:r>
        <w:rPr>
          <w:rFonts w:ascii="Times New Roman" w:eastAsiaTheme="minorEastAsia" w:hAnsi="Times New Roman" w:cs="Times New Roman"/>
        </w:rPr>
        <w:t>. These are all caused by the lack of security protection for client users. In the face of this situation, for corporate employees, certain training is needed to curb this situation, and for customers, some warm reminders are also needed to avoid information leakage.</w:t>
      </w:r>
    </w:p>
    <w:p w14:paraId="4E942C2F" w14:textId="77777777" w:rsidR="001B3EE9" w:rsidRDefault="001B3EE9">
      <w:pPr>
        <w:rPr>
          <w:rFonts w:ascii="Times New Roman" w:eastAsiaTheme="minorEastAsia" w:hAnsi="Times New Roman" w:cs="Times New Roman"/>
        </w:rPr>
      </w:pPr>
    </w:p>
    <w:p w14:paraId="256FDE84" w14:textId="12C3CE72" w:rsidR="001B3EE9" w:rsidRDefault="00F91A92">
      <w:pPr>
        <w:rPr>
          <w:rFonts w:ascii="Times New Roman" w:eastAsiaTheme="minorEastAsia" w:hAnsi="Times New Roman" w:cs="Times New Roman"/>
        </w:rPr>
      </w:pPr>
      <w:r>
        <w:rPr>
          <w:rFonts w:ascii="Times New Roman" w:eastAsiaTheme="minorEastAsia" w:hAnsi="Times New Roman" w:cs="Times New Roman"/>
        </w:rPr>
        <w:t>Regarding this system, considering that the application of ISO 27000 is a process of information management, its development method is to control the process with the purpose of maintaining the application and improving the effectiveness of information security management</w:t>
      </w:r>
      <w:r w:rsidR="00B50C1C">
        <w:rPr>
          <w:rFonts w:ascii="Times New Roman" w:eastAsiaTheme="minorEastAsia" w:hAnsi="Times New Roman" w:cs="Times New Roman"/>
        </w:rPr>
        <w:t xml:space="preserve"> </w:t>
      </w:r>
      <w:r w:rsidR="00B50C1C">
        <w:rPr>
          <w:rFonts w:ascii="Times New Roman" w:eastAsiaTheme="minorEastAsia" w:hAnsi="Times New Roman" w:cs="Times New Roman"/>
        </w:rPr>
        <w:fldChar w:fldCharType="begin" w:fldLock="1"/>
      </w:r>
      <w:r w:rsidR="00B50C1C">
        <w:rPr>
          <w:rFonts w:ascii="Times New Roman" w:eastAsiaTheme="minorEastAsia" w:hAnsi="Times New Roman" w:cs="Times New Roman"/>
        </w:rPr>
        <w:instrText xml:space="preserve">ADDIN CSL_CITATION {"citationItems":[{"id":"ITEM-1","itemData":{"DOI":"10.1109/SSCI.2017.8285228","ISBN":"9781538627259","abstract":"This paper presents an introduction to the Buildings Cybersecurity Framework (BCF). The BCF provides the organizations with a set of cybersecurity best practices, policies and procedures to improve their cybersecurity posture; defines structured methodologies to interact cybersecurity activities and outcomes from the executive to operations levels. The foundation of the BCF core is based on five core elements defined by the National Institute of Standards and Technology (NIST) Cybersecurity Framework: Identify, Protect, Detect, Respond and Recover. Those five core elements were crafted to address evolving cybersecurity threats and vulnerabilities. With the BCF, an organization will be able to: assess their target cybersecurity state and current cybersecurity posture; identify and prioritize improvement opportunities and necessary actions by continuous and repeatable process; assess progress towards the target state; and communicate cybersecurity risk among internal and external stakeholders. This paper is a miniature of the </w:instrText>
      </w:r>
      <w:r w:rsidR="00B50C1C">
        <w:rPr>
          <w:rFonts w:ascii="Cambria Math" w:eastAsiaTheme="minorEastAsia" w:hAnsi="Cambria Math" w:cs="Cambria Math"/>
        </w:rPr>
        <w:instrText>∼</w:instrText>
      </w:r>
      <w:r w:rsidR="00B50C1C">
        <w:rPr>
          <w:rFonts w:ascii="Times New Roman" w:eastAsiaTheme="minorEastAsia" w:hAnsi="Times New Roman" w:cs="Times New Roman"/>
        </w:rPr>
        <w:instrText>100-page Buildings Cybersecurity Framework, and the goal of this paper is to explicate the applicability of BCF in different types of buildings such as Residential, Small Commercial, Large Commercial, and Federal buildings. Note that the framework itself is a detailed version of the various aspects discussed in this paper.","author":[{"dropping-particle":"","family":"Mylrea","given":"Michael","non-dropping-particle":"","parse-names":false,"suffix":""},{"dropping-particle":"","family":"Gourisetti","given":"Sri Nikhil Gupta","non-dropping-particle":"","parse-names":false,"suffix":""},{"dropping-particle":"","family":"Nicholls","given":"Andrew","non-dropping-particle":"","parse-names":false,"suffix":""}],"container-title":"2017 IEEE Symposium Series on Computational Intelligence, SSCI 2017 - Proceedings","id":"ITEM-1","issued":{"date-parts":[["2018"]]},"page":"1-7","title":"An introduction to buildings cybersecurity framework","type":"article-journal","volume":"2018-January"},"uris":["http://www.mendeley.com/documents/?uuid=6eefc769-03cb-4983-b99a-e2b25c205d76"]}],"mendeley":{"formattedCitation":"[10]","plainTextFormattedCitation":"[10]"},"properties":{"noteIndex":0},"schema":"https://github.com/citation-style-language/schema/raw/master/csl-citation.json"}</w:instrText>
      </w:r>
      <w:r w:rsidR="00B50C1C">
        <w:rPr>
          <w:rFonts w:ascii="Times New Roman" w:eastAsiaTheme="minorEastAsia" w:hAnsi="Times New Roman" w:cs="Times New Roman"/>
        </w:rPr>
        <w:fldChar w:fldCharType="separate"/>
      </w:r>
      <w:r w:rsidR="00B50C1C" w:rsidRPr="00B50C1C">
        <w:rPr>
          <w:rFonts w:ascii="Times New Roman" w:eastAsiaTheme="minorEastAsia" w:hAnsi="Times New Roman" w:cs="Times New Roman"/>
          <w:noProof/>
        </w:rPr>
        <w:t>[10]</w:t>
      </w:r>
      <w:r w:rsidR="00B50C1C">
        <w:rPr>
          <w:rFonts w:ascii="Times New Roman" w:eastAsiaTheme="minorEastAsia" w:hAnsi="Times New Roman" w:cs="Times New Roman"/>
        </w:rPr>
        <w:fldChar w:fldCharType="end"/>
      </w:r>
      <w:r>
        <w:rPr>
          <w:rFonts w:ascii="Times New Roman" w:eastAsiaTheme="minorEastAsia" w:hAnsi="Times New Roman" w:cs="Times New Roman"/>
        </w:rPr>
        <w:t xml:space="preserve">. The ISO 27000 information security management standard application method is to effectively carry out the PDCA cycle, that is, the PLAN plan, to determine the target of this standard application activity and prepare. DO implementation, gap analysis and optimization rectification; CHECK inspection, after the optimization evaluation the standard application activities are checked; ACTION is improved, the problems found in the evaluation after optimization are dealt with, the successful experience is promoted, the lessons of failure are </w:t>
      </w:r>
      <w:r>
        <w:rPr>
          <w:rFonts w:ascii="Times New Roman" w:eastAsiaTheme="minorEastAsia" w:hAnsi="Times New Roman" w:cs="Times New Roman"/>
        </w:rPr>
        <w:lastRenderedPageBreak/>
        <w:t>summarized, and the unresolved problems are placed in the next PDCA cycle.</w:t>
      </w:r>
    </w:p>
    <w:p w14:paraId="4FB846D1" w14:textId="77777777" w:rsidR="001B3EE9" w:rsidRDefault="001B3EE9">
      <w:pPr>
        <w:rPr>
          <w:rFonts w:ascii="Times New Roman" w:eastAsiaTheme="minorEastAsia" w:hAnsi="Times New Roman" w:cs="Times New Roman"/>
        </w:rPr>
      </w:pPr>
    </w:p>
    <w:p w14:paraId="55EB579C" w14:textId="408CEF10" w:rsidR="004109A5" w:rsidRPr="004109A5" w:rsidRDefault="00F91A92" w:rsidP="004109A5">
      <w:pPr>
        <w:pStyle w:val="a8"/>
        <w:numPr>
          <w:ilvl w:val="0"/>
          <w:numId w:val="3"/>
        </w:numPr>
        <w:ind w:firstLineChars="0"/>
        <w:rPr>
          <w:rFonts w:ascii="Times New Roman" w:eastAsiaTheme="minorEastAsia" w:hAnsi="Times New Roman" w:cs="Times New Roman"/>
        </w:rPr>
      </w:pPr>
      <w:r w:rsidRPr="004109A5">
        <w:rPr>
          <w:rFonts w:ascii="Times New Roman" w:eastAsiaTheme="minorEastAsia" w:hAnsi="Times New Roman" w:cs="Times New Roman"/>
        </w:rPr>
        <w:t xml:space="preserve">The event identification and recording </w:t>
      </w:r>
    </w:p>
    <w:p w14:paraId="6B81AA19" w14:textId="1DB099BA" w:rsidR="001B3EE9" w:rsidRDefault="00F91A92" w:rsidP="004109A5">
      <w:pPr>
        <w:pStyle w:val="a8"/>
        <w:ind w:left="360" w:firstLineChars="0" w:firstLine="0"/>
        <w:rPr>
          <w:rFonts w:ascii="Times New Roman" w:eastAsiaTheme="minorEastAsia" w:hAnsi="Times New Roman" w:cs="Times New Roman"/>
        </w:rPr>
      </w:pPr>
      <w:r w:rsidRPr="004109A5">
        <w:rPr>
          <w:rFonts w:ascii="Times New Roman" w:eastAsiaTheme="minorEastAsia" w:hAnsi="Times New Roman" w:cs="Times New Roman"/>
        </w:rPr>
        <w:t>service desk (</w:t>
      </w:r>
      <w:r w:rsidR="00E71B02">
        <w:rPr>
          <w:rFonts w:ascii="Times New Roman" w:eastAsiaTheme="minorEastAsia" w:hAnsi="Times New Roman" w:cs="Times New Roman"/>
        </w:rPr>
        <w:t>first-</w:t>
      </w:r>
      <w:r w:rsidRPr="004109A5">
        <w:rPr>
          <w:rFonts w:ascii="Times New Roman" w:eastAsiaTheme="minorEastAsia" w:hAnsi="Times New Roman" w:cs="Times New Roman"/>
        </w:rPr>
        <w:t xml:space="preserve">line) accepts events reported from users, determines the source of the event, event type, service area, etc., according to the event category table, confirms the event type, and judges whether it is a major event. If it is judged to be a major event, The incident ticket will be dispatched to the </w:t>
      </w:r>
      <w:r w:rsidR="00E71B02">
        <w:rPr>
          <w:rFonts w:ascii="Times New Roman" w:eastAsiaTheme="minorEastAsia" w:hAnsi="Times New Roman" w:cs="Times New Roman"/>
        </w:rPr>
        <w:t>event</w:t>
      </w:r>
      <w:r w:rsidRPr="004109A5">
        <w:rPr>
          <w:rFonts w:ascii="Times New Roman" w:eastAsiaTheme="minorEastAsia" w:hAnsi="Times New Roman" w:cs="Times New Roman"/>
        </w:rPr>
        <w:t xml:space="preserve"> manager for collaborative processing. After the service desk entry is submitted, the ticket handler is the service desk itself. For events that cannot be resolved, they are assigned to the corresponding second-line support personnel or support department through the functions of "transfer to agent" and "manual dispatch" according to the event category.</w:t>
      </w:r>
      <w:r w:rsidR="00566B3A">
        <w:rPr>
          <w:rFonts w:ascii="Times New Roman" w:eastAsiaTheme="minorEastAsia" w:hAnsi="Times New Roman" w:cs="Times New Roman"/>
        </w:rPr>
        <w:t xml:space="preserve"> </w:t>
      </w:r>
      <w:r w:rsidR="004535FD" w:rsidRPr="004535FD">
        <w:rPr>
          <w:rFonts w:ascii="Times New Roman" w:eastAsiaTheme="minorEastAsia" w:hAnsi="Times New Roman" w:cs="Times New Roman"/>
        </w:rPr>
        <w:t>The flowchart is shown in Figure 1</w:t>
      </w:r>
      <w:r w:rsidR="004535FD">
        <w:rPr>
          <w:rFonts w:ascii="Times New Roman" w:eastAsiaTheme="minorEastAsia" w:hAnsi="Times New Roman" w:cs="Times New Roman"/>
        </w:rPr>
        <w:t>.</w:t>
      </w:r>
    </w:p>
    <w:p w14:paraId="73186D5A" w14:textId="1B062653" w:rsidR="004535FD" w:rsidRDefault="004535FD" w:rsidP="004109A5">
      <w:pPr>
        <w:pStyle w:val="a8"/>
        <w:ind w:left="360" w:firstLineChars="0" w:firstLine="0"/>
      </w:pPr>
      <w:r>
        <w:object w:dxaOrig="9865" w:dyaOrig="6985" w14:anchorId="4177AC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293.65pt" o:ole="">
            <v:imagedata r:id="rId9" o:title=""/>
          </v:shape>
          <o:OLEObject Type="Embed" ProgID="Visio.Drawing.15" ShapeID="_x0000_i1025" DrawAspect="Content" ObjectID="_1671914896" r:id="rId10"/>
        </w:object>
      </w:r>
    </w:p>
    <w:p w14:paraId="55F90901" w14:textId="6E909846" w:rsidR="004535FD" w:rsidRPr="004535FD" w:rsidRDefault="004535FD" w:rsidP="004535FD">
      <w:pPr>
        <w:pStyle w:val="a8"/>
        <w:ind w:left="360" w:firstLineChars="0" w:firstLine="0"/>
        <w:jc w:val="center"/>
        <w:rPr>
          <w:rFonts w:ascii="Times New Roman" w:eastAsiaTheme="minorEastAsia" w:hAnsi="Times New Roman" w:cs="Times New Roman"/>
          <w:sz w:val="24"/>
          <w:szCs w:val="24"/>
        </w:rPr>
      </w:pPr>
      <w:r w:rsidRPr="004535FD">
        <w:rPr>
          <w:rFonts w:ascii="Times New Roman" w:eastAsiaTheme="minorEastAsia" w:hAnsi="Times New Roman" w:cs="Times New Roman"/>
          <w:sz w:val="24"/>
          <w:szCs w:val="24"/>
        </w:rPr>
        <w:t>Figure 1</w:t>
      </w:r>
      <w:r>
        <w:rPr>
          <w:rFonts w:ascii="Times New Roman" w:eastAsiaTheme="minorEastAsia" w:hAnsi="Times New Roman" w:cs="Times New Roman"/>
          <w:sz w:val="24"/>
          <w:szCs w:val="24"/>
        </w:rPr>
        <w:t xml:space="preserve"> </w:t>
      </w:r>
      <w:r w:rsidRPr="004535FD">
        <w:rPr>
          <w:rFonts w:ascii="Times New Roman" w:eastAsiaTheme="minorEastAsia" w:hAnsi="Times New Roman" w:cs="Times New Roman"/>
          <w:sz w:val="24"/>
          <w:szCs w:val="24"/>
        </w:rPr>
        <w:t>Event identification and recording</w:t>
      </w:r>
    </w:p>
    <w:p w14:paraId="686769AE" w14:textId="77777777" w:rsidR="001B3EE9" w:rsidRDefault="001B3EE9">
      <w:pPr>
        <w:rPr>
          <w:rFonts w:ascii="Times New Roman" w:eastAsiaTheme="minorEastAsia" w:hAnsi="Times New Roman" w:cs="Times New Roman"/>
        </w:rPr>
      </w:pPr>
    </w:p>
    <w:p w14:paraId="483112F7" w14:textId="1DB175E2" w:rsidR="004109A5" w:rsidRPr="004109A5" w:rsidRDefault="00F91A92" w:rsidP="004109A5">
      <w:pPr>
        <w:pStyle w:val="a8"/>
        <w:numPr>
          <w:ilvl w:val="0"/>
          <w:numId w:val="3"/>
        </w:numPr>
        <w:ind w:firstLineChars="0"/>
        <w:rPr>
          <w:rFonts w:ascii="Times New Roman" w:eastAsiaTheme="minorEastAsia" w:hAnsi="Times New Roman" w:cs="Times New Roman"/>
        </w:rPr>
      </w:pPr>
      <w:r w:rsidRPr="004109A5">
        <w:rPr>
          <w:rFonts w:ascii="Times New Roman" w:eastAsiaTheme="minorEastAsia" w:hAnsi="Times New Roman" w:cs="Times New Roman"/>
        </w:rPr>
        <w:t xml:space="preserve">Incident investigation and handling </w:t>
      </w:r>
    </w:p>
    <w:p w14:paraId="624E27ED" w14:textId="3C2EA6DF" w:rsidR="001B3EE9" w:rsidRDefault="00F91A92" w:rsidP="004109A5">
      <w:pPr>
        <w:pStyle w:val="a8"/>
        <w:ind w:left="360" w:firstLineChars="0" w:firstLine="0"/>
        <w:rPr>
          <w:rFonts w:ascii="Times New Roman" w:eastAsiaTheme="minorEastAsia" w:hAnsi="Times New Roman" w:cs="Times New Roman"/>
        </w:rPr>
      </w:pPr>
      <w:r w:rsidRPr="004109A5">
        <w:rPr>
          <w:rFonts w:ascii="Times New Roman" w:eastAsiaTheme="minorEastAsia" w:hAnsi="Times New Roman" w:cs="Times New Roman"/>
        </w:rPr>
        <w:t xml:space="preserve">the second and third lines are in the pending work order, click the work order to accept the work order. Analyze and diagnose the incident and seek treatment. For example, during the processing of the work order, when the incident cannot be processed in time due to objective factors, you can communicate with the leader. If the incident is "suspended", the suspended time will not be included in the work order processing time. In the process of handling the incident, the handler shall be assigned to the incident by "transferring to the agent", "manual dispatch" or "rejecting to the initiator". When the "Transfer to Agent" function is selected, there will be a prompt window in the lower right corner of the agent's webpage, and there is no prompt window on the "Reject Initiator" function webpage.  "Transfer to agent" or "manual dispatch" between the second lines can only be done once. For example, after the second line A is transferred to the second line B, the second line B </w:t>
      </w:r>
      <w:r w:rsidRPr="004109A5">
        <w:rPr>
          <w:rFonts w:ascii="Times New Roman" w:eastAsiaTheme="minorEastAsia" w:hAnsi="Times New Roman" w:cs="Times New Roman"/>
        </w:rPr>
        <w:lastRenderedPageBreak/>
        <w:t>cannot handle the work order, and the responsible person cannot be assigned through "transfer to agent" or "manual dispatch", and the front line can only re-contact the relevant engineer through the "reject to the initiator" for processing" the second-line and third-line work order handlers judge whether the work order is resolved, and fill in the corresponding processing information in the "Processing Details" section of the work order. Select the "onsite" or "remote" processing method. If the work order needs to be changed, then the "change process" will be started. Determine whether the incident ticket is resolved (for example: customer notification, the incident ticket does not need to be processed), select the incident ticket resolver.</w:t>
      </w:r>
    </w:p>
    <w:p w14:paraId="64C49326" w14:textId="77777777" w:rsidR="004535FD" w:rsidRPr="004109A5" w:rsidRDefault="004535FD" w:rsidP="004109A5">
      <w:pPr>
        <w:pStyle w:val="a8"/>
        <w:ind w:left="360" w:firstLineChars="0" w:firstLine="0"/>
        <w:rPr>
          <w:rFonts w:ascii="Times New Roman" w:eastAsiaTheme="minorEastAsia" w:hAnsi="Times New Roman" w:cs="Times New Roman"/>
        </w:rPr>
      </w:pPr>
    </w:p>
    <w:p w14:paraId="6B5EA8A1" w14:textId="77777777" w:rsidR="001B3EE9" w:rsidRDefault="001B3EE9">
      <w:pPr>
        <w:rPr>
          <w:rFonts w:ascii="Times New Roman" w:eastAsiaTheme="minorEastAsia" w:hAnsi="Times New Roman" w:cs="Times New Roman"/>
        </w:rPr>
      </w:pPr>
    </w:p>
    <w:p w14:paraId="581AE2CA" w14:textId="1A7B3BC6" w:rsidR="004109A5" w:rsidRPr="004109A5" w:rsidRDefault="00F91A92" w:rsidP="004109A5">
      <w:pPr>
        <w:pStyle w:val="a8"/>
        <w:numPr>
          <w:ilvl w:val="0"/>
          <w:numId w:val="3"/>
        </w:numPr>
        <w:ind w:firstLineChars="0"/>
        <w:rPr>
          <w:rFonts w:ascii="Times New Roman" w:eastAsiaTheme="minorEastAsia" w:hAnsi="Times New Roman" w:cs="Times New Roman"/>
        </w:rPr>
      </w:pPr>
      <w:r w:rsidRPr="004109A5">
        <w:rPr>
          <w:rFonts w:ascii="Times New Roman" w:eastAsiaTheme="minorEastAsia" w:hAnsi="Times New Roman" w:cs="Times New Roman"/>
        </w:rPr>
        <w:t xml:space="preserve">Incident closure </w:t>
      </w:r>
    </w:p>
    <w:p w14:paraId="29781A28" w14:textId="5728ED0D" w:rsidR="001B3EE9" w:rsidRPr="004109A5" w:rsidRDefault="00F91A92" w:rsidP="004109A5">
      <w:pPr>
        <w:pStyle w:val="a8"/>
        <w:ind w:left="360" w:firstLineChars="0" w:firstLine="0"/>
        <w:rPr>
          <w:rFonts w:ascii="Times New Roman" w:eastAsiaTheme="minorEastAsia" w:hAnsi="Times New Roman" w:cs="Times New Roman"/>
        </w:rPr>
      </w:pPr>
      <w:r w:rsidRPr="004109A5">
        <w:rPr>
          <w:rFonts w:ascii="Times New Roman" w:eastAsiaTheme="minorEastAsia" w:hAnsi="Times New Roman" w:cs="Times New Roman"/>
        </w:rPr>
        <w:t>The service desk (front line) will confirm the resolved incident with the user via email, even communication, telephone confirmation, etc. The service desk staff closes the event ticket and sets the close code.</w:t>
      </w:r>
    </w:p>
    <w:p w14:paraId="4A99AD90" w14:textId="2C0C1148" w:rsidR="00A75972" w:rsidRDefault="00A75972">
      <w:pPr>
        <w:rPr>
          <w:rFonts w:ascii="Times New Roman" w:eastAsiaTheme="minorEastAsia" w:hAnsi="Times New Roman" w:cs="Times New Roman"/>
        </w:rPr>
      </w:pPr>
    </w:p>
    <w:p w14:paraId="65FFC7A1" w14:textId="209A487A" w:rsidR="00A75972" w:rsidRDefault="00A75972">
      <w:pPr>
        <w:rPr>
          <w:rFonts w:ascii="Times New Roman" w:eastAsiaTheme="minorEastAsia" w:hAnsi="Times New Roman" w:cs="Times New Roman"/>
        </w:rPr>
      </w:pPr>
    </w:p>
    <w:p w14:paraId="59DB33C1" w14:textId="495D5F3C" w:rsidR="00A75972" w:rsidRDefault="00A75972">
      <w:pPr>
        <w:rPr>
          <w:rFonts w:ascii="Times New Roman" w:eastAsiaTheme="minorEastAsia" w:hAnsi="Times New Roman" w:cs="Times New Roman"/>
        </w:rPr>
      </w:pPr>
    </w:p>
    <w:p w14:paraId="1E1B5EC2" w14:textId="1B0F09C7" w:rsidR="00A75972" w:rsidRDefault="00A75972">
      <w:pPr>
        <w:rPr>
          <w:rFonts w:ascii="Times New Roman" w:eastAsiaTheme="minorEastAsia" w:hAnsi="Times New Roman" w:cs="Times New Roman"/>
        </w:rPr>
      </w:pPr>
    </w:p>
    <w:p w14:paraId="2AF6CDD8" w14:textId="594393EF" w:rsidR="00A75972" w:rsidRDefault="00A75972">
      <w:pPr>
        <w:rPr>
          <w:rFonts w:ascii="Times New Roman" w:eastAsiaTheme="minorEastAsia" w:hAnsi="Times New Roman" w:cs="Times New Roman"/>
        </w:rPr>
      </w:pPr>
    </w:p>
    <w:p w14:paraId="2BCFFFBA" w14:textId="659250CB" w:rsidR="00A75972" w:rsidRDefault="00A75972">
      <w:pPr>
        <w:rPr>
          <w:rFonts w:ascii="Times New Roman" w:eastAsiaTheme="minorEastAsia" w:hAnsi="Times New Roman" w:cs="Times New Roman"/>
        </w:rPr>
      </w:pPr>
    </w:p>
    <w:p w14:paraId="42E26C59" w14:textId="043005A1" w:rsidR="00A75972" w:rsidRDefault="00A75972" w:rsidP="00303410">
      <w:pPr>
        <w:pStyle w:val="1"/>
        <w:rPr>
          <w:rFonts w:ascii="Times New Roman" w:eastAsiaTheme="minorEastAsia" w:hAnsi="Times New Roman" w:cs="Times New Roman"/>
        </w:rPr>
      </w:pPr>
      <w:r w:rsidRPr="00303410">
        <w:rPr>
          <w:rFonts w:ascii="Times New Roman" w:eastAsiaTheme="minorEastAsia" w:hAnsi="Times New Roman" w:cs="Times New Roman"/>
        </w:rPr>
        <w:t>Reference</w:t>
      </w:r>
    </w:p>
    <w:p w14:paraId="57C20515" w14:textId="5748E9FF" w:rsidR="00B50C1C" w:rsidRPr="00B50C1C" w:rsidRDefault="00A75972" w:rsidP="00B50C1C">
      <w:pPr>
        <w:autoSpaceDE w:val="0"/>
        <w:autoSpaceDN w:val="0"/>
        <w:adjustRightInd w:val="0"/>
        <w:ind w:left="640" w:hanging="640"/>
        <w:jc w:val="left"/>
        <w:rPr>
          <w:rFonts w:ascii="Times New Roman" w:hAnsi="Times New Roman" w:cs="Times New Roman"/>
          <w:noProof/>
          <w:kern w:val="0"/>
          <w:szCs w:val="24"/>
        </w:rPr>
      </w:pPr>
      <w:r>
        <w:rPr>
          <w:rFonts w:ascii="Times New Roman" w:eastAsiaTheme="minorEastAsia" w:hAnsi="Times New Roman" w:cs="Times New Roman"/>
        </w:rPr>
        <w:fldChar w:fldCharType="begin" w:fldLock="1"/>
      </w:r>
      <w:r>
        <w:rPr>
          <w:rFonts w:ascii="Times New Roman" w:eastAsiaTheme="minorEastAsia" w:hAnsi="Times New Roman" w:cs="Times New Roman"/>
        </w:rPr>
        <w:instrText xml:space="preserve">ADDIN Mendeley Bibliography CSL_BIBLIOGRAPHY </w:instrText>
      </w:r>
      <w:r>
        <w:rPr>
          <w:rFonts w:ascii="Times New Roman" w:eastAsiaTheme="minorEastAsia" w:hAnsi="Times New Roman" w:cs="Times New Roman"/>
        </w:rPr>
        <w:fldChar w:fldCharType="separate"/>
      </w:r>
      <w:r w:rsidR="00B50C1C" w:rsidRPr="00B50C1C">
        <w:rPr>
          <w:rFonts w:ascii="Times New Roman" w:hAnsi="Times New Roman" w:cs="Times New Roman"/>
          <w:noProof/>
          <w:kern w:val="0"/>
          <w:szCs w:val="24"/>
        </w:rPr>
        <w:t>[1]</w:t>
      </w:r>
      <w:r w:rsidR="00B50C1C" w:rsidRPr="00B50C1C">
        <w:rPr>
          <w:rFonts w:ascii="Times New Roman" w:hAnsi="Times New Roman" w:cs="Times New Roman"/>
          <w:noProof/>
          <w:kern w:val="0"/>
          <w:szCs w:val="24"/>
        </w:rPr>
        <w:tab/>
        <w:t xml:space="preserve">M. Eling, “Cyber Risk and Cyber Risk Insurance: Status Quo and Future Research,” </w:t>
      </w:r>
      <w:r w:rsidR="00B50C1C" w:rsidRPr="00B50C1C">
        <w:rPr>
          <w:rFonts w:ascii="Times New Roman" w:hAnsi="Times New Roman" w:cs="Times New Roman"/>
          <w:i/>
          <w:iCs/>
          <w:noProof/>
          <w:kern w:val="0"/>
          <w:szCs w:val="24"/>
        </w:rPr>
        <w:t>Geneva Pap. Risk Insur. Issues Pract.</w:t>
      </w:r>
      <w:r w:rsidR="00B50C1C" w:rsidRPr="00B50C1C">
        <w:rPr>
          <w:rFonts w:ascii="Times New Roman" w:hAnsi="Times New Roman" w:cs="Times New Roman"/>
          <w:noProof/>
          <w:kern w:val="0"/>
          <w:szCs w:val="24"/>
        </w:rPr>
        <w:t>, vol. 43, no. 2, pp. 175–179, 2018.</w:t>
      </w:r>
    </w:p>
    <w:p w14:paraId="4949ED9E" w14:textId="77777777" w:rsidR="00B50C1C" w:rsidRPr="00B50C1C" w:rsidRDefault="00B50C1C" w:rsidP="00B50C1C">
      <w:pPr>
        <w:autoSpaceDE w:val="0"/>
        <w:autoSpaceDN w:val="0"/>
        <w:adjustRightInd w:val="0"/>
        <w:ind w:left="640" w:hanging="640"/>
        <w:jc w:val="left"/>
        <w:rPr>
          <w:rFonts w:ascii="Times New Roman" w:hAnsi="Times New Roman" w:cs="Times New Roman"/>
          <w:noProof/>
          <w:kern w:val="0"/>
          <w:szCs w:val="24"/>
        </w:rPr>
      </w:pPr>
      <w:r w:rsidRPr="00B50C1C">
        <w:rPr>
          <w:rFonts w:ascii="Times New Roman" w:hAnsi="Times New Roman" w:cs="Times New Roman"/>
          <w:noProof/>
          <w:kern w:val="0"/>
          <w:szCs w:val="24"/>
        </w:rPr>
        <w:t>[2]</w:t>
      </w:r>
      <w:r w:rsidRPr="00B50C1C">
        <w:rPr>
          <w:rFonts w:ascii="Times New Roman" w:hAnsi="Times New Roman" w:cs="Times New Roman"/>
          <w:noProof/>
          <w:kern w:val="0"/>
          <w:szCs w:val="24"/>
        </w:rPr>
        <w:tab/>
        <w:t xml:space="preserve">R. Von Solms and J. Van Niekerk, “From information security to cyber security,” </w:t>
      </w:r>
      <w:r w:rsidRPr="00B50C1C">
        <w:rPr>
          <w:rFonts w:ascii="Times New Roman" w:hAnsi="Times New Roman" w:cs="Times New Roman"/>
          <w:i/>
          <w:iCs/>
          <w:noProof/>
          <w:kern w:val="0"/>
          <w:szCs w:val="24"/>
        </w:rPr>
        <w:t>Comput. Secur.</w:t>
      </w:r>
      <w:r w:rsidRPr="00B50C1C">
        <w:rPr>
          <w:rFonts w:ascii="Times New Roman" w:hAnsi="Times New Roman" w:cs="Times New Roman"/>
          <w:noProof/>
          <w:kern w:val="0"/>
          <w:szCs w:val="24"/>
        </w:rPr>
        <w:t>, vol. 38, pp. 97–102, 2013.</w:t>
      </w:r>
    </w:p>
    <w:p w14:paraId="342DA1F6" w14:textId="77777777" w:rsidR="00B50C1C" w:rsidRPr="00B50C1C" w:rsidRDefault="00B50C1C" w:rsidP="00B50C1C">
      <w:pPr>
        <w:autoSpaceDE w:val="0"/>
        <w:autoSpaceDN w:val="0"/>
        <w:adjustRightInd w:val="0"/>
        <w:ind w:left="640" w:hanging="640"/>
        <w:jc w:val="left"/>
        <w:rPr>
          <w:rFonts w:ascii="Times New Roman" w:hAnsi="Times New Roman" w:cs="Times New Roman"/>
          <w:noProof/>
          <w:kern w:val="0"/>
          <w:szCs w:val="24"/>
        </w:rPr>
      </w:pPr>
      <w:r w:rsidRPr="00B50C1C">
        <w:rPr>
          <w:rFonts w:ascii="Times New Roman" w:hAnsi="Times New Roman" w:cs="Times New Roman"/>
          <w:noProof/>
          <w:kern w:val="0"/>
          <w:szCs w:val="24"/>
        </w:rPr>
        <w:t>[3]</w:t>
      </w:r>
      <w:r w:rsidRPr="00B50C1C">
        <w:rPr>
          <w:rFonts w:ascii="Times New Roman" w:hAnsi="Times New Roman" w:cs="Times New Roman"/>
          <w:noProof/>
          <w:kern w:val="0"/>
          <w:szCs w:val="24"/>
        </w:rPr>
        <w:tab/>
        <w:t xml:space="preserve">I. Meriah and L. B. A. Rabai, “Comparative study of ontologies based iso 27000 series security standards,” </w:t>
      </w:r>
      <w:r w:rsidRPr="00B50C1C">
        <w:rPr>
          <w:rFonts w:ascii="Times New Roman" w:hAnsi="Times New Roman" w:cs="Times New Roman"/>
          <w:i/>
          <w:iCs/>
          <w:noProof/>
          <w:kern w:val="0"/>
          <w:szCs w:val="24"/>
        </w:rPr>
        <w:t>Procedia Comput. Sci.</w:t>
      </w:r>
      <w:r w:rsidRPr="00B50C1C">
        <w:rPr>
          <w:rFonts w:ascii="Times New Roman" w:hAnsi="Times New Roman" w:cs="Times New Roman"/>
          <w:noProof/>
          <w:kern w:val="0"/>
          <w:szCs w:val="24"/>
        </w:rPr>
        <w:t>, vol. 160, pp. 85–92, 2019.</w:t>
      </w:r>
    </w:p>
    <w:p w14:paraId="55AB32DB" w14:textId="77777777" w:rsidR="00B50C1C" w:rsidRPr="00B50C1C" w:rsidRDefault="00B50C1C" w:rsidP="00B50C1C">
      <w:pPr>
        <w:autoSpaceDE w:val="0"/>
        <w:autoSpaceDN w:val="0"/>
        <w:adjustRightInd w:val="0"/>
        <w:ind w:left="640" w:hanging="640"/>
        <w:jc w:val="left"/>
        <w:rPr>
          <w:rFonts w:ascii="Times New Roman" w:hAnsi="Times New Roman" w:cs="Times New Roman"/>
          <w:noProof/>
          <w:kern w:val="0"/>
          <w:szCs w:val="24"/>
        </w:rPr>
      </w:pPr>
      <w:r w:rsidRPr="00B50C1C">
        <w:rPr>
          <w:rFonts w:ascii="Times New Roman" w:hAnsi="Times New Roman" w:cs="Times New Roman"/>
          <w:noProof/>
          <w:kern w:val="0"/>
          <w:szCs w:val="24"/>
        </w:rPr>
        <w:t>[4]</w:t>
      </w:r>
      <w:r w:rsidRPr="00B50C1C">
        <w:rPr>
          <w:rFonts w:ascii="Times New Roman" w:hAnsi="Times New Roman" w:cs="Times New Roman"/>
          <w:noProof/>
          <w:kern w:val="0"/>
          <w:szCs w:val="24"/>
        </w:rPr>
        <w:tab/>
        <w:t xml:space="preserve">G. Disterer, “ISO/IEC 27000, 27001 and 27002 for Information Security Management,” </w:t>
      </w:r>
      <w:r w:rsidRPr="00B50C1C">
        <w:rPr>
          <w:rFonts w:ascii="Times New Roman" w:hAnsi="Times New Roman" w:cs="Times New Roman"/>
          <w:i/>
          <w:iCs/>
          <w:noProof/>
          <w:kern w:val="0"/>
          <w:szCs w:val="24"/>
        </w:rPr>
        <w:t>J. Inf. Secur.</w:t>
      </w:r>
      <w:r w:rsidRPr="00B50C1C">
        <w:rPr>
          <w:rFonts w:ascii="Times New Roman" w:hAnsi="Times New Roman" w:cs="Times New Roman"/>
          <w:noProof/>
          <w:kern w:val="0"/>
          <w:szCs w:val="24"/>
        </w:rPr>
        <w:t>, vol. 04, no. 02, pp. 92–100, 2013.</w:t>
      </w:r>
    </w:p>
    <w:p w14:paraId="23CAE941" w14:textId="77777777" w:rsidR="00B50C1C" w:rsidRPr="00B50C1C" w:rsidRDefault="00B50C1C" w:rsidP="00B50C1C">
      <w:pPr>
        <w:autoSpaceDE w:val="0"/>
        <w:autoSpaceDN w:val="0"/>
        <w:adjustRightInd w:val="0"/>
        <w:ind w:left="640" w:hanging="640"/>
        <w:jc w:val="left"/>
        <w:rPr>
          <w:rFonts w:ascii="Times New Roman" w:hAnsi="Times New Roman" w:cs="Times New Roman"/>
          <w:noProof/>
          <w:kern w:val="0"/>
          <w:szCs w:val="24"/>
        </w:rPr>
      </w:pPr>
      <w:r w:rsidRPr="00B50C1C">
        <w:rPr>
          <w:rFonts w:ascii="Times New Roman" w:hAnsi="Times New Roman" w:cs="Times New Roman"/>
          <w:noProof/>
          <w:kern w:val="0"/>
          <w:szCs w:val="24"/>
        </w:rPr>
        <w:t>[5]</w:t>
      </w:r>
      <w:r w:rsidRPr="00B50C1C">
        <w:rPr>
          <w:rFonts w:ascii="Times New Roman" w:hAnsi="Times New Roman" w:cs="Times New Roman"/>
          <w:noProof/>
          <w:kern w:val="0"/>
          <w:szCs w:val="24"/>
        </w:rPr>
        <w:tab/>
        <w:t xml:space="preserve">E. A. Morse and V. Raval, “PCI DSS: Payment card industry data security standards in context,” </w:t>
      </w:r>
      <w:r w:rsidRPr="00B50C1C">
        <w:rPr>
          <w:rFonts w:ascii="Times New Roman" w:hAnsi="Times New Roman" w:cs="Times New Roman"/>
          <w:i/>
          <w:iCs/>
          <w:noProof/>
          <w:kern w:val="0"/>
          <w:szCs w:val="24"/>
        </w:rPr>
        <w:t>Comput. Law Secur. Rep.</w:t>
      </w:r>
      <w:r w:rsidRPr="00B50C1C">
        <w:rPr>
          <w:rFonts w:ascii="Times New Roman" w:hAnsi="Times New Roman" w:cs="Times New Roman"/>
          <w:noProof/>
          <w:kern w:val="0"/>
          <w:szCs w:val="24"/>
        </w:rPr>
        <w:t>, vol. 24, no. 6, pp. 540–554, 2008.</w:t>
      </w:r>
    </w:p>
    <w:p w14:paraId="3A633975" w14:textId="77777777" w:rsidR="00B50C1C" w:rsidRPr="00B50C1C" w:rsidRDefault="00B50C1C" w:rsidP="00B50C1C">
      <w:pPr>
        <w:autoSpaceDE w:val="0"/>
        <w:autoSpaceDN w:val="0"/>
        <w:adjustRightInd w:val="0"/>
        <w:ind w:left="640" w:hanging="640"/>
        <w:jc w:val="left"/>
        <w:rPr>
          <w:rFonts w:ascii="Times New Roman" w:hAnsi="Times New Roman" w:cs="Times New Roman"/>
          <w:noProof/>
          <w:kern w:val="0"/>
          <w:szCs w:val="24"/>
        </w:rPr>
      </w:pPr>
      <w:r w:rsidRPr="00B50C1C">
        <w:rPr>
          <w:rFonts w:ascii="Times New Roman" w:hAnsi="Times New Roman" w:cs="Times New Roman"/>
          <w:noProof/>
          <w:kern w:val="0"/>
          <w:szCs w:val="24"/>
        </w:rPr>
        <w:t>[6]</w:t>
      </w:r>
      <w:r w:rsidRPr="00B50C1C">
        <w:rPr>
          <w:rFonts w:ascii="Times New Roman" w:hAnsi="Times New Roman" w:cs="Times New Roman"/>
          <w:noProof/>
          <w:kern w:val="0"/>
          <w:szCs w:val="24"/>
        </w:rPr>
        <w:tab/>
        <w:t xml:space="preserve">L. A. Gordon, M. P. Loeb, and L. Zhou, “Integrating cost–benefit analysis into the NIST Cybersecurity Framework via the Gordon–Loeb Model,” </w:t>
      </w:r>
      <w:r w:rsidRPr="00B50C1C">
        <w:rPr>
          <w:rFonts w:ascii="Times New Roman" w:hAnsi="Times New Roman" w:cs="Times New Roman"/>
          <w:i/>
          <w:iCs/>
          <w:noProof/>
          <w:kern w:val="0"/>
          <w:szCs w:val="24"/>
        </w:rPr>
        <w:t>J. Cybersecurity</w:t>
      </w:r>
      <w:r w:rsidRPr="00B50C1C">
        <w:rPr>
          <w:rFonts w:ascii="Times New Roman" w:hAnsi="Times New Roman" w:cs="Times New Roman"/>
          <w:noProof/>
          <w:kern w:val="0"/>
          <w:szCs w:val="24"/>
        </w:rPr>
        <w:t>, vol. 6, no. 1, pp. 1–8, 2020.</w:t>
      </w:r>
    </w:p>
    <w:p w14:paraId="0BA004FD" w14:textId="77777777" w:rsidR="00B50C1C" w:rsidRPr="00B50C1C" w:rsidRDefault="00B50C1C" w:rsidP="00B50C1C">
      <w:pPr>
        <w:autoSpaceDE w:val="0"/>
        <w:autoSpaceDN w:val="0"/>
        <w:adjustRightInd w:val="0"/>
        <w:ind w:left="640" w:hanging="640"/>
        <w:jc w:val="left"/>
        <w:rPr>
          <w:rFonts w:ascii="Times New Roman" w:hAnsi="Times New Roman" w:cs="Times New Roman"/>
          <w:noProof/>
          <w:kern w:val="0"/>
          <w:szCs w:val="24"/>
        </w:rPr>
      </w:pPr>
      <w:r w:rsidRPr="00B50C1C">
        <w:rPr>
          <w:rFonts w:ascii="Times New Roman" w:hAnsi="Times New Roman" w:cs="Times New Roman"/>
          <w:noProof/>
          <w:kern w:val="0"/>
          <w:szCs w:val="24"/>
        </w:rPr>
        <w:t>[7]</w:t>
      </w:r>
      <w:r w:rsidRPr="00B50C1C">
        <w:rPr>
          <w:rFonts w:ascii="Times New Roman" w:hAnsi="Times New Roman" w:cs="Times New Roman"/>
          <w:noProof/>
          <w:kern w:val="0"/>
          <w:szCs w:val="24"/>
        </w:rPr>
        <w:tab/>
        <w:t xml:space="preserve">D. Milicevic and M. Goeken, “Application of models in information security management,” </w:t>
      </w:r>
      <w:r w:rsidRPr="00B50C1C">
        <w:rPr>
          <w:rFonts w:ascii="Times New Roman" w:hAnsi="Times New Roman" w:cs="Times New Roman"/>
          <w:i/>
          <w:iCs/>
          <w:noProof/>
          <w:kern w:val="0"/>
          <w:szCs w:val="24"/>
        </w:rPr>
        <w:t>Proc. - Int. Conf. Res. Challenges Inf. Sci.</w:t>
      </w:r>
      <w:r w:rsidRPr="00B50C1C">
        <w:rPr>
          <w:rFonts w:ascii="Times New Roman" w:hAnsi="Times New Roman" w:cs="Times New Roman"/>
          <w:noProof/>
          <w:kern w:val="0"/>
          <w:szCs w:val="24"/>
        </w:rPr>
        <w:t>, no. May, 2011.</w:t>
      </w:r>
    </w:p>
    <w:p w14:paraId="14EC1C54" w14:textId="77777777" w:rsidR="00B50C1C" w:rsidRPr="00B50C1C" w:rsidRDefault="00B50C1C" w:rsidP="00B50C1C">
      <w:pPr>
        <w:autoSpaceDE w:val="0"/>
        <w:autoSpaceDN w:val="0"/>
        <w:adjustRightInd w:val="0"/>
        <w:ind w:left="640" w:hanging="640"/>
        <w:jc w:val="left"/>
        <w:rPr>
          <w:rFonts w:ascii="Times New Roman" w:hAnsi="Times New Roman" w:cs="Times New Roman"/>
          <w:noProof/>
          <w:kern w:val="0"/>
          <w:szCs w:val="24"/>
        </w:rPr>
      </w:pPr>
      <w:r w:rsidRPr="00B50C1C">
        <w:rPr>
          <w:rFonts w:ascii="Times New Roman" w:hAnsi="Times New Roman" w:cs="Times New Roman"/>
          <w:noProof/>
          <w:kern w:val="0"/>
          <w:szCs w:val="24"/>
        </w:rPr>
        <w:t>[8]</w:t>
      </w:r>
      <w:r w:rsidRPr="00B50C1C">
        <w:rPr>
          <w:rFonts w:ascii="Times New Roman" w:hAnsi="Times New Roman" w:cs="Times New Roman"/>
          <w:noProof/>
          <w:kern w:val="0"/>
          <w:szCs w:val="24"/>
        </w:rPr>
        <w:tab/>
        <w:t xml:space="preserve">S. Fenz and A. Ekelhart, “Verification, validation, and evaluation in information security risk management,” </w:t>
      </w:r>
      <w:r w:rsidRPr="00B50C1C">
        <w:rPr>
          <w:rFonts w:ascii="Times New Roman" w:hAnsi="Times New Roman" w:cs="Times New Roman"/>
          <w:i/>
          <w:iCs/>
          <w:noProof/>
          <w:kern w:val="0"/>
          <w:szCs w:val="24"/>
        </w:rPr>
        <w:t>IEEE Secur. Priv.</w:t>
      </w:r>
      <w:r w:rsidRPr="00B50C1C">
        <w:rPr>
          <w:rFonts w:ascii="Times New Roman" w:hAnsi="Times New Roman" w:cs="Times New Roman"/>
          <w:noProof/>
          <w:kern w:val="0"/>
          <w:szCs w:val="24"/>
        </w:rPr>
        <w:t>, vol. 9, no. 2, pp. 58–65, 2011.</w:t>
      </w:r>
    </w:p>
    <w:p w14:paraId="410781C1" w14:textId="77777777" w:rsidR="00B50C1C" w:rsidRPr="00B50C1C" w:rsidRDefault="00B50C1C" w:rsidP="00B50C1C">
      <w:pPr>
        <w:autoSpaceDE w:val="0"/>
        <w:autoSpaceDN w:val="0"/>
        <w:adjustRightInd w:val="0"/>
        <w:ind w:left="640" w:hanging="640"/>
        <w:jc w:val="left"/>
        <w:rPr>
          <w:rFonts w:ascii="Times New Roman" w:hAnsi="Times New Roman" w:cs="Times New Roman"/>
          <w:noProof/>
          <w:kern w:val="0"/>
          <w:szCs w:val="24"/>
        </w:rPr>
      </w:pPr>
      <w:r w:rsidRPr="00B50C1C">
        <w:rPr>
          <w:rFonts w:ascii="Times New Roman" w:hAnsi="Times New Roman" w:cs="Times New Roman"/>
          <w:noProof/>
          <w:kern w:val="0"/>
          <w:szCs w:val="24"/>
        </w:rPr>
        <w:t>[9]</w:t>
      </w:r>
      <w:r w:rsidRPr="00B50C1C">
        <w:rPr>
          <w:rFonts w:ascii="Times New Roman" w:hAnsi="Times New Roman" w:cs="Times New Roman"/>
          <w:noProof/>
          <w:kern w:val="0"/>
          <w:szCs w:val="24"/>
        </w:rPr>
        <w:tab/>
        <w:t xml:space="preserve">I. Agrafiotis, J. R. C. Nurse, M. Goldsmith, S. Creese, and D. Upton, “A taxonomy of cyber-harms: Defining the impacts of cyber-attacks and understanding how they </w:t>
      </w:r>
      <w:r w:rsidRPr="00B50C1C">
        <w:rPr>
          <w:rFonts w:ascii="Times New Roman" w:hAnsi="Times New Roman" w:cs="Times New Roman"/>
          <w:noProof/>
          <w:kern w:val="0"/>
          <w:szCs w:val="24"/>
        </w:rPr>
        <w:lastRenderedPageBreak/>
        <w:t xml:space="preserve">propagate,” </w:t>
      </w:r>
      <w:r w:rsidRPr="00B50C1C">
        <w:rPr>
          <w:rFonts w:ascii="Times New Roman" w:hAnsi="Times New Roman" w:cs="Times New Roman"/>
          <w:i/>
          <w:iCs/>
          <w:noProof/>
          <w:kern w:val="0"/>
          <w:szCs w:val="24"/>
        </w:rPr>
        <w:t>J. Cybersecurity</w:t>
      </w:r>
      <w:r w:rsidRPr="00B50C1C">
        <w:rPr>
          <w:rFonts w:ascii="Times New Roman" w:hAnsi="Times New Roman" w:cs="Times New Roman"/>
          <w:noProof/>
          <w:kern w:val="0"/>
          <w:szCs w:val="24"/>
        </w:rPr>
        <w:t>, vol. 4, no. 1, pp. 1–15, 2018.</w:t>
      </w:r>
    </w:p>
    <w:p w14:paraId="5809AEA4" w14:textId="77777777" w:rsidR="00B50C1C" w:rsidRPr="00B50C1C" w:rsidRDefault="00B50C1C" w:rsidP="00B50C1C">
      <w:pPr>
        <w:autoSpaceDE w:val="0"/>
        <w:autoSpaceDN w:val="0"/>
        <w:adjustRightInd w:val="0"/>
        <w:ind w:left="640" w:hanging="640"/>
        <w:jc w:val="left"/>
        <w:rPr>
          <w:rFonts w:ascii="Times New Roman" w:hAnsi="Times New Roman" w:cs="Times New Roman"/>
          <w:noProof/>
        </w:rPr>
      </w:pPr>
      <w:r w:rsidRPr="00B50C1C">
        <w:rPr>
          <w:rFonts w:ascii="Times New Roman" w:hAnsi="Times New Roman" w:cs="Times New Roman"/>
          <w:noProof/>
          <w:kern w:val="0"/>
          <w:szCs w:val="24"/>
        </w:rPr>
        <w:t>[10]</w:t>
      </w:r>
      <w:r w:rsidRPr="00B50C1C">
        <w:rPr>
          <w:rFonts w:ascii="Times New Roman" w:hAnsi="Times New Roman" w:cs="Times New Roman"/>
          <w:noProof/>
          <w:kern w:val="0"/>
          <w:szCs w:val="24"/>
        </w:rPr>
        <w:tab/>
        <w:t xml:space="preserve">M. Mylrea, S. N. G. Gourisetti, and A. Nicholls, “An introduction to buildings cybersecurity framework,” </w:t>
      </w:r>
      <w:r w:rsidRPr="00B50C1C">
        <w:rPr>
          <w:rFonts w:ascii="Times New Roman" w:hAnsi="Times New Roman" w:cs="Times New Roman"/>
          <w:i/>
          <w:iCs/>
          <w:noProof/>
          <w:kern w:val="0"/>
          <w:szCs w:val="24"/>
        </w:rPr>
        <w:t>2017 IEEE Symp. Ser. Comput. Intell. SSCI 2017 - Proc.</w:t>
      </w:r>
      <w:r w:rsidRPr="00B50C1C">
        <w:rPr>
          <w:rFonts w:ascii="Times New Roman" w:hAnsi="Times New Roman" w:cs="Times New Roman"/>
          <w:noProof/>
          <w:kern w:val="0"/>
          <w:szCs w:val="24"/>
        </w:rPr>
        <w:t>, vol. 2018-January, pp. 1–7, 2018.</w:t>
      </w:r>
    </w:p>
    <w:p w14:paraId="6CDC3716" w14:textId="19D931BF" w:rsidR="00F91A92" w:rsidRDefault="00A75972">
      <w:pPr>
        <w:rPr>
          <w:rFonts w:ascii="Times New Roman" w:eastAsiaTheme="minorEastAsia" w:hAnsi="Times New Roman" w:cs="Times New Roman"/>
        </w:rPr>
      </w:pPr>
      <w:r>
        <w:rPr>
          <w:rFonts w:ascii="Times New Roman" w:eastAsiaTheme="minorEastAsia" w:hAnsi="Times New Roman" w:cs="Times New Roman"/>
        </w:rPr>
        <w:fldChar w:fldCharType="end"/>
      </w:r>
    </w:p>
    <w:sectPr w:rsidR="00F91A9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WenQuanYi Zen Hei Sharp">
    <w:altName w:val="Times New Roman"/>
    <w:charset w:val="01"/>
    <w:family w:val="auto"/>
    <w:pitch w:val="default"/>
  </w:font>
  <w:font w:name="微软雅黑">
    <w:panose1 w:val="020B0503020204020204"/>
    <w:charset w:val="86"/>
    <w:family w:val="swiss"/>
    <w:pitch w:val="variable"/>
    <w:sig w:usb0="80000287" w:usb1="2ACF3C50" w:usb2="00000016" w:usb3="00000000" w:csb0="0004001F" w:csb1="00000000"/>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D02EAF"/>
    <w:multiLevelType w:val="multilevel"/>
    <w:tmpl w:val="35D02EA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620F337B"/>
    <w:multiLevelType w:val="multilevel"/>
    <w:tmpl w:val="620F337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79BB3D91"/>
    <w:multiLevelType w:val="hybridMultilevel"/>
    <w:tmpl w:val="C206EDB0"/>
    <w:lvl w:ilvl="0" w:tplc="76AE62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bordersDoNotSurroundHeader/>
  <w:bordersDoNotSurroundFooter/>
  <w:hideSpellingErrors/>
  <w:hideGrammaticalError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zNzAxMLa0sDA0MbdU0lEKTi0uzszPAykwqwUAqUr3rCwAAAA="/>
  </w:docVars>
  <w:rsids>
    <w:rsidRoot w:val="00A52270"/>
    <w:rsid w:val="001B3EE9"/>
    <w:rsid w:val="002B62B0"/>
    <w:rsid w:val="002F5AE8"/>
    <w:rsid w:val="0030200F"/>
    <w:rsid w:val="00303410"/>
    <w:rsid w:val="00345E58"/>
    <w:rsid w:val="003E6027"/>
    <w:rsid w:val="004109A5"/>
    <w:rsid w:val="004535FD"/>
    <w:rsid w:val="004B3BE2"/>
    <w:rsid w:val="004C409C"/>
    <w:rsid w:val="004D47DE"/>
    <w:rsid w:val="00566B3A"/>
    <w:rsid w:val="00597749"/>
    <w:rsid w:val="005B22A1"/>
    <w:rsid w:val="006647D6"/>
    <w:rsid w:val="006B02A7"/>
    <w:rsid w:val="007C7566"/>
    <w:rsid w:val="007E5935"/>
    <w:rsid w:val="009158FE"/>
    <w:rsid w:val="00925790"/>
    <w:rsid w:val="009D41EC"/>
    <w:rsid w:val="009D55A1"/>
    <w:rsid w:val="00A52270"/>
    <w:rsid w:val="00A75972"/>
    <w:rsid w:val="00A834B2"/>
    <w:rsid w:val="00A874C1"/>
    <w:rsid w:val="00B50C1C"/>
    <w:rsid w:val="00B8582F"/>
    <w:rsid w:val="00BA2771"/>
    <w:rsid w:val="00BC7EAC"/>
    <w:rsid w:val="00BD2B96"/>
    <w:rsid w:val="00C36C7F"/>
    <w:rsid w:val="00CA42E9"/>
    <w:rsid w:val="00CA45C9"/>
    <w:rsid w:val="00CF4A2A"/>
    <w:rsid w:val="00D43174"/>
    <w:rsid w:val="00D70FDE"/>
    <w:rsid w:val="00E31EE0"/>
    <w:rsid w:val="00E71B02"/>
    <w:rsid w:val="00E71E60"/>
    <w:rsid w:val="00E8594F"/>
    <w:rsid w:val="00ED08B9"/>
    <w:rsid w:val="00ED6388"/>
    <w:rsid w:val="00F612ED"/>
    <w:rsid w:val="00F91A92"/>
    <w:rsid w:val="2F395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C40767A"/>
  <w15:docId w15:val="{B9560F82-DC7C-4C8F-B214-A8B9558B3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eastAsia="Times New Roman"/>
      <w:kern w:val="2"/>
      <w:sz w:val="22"/>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semiHidden/>
    <w:unhideWhenUsed/>
    <w:pPr>
      <w:widowControl/>
      <w:spacing w:before="100" w:beforeAutospacing="1" w:after="100" w:afterAutospacing="1"/>
      <w:jc w:val="left"/>
    </w:pPr>
    <w:rPr>
      <w:rFonts w:ascii="宋体" w:eastAsia="宋体" w:hAnsi="宋体" w:cs="宋体"/>
      <w:kern w:val="0"/>
      <w:sz w:val="24"/>
      <w:szCs w:val="24"/>
    </w:rPr>
  </w:style>
  <w:style w:type="character" w:customStyle="1" w:styleId="a6">
    <w:name w:val="页眉 字符"/>
    <w:basedOn w:val="a0"/>
    <w:link w:val="a5"/>
    <w:uiPriority w:val="99"/>
    <w:rPr>
      <w:rFonts w:eastAsia="Times New Roman"/>
      <w:sz w:val="18"/>
      <w:szCs w:val="18"/>
    </w:rPr>
  </w:style>
  <w:style w:type="character" w:customStyle="1" w:styleId="a4">
    <w:name w:val="页脚 字符"/>
    <w:basedOn w:val="a0"/>
    <w:link w:val="a3"/>
    <w:uiPriority w:val="99"/>
    <w:rPr>
      <w:rFonts w:eastAsia="Times New Roman"/>
      <w:sz w:val="18"/>
      <w:szCs w:val="18"/>
    </w:rPr>
  </w:style>
  <w:style w:type="character" w:customStyle="1" w:styleId="md-plain">
    <w:name w:val="md-plain"/>
    <w:basedOn w:val="a0"/>
  </w:style>
  <w:style w:type="character" w:customStyle="1" w:styleId="10">
    <w:name w:val="标题 1 字符"/>
    <w:basedOn w:val="a0"/>
    <w:link w:val="1"/>
    <w:uiPriority w:val="9"/>
    <w:rPr>
      <w:rFonts w:eastAsia="Times New Roman"/>
      <w:b/>
      <w:bCs/>
      <w:kern w:val="44"/>
      <w:sz w:val="44"/>
      <w:szCs w:val="44"/>
    </w:rPr>
  </w:style>
  <w:style w:type="paragraph" w:styleId="a8">
    <w:name w:val="List Paragraph"/>
    <w:basedOn w:val="a"/>
    <w:uiPriority w:val="34"/>
    <w:qFormat/>
    <w:pPr>
      <w:ind w:firstLineChars="200" w:firstLine="420"/>
    </w:p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package" Target="embeddings/Microsoft_Visio_Drawing.vsdx"/><Relationship Id="rId4" Type="http://schemas.openxmlformats.org/officeDocument/2006/relationships/styles" Target="styles.xml"/><Relationship Id="rId9" Type="http://schemas.openxmlformats.org/officeDocument/2006/relationships/image" Target="media/image3.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3547DC6F-26BB-4124-8735-66AE5778AFA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10</Pages>
  <Words>6657</Words>
  <Characters>37950</Characters>
  <Application>Microsoft Office Word</Application>
  <DocSecurity>0</DocSecurity>
  <Lines>316</Lines>
  <Paragraphs>89</Paragraphs>
  <ScaleCrop>false</ScaleCrop>
  <Company/>
  <LinksUpToDate>false</LinksUpToDate>
  <CharactersWithSpaces>44518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金 亮</dc:creator>
  <cp:lastModifiedBy>金 亮</cp:lastModifiedBy>
  <cp:revision>27</cp:revision>
  <dcterms:created xsi:type="dcterms:W3CDTF">2021-01-09T12:53:00Z</dcterms:created>
  <dcterms:modified xsi:type="dcterms:W3CDTF">2021-01-11T16:02:00Z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a472b167-e085-3d14-a2e9-5dc3ca82476c</vt:lpwstr>
  </property>
  <property fmtid="{D5CDD505-2E9C-101B-9397-08002B2CF9AE}" pid="25" name="Mendeley Citation Style_1">
    <vt:lpwstr>http://www.zotero.org/styles/ieee</vt:lpwstr>
  </property>
</Properties>
</file>