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F0F59"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240F35D0" w14:textId="1F7140F2" w:rsidR="00331B3A" w:rsidRPr="003F2113" w:rsidRDefault="00331B3A" w:rsidP="003F2113">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r w:rsidRPr="003F2113">
        <w:rPr>
          <w:rFonts w:ascii="Arial" w:eastAsia="Times New Roman" w:hAnsi="Arial" w:cs="Arial"/>
          <w:b/>
          <w:bCs/>
          <w:kern w:val="0"/>
          <w:sz w:val="22"/>
          <w:szCs w:val="22"/>
          <w:lang w:eastAsia="en-GB"/>
          <w14:ligatures w14:val="none"/>
        </w:rPr>
        <w:t>Student Name: Tanzeel Khan</w:t>
      </w:r>
    </w:p>
    <w:p w14:paraId="4E6715BB" w14:textId="26EA4562" w:rsidR="00331B3A" w:rsidRPr="003F2113" w:rsidRDefault="00331B3A" w:rsidP="003F2113">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r w:rsidRPr="003F2113">
        <w:rPr>
          <w:rFonts w:ascii="Arial" w:eastAsia="Times New Roman" w:hAnsi="Arial" w:cs="Arial"/>
          <w:b/>
          <w:bCs/>
          <w:kern w:val="0"/>
          <w:sz w:val="22"/>
          <w:szCs w:val="22"/>
          <w:lang w:eastAsia="en-GB"/>
          <w14:ligatures w14:val="none"/>
        </w:rPr>
        <w:t>Student ID: 2221377</w:t>
      </w:r>
    </w:p>
    <w:p w14:paraId="0FB8C16C" w14:textId="77777777" w:rsidR="003F2113" w:rsidRPr="003F2113" w:rsidRDefault="003F2113" w:rsidP="003F2113">
      <w:pPr>
        <w:pStyle w:val="NormalWeb"/>
        <w:spacing w:line="360" w:lineRule="auto"/>
        <w:jc w:val="center"/>
        <w:rPr>
          <w:rFonts w:ascii="Arial" w:hAnsi="Arial" w:cs="Arial"/>
          <w:b/>
          <w:bCs/>
          <w:sz w:val="22"/>
          <w:szCs w:val="22"/>
        </w:rPr>
      </w:pPr>
      <w:r w:rsidRPr="003F2113">
        <w:rPr>
          <w:rFonts w:ascii="Arial" w:hAnsi="Arial" w:cs="Arial"/>
          <w:b/>
          <w:bCs/>
          <w:sz w:val="22"/>
          <w:szCs w:val="22"/>
        </w:rPr>
        <w:t>Module - Health, Wellbeing and Sustainable Development</w:t>
      </w:r>
    </w:p>
    <w:p w14:paraId="3DE0FEA9" w14:textId="77777777" w:rsidR="003F2113" w:rsidRPr="003F2113" w:rsidRDefault="003F2113" w:rsidP="003F2113">
      <w:pPr>
        <w:pStyle w:val="NormalWeb"/>
        <w:spacing w:line="360" w:lineRule="auto"/>
        <w:jc w:val="center"/>
        <w:rPr>
          <w:rFonts w:ascii="Arial" w:hAnsi="Arial" w:cs="Arial"/>
          <w:b/>
          <w:bCs/>
          <w:sz w:val="22"/>
          <w:szCs w:val="22"/>
        </w:rPr>
      </w:pPr>
      <w:r w:rsidRPr="003F2113">
        <w:rPr>
          <w:rFonts w:ascii="Arial" w:hAnsi="Arial" w:cs="Arial"/>
          <w:b/>
          <w:bCs/>
          <w:sz w:val="22"/>
          <w:szCs w:val="22"/>
        </w:rPr>
        <w:t>Module Code BMHP6030</w:t>
      </w:r>
    </w:p>
    <w:p w14:paraId="7B967C99" w14:textId="77777777" w:rsidR="003F2113" w:rsidRPr="003F2113" w:rsidRDefault="003F2113" w:rsidP="003F2113">
      <w:pPr>
        <w:pStyle w:val="NormalWeb"/>
        <w:spacing w:line="360" w:lineRule="auto"/>
        <w:jc w:val="center"/>
        <w:rPr>
          <w:rFonts w:ascii="Arial" w:hAnsi="Arial" w:cs="Arial"/>
          <w:b/>
          <w:bCs/>
          <w:sz w:val="22"/>
          <w:szCs w:val="22"/>
        </w:rPr>
      </w:pPr>
      <w:r w:rsidRPr="003F2113">
        <w:rPr>
          <w:rFonts w:ascii="Arial" w:hAnsi="Arial" w:cs="Arial"/>
          <w:b/>
          <w:bCs/>
          <w:sz w:val="22"/>
          <w:szCs w:val="22"/>
        </w:rPr>
        <w:t>Assignment Title: Component 2: Written Assignment (Report)</w:t>
      </w:r>
    </w:p>
    <w:p w14:paraId="5736E64D" w14:textId="77777777" w:rsidR="003F2113" w:rsidRPr="003F2113" w:rsidRDefault="003F2113" w:rsidP="003F2113">
      <w:pPr>
        <w:pStyle w:val="NormalWeb"/>
        <w:spacing w:line="360" w:lineRule="auto"/>
        <w:jc w:val="center"/>
        <w:rPr>
          <w:rFonts w:ascii="Arial" w:hAnsi="Arial" w:cs="Arial"/>
          <w:b/>
          <w:bCs/>
          <w:sz w:val="22"/>
          <w:szCs w:val="22"/>
        </w:rPr>
      </w:pPr>
      <w:r w:rsidRPr="003F2113">
        <w:rPr>
          <w:rFonts w:ascii="Arial" w:hAnsi="Arial" w:cs="Arial"/>
          <w:b/>
          <w:bCs/>
          <w:sz w:val="22"/>
          <w:szCs w:val="22"/>
        </w:rPr>
        <w:t>Lecturer: Zakkiyah Ahmed</w:t>
      </w:r>
    </w:p>
    <w:p w14:paraId="03F1C54B"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12F60820"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0A70CA11"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60C5D4D2"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46651CAC"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04774C3D"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7AF2ACCB"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72389D31"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13E5D4CD"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64FBB882"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2F48C469"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48129403"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21301742" w14:textId="77777777" w:rsidR="00331B3A" w:rsidRDefault="00331B3A"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69666955" w14:textId="77777777" w:rsidR="003F2113" w:rsidRDefault="003F2113"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03D75B09" w14:textId="1F5A61CB" w:rsidR="00F41E8F" w:rsidRPr="00331B3A" w:rsidRDefault="00F41E8F"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lastRenderedPageBreak/>
        <w:t>Introduction</w:t>
      </w:r>
    </w:p>
    <w:p w14:paraId="77CC12AD"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The Sustainable Development Goals (SDGs) provide a global framework for addressing interconnected challenges relating to health, wellbeing, and environmental sustainability. This report critically examines SDG 3 (Good Health and Wellbeing) and SDG 13 (Climate Action), focusing on how global, national, and local policies influence progress in the United Kingdom, with particular attention to Wolverhampton and the Black Country Integrated Care System (ICS). SDG 3 aims to ensure healthy lives and promote wellbeing for all, with targets addressing maternal and child health, infectious diseases, non</w:t>
      </w:r>
      <w:r w:rsidRPr="00331B3A">
        <w:rPr>
          <w:rFonts w:ascii="Arial" w:eastAsia="Times New Roman" w:hAnsi="Arial" w:cs="Arial"/>
          <w:kern w:val="0"/>
          <w:sz w:val="22"/>
          <w:szCs w:val="22"/>
          <w:lang w:eastAsia="en-GB"/>
          <w14:ligatures w14:val="none"/>
        </w:rPr>
        <w:noBreakHyphen/>
        <w:t>communicable diseases (NCDs), mental health, and access to universal health coverage. SDG 13 seeks urgent action to combat climate change and its impacts, recognising climate change as a major threat to global health, social stability, and sustainable development.</w:t>
      </w:r>
    </w:p>
    <w:p w14:paraId="6AF56FB4"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The UK Government has committed to embedding the SDGs across departmental planning, recognising that health and climate outcomes are deeply interconnected. Climate change directly affects health through air pollution, extreme weather, food insecurity, and changing disease patterns, while health systems themselves contribute to carbon emissions. These impacts disproportionately affect vulnerable communities, exacerbating existing health inequalities.</w:t>
      </w:r>
    </w:p>
    <w:p w14:paraId="64CB4C24"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This report evaluates global frameworks such as the Paris Agreement and WHO strategies, alongside UK national policies including the NHS Long Term Plan, Clean Air Strategy, and Net Zero Strategy. Local initiatives in Wolverhampton and the West Midlands are also examined. Behavioural and social theories — including the Health Belief Model (HBM), Social Cognitive Theory (SCT), and the Socio</w:t>
      </w:r>
      <w:r w:rsidRPr="00331B3A">
        <w:rPr>
          <w:rFonts w:ascii="Arial" w:eastAsia="Times New Roman" w:hAnsi="Arial" w:cs="Arial"/>
          <w:kern w:val="0"/>
          <w:sz w:val="22"/>
          <w:szCs w:val="22"/>
          <w:lang w:eastAsia="en-GB"/>
          <w14:ligatures w14:val="none"/>
        </w:rPr>
        <w:noBreakHyphen/>
        <w:t>Ecological Model (SEM) — are applied to assess how effectively policies address behavioural, environmental, and structural determinants of health and climate vulnerability. The report concludes with recommendations for strengthening policy integration and improving outcomes.</w:t>
      </w:r>
    </w:p>
    <w:p w14:paraId="6634F5BD" w14:textId="0B587D3E" w:rsidR="00F41E8F" w:rsidRPr="00331B3A" w:rsidRDefault="00F41E8F"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 xml:space="preserve">SDG 3: Good Health and </w:t>
      </w:r>
      <w:r w:rsidR="00331B3A" w:rsidRPr="00331B3A">
        <w:rPr>
          <w:rFonts w:ascii="Arial" w:eastAsia="Times New Roman" w:hAnsi="Arial" w:cs="Arial"/>
          <w:kern w:val="0"/>
          <w:sz w:val="22"/>
          <w:szCs w:val="22"/>
          <w:lang w:eastAsia="en-GB"/>
          <w14:ligatures w14:val="none"/>
        </w:rPr>
        <w:t>Well-being</w:t>
      </w:r>
    </w:p>
    <w:p w14:paraId="18C44CBF" w14:textId="1EDABA98" w:rsidR="00F41E8F" w:rsidRPr="00331B3A" w:rsidRDefault="00F41E8F"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Overview</w:t>
      </w:r>
    </w:p>
    <w:p w14:paraId="3DC1033E"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 xml:space="preserve">SDG 3 aims to ensure healthy lives and promote wellbeing for all at all ages. It includes targets to reduce maternal mortality, end preventable deaths of newborns and children, combat communicable diseases, reduce premature mortality from NCDs, and promote mental health. In the UK, progress has been made in areas such as child mortality and access to healthcare, but significant inequalities persist. Health outcomes vary widely by </w:t>
      </w:r>
      <w:r w:rsidRPr="00331B3A">
        <w:rPr>
          <w:rFonts w:ascii="Arial" w:eastAsia="Times New Roman" w:hAnsi="Arial" w:cs="Arial"/>
          <w:kern w:val="0"/>
          <w:sz w:val="22"/>
          <w:szCs w:val="22"/>
          <w:lang w:eastAsia="en-GB"/>
          <w14:ligatures w14:val="none"/>
        </w:rPr>
        <w:lastRenderedPageBreak/>
        <w:t>region, ethnicity, and socioeconomic status, with deprived communities experiencing higher rates of chronic illness, lower life expectancy, and poorer access to preventative services.</w:t>
      </w:r>
    </w:p>
    <w:p w14:paraId="30A642C8" w14:textId="641095FF" w:rsidR="00F41E8F" w:rsidRPr="00331B3A" w:rsidRDefault="00F41E8F"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Global Policies</w:t>
      </w:r>
    </w:p>
    <w:p w14:paraId="755CC3A7"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At the global level, the WHO Universal Health Coverage (UHC) agenda is central to SDG 3. UHC promotes equitable access to essential health services without financial hardship. Despite progress, half the world’s population still lacks access to essential healthcare, and millions are pushed into poverty due to out</w:t>
      </w:r>
      <w:r w:rsidRPr="00331B3A">
        <w:rPr>
          <w:rFonts w:ascii="Arial" w:eastAsia="Times New Roman" w:hAnsi="Arial" w:cs="Arial"/>
          <w:kern w:val="0"/>
          <w:sz w:val="22"/>
          <w:szCs w:val="22"/>
          <w:lang w:eastAsia="en-GB"/>
          <w14:ligatures w14:val="none"/>
        </w:rPr>
        <w:noBreakHyphen/>
        <w:t>of</w:t>
      </w:r>
      <w:r w:rsidRPr="00331B3A">
        <w:rPr>
          <w:rFonts w:ascii="Arial" w:eastAsia="Times New Roman" w:hAnsi="Arial" w:cs="Arial"/>
          <w:kern w:val="0"/>
          <w:sz w:val="22"/>
          <w:szCs w:val="22"/>
          <w:lang w:eastAsia="en-GB"/>
          <w14:ligatures w14:val="none"/>
        </w:rPr>
        <w:noBreakHyphen/>
        <w:t xml:space="preserve">pocket payments. The Global Action Plan for NCDs aims to reduce premature mortality from major chronic diseases, which account for </w:t>
      </w:r>
      <w:proofErr w:type="gramStart"/>
      <w:r w:rsidRPr="00331B3A">
        <w:rPr>
          <w:rFonts w:ascii="Arial" w:eastAsia="Times New Roman" w:hAnsi="Arial" w:cs="Arial"/>
          <w:kern w:val="0"/>
          <w:sz w:val="22"/>
          <w:szCs w:val="22"/>
          <w:lang w:eastAsia="en-GB"/>
          <w14:ligatures w14:val="none"/>
        </w:rPr>
        <w:t>the majority of</w:t>
      </w:r>
      <w:proofErr w:type="gramEnd"/>
      <w:r w:rsidRPr="00331B3A">
        <w:rPr>
          <w:rFonts w:ascii="Arial" w:eastAsia="Times New Roman" w:hAnsi="Arial" w:cs="Arial"/>
          <w:kern w:val="0"/>
          <w:sz w:val="22"/>
          <w:szCs w:val="22"/>
          <w:lang w:eastAsia="en-GB"/>
          <w14:ligatures w14:val="none"/>
        </w:rPr>
        <w:t xml:space="preserve"> global deaths. The International Health Regulations (IHR) provide a framework for global health security, requiring countries to strengthen surveillance and response systems. The COVID</w:t>
      </w:r>
      <w:r w:rsidRPr="00331B3A">
        <w:rPr>
          <w:rFonts w:ascii="Arial" w:eastAsia="Times New Roman" w:hAnsi="Arial" w:cs="Arial"/>
          <w:kern w:val="0"/>
          <w:sz w:val="22"/>
          <w:szCs w:val="22"/>
          <w:lang w:eastAsia="en-GB"/>
          <w14:ligatures w14:val="none"/>
        </w:rPr>
        <w:noBreakHyphen/>
        <w:t>19 pandemic exposed weaknesses in global preparedness, highlighting the need for resilient health systems capable of responding to climate</w:t>
      </w:r>
      <w:r w:rsidRPr="00331B3A">
        <w:rPr>
          <w:rFonts w:ascii="Arial" w:eastAsia="Times New Roman" w:hAnsi="Arial" w:cs="Arial"/>
          <w:kern w:val="0"/>
          <w:sz w:val="22"/>
          <w:szCs w:val="22"/>
          <w:lang w:eastAsia="en-GB"/>
          <w14:ligatures w14:val="none"/>
        </w:rPr>
        <w:noBreakHyphen/>
        <w:t>related health threats such as heatwaves, vector</w:t>
      </w:r>
      <w:r w:rsidRPr="00331B3A">
        <w:rPr>
          <w:rFonts w:ascii="Arial" w:eastAsia="Times New Roman" w:hAnsi="Arial" w:cs="Arial"/>
          <w:kern w:val="0"/>
          <w:sz w:val="22"/>
          <w:szCs w:val="22"/>
          <w:lang w:eastAsia="en-GB"/>
          <w14:ligatures w14:val="none"/>
        </w:rPr>
        <w:noBreakHyphen/>
        <w:t>borne diseases, and air pollution.</w:t>
      </w:r>
    </w:p>
    <w:p w14:paraId="02CAC513" w14:textId="0125B1FE" w:rsidR="00F41E8F" w:rsidRPr="00331B3A" w:rsidRDefault="00F41E8F"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National Policies (United Kingdom)</w:t>
      </w:r>
    </w:p>
    <w:p w14:paraId="37F7107E"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The NHS Long Term Plan (2019) sets out priorities for prevention, mental health, and integrated care. It aligns strongly with SDG 3 by focusing on early intervention, personalised care, and reducing health inequalities. However, the NHS faces challenges including workforce shortages, rising demand, and funding pressures, which limit progress. The UK’s SDG 3 progress reports highlight persistent inequalities in access to healthcare and outcomes, particularly for deprived communities and minority ethnic groups.</w:t>
      </w:r>
    </w:p>
    <w:p w14:paraId="1C407A29"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The Clean Air Strategy (2019) aims to reduce air pollution, a major contributor to respiratory and cardiovascular disease. Air pollution remains a significant health inequality issue, disproportionately affecting deprived communities and contributing to thousands of premature deaths annually. Road safety is also a key SDG 3 target (3.6). The UK monitors progress through reductions in road casualties, but concerns remain about disparities in road safety outcomes across regions.</w:t>
      </w:r>
    </w:p>
    <w:p w14:paraId="709B2CD7"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The Women’s Health Strategy for England (2022) addresses gender disparities in health outcomes, including reproductive health, menopause, and access to services. This aligns with SDG 3’s focus on maternal health and gender equity.</w:t>
      </w:r>
    </w:p>
    <w:p w14:paraId="0C142BEB" w14:textId="0B9D1AEA" w:rsidR="00F41E8F" w:rsidRPr="00331B3A" w:rsidRDefault="00F41E8F"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Local Policies: Wolverhampton &amp; Black Country ICS</w:t>
      </w:r>
    </w:p>
    <w:p w14:paraId="7CE59AED"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lastRenderedPageBreak/>
        <w:t>Wolverhampton delivers a range of public health programmes, including smoking cessation, weight management, mental health support, and vaccination campaigns. The Black Country ICS prioritises reducing health inequalities, improving access to primary care, and strengthening community</w:t>
      </w:r>
      <w:r w:rsidRPr="00331B3A">
        <w:rPr>
          <w:rFonts w:ascii="Arial" w:eastAsia="Times New Roman" w:hAnsi="Arial" w:cs="Arial"/>
          <w:kern w:val="0"/>
          <w:sz w:val="22"/>
          <w:szCs w:val="22"/>
          <w:lang w:eastAsia="en-GB"/>
          <w14:ligatures w14:val="none"/>
        </w:rPr>
        <w:noBreakHyphen/>
        <w:t>based services. Local data shows significant disparities in life expectancy and chronic disease prevalence, particularly in areas such as Bilston, where socioeconomic deprivation contributes to higher rates of diabetes, cardiovascular disease, and respiratory illness.</w:t>
      </w:r>
    </w:p>
    <w:p w14:paraId="0F757E05" w14:textId="4281CE46"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Climate</w:t>
      </w:r>
      <w:r w:rsidRPr="00331B3A">
        <w:rPr>
          <w:rFonts w:ascii="Arial" w:eastAsia="Times New Roman" w:hAnsi="Arial" w:cs="Arial"/>
          <w:kern w:val="0"/>
          <w:sz w:val="22"/>
          <w:szCs w:val="22"/>
          <w:lang w:eastAsia="en-GB"/>
          <w14:ligatures w14:val="none"/>
        </w:rPr>
        <w:noBreakHyphen/>
        <w:t xml:space="preserve">related health </w:t>
      </w:r>
      <w:proofErr w:type="gramStart"/>
      <w:r w:rsidRPr="00331B3A">
        <w:rPr>
          <w:rFonts w:ascii="Arial" w:eastAsia="Times New Roman" w:hAnsi="Arial" w:cs="Arial"/>
          <w:kern w:val="0"/>
          <w:sz w:val="22"/>
          <w:szCs w:val="22"/>
          <w:lang w:eastAsia="en-GB"/>
          <w14:ligatures w14:val="none"/>
        </w:rPr>
        <w:t>risks  including</w:t>
      </w:r>
      <w:proofErr w:type="gramEnd"/>
      <w:r w:rsidRPr="00331B3A">
        <w:rPr>
          <w:rFonts w:ascii="Arial" w:eastAsia="Times New Roman" w:hAnsi="Arial" w:cs="Arial"/>
          <w:kern w:val="0"/>
          <w:sz w:val="22"/>
          <w:szCs w:val="22"/>
          <w:lang w:eastAsia="en-GB"/>
          <w14:ligatures w14:val="none"/>
        </w:rPr>
        <w:t xml:space="preserve"> heatwaves, poor air quality, and flooding</w:t>
      </w:r>
      <w:r w:rsidR="003F2113">
        <w:rPr>
          <w:rFonts w:ascii="Arial" w:eastAsia="Times New Roman" w:hAnsi="Arial" w:cs="Arial"/>
          <w:kern w:val="0"/>
          <w:sz w:val="22"/>
          <w:szCs w:val="22"/>
          <w:lang w:eastAsia="en-GB"/>
          <w14:ligatures w14:val="none"/>
        </w:rPr>
        <w:t xml:space="preserve"> </w:t>
      </w:r>
      <w:r w:rsidRPr="00331B3A">
        <w:rPr>
          <w:rFonts w:ascii="Arial" w:eastAsia="Times New Roman" w:hAnsi="Arial" w:cs="Arial"/>
          <w:kern w:val="0"/>
          <w:sz w:val="22"/>
          <w:szCs w:val="22"/>
          <w:lang w:eastAsia="en-GB"/>
          <w14:ligatures w14:val="none"/>
        </w:rPr>
        <w:t>disproportionately affect deprived communities in the West Midlands. These risks compound existing health inequalities and place additional pressure on local health services.</w:t>
      </w:r>
    </w:p>
    <w:p w14:paraId="29704C7A" w14:textId="56C393B0" w:rsidR="00F41E8F" w:rsidRPr="00331B3A" w:rsidRDefault="00F41E8F"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Application of Theories and Models</w:t>
      </w:r>
    </w:p>
    <w:p w14:paraId="5432A2CF"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The Health Belief Model (HBM) helps explain how individuals perceive health risks and make decisions about preventative behaviours. Wolverhampton’s smoking cessation and vaccination campaigns use risk</w:t>
      </w:r>
      <w:r w:rsidRPr="00331B3A">
        <w:rPr>
          <w:rFonts w:ascii="Arial" w:eastAsia="Times New Roman" w:hAnsi="Arial" w:cs="Arial"/>
          <w:kern w:val="0"/>
          <w:sz w:val="22"/>
          <w:szCs w:val="22"/>
          <w:lang w:eastAsia="en-GB"/>
          <w14:ligatures w14:val="none"/>
        </w:rPr>
        <w:noBreakHyphen/>
        <w:t>based messaging to increase perceived susceptibility and benefits.</w:t>
      </w:r>
    </w:p>
    <w:p w14:paraId="359CCBC5"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Social Cognitive Theory (SCT) emphasises role modelling, social norms, and self</w:t>
      </w:r>
      <w:r w:rsidRPr="00331B3A">
        <w:rPr>
          <w:rFonts w:ascii="Arial" w:eastAsia="Times New Roman" w:hAnsi="Arial" w:cs="Arial"/>
          <w:kern w:val="0"/>
          <w:sz w:val="22"/>
          <w:szCs w:val="22"/>
          <w:lang w:eastAsia="en-GB"/>
          <w14:ligatures w14:val="none"/>
        </w:rPr>
        <w:noBreakHyphen/>
        <w:t>efficacy. Community</w:t>
      </w:r>
      <w:r w:rsidRPr="00331B3A">
        <w:rPr>
          <w:rFonts w:ascii="Arial" w:eastAsia="Times New Roman" w:hAnsi="Arial" w:cs="Arial"/>
          <w:kern w:val="0"/>
          <w:sz w:val="22"/>
          <w:szCs w:val="22"/>
          <w:lang w:eastAsia="en-GB"/>
          <w14:ligatures w14:val="none"/>
        </w:rPr>
        <w:noBreakHyphen/>
        <w:t>led physical activity programmes in Wolverhampton use local champions to influence behaviour and build confidence.</w:t>
      </w:r>
    </w:p>
    <w:p w14:paraId="5B4225F9"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The Socio</w:t>
      </w:r>
      <w:r w:rsidRPr="00331B3A">
        <w:rPr>
          <w:rFonts w:ascii="Arial" w:eastAsia="Times New Roman" w:hAnsi="Arial" w:cs="Arial"/>
          <w:kern w:val="0"/>
          <w:sz w:val="22"/>
          <w:szCs w:val="22"/>
          <w:lang w:eastAsia="en-GB"/>
          <w14:ligatures w14:val="none"/>
        </w:rPr>
        <w:noBreakHyphen/>
        <w:t>Ecological Model (SEM) highlights how health behaviours are shaped by individual, interpersonal, community, and policy factors. SEM is particularly relevant to SDG 3 because health outcomes are influenced by environmental conditions, including climate</w:t>
      </w:r>
      <w:r w:rsidRPr="00331B3A">
        <w:rPr>
          <w:rFonts w:ascii="Arial" w:eastAsia="Times New Roman" w:hAnsi="Arial" w:cs="Arial"/>
          <w:kern w:val="0"/>
          <w:sz w:val="22"/>
          <w:szCs w:val="22"/>
          <w:lang w:eastAsia="en-GB"/>
          <w14:ligatures w14:val="none"/>
        </w:rPr>
        <w:noBreakHyphen/>
        <w:t>related risks such as air pollution and heat exposure.</w:t>
      </w:r>
    </w:p>
    <w:p w14:paraId="13B7A065" w14:textId="22E1DAE2" w:rsidR="00F41E8F" w:rsidRPr="00331B3A" w:rsidRDefault="00F41E8F"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Critical Evaluation</w:t>
      </w:r>
    </w:p>
    <w:p w14:paraId="0690FB7E"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Strengths of UK health policies include strong alignment with SDG 3, investment in prevention, and recognition of inequalities. The NHS Long Term Plan provides a clear framework for improving health outcomes, and local initiatives demonstrate innovation and community engagement. However, limitations include persistent regional health inequalities, underfunding of public health services, and limited integration of climate</w:t>
      </w:r>
      <w:r w:rsidRPr="00331B3A">
        <w:rPr>
          <w:rFonts w:ascii="Arial" w:eastAsia="Times New Roman" w:hAnsi="Arial" w:cs="Arial"/>
          <w:kern w:val="0"/>
          <w:sz w:val="22"/>
          <w:szCs w:val="22"/>
          <w:lang w:eastAsia="en-GB"/>
          <w14:ligatures w14:val="none"/>
        </w:rPr>
        <w:noBreakHyphen/>
        <w:t>health considerations. Many policies rely heavily on individual behaviour change, without addressing structural determinants such as housing quality, employment, and environmental conditions.</w:t>
      </w:r>
    </w:p>
    <w:p w14:paraId="030CB81D" w14:textId="0078E093" w:rsidR="00F41E8F" w:rsidRPr="00331B3A" w:rsidRDefault="00F41E8F"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lastRenderedPageBreak/>
        <w:t>Recommendations</w:t>
      </w:r>
    </w:p>
    <w:p w14:paraId="19FFF1E0" w14:textId="77777777" w:rsidR="00F41E8F" w:rsidRPr="00331B3A" w:rsidRDefault="00F41E8F" w:rsidP="00331B3A">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Integrate climate</w:t>
      </w:r>
      <w:r w:rsidRPr="00331B3A">
        <w:rPr>
          <w:rFonts w:ascii="Arial" w:eastAsia="Times New Roman" w:hAnsi="Arial" w:cs="Arial"/>
          <w:kern w:val="0"/>
          <w:sz w:val="22"/>
          <w:szCs w:val="22"/>
          <w:lang w:eastAsia="en-GB"/>
          <w14:ligatures w14:val="none"/>
        </w:rPr>
        <w:noBreakHyphen/>
        <w:t>health risk assessments into all public health planning.</w:t>
      </w:r>
    </w:p>
    <w:p w14:paraId="0AEEE0D8" w14:textId="77777777" w:rsidR="00F41E8F" w:rsidRPr="00331B3A" w:rsidRDefault="00F41E8F" w:rsidP="00331B3A">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Increase investment in prevention and community</w:t>
      </w:r>
      <w:r w:rsidRPr="00331B3A">
        <w:rPr>
          <w:rFonts w:ascii="Arial" w:eastAsia="Times New Roman" w:hAnsi="Arial" w:cs="Arial"/>
          <w:kern w:val="0"/>
          <w:sz w:val="22"/>
          <w:szCs w:val="22"/>
          <w:lang w:eastAsia="en-GB"/>
          <w14:ligatures w14:val="none"/>
        </w:rPr>
        <w:noBreakHyphen/>
        <w:t>based services.</w:t>
      </w:r>
    </w:p>
    <w:p w14:paraId="09346702" w14:textId="77777777" w:rsidR="00F41E8F" w:rsidRPr="00331B3A" w:rsidRDefault="00F41E8F" w:rsidP="00331B3A">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Strengthen cross</w:t>
      </w:r>
      <w:r w:rsidRPr="00331B3A">
        <w:rPr>
          <w:rFonts w:ascii="Arial" w:eastAsia="Times New Roman" w:hAnsi="Arial" w:cs="Arial"/>
          <w:kern w:val="0"/>
          <w:sz w:val="22"/>
          <w:szCs w:val="22"/>
          <w:lang w:eastAsia="en-GB"/>
          <w14:ligatures w14:val="none"/>
        </w:rPr>
        <w:noBreakHyphen/>
        <w:t>sector collaboration with housing, transport, and environmental agencies.</w:t>
      </w:r>
    </w:p>
    <w:p w14:paraId="3A607578" w14:textId="77777777" w:rsidR="00F41E8F" w:rsidRPr="00331B3A" w:rsidRDefault="00F41E8F" w:rsidP="00331B3A">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Improve data collection on climate</w:t>
      </w:r>
      <w:r w:rsidRPr="00331B3A">
        <w:rPr>
          <w:rFonts w:ascii="Arial" w:eastAsia="Times New Roman" w:hAnsi="Arial" w:cs="Arial"/>
          <w:kern w:val="0"/>
          <w:sz w:val="22"/>
          <w:szCs w:val="22"/>
          <w:lang w:eastAsia="en-GB"/>
          <w14:ligatures w14:val="none"/>
        </w:rPr>
        <w:noBreakHyphen/>
        <w:t>related health inequalities.</w:t>
      </w:r>
    </w:p>
    <w:p w14:paraId="218749D9" w14:textId="77777777" w:rsidR="00F41E8F" w:rsidRPr="00331B3A" w:rsidRDefault="00F41E8F" w:rsidP="00331B3A">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Expand culturally tailored interventions in deprived communities.</w:t>
      </w:r>
    </w:p>
    <w:p w14:paraId="6A57CABB" w14:textId="532189B7" w:rsidR="00BF7B72" w:rsidRPr="00331B3A" w:rsidRDefault="00BF7B72"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SDG 13 – Climate Action</w:t>
      </w:r>
    </w:p>
    <w:p w14:paraId="31E5B6F8" w14:textId="7ACBCB49" w:rsidR="00BF7B72" w:rsidRPr="00331B3A" w:rsidRDefault="00BF7B72"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Overview</w:t>
      </w:r>
    </w:p>
    <w:p w14:paraId="6400CFB2" w14:textId="09B53E9D" w:rsidR="00BA150E" w:rsidRPr="00BA150E"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SDG 13, Climate Action, calls for urgent measures to combat climate change and its far-reaching impacts. Climate change is widely recognised as one of the greatest threats to global health in the 21st century. Rising temperatures, extreme weather events, and changes in precipitation patterns influence air quality, alter disease transmission patterns, disrupt food systems, and exacerbate mental health challenges. Vulnerable populations</w:t>
      </w:r>
      <w:r w:rsidR="003F2113">
        <w:rPr>
          <w:rFonts w:ascii="Arial" w:eastAsia="Times New Roman" w:hAnsi="Arial" w:cs="Arial"/>
          <w:kern w:val="0"/>
          <w:sz w:val="22"/>
          <w:szCs w:val="22"/>
          <w:lang w:eastAsia="en-GB"/>
          <w14:ligatures w14:val="none"/>
        </w:rPr>
        <w:t xml:space="preserve"> </w:t>
      </w:r>
      <w:r w:rsidRPr="00BA150E">
        <w:rPr>
          <w:rFonts w:ascii="Arial" w:eastAsia="Times New Roman" w:hAnsi="Arial" w:cs="Arial"/>
          <w:kern w:val="0"/>
          <w:sz w:val="22"/>
          <w:szCs w:val="22"/>
          <w:lang w:eastAsia="en-GB"/>
          <w14:ligatures w14:val="none"/>
        </w:rPr>
        <w:t>such as older adults, children, and low-income communities</w:t>
      </w:r>
      <w:r w:rsidR="003F2113">
        <w:rPr>
          <w:rFonts w:ascii="Arial" w:eastAsia="Times New Roman" w:hAnsi="Arial" w:cs="Arial"/>
          <w:kern w:val="0"/>
          <w:sz w:val="22"/>
          <w:szCs w:val="22"/>
          <w:lang w:eastAsia="en-GB"/>
          <w14:ligatures w14:val="none"/>
        </w:rPr>
        <w:t xml:space="preserve"> </w:t>
      </w:r>
      <w:r w:rsidRPr="00BA150E">
        <w:rPr>
          <w:rFonts w:ascii="Arial" w:eastAsia="Times New Roman" w:hAnsi="Arial" w:cs="Arial"/>
          <w:kern w:val="0"/>
          <w:sz w:val="22"/>
          <w:szCs w:val="22"/>
          <w:lang w:eastAsia="en-GB"/>
          <w14:ligatures w14:val="none"/>
        </w:rPr>
        <w:t>are disproportionately affected by these health risks. In the United Kingdom, climate-related hazards are increasingly evident. The country is experiencing more frequent and severe heatwaves, higher risks of flooding, and deteriorating air quality. These events pose direct threats to public health, including heat-related illnesses, respiratory conditions, and stress-related disorders, as well as indirect pressures on healthcare systems. Climate change therefore intersects with social, economic, and environmental dimensions, necessitating coordinated and multi-level action.</w:t>
      </w:r>
    </w:p>
    <w:p w14:paraId="0E2CC81E" w14:textId="69BC926B" w:rsidR="00BA150E" w:rsidRPr="00BA150E" w:rsidRDefault="00BA150E"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Global Policies</w:t>
      </w:r>
    </w:p>
    <w:p w14:paraId="09C2E840" w14:textId="21724A57" w:rsidR="00BF7B72" w:rsidRPr="00331B3A"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 xml:space="preserve">At the international level, climate action is framed primarily by the Paris Agreement (2015), which commits signatories to limit global warming to well below 2°C, aiming for 1.5°C where possible. This agreement underlines the urgent need for both mitigation and adaptation strategies to limit catastrophic climate impacts. The Intergovernmental Panel on Climate Change (IPCC) consistently warns that delayed action will drastically reduce the window for maintaining a liveable planet, describing climate change as “an atlas of human suffering” due to its multifaceted effects on ecosystems, economies, and human health. Complementing this, the World Health </w:t>
      </w:r>
      <w:r w:rsidR="003F2113">
        <w:rPr>
          <w:rFonts w:ascii="Arial" w:eastAsia="Times New Roman" w:hAnsi="Arial" w:cs="Arial"/>
          <w:kern w:val="0"/>
          <w:sz w:val="22"/>
          <w:szCs w:val="22"/>
          <w:lang w:eastAsia="en-GB"/>
          <w14:ligatures w14:val="none"/>
        </w:rPr>
        <w:t>Organisation</w:t>
      </w:r>
      <w:r w:rsidRPr="00BA150E">
        <w:rPr>
          <w:rFonts w:ascii="Arial" w:eastAsia="Times New Roman" w:hAnsi="Arial" w:cs="Arial"/>
          <w:kern w:val="0"/>
          <w:sz w:val="22"/>
          <w:szCs w:val="22"/>
          <w:lang w:eastAsia="en-GB"/>
          <w14:ligatures w14:val="none"/>
        </w:rPr>
        <w:t xml:space="preserve"> (WHO) Climate Change and Health Strategy </w:t>
      </w:r>
      <w:proofErr w:type="gramStart"/>
      <w:r w:rsidRPr="00BA150E">
        <w:rPr>
          <w:rFonts w:ascii="Arial" w:eastAsia="Times New Roman" w:hAnsi="Arial" w:cs="Arial"/>
          <w:kern w:val="0"/>
          <w:sz w:val="22"/>
          <w:szCs w:val="22"/>
          <w:lang w:eastAsia="en-GB"/>
          <w14:ligatures w14:val="none"/>
        </w:rPr>
        <w:t>emphasises</w:t>
      </w:r>
      <w:proofErr w:type="gramEnd"/>
      <w:r w:rsidRPr="00BA150E">
        <w:rPr>
          <w:rFonts w:ascii="Arial" w:eastAsia="Times New Roman" w:hAnsi="Arial" w:cs="Arial"/>
          <w:kern w:val="0"/>
          <w:sz w:val="22"/>
          <w:szCs w:val="22"/>
          <w:lang w:eastAsia="en-GB"/>
          <w14:ligatures w14:val="none"/>
        </w:rPr>
        <w:t xml:space="preserve"> integrating health considerations into climate policies, advocating for climate-resilient health systems capable of withstanding extreme weather events, disease outbreaks, </w:t>
      </w:r>
      <w:r w:rsidRPr="00BA150E">
        <w:rPr>
          <w:rFonts w:ascii="Arial" w:eastAsia="Times New Roman" w:hAnsi="Arial" w:cs="Arial"/>
          <w:kern w:val="0"/>
          <w:sz w:val="22"/>
          <w:szCs w:val="22"/>
          <w:lang w:eastAsia="en-GB"/>
          <w14:ligatures w14:val="none"/>
        </w:rPr>
        <w:lastRenderedPageBreak/>
        <w:t>and other climate-related stresses. These frameworks collectively highlight that health, equity, and environmental sustainability must be central to global climate action.</w:t>
      </w:r>
    </w:p>
    <w:p w14:paraId="67C818D6" w14:textId="233D8278" w:rsidR="00BA150E" w:rsidRPr="00BA150E"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National Policies: United Kingdom</w:t>
      </w:r>
    </w:p>
    <w:p w14:paraId="026DBAAA" w14:textId="77777777" w:rsidR="00BA150E" w:rsidRPr="00BA150E"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In the UK, climate policy is shaped by several key initiatives. The UK Net Zero Strategy (2021) outlines a pathway for the nation to achieve net-zero greenhouse gas emissions by 2050. Measures include decarbonising transport, enhancing energy efficiency in buildings, and expanding renewable energy sources. Despite these ambitious goals, critics argue that implementation has been slow and inconsistent, with insufficient funding and unclear mechanisms for monitoring progress. According to the Sustainable Development Report, the UK faces “significant challenges” in meeting SDG 13, particularly in areas related to climate adaptation and health protection. The Clean Air Strategy (2019) specifically targets air pollution, a major climate-related health risk that contributes to tens of thousands of premature deaths each year. Similarly, the Heatwave Plan for England provides guidance for protecting populations during extreme heat events, particularly vulnerable individuals, which are becoming more frequent and severe due to climate change. These policies indicate recognition of health risks but reveal gaps in implementation, particularly in addressing inequalities in exposure and resilience.</w:t>
      </w:r>
    </w:p>
    <w:p w14:paraId="469EB4F8" w14:textId="76F88C74" w:rsidR="00BA150E" w:rsidRPr="00BA150E" w:rsidRDefault="00BA150E"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Local Policies: Wolverhampton &amp; West Midlands</w:t>
      </w:r>
    </w:p>
    <w:p w14:paraId="51916430" w14:textId="04FF5D76" w:rsidR="00BA150E" w:rsidRPr="00BA150E"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 xml:space="preserve">At the regional level, Wolverhampton, as part of the West Midlands Combined Authority (WMCA) Climate Strategy, has committed to becoming carbon neutral by 2041. Local initiatives include enhancing air quality monitoring, expanding green spaces, promoting active travel such as cycling and walking, and investing in energy-efficient housing. Despite these efforts, the region faces significant climate threats, including extreme heat, flooding, and air pollution. These hazards disproportionately affect deprived communities, exacerbating existing health inequalities. Vulnerable populations often have less access to healthcare resources, lower-quality housing, and fewer opportunities to engage in adaptive </w:t>
      </w:r>
      <w:proofErr w:type="spellStart"/>
      <w:r w:rsidRPr="00BA150E">
        <w:rPr>
          <w:rFonts w:ascii="Arial" w:eastAsia="Times New Roman" w:hAnsi="Arial" w:cs="Arial"/>
          <w:kern w:val="0"/>
          <w:sz w:val="22"/>
          <w:szCs w:val="22"/>
          <w:lang w:eastAsia="en-GB"/>
          <w14:ligatures w14:val="none"/>
        </w:rPr>
        <w:t>behaviors</w:t>
      </w:r>
      <w:proofErr w:type="spellEnd"/>
      <w:r w:rsidRPr="00BA150E">
        <w:rPr>
          <w:rFonts w:ascii="Arial" w:eastAsia="Times New Roman" w:hAnsi="Arial" w:cs="Arial"/>
          <w:kern w:val="0"/>
          <w:sz w:val="22"/>
          <w:szCs w:val="22"/>
          <w:lang w:eastAsia="en-GB"/>
          <w14:ligatures w14:val="none"/>
        </w:rPr>
        <w:t>, such as cooling homes during heatwaves or using clean transport alternatives. Local health services, therefore, face added pressure, highlighting the need for targeted adaptation strategies that prioriti</w:t>
      </w:r>
      <w:r w:rsidR="003F2113">
        <w:rPr>
          <w:rFonts w:ascii="Arial" w:eastAsia="Times New Roman" w:hAnsi="Arial" w:cs="Arial"/>
          <w:kern w:val="0"/>
          <w:sz w:val="22"/>
          <w:szCs w:val="22"/>
          <w:lang w:eastAsia="en-GB"/>
          <w14:ligatures w14:val="none"/>
        </w:rPr>
        <w:t>s</w:t>
      </w:r>
      <w:r w:rsidRPr="00BA150E">
        <w:rPr>
          <w:rFonts w:ascii="Arial" w:eastAsia="Times New Roman" w:hAnsi="Arial" w:cs="Arial"/>
          <w:kern w:val="0"/>
          <w:sz w:val="22"/>
          <w:szCs w:val="22"/>
          <w:lang w:eastAsia="en-GB"/>
          <w14:ligatures w14:val="none"/>
        </w:rPr>
        <w:t>e the most at-risk communities.</w:t>
      </w:r>
    </w:p>
    <w:p w14:paraId="51BD6AF7" w14:textId="6B300E9C" w:rsidR="00BA150E" w:rsidRPr="00BA150E" w:rsidRDefault="00BA150E"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Application of Theories and Models</w:t>
      </w:r>
    </w:p>
    <w:p w14:paraId="6ABD644A" w14:textId="77777777" w:rsidR="00BA150E" w:rsidRPr="00BA150E"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 xml:space="preserve">Behavioural science and public health frameworks provide valuable tools for understanding and addressing climate-related challenges. The Socio-Ecological Model (SEM) illustrates </w:t>
      </w:r>
      <w:r w:rsidRPr="00BA150E">
        <w:rPr>
          <w:rFonts w:ascii="Arial" w:eastAsia="Times New Roman" w:hAnsi="Arial" w:cs="Arial"/>
          <w:kern w:val="0"/>
          <w:sz w:val="22"/>
          <w:szCs w:val="22"/>
          <w:lang w:eastAsia="en-GB"/>
          <w14:ligatures w14:val="none"/>
        </w:rPr>
        <w:lastRenderedPageBreak/>
        <w:t>how individual behaviour is shaped by interactions across multiple levels, including community infrastructure, social norms, and policy environments. For instance, the presence of safe cycling lanes encourages active travel, which reduces carbon emissions and promotes health. The Social Cognitive Theory (SCT) can guide campaigns aimed at promoting energy conservation and sustainable transport, emphasizing self-efficacy, observational learning, and outcome expectations. Meanwhile, the Health Belief Model (HBM) helps explain public responses to climate risks, such as compliance with heatwave warnings or adherence to air pollution alerts, by highlighting perceived susceptibility, severity, benefits, and barriers. These models demonstrate the potential of combining policy and behaviour change strategies to achieve climate and health goals.</w:t>
      </w:r>
    </w:p>
    <w:p w14:paraId="7EBD4D8F" w14:textId="4AE39077" w:rsidR="00BA150E" w:rsidRPr="00BA150E" w:rsidRDefault="00BA150E"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Critical Evaluation</w:t>
      </w:r>
    </w:p>
    <w:p w14:paraId="3F556F9E" w14:textId="77777777" w:rsidR="00BA150E" w:rsidRPr="00BA150E"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UK climate policies have several strengths, including ambitious long-term targets and a strong legislative foundation. Policies such as the Net Zero Strategy and the Clean Air Strategy demonstrate clear intent to address both environmental and health outcomes. However, limitations remain. Progress toward net-zero emissions is slow, adaptation funding is limited, and integration of health considerations into climate policy is insufficient. Regional inequalities are evident, with deprived communities experiencing higher exposure to climate hazards and reduced adaptive capacity. Local initiatives, while ambitious, often lack adequate funding, long-term planning, and meaningful community engagement, which undermines their potential effectiveness. Overall, while frameworks are in place, translation into practical, equitable, and sustainable action remains a challenge.</w:t>
      </w:r>
    </w:p>
    <w:p w14:paraId="4BA7E63A" w14:textId="31A806F9" w:rsidR="00BA150E" w:rsidRPr="00BA150E" w:rsidRDefault="00BA150E" w:rsidP="00331B3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Recommendations</w:t>
      </w:r>
    </w:p>
    <w:p w14:paraId="03381325" w14:textId="77777777" w:rsidR="00BA150E" w:rsidRPr="00BA150E" w:rsidRDefault="00BA150E"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To enhance the UK’s response to SDG 13, several actions are recommended:</w:t>
      </w:r>
    </w:p>
    <w:p w14:paraId="19431E47" w14:textId="77777777" w:rsidR="00BA150E" w:rsidRPr="00BA150E" w:rsidRDefault="00BA150E" w:rsidP="00331B3A">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Strengthen integration of health and climate policies, ensuring that public health outcomes are central to climate strategies.</w:t>
      </w:r>
    </w:p>
    <w:p w14:paraId="3EED473D" w14:textId="77777777" w:rsidR="00BA150E" w:rsidRPr="00BA150E" w:rsidRDefault="00BA150E" w:rsidP="00331B3A">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Increase investment in climate adaptation, particularly in deprived areas that face higher vulnerability to heat, flooding, and air pollution.</w:t>
      </w:r>
    </w:p>
    <w:p w14:paraId="2FD2B78B" w14:textId="77777777" w:rsidR="00BA150E" w:rsidRPr="00BA150E" w:rsidRDefault="00BA150E" w:rsidP="00331B3A">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Expand public awareness campaigns that leverage behavioural science to promote energy conservation, sustainable travel, and preparedness for extreme weather events.</w:t>
      </w:r>
    </w:p>
    <w:p w14:paraId="41D814CE" w14:textId="77777777" w:rsidR="00BA150E" w:rsidRPr="00BA150E" w:rsidRDefault="00BA150E" w:rsidP="00331B3A">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t>Improve local air quality monitoring, expand green infrastructure, and develop urban planning initiatives that mitigate heat islands and improve resilience.</w:t>
      </w:r>
    </w:p>
    <w:p w14:paraId="48D8BA06" w14:textId="583BDBBB" w:rsidR="00BA150E" w:rsidRPr="00331B3A" w:rsidRDefault="00BA150E" w:rsidP="00331B3A">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BA150E">
        <w:rPr>
          <w:rFonts w:ascii="Arial" w:eastAsia="Times New Roman" w:hAnsi="Arial" w:cs="Arial"/>
          <w:kern w:val="0"/>
          <w:sz w:val="22"/>
          <w:szCs w:val="22"/>
          <w:lang w:eastAsia="en-GB"/>
          <w14:ligatures w14:val="none"/>
        </w:rPr>
        <w:lastRenderedPageBreak/>
        <w:t>Ensure climate policies explicitly address health inequalities, prioritising resources and support for vulnerable populations, including older adults, children, and low-income households.</w:t>
      </w:r>
    </w:p>
    <w:p w14:paraId="3F8A3952" w14:textId="2ADC0D34" w:rsidR="00F41E8F" w:rsidRPr="00331B3A" w:rsidRDefault="00F41E8F" w:rsidP="00331B3A">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Conclusion</w:t>
      </w:r>
    </w:p>
    <w:p w14:paraId="34C5E42B"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This report has critically examined SDG 3 and SDG 13 across global, national, and local levels, demonstrating their interconnectedness and importance for sustainable development. Global frameworks such as the Paris Agreement and WHO climate</w:t>
      </w:r>
      <w:r w:rsidRPr="00331B3A">
        <w:rPr>
          <w:rFonts w:ascii="Arial" w:eastAsia="Times New Roman" w:hAnsi="Arial" w:cs="Arial"/>
          <w:kern w:val="0"/>
          <w:sz w:val="22"/>
          <w:szCs w:val="22"/>
          <w:lang w:eastAsia="en-GB"/>
          <w14:ligatures w14:val="none"/>
        </w:rPr>
        <w:noBreakHyphen/>
        <w:t xml:space="preserve">health strategies provide essential direction but require stronger accountability and investment. National policies including the NHS Long Term Plan, Clean Air Strategy, and Net Zero Strategy show strong alignment with SDG </w:t>
      </w:r>
      <w:proofErr w:type="gramStart"/>
      <w:r w:rsidRPr="00331B3A">
        <w:rPr>
          <w:rFonts w:ascii="Arial" w:eastAsia="Times New Roman" w:hAnsi="Arial" w:cs="Arial"/>
          <w:kern w:val="0"/>
          <w:sz w:val="22"/>
          <w:szCs w:val="22"/>
          <w:lang w:eastAsia="en-GB"/>
          <w14:ligatures w14:val="none"/>
        </w:rPr>
        <w:t>targets</w:t>
      </w:r>
      <w:proofErr w:type="gramEnd"/>
      <w:r w:rsidRPr="00331B3A">
        <w:rPr>
          <w:rFonts w:ascii="Arial" w:eastAsia="Times New Roman" w:hAnsi="Arial" w:cs="Arial"/>
          <w:kern w:val="0"/>
          <w:sz w:val="22"/>
          <w:szCs w:val="22"/>
          <w:lang w:eastAsia="en-GB"/>
          <w14:ligatures w14:val="none"/>
        </w:rPr>
        <w:t xml:space="preserve"> but face challenges related to funding, workforce capacity, and slow progress.</w:t>
      </w:r>
    </w:p>
    <w:p w14:paraId="26CF163F"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Local initiatives in Wolverhampton and the Black Country ICS highlight the value of community</w:t>
      </w:r>
      <w:r w:rsidRPr="00331B3A">
        <w:rPr>
          <w:rFonts w:ascii="Arial" w:eastAsia="Times New Roman" w:hAnsi="Arial" w:cs="Arial"/>
          <w:kern w:val="0"/>
          <w:sz w:val="22"/>
          <w:szCs w:val="22"/>
          <w:lang w:eastAsia="en-GB"/>
          <w14:ligatures w14:val="none"/>
        </w:rPr>
        <w:noBreakHyphen/>
        <w:t>based approaches, green infrastructure, and cross</w:t>
      </w:r>
      <w:r w:rsidRPr="00331B3A">
        <w:rPr>
          <w:rFonts w:ascii="Arial" w:eastAsia="Times New Roman" w:hAnsi="Arial" w:cs="Arial"/>
          <w:kern w:val="0"/>
          <w:sz w:val="22"/>
          <w:szCs w:val="22"/>
          <w:lang w:eastAsia="en-GB"/>
          <w14:ligatures w14:val="none"/>
        </w:rPr>
        <w:noBreakHyphen/>
        <w:t>sector collaboration. However, disparities in climate vulnerability and health outcomes remain significant. Applying behavioural and social theories such as HBM, SCT, and SEM demonstrates the need for multi</w:t>
      </w:r>
      <w:r w:rsidRPr="00331B3A">
        <w:rPr>
          <w:rFonts w:ascii="Arial" w:eastAsia="Times New Roman" w:hAnsi="Arial" w:cs="Arial"/>
          <w:kern w:val="0"/>
          <w:sz w:val="22"/>
          <w:szCs w:val="22"/>
          <w:lang w:eastAsia="en-GB"/>
          <w14:ligatures w14:val="none"/>
        </w:rPr>
        <w:noBreakHyphen/>
        <w:t>level interventions that address both individual behaviours and structural determinants.</w:t>
      </w:r>
    </w:p>
    <w:p w14:paraId="71953372" w14:textId="77777777" w:rsidR="00F41E8F" w:rsidRPr="00331B3A" w:rsidRDefault="00F41E8F" w:rsidP="00331B3A">
      <w:pPr>
        <w:spacing w:before="100" w:beforeAutospacing="1" w:after="100" w:afterAutospacing="1" w:line="360" w:lineRule="auto"/>
        <w:rPr>
          <w:rFonts w:ascii="Arial" w:eastAsia="Times New Roman" w:hAnsi="Arial" w:cs="Arial"/>
          <w:kern w:val="0"/>
          <w:sz w:val="22"/>
          <w:szCs w:val="22"/>
          <w:lang w:eastAsia="en-GB"/>
          <w14:ligatures w14:val="none"/>
        </w:rPr>
      </w:pPr>
      <w:r w:rsidRPr="00331B3A">
        <w:rPr>
          <w:rFonts w:ascii="Arial" w:eastAsia="Times New Roman" w:hAnsi="Arial" w:cs="Arial"/>
          <w:kern w:val="0"/>
          <w:sz w:val="22"/>
          <w:szCs w:val="22"/>
          <w:lang w:eastAsia="en-GB"/>
          <w14:ligatures w14:val="none"/>
        </w:rPr>
        <w:t>Achieving SDG 3 and SDG 13 requires integrated, climate</w:t>
      </w:r>
      <w:r w:rsidRPr="00331B3A">
        <w:rPr>
          <w:rFonts w:ascii="Arial" w:eastAsia="Times New Roman" w:hAnsi="Arial" w:cs="Arial"/>
          <w:kern w:val="0"/>
          <w:sz w:val="22"/>
          <w:szCs w:val="22"/>
          <w:lang w:eastAsia="en-GB"/>
          <w14:ligatures w14:val="none"/>
        </w:rPr>
        <w:noBreakHyphen/>
        <w:t>responsive health policies that prioritise prevention, resilience, and equity. Strengthening data collection, improving funding, and enhancing collaboration across sectors will be essential for accelerating progress.</w:t>
      </w:r>
    </w:p>
    <w:p w14:paraId="5093DC0D" w14:textId="77777777" w:rsidR="00F41E8F" w:rsidRDefault="00F41E8F">
      <w:pPr>
        <w:rPr>
          <w:rFonts w:ascii="Times New Roman" w:eastAsia="Times New Roman" w:hAnsi="Times New Roman" w:cs="Times New Roman"/>
          <w:b/>
          <w:bCs/>
          <w:kern w:val="36"/>
          <w:sz w:val="48"/>
          <w:szCs w:val="48"/>
          <w:lang w:eastAsia="en-GB"/>
          <w14:ligatures w14:val="none"/>
        </w:rPr>
      </w:pPr>
    </w:p>
    <w:p w14:paraId="76E3405F" w14:textId="77777777" w:rsidR="00F41E8F" w:rsidRDefault="00F41E8F">
      <w:pPr>
        <w:rPr>
          <w:rFonts w:ascii="Times New Roman" w:eastAsia="Times New Roman" w:hAnsi="Times New Roman" w:cs="Times New Roman"/>
          <w:b/>
          <w:bCs/>
          <w:kern w:val="36"/>
          <w:sz w:val="48"/>
          <w:szCs w:val="48"/>
          <w:lang w:eastAsia="en-GB"/>
          <w14:ligatures w14:val="none"/>
        </w:rPr>
      </w:pPr>
    </w:p>
    <w:p w14:paraId="5B46A562" w14:textId="77777777" w:rsidR="00F41E8F" w:rsidRDefault="00F41E8F">
      <w:pPr>
        <w:rPr>
          <w:rFonts w:ascii="Times New Roman" w:eastAsia="Times New Roman" w:hAnsi="Times New Roman" w:cs="Times New Roman"/>
          <w:b/>
          <w:bCs/>
          <w:kern w:val="36"/>
          <w:sz w:val="48"/>
          <w:szCs w:val="48"/>
          <w:lang w:eastAsia="en-GB"/>
          <w14:ligatures w14:val="none"/>
        </w:rPr>
      </w:pPr>
    </w:p>
    <w:p w14:paraId="7BED427B" w14:textId="77777777" w:rsidR="00F41E8F" w:rsidRDefault="00F41E8F">
      <w:pPr>
        <w:rPr>
          <w:rFonts w:ascii="Times New Roman" w:eastAsia="Times New Roman" w:hAnsi="Times New Roman" w:cs="Times New Roman"/>
          <w:b/>
          <w:bCs/>
          <w:kern w:val="36"/>
          <w:sz w:val="48"/>
          <w:szCs w:val="48"/>
          <w:lang w:eastAsia="en-GB"/>
          <w14:ligatures w14:val="none"/>
        </w:rPr>
      </w:pPr>
    </w:p>
    <w:p w14:paraId="323EF855" w14:textId="02B6176F" w:rsidR="00F41E8F" w:rsidRDefault="00F41E8F">
      <w:pPr>
        <w:rPr>
          <w:rFonts w:ascii="Times New Roman" w:eastAsia="Times New Roman" w:hAnsi="Times New Roman" w:cs="Times New Roman"/>
          <w:b/>
          <w:bCs/>
          <w:kern w:val="36"/>
          <w:sz w:val="48"/>
          <w:szCs w:val="48"/>
          <w:lang w:eastAsia="en-GB"/>
          <w14:ligatures w14:val="none"/>
        </w:rPr>
      </w:pPr>
    </w:p>
    <w:p w14:paraId="2BBBC0F5" w14:textId="77777777" w:rsidR="00331B3A" w:rsidRDefault="00331B3A" w:rsidP="00331B3A">
      <w:pPr>
        <w:spacing w:line="360" w:lineRule="auto"/>
        <w:rPr>
          <w:rFonts w:ascii="Times New Roman" w:eastAsia="Times New Roman" w:hAnsi="Times New Roman" w:cs="Times New Roman"/>
          <w:b/>
          <w:bCs/>
          <w:kern w:val="36"/>
          <w:sz w:val="48"/>
          <w:szCs w:val="48"/>
          <w:lang w:eastAsia="en-GB"/>
          <w14:ligatures w14:val="none"/>
        </w:rPr>
      </w:pPr>
    </w:p>
    <w:p w14:paraId="1FB44C59" w14:textId="265526BC" w:rsidR="00331B3A" w:rsidRPr="00331B3A" w:rsidRDefault="00331B3A" w:rsidP="00331B3A">
      <w:pPr>
        <w:spacing w:line="360" w:lineRule="auto"/>
        <w:rPr>
          <w:rFonts w:ascii="Arial" w:eastAsia="Times New Roman" w:hAnsi="Arial" w:cs="Arial"/>
          <w:b/>
          <w:bCs/>
          <w:kern w:val="36"/>
          <w:sz w:val="22"/>
          <w:szCs w:val="22"/>
          <w:lang w:eastAsia="en-GB"/>
          <w14:ligatures w14:val="none"/>
        </w:rPr>
      </w:pPr>
      <w:r w:rsidRPr="00331B3A">
        <w:rPr>
          <w:rFonts w:ascii="Arial" w:eastAsia="Times New Roman" w:hAnsi="Arial" w:cs="Arial"/>
          <w:b/>
          <w:bCs/>
          <w:kern w:val="36"/>
          <w:sz w:val="22"/>
          <w:szCs w:val="22"/>
          <w:lang w:eastAsia="en-GB"/>
          <w14:ligatures w14:val="none"/>
        </w:rPr>
        <w:lastRenderedPageBreak/>
        <w:t>References</w:t>
      </w:r>
    </w:p>
    <w:p w14:paraId="13BA36AC"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Bandura, A. (2004) ‘Health promotion by social cognitive means’, </w:t>
      </w:r>
      <w:r w:rsidRPr="00331B3A">
        <w:rPr>
          <w:rStyle w:val="Emphasis"/>
          <w:rFonts w:ascii="Arial" w:eastAsiaTheme="majorEastAsia" w:hAnsi="Arial" w:cs="Arial"/>
          <w:sz w:val="22"/>
          <w:szCs w:val="22"/>
        </w:rPr>
        <w:t xml:space="preserve">Health Education &amp; </w:t>
      </w:r>
      <w:proofErr w:type="spellStart"/>
      <w:r w:rsidRPr="00331B3A">
        <w:rPr>
          <w:rStyle w:val="Emphasis"/>
          <w:rFonts w:ascii="Arial" w:eastAsiaTheme="majorEastAsia" w:hAnsi="Arial" w:cs="Arial"/>
          <w:sz w:val="22"/>
          <w:szCs w:val="22"/>
        </w:rPr>
        <w:t>Behavior</w:t>
      </w:r>
      <w:proofErr w:type="spellEnd"/>
      <w:r w:rsidRPr="00331B3A">
        <w:rPr>
          <w:rFonts w:ascii="Arial" w:hAnsi="Arial" w:cs="Arial"/>
          <w:sz w:val="22"/>
          <w:szCs w:val="22"/>
        </w:rPr>
        <w:t>, 31(2), pp. 143–164.</w:t>
      </w:r>
    </w:p>
    <w:p w14:paraId="69D00EBE"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BEIS (2021) </w:t>
      </w:r>
      <w:r w:rsidRPr="00331B3A">
        <w:rPr>
          <w:rStyle w:val="Emphasis"/>
          <w:rFonts w:ascii="Arial" w:eastAsiaTheme="majorEastAsia" w:hAnsi="Arial" w:cs="Arial"/>
          <w:sz w:val="22"/>
          <w:szCs w:val="22"/>
        </w:rPr>
        <w:t>Net Zero Strategy: Build Back Greener</w:t>
      </w:r>
      <w:r w:rsidRPr="00331B3A">
        <w:rPr>
          <w:rFonts w:ascii="Arial" w:hAnsi="Arial" w:cs="Arial"/>
          <w:sz w:val="22"/>
          <w:szCs w:val="22"/>
        </w:rPr>
        <w:t>. Department for Business, Energy &amp; Industrial Strategy.</w:t>
      </w:r>
    </w:p>
    <w:p w14:paraId="6DD279F2"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Black Country ICS (2023) </w:t>
      </w:r>
      <w:r w:rsidRPr="00331B3A">
        <w:rPr>
          <w:rStyle w:val="Emphasis"/>
          <w:rFonts w:ascii="Arial" w:eastAsiaTheme="majorEastAsia" w:hAnsi="Arial" w:cs="Arial"/>
          <w:sz w:val="22"/>
          <w:szCs w:val="22"/>
        </w:rPr>
        <w:t>Integrated Care Strategy</w:t>
      </w:r>
      <w:r w:rsidRPr="00331B3A">
        <w:rPr>
          <w:rFonts w:ascii="Arial" w:hAnsi="Arial" w:cs="Arial"/>
          <w:sz w:val="22"/>
          <w:szCs w:val="22"/>
        </w:rPr>
        <w:t>. Black Country Integrated Care System.</w:t>
      </w:r>
    </w:p>
    <w:p w14:paraId="3E9D1A79"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Bond (2022) </w:t>
      </w:r>
      <w:r w:rsidRPr="00331B3A">
        <w:rPr>
          <w:rStyle w:val="Emphasis"/>
          <w:rFonts w:ascii="Arial" w:eastAsiaTheme="majorEastAsia" w:hAnsi="Arial" w:cs="Arial"/>
          <w:sz w:val="22"/>
          <w:szCs w:val="22"/>
        </w:rPr>
        <w:t>SDG 13: Progress, Gaps and Recommendations for the UK</w:t>
      </w:r>
      <w:r w:rsidRPr="00331B3A">
        <w:rPr>
          <w:rFonts w:ascii="Arial" w:hAnsi="Arial" w:cs="Arial"/>
          <w:sz w:val="22"/>
          <w:szCs w:val="22"/>
        </w:rPr>
        <w:t>. Bond UK.</w:t>
      </w:r>
    </w:p>
    <w:p w14:paraId="2C0D5A9E"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Bronfenbrenner, U. (1994) ‘Ecological models of human development’, in </w:t>
      </w:r>
      <w:r w:rsidRPr="00331B3A">
        <w:rPr>
          <w:rStyle w:val="Emphasis"/>
          <w:rFonts w:ascii="Arial" w:eastAsiaTheme="majorEastAsia" w:hAnsi="Arial" w:cs="Arial"/>
          <w:sz w:val="22"/>
          <w:szCs w:val="22"/>
        </w:rPr>
        <w:t xml:space="preserve">International </w:t>
      </w:r>
      <w:proofErr w:type="spellStart"/>
      <w:r w:rsidRPr="00331B3A">
        <w:rPr>
          <w:rStyle w:val="Emphasis"/>
          <w:rFonts w:ascii="Arial" w:eastAsiaTheme="majorEastAsia" w:hAnsi="Arial" w:cs="Arial"/>
          <w:sz w:val="22"/>
          <w:szCs w:val="22"/>
        </w:rPr>
        <w:t>Encyclopedia</w:t>
      </w:r>
      <w:proofErr w:type="spellEnd"/>
      <w:r w:rsidRPr="00331B3A">
        <w:rPr>
          <w:rStyle w:val="Emphasis"/>
          <w:rFonts w:ascii="Arial" w:eastAsiaTheme="majorEastAsia" w:hAnsi="Arial" w:cs="Arial"/>
          <w:sz w:val="22"/>
          <w:szCs w:val="22"/>
        </w:rPr>
        <w:t xml:space="preserve"> of Education</w:t>
      </w:r>
      <w:r w:rsidRPr="00331B3A">
        <w:rPr>
          <w:rFonts w:ascii="Arial" w:hAnsi="Arial" w:cs="Arial"/>
          <w:sz w:val="22"/>
          <w:szCs w:val="22"/>
        </w:rPr>
        <w:t xml:space="preserve">. 3rd </w:t>
      </w:r>
      <w:proofErr w:type="spellStart"/>
      <w:r w:rsidRPr="00331B3A">
        <w:rPr>
          <w:rFonts w:ascii="Arial" w:hAnsi="Arial" w:cs="Arial"/>
          <w:sz w:val="22"/>
          <w:szCs w:val="22"/>
        </w:rPr>
        <w:t>edn</w:t>
      </w:r>
      <w:proofErr w:type="spellEnd"/>
      <w:r w:rsidRPr="00331B3A">
        <w:rPr>
          <w:rFonts w:ascii="Arial" w:hAnsi="Arial" w:cs="Arial"/>
          <w:sz w:val="22"/>
          <w:szCs w:val="22"/>
        </w:rPr>
        <w:t>. Elsevier, pp. 1643–1647.</w:t>
      </w:r>
    </w:p>
    <w:p w14:paraId="175A1DE4"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CCC (2022) </w:t>
      </w:r>
      <w:r w:rsidRPr="00331B3A">
        <w:rPr>
          <w:rStyle w:val="Emphasis"/>
          <w:rFonts w:ascii="Arial" w:eastAsiaTheme="majorEastAsia" w:hAnsi="Arial" w:cs="Arial"/>
          <w:sz w:val="22"/>
          <w:szCs w:val="22"/>
        </w:rPr>
        <w:t>Progress in Reducing Emissions: 2022 Report to Parliament</w:t>
      </w:r>
      <w:r w:rsidRPr="00331B3A">
        <w:rPr>
          <w:rFonts w:ascii="Arial" w:hAnsi="Arial" w:cs="Arial"/>
          <w:sz w:val="22"/>
          <w:szCs w:val="22"/>
        </w:rPr>
        <w:t>. Climate Change Committee.</w:t>
      </w:r>
    </w:p>
    <w:p w14:paraId="77397A08"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DEFRA (2019) </w:t>
      </w:r>
      <w:r w:rsidRPr="00331B3A">
        <w:rPr>
          <w:rStyle w:val="Emphasis"/>
          <w:rFonts w:ascii="Arial" w:eastAsiaTheme="majorEastAsia" w:hAnsi="Arial" w:cs="Arial"/>
          <w:sz w:val="22"/>
          <w:szCs w:val="22"/>
        </w:rPr>
        <w:t>Clean Air Strategy 2019</w:t>
      </w:r>
      <w:r w:rsidRPr="00331B3A">
        <w:rPr>
          <w:rFonts w:ascii="Arial" w:hAnsi="Arial" w:cs="Arial"/>
          <w:sz w:val="22"/>
          <w:szCs w:val="22"/>
        </w:rPr>
        <w:t>. Department for Environment, Food &amp; Rural Affairs.</w:t>
      </w:r>
    </w:p>
    <w:p w14:paraId="730B8CAC"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DHSC (2022) </w:t>
      </w:r>
      <w:r w:rsidRPr="00331B3A">
        <w:rPr>
          <w:rStyle w:val="Emphasis"/>
          <w:rFonts w:ascii="Arial" w:eastAsiaTheme="majorEastAsia" w:hAnsi="Arial" w:cs="Arial"/>
          <w:sz w:val="22"/>
          <w:szCs w:val="22"/>
        </w:rPr>
        <w:t>Women’s Health Strategy for England</w:t>
      </w:r>
      <w:r w:rsidRPr="00331B3A">
        <w:rPr>
          <w:rFonts w:ascii="Arial" w:hAnsi="Arial" w:cs="Arial"/>
          <w:sz w:val="22"/>
          <w:szCs w:val="22"/>
        </w:rPr>
        <w:t>. Department of Health and Social Care.</w:t>
      </w:r>
    </w:p>
    <w:p w14:paraId="1D20A7C9"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GOV.UK (2023) </w:t>
      </w:r>
      <w:r w:rsidRPr="00331B3A">
        <w:rPr>
          <w:rStyle w:val="Emphasis"/>
          <w:rFonts w:ascii="Arial" w:eastAsiaTheme="majorEastAsia" w:hAnsi="Arial" w:cs="Arial"/>
          <w:sz w:val="22"/>
          <w:szCs w:val="22"/>
        </w:rPr>
        <w:t>UK Statement at the United Nations General Assembly</w:t>
      </w:r>
      <w:r w:rsidRPr="00331B3A">
        <w:rPr>
          <w:rFonts w:ascii="Arial" w:hAnsi="Arial" w:cs="Arial"/>
          <w:sz w:val="22"/>
          <w:szCs w:val="22"/>
        </w:rPr>
        <w:t>. UK Government.</w:t>
      </w:r>
    </w:p>
    <w:p w14:paraId="08D182E5"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House of Lords Library (2020) </w:t>
      </w:r>
      <w:r w:rsidRPr="00331B3A">
        <w:rPr>
          <w:rStyle w:val="Emphasis"/>
          <w:rFonts w:ascii="Arial" w:eastAsiaTheme="majorEastAsia" w:hAnsi="Arial" w:cs="Arial"/>
          <w:sz w:val="22"/>
          <w:szCs w:val="22"/>
        </w:rPr>
        <w:t>UK Progress on SDG 3 and Road Casualties</w:t>
      </w:r>
      <w:r w:rsidRPr="00331B3A">
        <w:rPr>
          <w:rFonts w:ascii="Arial" w:hAnsi="Arial" w:cs="Arial"/>
          <w:sz w:val="22"/>
          <w:szCs w:val="22"/>
        </w:rPr>
        <w:t>. House of Lords Library Briefing.</w:t>
      </w:r>
    </w:p>
    <w:p w14:paraId="6897397F"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IPCC (2022) </w:t>
      </w:r>
      <w:r w:rsidRPr="00331B3A">
        <w:rPr>
          <w:rStyle w:val="Emphasis"/>
          <w:rFonts w:ascii="Arial" w:eastAsiaTheme="majorEastAsia" w:hAnsi="Arial" w:cs="Arial"/>
          <w:sz w:val="22"/>
          <w:szCs w:val="22"/>
        </w:rPr>
        <w:t>Sixth Assessment Report: Impacts, Adaptation and Vulnerability</w:t>
      </w:r>
      <w:r w:rsidRPr="00331B3A">
        <w:rPr>
          <w:rFonts w:ascii="Arial" w:hAnsi="Arial" w:cs="Arial"/>
          <w:sz w:val="22"/>
          <w:szCs w:val="22"/>
        </w:rPr>
        <w:t>. Intergovernmental Panel on Climate Change.</w:t>
      </w:r>
    </w:p>
    <w:p w14:paraId="0C85A0B8"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King’s Fund (2022) </w:t>
      </w:r>
      <w:r w:rsidRPr="00331B3A">
        <w:rPr>
          <w:rStyle w:val="Emphasis"/>
          <w:rFonts w:ascii="Arial" w:eastAsiaTheme="majorEastAsia" w:hAnsi="Arial" w:cs="Arial"/>
          <w:sz w:val="22"/>
          <w:szCs w:val="22"/>
        </w:rPr>
        <w:t>The NHS Workforce Crisis: A Critical Analysis</w:t>
      </w:r>
      <w:r w:rsidRPr="00331B3A">
        <w:rPr>
          <w:rFonts w:ascii="Arial" w:hAnsi="Arial" w:cs="Arial"/>
          <w:sz w:val="22"/>
          <w:szCs w:val="22"/>
        </w:rPr>
        <w:t>. The King’s Fund.</w:t>
      </w:r>
    </w:p>
    <w:p w14:paraId="7D7375AD"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NHS England (2019) </w:t>
      </w:r>
      <w:r w:rsidRPr="00331B3A">
        <w:rPr>
          <w:rStyle w:val="Emphasis"/>
          <w:rFonts w:ascii="Arial" w:eastAsiaTheme="majorEastAsia" w:hAnsi="Arial" w:cs="Arial"/>
          <w:sz w:val="22"/>
          <w:szCs w:val="22"/>
        </w:rPr>
        <w:t>The NHS Long Term Plan</w:t>
      </w:r>
      <w:r w:rsidRPr="00331B3A">
        <w:rPr>
          <w:rFonts w:ascii="Arial" w:hAnsi="Arial" w:cs="Arial"/>
          <w:sz w:val="22"/>
          <w:szCs w:val="22"/>
        </w:rPr>
        <w:t>. NHS England.</w:t>
      </w:r>
    </w:p>
    <w:p w14:paraId="51766EF3"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ONS (2023) </w:t>
      </w:r>
      <w:r w:rsidRPr="00331B3A">
        <w:rPr>
          <w:rStyle w:val="Emphasis"/>
          <w:rFonts w:ascii="Arial" w:eastAsiaTheme="majorEastAsia" w:hAnsi="Arial" w:cs="Arial"/>
          <w:sz w:val="22"/>
          <w:szCs w:val="22"/>
        </w:rPr>
        <w:t>Health Inequalities in England: Annual Statistical Report</w:t>
      </w:r>
      <w:r w:rsidRPr="00331B3A">
        <w:rPr>
          <w:rFonts w:ascii="Arial" w:hAnsi="Arial" w:cs="Arial"/>
          <w:sz w:val="22"/>
          <w:szCs w:val="22"/>
        </w:rPr>
        <w:t>. Office for National Statistics.</w:t>
      </w:r>
    </w:p>
    <w:p w14:paraId="478B38EB"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PHE (2020) </w:t>
      </w:r>
      <w:r w:rsidRPr="00331B3A">
        <w:rPr>
          <w:rStyle w:val="Emphasis"/>
          <w:rFonts w:ascii="Arial" w:eastAsiaTheme="majorEastAsia" w:hAnsi="Arial" w:cs="Arial"/>
          <w:sz w:val="22"/>
          <w:szCs w:val="22"/>
        </w:rPr>
        <w:t>Review of Evidence on Health Impacts of Air Pollution</w:t>
      </w:r>
      <w:r w:rsidRPr="00331B3A">
        <w:rPr>
          <w:rFonts w:ascii="Arial" w:hAnsi="Arial" w:cs="Arial"/>
          <w:sz w:val="22"/>
          <w:szCs w:val="22"/>
        </w:rPr>
        <w:t>. Public Health England.</w:t>
      </w:r>
    </w:p>
    <w:p w14:paraId="431364A4"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Rosenstock, I.M., </w:t>
      </w:r>
      <w:proofErr w:type="spellStart"/>
      <w:r w:rsidRPr="00331B3A">
        <w:rPr>
          <w:rFonts w:ascii="Arial" w:hAnsi="Arial" w:cs="Arial"/>
          <w:sz w:val="22"/>
          <w:szCs w:val="22"/>
        </w:rPr>
        <w:t>Strecher</w:t>
      </w:r>
      <w:proofErr w:type="spellEnd"/>
      <w:r w:rsidRPr="00331B3A">
        <w:rPr>
          <w:rFonts w:ascii="Arial" w:hAnsi="Arial" w:cs="Arial"/>
          <w:sz w:val="22"/>
          <w:szCs w:val="22"/>
        </w:rPr>
        <w:t xml:space="preserve">, V.J. and Becker, M.H. (1988) ‘Social learning theory and the Health Belief Model’, </w:t>
      </w:r>
      <w:r w:rsidRPr="00331B3A">
        <w:rPr>
          <w:rStyle w:val="Emphasis"/>
          <w:rFonts w:ascii="Arial" w:eastAsiaTheme="majorEastAsia" w:hAnsi="Arial" w:cs="Arial"/>
          <w:sz w:val="22"/>
          <w:szCs w:val="22"/>
        </w:rPr>
        <w:t>Health Education Quarterly</w:t>
      </w:r>
      <w:r w:rsidRPr="00331B3A">
        <w:rPr>
          <w:rFonts w:ascii="Arial" w:hAnsi="Arial" w:cs="Arial"/>
          <w:sz w:val="22"/>
          <w:szCs w:val="22"/>
        </w:rPr>
        <w:t>, 15(2), pp. 175–183.</w:t>
      </w:r>
    </w:p>
    <w:p w14:paraId="5A08B62D"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lastRenderedPageBreak/>
        <w:t xml:space="preserve">Sachs, J., Lafortune, G. and Fuller, G. (2025) </w:t>
      </w:r>
      <w:r w:rsidRPr="00331B3A">
        <w:rPr>
          <w:rStyle w:val="Emphasis"/>
          <w:rFonts w:ascii="Arial" w:eastAsiaTheme="majorEastAsia" w:hAnsi="Arial" w:cs="Arial"/>
          <w:sz w:val="22"/>
          <w:szCs w:val="22"/>
        </w:rPr>
        <w:t>Sustainable Development Report 2025: United Kingdom Country Profile</w:t>
      </w:r>
      <w:r w:rsidRPr="00331B3A">
        <w:rPr>
          <w:rFonts w:ascii="Arial" w:hAnsi="Arial" w:cs="Arial"/>
          <w:sz w:val="22"/>
          <w:szCs w:val="22"/>
        </w:rPr>
        <w:t>. Cambridge University Press.</w:t>
      </w:r>
    </w:p>
    <w:p w14:paraId="1B41CAF2"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UK SDG Data (2024) </w:t>
      </w:r>
      <w:r w:rsidRPr="00331B3A">
        <w:rPr>
          <w:rStyle w:val="Emphasis"/>
          <w:rFonts w:ascii="Arial" w:eastAsiaTheme="majorEastAsia" w:hAnsi="Arial" w:cs="Arial"/>
          <w:sz w:val="22"/>
          <w:szCs w:val="22"/>
        </w:rPr>
        <w:t>Goal 3 Indicators: United Kingdom</w:t>
      </w:r>
      <w:r w:rsidRPr="00331B3A">
        <w:rPr>
          <w:rFonts w:ascii="Arial" w:hAnsi="Arial" w:cs="Arial"/>
          <w:sz w:val="22"/>
          <w:szCs w:val="22"/>
        </w:rPr>
        <w:t>. Office for National Statistics.</w:t>
      </w:r>
    </w:p>
    <w:p w14:paraId="46135D49"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UNFCCC (2015) </w:t>
      </w:r>
      <w:r w:rsidRPr="00331B3A">
        <w:rPr>
          <w:rStyle w:val="Emphasis"/>
          <w:rFonts w:ascii="Arial" w:eastAsiaTheme="majorEastAsia" w:hAnsi="Arial" w:cs="Arial"/>
          <w:sz w:val="22"/>
          <w:szCs w:val="22"/>
        </w:rPr>
        <w:t>Paris Agreement</w:t>
      </w:r>
      <w:r w:rsidRPr="00331B3A">
        <w:rPr>
          <w:rFonts w:ascii="Arial" w:hAnsi="Arial" w:cs="Arial"/>
          <w:sz w:val="22"/>
          <w:szCs w:val="22"/>
        </w:rPr>
        <w:t>. United Nations Framework Convention on Climate Change.</w:t>
      </w:r>
    </w:p>
    <w:p w14:paraId="6FEE9C46" w14:textId="77777777" w:rsidR="00331B3A" w:rsidRPr="00331B3A" w:rsidRDefault="00331B3A" w:rsidP="00331B3A">
      <w:pPr>
        <w:pStyle w:val="NormalWeb"/>
        <w:spacing w:line="360" w:lineRule="auto"/>
        <w:rPr>
          <w:rFonts w:ascii="Arial" w:hAnsi="Arial" w:cs="Arial"/>
          <w:sz w:val="22"/>
          <w:szCs w:val="22"/>
        </w:rPr>
      </w:pPr>
      <w:r w:rsidRPr="00331B3A">
        <w:rPr>
          <w:rFonts w:ascii="Arial" w:hAnsi="Arial" w:cs="Arial"/>
          <w:sz w:val="22"/>
          <w:szCs w:val="22"/>
        </w:rPr>
        <w:t xml:space="preserve">WHO (2021) </w:t>
      </w:r>
      <w:r w:rsidRPr="00331B3A">
        <w:rPr>
          <w:rStyle w:val="Emphasis"/>
          <w:rFonts w:ascii="Arial" w:eastAsiaTheme="majorEastAsia" w:hAnsi="Arial" w:cs="Arial"/>
          <w:sz w:val="22"/>
          <w:szCs w:val="22"/>
        </w:rPr>
        <w:t>WHO Global Strategy on Health, Environment and Climate Change</w:t>
      </w:r>
      <w:r w:rsidRPr="00331B3A">
        <w:rPr>
          <w:rFonts w:ascii="Arial" w:hAnsi="Arial" w:cs="Arial"/>
          <w:sz w:val="22"/>
          <w:szCs w:val="22"/>
        </w:rPr>
        <w:t>. World Health Organisation.</w:t>
      </w:r>
    </w:p>
    <w:p w14:paraId="1CF57C60" w14:textId="77777777" w:rsidR="00F41E8F" w:rsidRDefault="00F41E8F"/>
    <w:sectPr w:rsidR="00F41E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D2445"/>
    <w:multiLevelType w:val="multilevel"/>
    <w:tmpl w:val="06985B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0D0275"/>
    <w:multiLevelType w:val="multilevel"/>
    <w:tmpl w:val="F574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E115C8"/>
    <w:multiLevelType w:val="multilevel"/>
    <w:tmpl w:val="8E36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5B61CE"/>
    <w:multiLevelType w:val="multilevel"/>
    <w:tmpl w:val="C91E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1165158">
    <w:abstractNumId w:val="0"/>
  </w:num>
  <w:num w:numId="2" w16cid:durableId="252008971">
    <w:abstractNumId w:val="2"/>
  </w:num>
  <w:num w:numId="3" w16cid:durableId="1950114243">
    <w:abstractNumId w:val="1"/>
  </w:num>
  <w:num w:numId="4" w16cid:durableId="837615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8F"/>
    <w:rsid w:val="00135716"/>
    <w:rsid w:val="00331B3A"/>
    <w:rsid w:val="003F2113"/>
    <w:rsid w:val="00457359"/>
    <w:rsid w:val="005E439C"/>
    <w:rsid w:val="00BA150E"/>
    <w:rsid w:val="00BF7B72"/>
    <w:rsid w:val="00F41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8E502"/>
  <w15:chartTrackingRefBased/>
  <w15:docId w15:val="{CB16580A-310E-4153-ACF3-DCC8C16C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E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1E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1E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1E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1E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1E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1E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1E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1E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E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1E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1E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1E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1E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1E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1E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1E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1E8F"/>
    <w:rPr>
      <w:rFonts w:eastAsiaTheme="majorEastAsia" w:cstheme="majorBidi"/>
      <w:color w:val="272727" w:themeColor="text1" w:themeTint="D8"/>
    </w:rPr>
  </w:style>
  <w:style w:type="paragraph" w:styleId="Title">
    <w:name w:val="Title"/>
    <w:basedOn w:val="Normal"/>
    <w:next w:val="Normal"/>
    <w:link w:val="TitleChar"/>
    <w:uiPriority w:val="10"/>
    <w:qFormat/>
    <w:rsid w:val="00F41E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E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E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E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1E8F"/>
    <w:pPr>
      <w:spacing w:before="160"/>
      <w:jc w:val="center"/>
    </w:pPr>
    <w:rPr>
      <w:i/>
      <w:iCs/>
      <w:color w:val="404040" w:themeColor="text1" w:themeTint="BF"/>
    </w:rPr>
  </w:style>
  <w:style w:type="character" w:customStyle="1" w:styleId="QuoteChar">
    <w:name w:val="Quote Char"/>
    <w:basedOn w:val="DefaultParagraphFont"/>
    <w:link w:val="Quote"/>
    <w:uiPriority w:val="29"/>
    <w:rsid w:val="00F41E8F"/>
    <w:rPr>
      <w:i/>
      <w:iCs/>
      <w:color w:val="404040" w:themeColor="text1" w:themeTint="BF"/>
    </w:rPr>
  </w:style>
  <w:style w:type="paragraph" w:styleId="ListParagraph">
    <w:name w:val="List Paragraph"/>
    <w:basedOn w:val="Normal"/>
    <w:uiPriority w:val="34"/>
    <w:qFormat/>
    <w:rsid w:val="00F41E8F"/>
    <w:pPr>
      <w:ind w:left="720"/>
      <w:contextualSpacing/>
    </w:pPr>
  </w:style>
  <w:style w:type="character" w:styleId="IntenseEmphasis">
    <w:name w:val="Intense Emphasis"/>
    <w:basedOn w:val="DefaultParagraphFont"/>
    <w:uiPriority w:val="21"/>
    <w:qFormat/>
    <w:rsid w:val="00F41E8F"/>
    <w:rPr>
      <w:i/>
      <w:iCs/>
      <w:color w:val="0F4761" w:themeColor="accent1" w:themeShade="BF"/>
    </w:rPr>
  </w:style>
  <w:style w:type="paragraph" w:styleId="IntenseQuote">
    <w:name w:val="Intense Quote"/>
    <w:basedOn w:val="Normal"/>
    <w:next w:val="Normal"/>
    <w:link w:val="IntenseQuoteChar"/>
    <w:uiPriority w:val="30"/>
    <w:qFormat/>
    <w:rsid w:val="00F41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1E8F"/>
    <w:rPr>
      <w:i/>
      <w:iCs/>
      <w:color w:val="0F4761" w:themeColor="accent1" w:themeShade="BF"/>
    </w:rPr>
  </w:style>
  <w:style w:type="character" w:styleId="IntenseReference">
    <w:name w:val="Intense Reference"/>
    <w:basedOn w:val="DefaultParagraphFont"/>
    <w:uiPriority w:val="32"/>
    <w:qFormat/>
    <w:rsid w:val="00F41E8F"/>
    <w:rPr>
      <w:b/>
      <w:bCs/>
      <w:smallCaps/>
      <w:color w:val="0F4761" w:themeColor="accent1" w:themeShade="BF"/>
      <w:spacing w:val="5"/>
    </w:rPr>
  </w:style>
  <w:style w:type="paragraph" w:styleId="NormalWeb">
    <w:name w:val="Normal (Web)"/>
    <w:basedOn w:val="Normal"/>
    <w:uiPriority w:val="99"/>
    <w:semiHidden/>
    <w:unhideWhenUsed/>
    <w:rsid w:val="00F41E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41E8F"/>
    <w:rPr>
      <w:i/>
      <w:iCs/>
    </w:rPr>
  </w:style>
  <w:style w:type="character" w:styleId="Strong">
    <w:name w:val="Strong"/>
    <w:basedOn w:val="DefaultParagraphFont"/>
    <w:uiPriority w:val="22"/>
    <w:qFormat/>
    <w:rsid w:val="00BA15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5396b3f-dc01-41c6-a648-ab88fc50c118}" enabled="0" method="" siteId="{b5396b3f-dc01-41c6-a648-ab88fc50c118}" removed="1"/>
</clbl:labelList>
</file>

<file path=docProps/app.xml><?xml version="1.0" encoding="utf-8"?>
<Properties xmlns="http://schemas.openxmlformats.org/officeDocument/2006/extended-properties" xmlns:vt="http://schemas.openxmlformats.org/officeDocument/2006/docPropsVTypes">
  <Template>Normal</Template>
  <TotalTime>10</TotalTime>
  <Pages>10</Pages>
  <Words>2560</Words>
  <Characters>15748</Characters>
  <Application>Microsoft Office Word</Application>
  <DocSecurity>0</DocSecurity>
  <Lines>276</Lines>
  <Paragraphs>86</Paragraphs>
  <ScaleCrop>false</ScaleCrop>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Khan</dc:creator>
  <cp:keywords/>
  <dc:description/>
  <cp:lastModifiedBy>Misbah Khan</cp:lastModifiedBy>
  <cp:revision>6</cp:revision>
  <dcterms:created xsi:type="dcterms:W3CDTF">2026-03-19T15:25:00Z</dcterms:created>
  <dcterms:modified xsi:type="dcterms:W3CDTF">2026-03-19T17:43:00Z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c433a73d-b2a3-4633-9f43-3387447457e4</vt:lpwstr>
  </property>
</Properties>
</file>