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4F36BE0" w14:textId="77777777" w:rsidR="00841546" w:rsidRDefault="00841546" w:rsidP="00841546">
      <w:pPr>
        <w:jc w:val="center"/>
        <w:rPr>
          <w:b/>
          <w:u w:val="single"/>
        </w:rPr>
      </w:pPr>
      <w:r>
        <w:rPr>
          <w:b/>
          <w:u w:val="single"/>
        </w:rPr>
        <w:t>PERFORMING ARTS - APPLIED DRAMA</w:t>
      </w:r>
    </w:p>
    <w:p w14:paraId="297E3277" w14:textId="77777777" w:rsidR="00841546" w:rsidRDefault="00841546" w:rsidP="00841546">
      <w:pPr>
        <w:jc w:val="center"/>
        <w:rPr>
          <w:b/>
          <w:u w:val="single"/>
        </w:rPr>
      </w:pPr>
      <w:r>
        <w:rPr>
          <w:b/>
          <w:u w:val="single"/>
        </w:rPr>
        <w:t>LEVEL 5</w:t>
      </w:r>
    </w:p>
    <w:p w14:paraId="6962BAA5" w14:textId="033D8C54" w:rsidR="00841546" w:rsidRDefault="00841546" w:rsidP="00841546">
      <w:pPr>
        <w:jc w:val="center"/>
        <w:rPr>
          <w:b/>
          <w:u w:val="single"/>
        </w:rPr>
      </w:pPr>
      <w:r>
        <w:rPr>
          <w:b/>
          <w:u w:val="single"/>
        </w:rPr>
        <w:t>PERFORMING CULTURES - ASSESSMENT 2 OF 2</w:t>
      </w:r>
    </w:p>
    <w:p w14:paraId="7AF4C5CE" w14:textId="399A1FD8" w:rsidR="004C3D40" w:rsidRDefault="004C3D40" w:rsidP="004C3D40">
      <w:pPr>
        <w:jc w:val="both"/>
        <w:rPr>
          <w:rFonts w:cstheme="minorHAnsi"/>
          <w:i/>
        </w:rPr>
      </w:pPr>
      <w:r w:rsidRPr="008B0B3C">
        <w:rPr>
          <w:rFonts w:cstheme="minorHAnsi"/>
          <w:i/>
        </w:rPr>
        <w:t xml:space="preserve">You will present a short (approx. 500 words) reflective appraisal through </w:t>
      </w:r>
      <w:proofErr w:type="spellStart"/>
      <w:r w:rsidRPr="008B0B3C">
        <w:rPr>
          <w:rFonts w:cstheme="minorHAnsi"/>
          <w:i/>
        </w:rPr>
        <w:t>Turnitin</w:t>
      </w:r>
      <w:proofErr w:type="spellEnd"/>
      <w:r w:rsidRPr="008B0B3C">
        <w:rPr>
          <w:rFonts w:cstheme="minorHAnsi"/>
          <w:i/>
        </w:rPr>
        <w:t xml:space="preserve"> at the end of the module. This written work should present your own response to the process of representing ‘other’ voices in production and reflect upon your opinions (e.g.) regarding authenticity and unique cultural identity.</w:t>
      </w:r>
    </w:p>
    <w:p w14:paraId="68C46E0B" w14:textId="7F3FBCB2" w:rsidR="008B0B3C" w:rsidRDefault="008B0B3C" w:rsidP="004C3D40">
      <w:pPr>
        <w:jc w:val="both"/>
        <w:rPr>
          <w:rFonts w:cstheme="minorHAnsi"/>
        </w:rPr>
      </w:pPr>
      <w:r>
        <w:rPr>
          <w:rFonts w:cstheme="minorHAnsi"/>
        </w:rPr>
        <w:t xml:space="preserve">The module of </w:t>
      </w:r>
      <w:r w:rsidR="00043344">
        <w:rPr>
          <w:rFonts w:cstheme="minorHAnsi"/>
        </w:rPr>
        <w:t>P</w:t>
      </w:r>
      <w:r>
        <w:rPr>
          <w:rFonts w:cstheme="minorHAnsi"/>
        </w:rPr>
        <w:t xml:space="preserve">erforming </w:t>
      </w:r>
      <w:r w:rsidR="00043344">
        <w:rPr>
          <w:rFonts w:cstheme="minorHAnsi"/>
        </w:rPr>
        <w:t>C</w:t>
      </w:r>
      <w:r>
        <w:rPr>
          <w:rFonts w:cstheme="minorHAnsi"/>
        </w:rPr>
        <w:t xml:space="preserve">ultures </w:t>
      </w:r>
      <w:r w:rsidR="00043344">
        <w:rPr>
          <w:rFonts w:cstheme="minorHAnsi"/>
        </w:rPr>
        <w:t xml:space="preserve">has not been what I expected, </w:t>
      </w:r>
      <w:r w:rsidR="00874AC7">
        <w:rPr>
          <w:rFonts w:cstheme="minorHAnsi"/>
        </w:rPr>
        <w:t>however, that is</w:t>
      </w:r>
      <w:r w:rsidR="00043344">
        <w:rPr>
          <w:rFonts w:cstheme="minorHAnsi"/>
        </w:rPr>
        <w:t xml:space="preserve"> not to say that I have not gained an immense amount of knowledge from the module</w:t>
      </w:r>
      <w:r w:rsidR="00874AC7">
        <w:rPr>
          <w:rFonts w:cstheme="minorHAnsi"/>
        </w:rPr>
        <w:t>, and a great deal of pride and achievement in the final performance piece.</w:t>
      </w:r>
    </w:p>
    <w:p w14:paraId="140FB78A" w14:textId="44B52FC4" w:rsidR="00A00A2E" w:rsidRDefault="00A00A2E" w:rsidP="00A00A2E">
      <w:pPr>
        <w:spacing w:line="216" w:lineRule="auto"/>
        <w:rPr>
          <w:rFonts w:eastAsiaTheme="minorEastAsia" w:hAnsi="Calibri"/>
          <w:i/>
          <w:color w:val="000000" w:themeColor="text1"/>
          <w:kern w:val="24"/>
        </w:rPr>
      </w:pPr>
      <w:r w:rsidRPr="00A00A2E">
        <w:rPr>
          <w:rFonts w:eastAsiaTheme="minorEastAsia" w:hAnsi="Calibri"/>
          <w:i/>
          <w:color w:val="000000" w:themeColor="text1"/>
          <w:kern w:val="24"/>
        </w:rPr>
        <w:t>In studying creative approaches to culture and the groups that perform cultures we can become engaged ‘</w:t>
      </w:r>
      <w:proofErr w:type="gramStart"/>
      <w:r w:rsidRPr="00A00A2E">
        <w:rPr>
          <w:rFonts w:eastAsiaTheme="minorEastAsia" w:hAnsi="Calibri"/>
          <w:i/>
          <w:color w:val="000000" w:themeColor="text1"/>
          <w:kern w:val="24"/>
        </w:rPr>
        <w:t>in an attempt to</w:t>
      </w:r>
      <w:proofErr w:type="gramEnd"/>
      <w:r w:rsidRPr="00A00A2E">
        <w:rPr>
          <w:rFonts w:eastAsiaTheme="minorEastAsia" w:hAnsi="Calibri"/>
          <w:i/>
          <w:color w:val="000000" w:themeColor="text1"/>
          <w:kern w:val="24"/>
        </w:rPr>
        <w:t xml:space="preserve"> map out questions and areas of enquiry fundamental to this new way of seeing.’ (Aston and Savona, 1991:8)</w:t>
      </w:r>
    </w:p>
    <w:p w14:paraId="75F64094" w14:textId="3A2CB6B4" w:rsidR="0045015F" w:rsidRDefault="0045015F" w:rsidP="00A00A2E">
      <w:pPr>
        <w:spacing w:line="216" w:lineRule="auto"/>
      </w:pPr>
      <w:r>
        <w:t xml:space="preserve">My preconceived idea of this module was probably more linked to performance rituals of various </w:t>
      </w:r>
      <w:r w:rsidR="00380541">
        <w:t>cultures</w:t>
      </w:r>
      <w:r>
        <w:t xml:space="preserve">, rather than as the quote above refers to, applying creative approaches to culture. </w:t>
      </w:r>
    </w:p>
    <w:p w14:paraId="7B762CF0" w14:textId="1E5DE267" w:rsidR="00A00A2E" w:rsidRDefault="0045015F" w:rsidP="0045015F">
      <w:pPr>
        <w:spacing w:line="216" w:lineRule="auto"/>
      </w:pPr>
      <w:r>
        <w:t>The starting point for the performance piece was “Woyzeck”, a stage play written</w:t>
      </w:r>
      <w:r w:rsidR="003472D9">
        <w:t xml:space="preserve"> in 1830</w:t>
      </w:r>
      <w:r>
        <w:t xml:space="preserve"> by Georg Buchner</w:t>
      </w:r>
      <w:r w:rsidR="008F4A69">
        <w:t xml:space="preserve"> who died before the play was complete</w:t>
      </w:r>
      <w:r w:rsidR="00380541">
        <w:t>. The play deals with the de-humanising effect of the military and doctors on a young man`s life.</w:t>
      </w:r>
      <w:r w:rsidR="001D0E4D">
        <w:t xml:space="preserve"> As a group, we were able to discuss </w:t>
      </w:r>
      <w:r w:rsidR="00E24532">
        <w:t>the additional cultures identified in the play and then relate them to modern day issues.</w:t>
      </w:r>
      <w:r w:rsidR="00380541">
        <w:t xml:space="preserve"> The </w:t>
      </w:r>
      <w:r w:rsidR="00874AC7">
        <w:t>final performance piece</w:t>
      </w:r>
      <w:r w:rsidR="00380541">
        <w:t xml:space="preserve"> explored various cultures through a culmination of creative approaches</w:t>
      </w:r>
      <w:r w:rsidR="00874AC7">
        <w:t>.</w:t>
      </w:r>
      <w:r w:rsidR="003472D9">
        <w:t xml:space="preserve"> Set in a </w:t>
      </w:r>
      <w:r w:rsidR="00F30090">
        <w:t xml:space="preserve">“court room”, the piece looked to </w:t>
      </w:r>
      <w:r w:rsidR="00BB77C2">
        <w:t xml:space="preserve">identify </w:t>
      </w:r>
      <w:r w:rsidR="00F30090">
        <w:t>the killer of Marie.</w:t>
      </w:r>
      <w:r w:rsidR="00093E1C">
        <w:t xml:space="preserve"> Although Marie`s killer was never actually identified – the ending was inconclusive, a process containing debating was used. </w:t>
      </w:r>
      <w:r w:rsidR="00F30090">
        <w:t xml:space="preserve"> As a group, we felt that traditional </w:t>
      </w:r>
      <w:r w:rsidR="00E24532">
        <w:t xml:space="preserve">court room rituals and the characters we portrayed – both </w:t>
      </w:r>
      <w:r w:rsidR="0097043F">
        <w:t xml:space="preserve">as members of the bench, jury etc </w:t>
      </w:r>
      <w:proofErr w:type="gramStart"/>
      <w:r w:rsidR="0097043F">
        <w:t>and also</w:t>
      </w:r>
      <w:proofErr w:type="gramEnd"/>
      <w:r w:rsidR="0097043F">
        <w:t xml:space="preserve"> when performing as characters from the play, reflected </w:t>
      </w:r>
      <w:proofErr w:type="spellStart"/>
      <w:r w:rsidR="0097043F">
        <w:t>Schechner`s</w:t>
      </w:r>
      <w:proofErr w:type="spellEnd"/>
      <w:r w:rsidR="0097043F">
        <w:t xml:space="preserve"> theory of “presentation of self” and “expressive culture”. Throughout the performance there was a distinct link to social drama and ritual.</w:t>
      </w:r>
      <w:r w:rsidR="00093E1C">
        <w:t xml:space="preserve"> Some of the cultures explored during the piece were, the military, gun culture, religion and drug culture.</w:t>
      </w:r>
    </w:p>
    <w:p w14:paraId="54A7E2BD" w14:textId="05812FEB" w:rsidR="00B96A42" w:rsidRDefault="00B96A42" w:rsidP="0045015F">
      <w:pPr>
        <w:spacing w:line="216" w:lineRule="auto"/>
        <w:rPr>
          <w:rFonts w:cstheme="minorHAnsi"/>
          <w:color w:val="333333"/>
          <w:shd w:val="clear" w:color="auto" w:fill="FFFFFF"/>
        </w:rPr>
      </w:pPr>
      <w:r w:rsidRPr="00B96A42">
        <w:rPr>
          <w:rStyle w:val="Emphasis"/>
          <w:rFonts w:cstheme="minorHAnsi"/>
          <w:color w:val="333333"/>
          <w:shd w:val="clear" w:color="auto" w:fill="FFFFFF"/>
        </w:rPr>
        <w:t xml:space="preserve">'It is important to develop and articulate theories concerning how performances a regenerated, transmitted, received and evaluated in pursuit of these goals, performance studies </w:t>
      </w:r>
      <w:proofErr w:type="gramStart"/>
      <w:r w:rsidRPr="00B96A42">
        <w:rPr>
          <w:rStyle w:val="Emphasis"/>
          <w:rFonts w:cstheme="minorHAnsi"/>
          <w:color w:val="333333"/>
          <w:shd w:val="clear" w:color="auto" w:fill="FFFFFF"/>
        </w:rPr>
        <w:t>is</w:t>
      </w:r>
      <w:proofErr w:type="gramEnd"/>
      <w:r w:rsidRPr="00B96A42">
        <w:rPr>
          <w:rStyle w:val="Emphasis"/>
          <w:rFonts w:cstheme="minorHAnsi"/>
          <w:color w:val="333333"/>
          <w:shd w:val="clear" w:color="auto" w:fill="FFFFFF"/>
        </w:rPr>
        <w:t xml:space="preserve"> insistently intercultural, inter-generic and inter-disciplinary'. </w:t>
      </w:r>
      <w:r w:rsidRPr="00B96A42">
        <w:rPr>
          <w:rFonts w:cstheme="minorHAnsi"/>
          <w:color w:val="333333"/>
          <w:shd w:val="clear" w:color="auto" w:fill="FFFFFF"/>
        </w:rPr>
        <w:t>(</w:t>
      </w:r>
      <w:proofErr w:type="spellStart"/>
      <w:r w:rsidRPr="00B96A42">
        <w:rPr>
          <w:rFonts w:cstheme="minorHAnsi"/>
          <w:color w:val="333333"/>
          <w:shd w:val="clear" w:color="auto" w:fill="FFFFFF"/>
        </w:rPr>
        <w:t>Schechner</w:t>
      </w:r>
      <w:proofErr w:type="spellEnd"/>
      <w:r w:rsidRPr="00B96A42">
        <w:rPr>
          <w:rFonts w:cstheme="minorHAnsi"/>
          <w:color w:val="333333"/>
          <w:shd w:val="clear" w:color="auto" w:fill="FFFFFF"/>
        </w:rPr>
        <w:t>, 1995)</w:t>
      </w:r>
    </w:p>
    <w:p w14:paraId="48180663" w14:textId="37852A7E" w:rsidR="008540E0" w:rsidRDefault="008540E0" w:rsidP="0045015F">
      <w:pPr>
        <w:spacing w:line="216" w:lineRule="auto"/>
        <w:rPr>
          <w:rFonts w:cstheme="minorHAnsi"/>
          <w:color w:val="333333"/>
          <w:shd w:val="clear" w:color="auto" w:fill="FFFFFF"/>
        </w:rPr>
      </w:pPr>
      <w:r>
        <w:rPr>
          <w:rFonts w:cstheme="minorHAnsi"/>
          <w:color w:val="333333"/>
          <w:shd w:val="clear" w:color="auto" w:fill="FFFFFF"/>
        </w:rPr>
        <w:t xml:space="preserve">For the introduction to the piece, we chose </w:t>
      </w:r>
      <w:r w:rsidR="0040595A">
        <w:rPr>
          <w:rFonts w:cstheme="minorHAnsi"/>
          <w:color w:val="333333"/>
          <w:shd w:val="clear" w:color="auto" w:fill="FFFFFF"/>
        </w:rPr>
        <w:t>a piece from “Brand New Ancients”, by spoken word artist Kate Tempest, for me this empowered us as individuals and as a group, however I recognised a link to the character of Woyzeck – “giving and getting less”, “not to blame” – although this is debatable, “getting drunk pissing their wages down a hole”…….”the poor things don`t stand a chance”.</w:t>
      </w:r>
    </w:p>
    <w:p w14:paraId="669634C1" w14:textId="01EF1ABC" w:rsidR="004403DC" w:rsidRDefault="004403DC" w:rsidP="0045015F">
      <w:pPr>
        <w:spacing w:line="216" w:lineRule="auto"/>
        <w:rPr>
          <w:rFonts w:cstheme="minorHAnsi"/>
        </w:rPr>
      </w:pPr>
      <w:r>
        <w:rPr>
          <w:rFonts w:cstheme="minorHAnsi"/>
        </w:rPr>
        <w:t xml:space="preserve">As a group, we have some very strong personalities and the process of devising the piece and making final decisions was challenging. Everybody obviously wanted to put forward their ideas – but on occasions, not everyone`s idea was listened to or explored. This </w:t>
      </w:r>
      <w:proofErr w:type="gramStart"/>
      <w:r>
        <w:rPr>
          <w:rFonts w:cstheme="minorHAnsi"/>
        </w:rPr>
        <w:t>in itself is</w:t>
      </w:r>
      <w:proofErr w:type="gramEnd"/>
      <w:r>
        <w:rPr>
          <w:rFonts w:cstheme="minorHAnsi"/>
        </w:rPr>
        <w:t xml:space="preserve"> a learning curve.</w:t>
      </w:r>
    </w:p>
    <w:p w14:paraId="75CBF8ED" w14:textId="77777777" w:rsidR="00487ED5" w:rsidRDefault="00487ED5" w:rsidP="0045015F">
      <w:pPr>
        <w:spacing w:line="216" w:lineRule="auto"/>
        <w:rPr>
          <w:rFonts w:cstheme="minorHAnsi"/>
        </w:rPr>
      </w:pPr>
      <w:r>
        <w:rPr>
          <w:rFonts w:cstheme="minorHAnsi"/>
        </w:rPr>
        <w:t>On a personal level, I was pleased with the initial casting in which I was to portray the doctor, this did change temporarily, and my only character performance was that of Woyzeck purchasing the knife, after some debate (of which there was quite a lot of, both in and out of the performance!) I was in an additional scene as the doctor. I thoroughly enjoyed this process and endeavoured to make the character eccentric and domineering, I enjoyed experimenting with the character and demonstrating actions against the text.</w:t>
      </w:r>
    </w:p>
    <w:p w14:paraId="3BC86866" w14:textId="603BFE14" w:rsidR="00F1643C" w:rsidRPr="00487ED5" w:rsidRDefault="00487ED5" w:rsidP="0045015F">
      <w:pPr>
        <w:spacing w:line="216" w:lineRule="auto"/>
        <w:rPr>
          <w:rFonts w:ascii="Lucida Handwriting" w:hAnsi="Lucida Handwriting" w:cstheme="minorHAnsi"/>
          <w:b/>
        </w:rPr>
      </w:pPr>
      <w:r w:rsidRPr="00487ED5">
        <w:rPr>
          <w:rFonts w:ascii="Lucida Handwriting" w:hAnsi="Lucida Handwriting" w:cstheme="minorHAnsi"/>
          <w:b/>
        </w:rPr>
        <w:t xml:space="preserve">Allison Gough </w:t>
      </w:r>
    </w:p>
    <w:p w14:paraId="69D73AB4" w14:textId="77777777" w:rsidR="00487ED5" w:rsidRDefault="00487ED5" w:rsidP="0045015F">
      <w:pPr>
        <w:spacing w:line="216" w:lineRule="auto"/>
      </w:pPr>
    </w:p>
    <w:p w14:paraId="001104AC" w14:textId="04578D62" w:rsidR="00297DC4" w:rsidRDefault="00297DC4" w:rsidP="0045015F">
      <w:pPr>
        <w:spacing w:line="216" w:lineRule="auto"/>
        <w:rPr>
          <w:u w:val="single"/>
        </w:rPr>
      </w:pPr>
      <w:r w:rsidRPr="00297DC4">
        <w:rPr>
          <w:u w:val="single"/>
        </w:rPr>
        <w:lastRenderedPageBreak/>
        <w:t>Bibliography.</w:t>
      </w:r>
    </w:p>
    <w:p w14:paraId="40AB9E0C" w14:textId="15F09E5C" w:rsidR="00D65453" w:rsidRPr="0045015F" w:rsidRDefault="00CF67EA" w:rsidP="00D65453">
      <w:pPr>
        <w:spacing w:line="216" w:lineRule="auto"/>
      </w:pPr>
      <w:proofErr w:type="spellStart"/>
      <w:r>
        <w:t>Schechner.R</w:t>
      </w:r>
      <w:proofErr w:type="spellEnd"/>
      <w:r>
        <w:t xml:space="preserve">. Performance Theories available at </w:t>
      </w:r>
      <w:hyperlink r:id="rId5" w:history="1">
        <w:r w:rsidRPr="0027687D">
          <w:rPr>
            <w:rStyle w:val="Hyperlink"/>
          </w:rPr>
          <w:t>www.ukessays.com/services/example-essays/drama/richard-schechners-performance-theory.php</w:t>
        </w:r>
      </w:hyperlink>
      <w:r>
        <w:t xml:space="preserve"> (accessed on 07/03/18)</w:t>
      </w:r>
    </w:p>
    <w:p w14:paraId="384AC99D" w14:textId="21D7A07C" w:rsidR="000A5488" w:rsidRDefault="000A5488" w:rsidP="000A5488">
      <w:pPr>
        <w:rPr>
          <w:rFonts w:cstheme="minorHAnsi"/>
          <w:vertAlign w:val="superscript"/>
        </w:rPr>
      </w:pPr>
      <w:r w:rsidRPr="000A5488">
        <w:rPr>
          <w:rFonts w:cstheme="minorHAnsi"/>
        </w:rPr>
        <w:t>Pugh. J.</w:t>
      </w:r>
      <w:r w:rsidRPr="000A5488">
        <w:rPr>
          <w:rFonts w:cstheme="minorHAnsi"/>
        </w:rPr>
        <w:t xml:space="preserve"> (201</w:t>
      </w:r>
      <w:r w:rsidRPr="000A5488">
        <w:rPr>
          <w:rFonts w:cstheme="minorHAnsi"/>
        </w:rPr>
        <w:t>8</w:t>
      </w:r>
      <w:r w:rsidRPr="000A5488">
        <w:rPr>
          <w:rFonts w:cstheme="minorHAnsi"/>
        </w:rPr>
        <w:t xml:space="preserve">) </w:t>
      </w:r>
      <w:r w:rsidRPr="000A5488">
        <w:rPr>
          <w:rFonts w:cstheme="minorHAnsi"/>
          <w:iCs/>
        </w:rPr>
        <w:t>Performing Cultures</w:t>
      </w:r>
      <w:r w:rsidRPr="000A5488">
        <w:rPr>
          <w:rFonts w:cstheme="minorHAnsi"/>
          <w:i/>
          <w:iCs/>
        </w:rPr>
        <w:t xml:space="preserve"> </w:t>
      </w:r>
      <w:r w:rsidRPr="000A5488">
        <w:rPr>
          <w:rFonts w:cstheme="minorHAnsi"/>
        </w:rPr>
        <w:t>(</w:t>
      </w:r>
      <w:r w:rsidRPr="000A5488">
        <w:rPr>
          <w:rFonts w:cstheme="minorHAnsi"/>
        </w:rPr>
        <w:t>Lecture to</w:t>
      </w:r>
      <w:r w:rsidRPr="000A5488">
        <w:rPr>
          <w:rFonts w:cstheme="minorHAnsi"/>
        </w:rPr>
        <w:t xml:space="preserve"> BA</w:t>
      </w:r>
      <w:r w:rsidR="00D65453">
        <w:rPr>
          <w:rFonts w:cstheme="minorHAnsi"/>
        </w:rPr>
        <w:t xml:space="preserve"> </w:t>
      </w:r>
      <w:r w:rsidRPr="000A5488">
        <w:rPr>
          <w:rFonts w:cstheme="minorHAnsi"/>
        </w:rPr>
        <w:t>Applied Drama Year 2) University of Wales Trinity Saint David, February 13</w:t>
      </w:r>
      <w:r w:rsidRPr="000A5488">
        <w:rPr>
          <w:rFonts w:cstheme="minorHAnsi"/>
          <w:vertAlign w:val="superscript"/>
        </w:rPr>
        <w:t>th</w:t>
      </w:r>
    </w:p>
    <w:p w14:paraId="683485E4" w14:textId="69606D61" w:rsidR="00FB20C3" w:rsidRDefault="00FB20C3" w:rsidP="000A5488">
      <w:pPr>
        <w:rPr>
          <w:rFonts w:cstheme="minorHAnsi"/>
        </w:rPr>
      </w:pPr>
      <w:proofErr w:type="spellStart"/>
      <w:r>
        <w:rPr>
          <w:rFonts w:cstheme="minorHAnsi"/>
        </w:rPr>
        <w:t>Buchner.G</w:t>
      </w:r>
      <w:proofErr w:type="spellEnd"/>
      <w:r>
        <w:rPr>
          <w:rFonts w:cstheme="minorHAnsi"/>
        </w:rPr>
        <w:t>. (</w:t>
      </w:r>
      <w:r w:rsidR="00F21350">
        <w:rPr>
          <w:rFonts w:cstheme="minorHAnsi"/>
        </w:rPr>
        <w:t>originally written in German 1830 unfinished</w:t>
      </w:r>
      <w:bookmarkStart w:id="0" w:name="_GoBack"/>
      <w:bookmarkEnd w:id="0"/>
      <w:r w:rsidR="007F142E">
        <w:rPr>
          <w:rFonts w:cstheme="minorHAnsi"/>
        </w:rPr>
        <w:t xml:space="preserve">). </w:t>
      </w:r>
      <w:r>
        <w:rPr>
          <w:rFonts w:cstheme="minorHAnsi"/>
        </w:rPr>
        <w:t>Woyzeck</w:t>
      </w:r>
      <w:r w:rsidR="007F142E">
        <w:rPr>
          <w:rFonts w:cstheme="minorHAnsi"/>
        </w:rPr>
        <w:t>.</w:t>
      </w:r>
      <w:r w:rsidR="00F21350">
        <w:rPr>
          <w:rFonts w:cstheme="minorHAnsi"/>
        </w:rPr>
        <w:t xml:space="preserve"> </w:t>
      </w:r>
      <w:r w:rsidR="00F21350">
        <w:rPr>
          <w:rFonts w:cstheme="minorHAnsi"/>
        </w:rPr>
        <w:t xml:space="preserve">(trans Gregory </w:t>
      </w:r>
      <w:proofErr w:type="spellStart"/>
      <w:r w:rsidR="00F21350">
        <w:rPr>
          <w:rFonts w:cstheme="minorHAnsi"/>
        </w:rPr>
        <w:t>Motton</w:t>
      </w:r>
      <w:proofErr w:type="spellEnd"/>
      <w:r w:rsidR="00F21350">
        <w:rPr>
          <w:rFonts w:cstheme="minorHAnsi"/>
        </w:rPr>
        <w:t xml:space="preserve">). </w:t>
      </w:r>
      <w:r w:rsidR="007F142E">
        <w:rPr>
          <w:rFonts w:cstheme="minorHAnsi"/>
        </w:rPr>
        <w:t xml:space="preserve"> Nick Hern Books</w:t>
      </w:r>
      <w:r w:rsidR="00F21350">
        <w:rPr>
          <w:rFonts w:cstheme="minorHAnsi"/>
        </w:rPr>
        <w:t xml:space="preserve">: </w:t>
      </w:r>
      <w:proofErr w:type="spellStart"/>
      <w:r w:rsidR="00F21350">
        <w:rPr>
          <w:rFonts w:cstheme="minorHAnsi"/>
        </w:rPr>
        <w:t>Croyden</w:t>
      </w:r>
      <w:proofErr w:type="spellEnd"/>
      <w:r w:rsidR="00F21350">
        <w:rPr>
          <w:rFonts w:cstheme="minorHAnsi"/>
        </w:rPr>
        <w:t>. 1996</w:t>
      </w:r>
    </w:p>
    <w:p w14:paraId="700B8E72" w14:textId="4C17A18A" w:rsidR="000A5488" w:rsidRDefault="000A5488" w:rsidP="000A5488">
      <w:pPr>
        <w:rPr>
          <w:rFonts w:cstheme="minorHAnsi"/>
        </w:rPr>
      </w:pPr>
      <w:proofErr w:type="spellStart"/>
      <w:r>
        <w:rPr>
          <w:rFonts w:cstheme="minorHAnsi"/>
        </w:rPr>
        <w:t>Schechner.R</w:t>
      </w:r>
      <w:proofErr w:type="spellEnd"/>
      <w:r>
        <w:rPr>
          <w:rFonts w:cstheme="minorHAnsi"/>
        </w:rPr>
        <w:t>. (2002) Performance Studies</w:t>
      </w:r>
      <w:r w:rsidR="00D65453">
        <w:rPr>
          <w:rFonts w:cstheme="minorHAnsi"/>
        </w:rPr>
        <w:t>. Routledge</w:t>
      </w:r>
    </w:p>
    <w:p w14:paraId="419D1B60" w14:textId="5CD1CBDC" w:rsidR="00D65453" w:rsidRPr="000A5488" w:rsidRDefault="00D65453" w:rsidP="000A5488">
      <w:pPr>
        <w:rPr>
          <w:rFonts w:cstheme="minorHAnsi"/>
        </w:rPr>
      </w:pPr>
      <w:proofErr w:type="spellStart"/>
      <w:r>
        <w:rPr>
          <w:rFonts w:cstheme="minorHAnsi"/>
        </w:rPr>
        <w:t>Tempest.K</w:t>
      </w:r>
      <w:proofErr w:type="spellEnd"/>
      <w:r>
        <w:rPr>
          <w:rFonts w:cstheme="minorHAnsi"/>
        </w:rPr>
        <w:t>. (2013) Brand New Ancients. Picador</w:t>
      </w:r>
    </w:p>
    <w:p w14:paraId="71BC55E5" w14:textId="77777777" w:rsidR="000A5488" w:rsidRPr="00297DC4" w:rsidRDefault="000A5488" w:rsidP="0045015F">
      <w:pPr>
        <w:spacing w:line="216" w:lineRule="auto"/>
        <w:rPr>
          <w:u w:val="single"/>
        </w:rPr>
      </w:pPr>
    </w:p>
    <w:p w14:paraId="46F4D4F2" w14:textId="77777777" w:rsidR="008B0B3C" w:rsidRPr="0099117B" w:rsidRDefault="008B0B3C" w:rsidP="004C3D40">
      <w:pPr>
        <w:jc w:val="both"/>
        <w:rPr>
          <w:rFonts w:cstheme="minorHAnsi"/>
        </w:rPr>
      </w:pPr>
    </w:p>
    <w:p w14:paraId="6B3D173A" w14:textId="77777777" w:rsidR="004C3D40" w:rsidRPr="004C04AE" w:rsidRDefault="004C3D40" w:rsidP="00841546">
      <w:pPr>
        <w:jc w:val="center"/>
        <w:rPr>
          <w:b/>
          <w:u w:val="single"/>
        </w:rPr>
      </w:pPr>
    </w:p>
    <w:p w14:paraId="41FC6D9A" w14:textId="77777777" w:rsidR="00841546" w:rsidRDefault="00841546"/>
    <w:sectPr w:rsidR="008415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8427A2"/>
    <w:multiLevelType w:val="hybridMultilevel"/>
    <w:tmpl w:val="6624D7C8"/>
    <w:lvl w:ilvl="0" w:tplc="BC00E084">
      <w:start w:val="1"/>
      <w:numFmt w:val="bullet"/>
      <w:lvlText w:val="•"/>
      <w:lvlJc w:val="left"/>
      <w:pPr>
        <w:tabs>
          <w:tab w:val="num" w:pos="720"/>
        </w:tabs>
        <w:ind w:left="720" w:hanging="360"/>
      </w:pPr>
      <w:rPr>
        <w:rFonts w:ascii="Arial" w:hAnsi="Arial" w:hint="default"/>
      </w:rPr>
    </w:lvl>
    <w:lvl w:ilvl="1" w:tplc="DB6EBECC" w:tentative="1">
      <w:start w:val="1"/>
      <w:numFmt w:val="bullet"/>
      <w:lvlText w:val="•"/>
      <w:lvlJc w:val="left"/>
      <w:pPr>
        <w:tabs>
          <w:tab w:val="num" w:pos="1440"/>
        </w:tabs>
        <w:ind w:left="1440" w:hanging="360"/>
      </w:pPr>
      <w:rPr>
        <w:rFonts w:ascii="Arial" w:hAnsi="Arial" w:hint="default"/>
      </w:rPr>
    </w:lvl>
    <w:lvl w:ilvl="2" w:tplc="2572E17E" w:tentative="1">
      <w:start w:val="1"/>
      <w:numFmt w:val="bullet"/>
      <w:lvlText w:val="•"/>
      <w:lvlJc w:val="left"/>
      <w:pPr>
        <w:tabs>
          <w:tab w:val="num" w:pos="2160"/>
        </w:tabs>
        <w:ind w:left="2160" w:hanging="360"/>
      </w:pPr>
      <w:rPr>
        <w:rFonts w:ascii="Arial" w:hAnsi="Arial" w:hint="default"/>
      </w:rPr>
    </w:lvl>
    <w:lvl w:ilvl="3" w:tplc="604A50B8" w:tentative="1">
      <w:start w:val="1"/>
      <w:numFmt w:val="bullet"/>
      <w:lvlText w:val="•"/>
      <w:lvlJc w:val="left"/>
      <w:pPr>
        <w:tabs>
          <w:tab w:val="num" w:pos="2880"/>
        </w:tabs>
        <w:ind w:left="2880" w:hanging="360"/>
      </w:pPr>
      <w:rPr>
        <w:rFonts w:ascii="Arial" w:hAnsi="Arial" w:hint="default"/>
      </w:rPr>
    </w:lvl>
    <w:lvl w:ilvl="4" w:tplc="0C904CB4" w:tentative="1">
      <w:start w:val="1"/>
      <w:numFmt w:val="bullet"/>
      <w:lvlText w:val="•"/>
      <w:lvlJc w:val="left"/>
      <w:pPr>
        <w:tabs>
          <w:tab w:val="num" w:pos="3600"/>
        </w:tabs>
        <w:ind w:left="3600" w:hanging="360"/>
      </w:pPr>
      <w:rPr>
        <w:rFonts w:ascii="Arial" w:hAnsi="Arial" w:hint="default"/>
      </w:rPr>
    </w:lvl>
    <w:lvl w:ilvl="5" w:tplc="EFF641B6" w:tentative="1">
      <w:start w:val="1"/>
      <w:numFmt w:val="bullet"/>
      <w:lvlText w:val="•"/>
      <w:lvlJc w:val="left"/>
      <w:pPr>
        <w:tabs>
          <w:tab w:val="num" w:pos="4320"/>
        </w:tabs>
        <w:ind w:left="4320" w:hanging="360"/>
      </w:pPr>
      <w:rPr>
        <w:rFonts w:ascii="Arial" w:hAnsi="Arial" w:hint="default"/>
      </w:rPr>
    </w:lvl>
    <w:lvl w:ilvl="6" w:tplc="51EC35A2" w:tentative="1">
      <w:start w:val="1"/>
      <w:numFmt w:val="bullet"/>
      <w:lvlText w:val="•"/>
      <w:lvlJc w:val="left"/>
      <w:pPr>
        <w:tabs>
          <w:tab w:val="num" w:pos="5040"/>
        </w:tabs>
        <w:ind w:left="5040" w:hanging="360"/>
      </w:pPr>
      <w:rPr>
        <w:rFonts w:ascii="Arial" w:hAnsi="Arial" w:hint="default"/>
      </w:rPr>
    </w:lvl>
    <w:lvl w:ilvl="7" w:tplc="0316A514" w:tentative="1">
      <w:start w:val="1"/>
      <w:numFmt w:val="bullet"/>
      <w:lvlText w:val="•"/>
      <w:lvlJc w:val="left"/>
      <w:pPr>
        <w:tabs>
          <w:tab w:val="num" w:pos="5760"/>
        </w:tabs>
        <w:ind w:left="5760" w:hanging="360"/>
      </w:pPr>
      <w:rPr>
        <w:rFonts w:ascii="Arial" w:hAnsi="Arial" w:hint="default"/>
      </w:rPr>
    </w:lvl>
    <w:lvl w:ilvl="8" w:tplc="9A402EE8"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546"/>
    <w:rsid w:val="00043344"/>
    <w:rsid w:val="00093E1C"/>
    <w:rsid w:val="000A5488"/>
    <w:rsid w:val="001D0E4D"/>
    <w:rsid w:val="00297DC4"/>
    <w:rsid w:val="002B07C1"/>
    <w:rsid w:val="003472D9"/>
    <w:rsid w:val="00380541"/>
    <w:rsid w:val="0040595A"/>
    <w:rsid w:val="004403DC"/>
    <w:rsid w:val="0045015F"/>
    <w:rsid w:val="00487ED5"/>
    <w:rsid w:val="004C3D40"/>
    <w:rsid w:val="007E2615"/>
    <w:rsid w:val="007F142E"/>
    <w:rsid w:val="00801EF5"/>
    <w:rsid w:val="00841546"/>
    <w:rsid w:val="008540E0"/>
    <w:rsid w:val="00874AC7"/>
    <w:rsid w:val="008B0B3C"/>
    <w:rsid w:val="008F4A69"/>
    <w:rsid w:val="0097043F"/>
    <w:rsid w:val="0099117B"/>
    <w:rsid w:val="00A00A2E"/>
    <w:rsid w:val="00B8371B"/>
    <w:rsid w:val="00B96A42"/>
    <w:rsid w:val="00BB77C2"/>
    <w:rsid w:val="00CF67EA"/>
    <w:rsid w:val="00D65453"/>
    <w:rsid w:val="00DB1DC9"/>
    <w:rsid w:val="00E24532"/>
    <w:rsid w:val="00F1643C"/>
    <w:rsid w:val="00F21350"/>
    <w:rsid w:val="00F30090"/>
    <w:rsid w:val="00FB2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52E73A"/>
  <w15:chartTrackingRefBased/>
  <w15:docId w15:val="{E3BB0A48-B69C-49B8-B132-B6ADFC31CC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41546"/>
    <w:pPr>
      <w:spacing w:line="252"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00A2E"/>
    <w:pPr>
      <w:spacing w:after="0" w:line="240" w:lineRule="auto"/>
      <w:ind w:left="720"/>
      <w:contextualSpacing/>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B96A42"/>
    <w:rPr>
      <w:i/>
      <w:iCs/>
    </w:rPr>
  </w:style>
  <w:style w:type="character" w:styleId="Hyperlink">
    <w:name w:val="Hyperlink"/>
    <w:basedOn w:val="DefaultParagraphFont"/>
    <w:uiPriority w:val="99"/>
    <w:unhideWhenUsed/>
    <w:rsid w:val="00801EF5"/>
    <w:rPr>
      <w:color w:val="0563C1" w:themeColor="hyperlink"/>
      <w:u w:val="single"/>
    </w:rPr>
  </w:style>
  <w:style w:type="character" w:styleId="UnresolvedMention">
    <w:name w:val="Unresolved Mention"/>
    <w:basedOn w:val="DefaultParagraphFont"/>
    <w:uiPriority w:val="99"/>
    <w:semiHidden/>
    <w:unhideWhenUsed/>
    <w:rsid w:val="00801EF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02290720">
      <w:bodyDiv w:val="1"/>
      <w:marLeft w:val="0"/>
      <w:marRight w:val="0"/>
      <w:marTop w:val="0"/>
      <w:marBottom w:val="0"/>
      <w:divBdr>
        <w:top w:val="none" w:sz="0" w:space="0" w:color="auto"/>
        <w:left w:val="none" w:sz="0" w:space="0" w:color="auto"/>
        <w:bottom w:val="none" w:sz="0" w:space="0" w:color="auto"/>
        <w:right w:val="none" w:sz="0" w:space="0" w:color="auto"/>
      </w:divBdr>
      <w:divsChild>
        <w:div w:id="925184621">
          <w:marLeft w:val="360"/>
          <w:marRight w:val="0"/>
          <w:marTop w:val="200"/>
          <w:marBottom w:val="0"/>
          <w:divBdr>
            <w:top w:val="none" w:sz="0" w:space="0" w:color="auto"/>
            <w:left w:val="none" w:sz="0" w:space="0" w:color="auto"/>
            <w:bottom w:val="none" w:sz="0" w:space="0" w:color="auto"/>
            <w:right w:val="none" w:sz="0" w:space="0" w:color="auto"/>
          </w:divBdr>
        </w:div>
      </w:divsChild>
    </w:div>
    <w:div w:id="13810536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www.ukessays.com/services/example-essays/drama/richard-schechners-performance-theory.ph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TotalTime>
  <Pages>2</Pages>
  <Words>639</Words>
  <Characters>3648</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Allison Gough</dc:creator>
  <cp:keywords/>
  <dc:description/>
  <cp:lastModifiedBy>Allison Gough</cp:lastModifiedBy>
  <cp:revision>21</cp:revision>
  <dcterms:created xsi:type="dcterms:W3CDTF">2018-03-07T21:41:00Z</dcterms:created>
  <dcterms:modified xsi:type="dcterms:W3CDTF">2018-03-08T19:41:00Z</dcterms:modified>
</cp:coreProperties>
</file>