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FC6321" w14:textId="77777777" w:rsidR="00F80C9B" w:rsidRDefault="00F80C9B">
      <w:pPr>
        <w:pStyle w:val="BodyText"/>
        <w:spacing w:before="1006"/>
        <w:rPr>
          <w:sz w:val="96"/>
        </w:rPr>
      </w:pPr>
    </w:p>
    <w:p w14:paraId="28B48D30" w14:textId="299C7B23" w:rsidR="00F80C9B" w:rsidRPr="00480089" w:rsidRDefault="00F80C9B">
      <w:pPr>
        <w:pStyle w:val="Title"/>
        <w:spacing w:before="1"/>
        <w:rPr>
          <w:color w:val="333333"/>
          <w:spacing w:val="-2"/>
          <w:sz w:val="72"/>
          <w:szCs w:val="72"/>
        </w:rPr>
      </w:pPr>
      <w:r w:rsidRPr="00480089">
        <w:rPr>
          <w:color w:val="333333"/>
          <w:spacing w:val="-2"/>
          <w:sz w:val="72"/>
          <w:szCs w:val="72"/>
        </w:rPr>
        <w:t>NAME: JUNE LILIAN TRUEPENNY</w:t>
      </w:r>
    </w:p>
    <w:p w14:paraId="5A9BE5FD" w14:textId="77777777" w:rsidR="00F80C9B" w:rsidRPr="00480089" w:rsidRDefault="00F80C9B">
      <w:pPr>
        <w:pStyle w:val="Title"/>
        <w:spacing w:before="1"/>
        <w:rPr>
          <w:color w:val="333333"/>
          <w:spacing w:val="-2"/>
          <w:sz w:val="72"/>
          <w:szCs w:val="72"/>
        </w:rPr>
      </w:pPr>
    </w:p>
    <w:p w14:paraId="21294977" w14:textId="4B045E96" w:rsidR="00821D10" w:rsidRPr="00480089" w:rsidRDefault="00F80C9B">
      <w:pPr>
        <w:pStyle w:val="Title"/>
        <w:spacing w:before="1"/>
        <w:rPr>
          <w:color w:val="333333"/>
          <w:spacing w:val="-2"/>
          <w:sz w:val="72"/>
          <w:szCs w:val="72"/>
        </w:rPr>
      </w:pPr>
      <w:r w:rsidRPr="00480089">
        <w:rPr>
          <w:color w:val="333333"/>
          <w:spacing w:val="-2"/>
          <w:sz w:val="72"/>
          <w:szCs w:val="72"/>
        </w:rPr>
        <w:t xml:space="preserve">COURSE CODE: </w:t>
      </w:r>
      <w:r w:rsidR="00000000" w:rsidRPr="00480089">
        <w:rPr>
          <w:color w:val="333333"/>
          <w:spacing w:val="-2"/>
          <w:sz w:val="72"/>
          <w:szCs w:val="72"/>
        </w:rPr>
        <w:t>LCHS4003</w:t>
      </w:r>
    </w:p>
    <w:p w14:paraId="6257D5CB" w14:textId="77777777" w:rsidR="00F80C9B" w:rsidRPr="00480089" w:rsidRDefault="00F80C9B">
      <w:pPr>
        <w:pStyle w:val="Title"/>
        <w:spacing w:before="1"/>
        <w:rPr>
          <w:sz w:val="72"/>
          <w:szCs w:val="72"/>
        </w:rPr>
      </w:pPr>
    </w:p>
    <w:p w14:paraId="47F41400" w14:textId="0F31385A" w:rsidR="00821D10" w:rsidRPr="00480089" w:rsidRDefault="00F80C9B">
      <w:pPr>
        <w:pStyle w:val="Title"/>
        <w:rPr>
          <w:color w:val="333333"/>
          <w:sz w:val="72"/>
          <w:szCs w:val="72"/>
        </w:rPr>
      </w:pPr>
      <w:r w:rsidRPr="00480089">
        <w:rPr>
          <w:color w:val="333333"/>
          <w:sz w:val="72"/>
          <w:szCs w:val="72"/>
        </w:rPr>
        <w:t xml:space="preserve">COURSE TITLE: </w:t>
      </w:r>
      <w:r w:rsidR="00000000" w:rsidRPr="00480089">
        <w:rPr>
          <w:color w:val="333333"/>
          <w:sz w:val="72"/>
          <w:szCs w:val="72"/>
        </w:rPr>
        <w:t>Introduction</w:t>
      </w:r>
      <w:r w:rsidR="00000000" w:rsidRPr="00480089">
        <w:rPr>
          <w:color w:val="333333"/>
          <w:spacing w:val="40"/>
          <w:sz w:val="72"/>
          <w:szCs w:val="72"/>
        </w:rPr>
        <w:t xml:space="preserve"> </w:t>
      </w:r>
      <w:r w:rsidR="00000000" w:rsidRPr="00480089">
        <w:rPr>
          <w:color w:val="333333"/>
          <w:sz w:val="72"/>
          <w:szCs w:val="72"/>
        </w:rPr>
        <w:t>to</w:t>
      </w:r>
      <w:r w:rsidR="00000000" w:rsidRPr="00480089">
        <w:rPr>
          <w:color w:val="333333"/>
          <w:spacing w:val="40"/>
          <w:sz w:val="72"/>
          <w:szCs w:val="72"/>
        </w:rPr>
        <w:t xml:space="preserve"> </w:t>
      </w:r>
      <w:r w:rsidR="00000000" w:rsidRPr="00480089">
        <w:rPr>
          <w:color w:val="333333"/>
          <w:sz w:val="72"/>
          <w:szCs w:val="72"/>
        </w:rPr>
        <w:t>Health and Social Care</w:t>
      </w:r>
    </w:p>
    <w:p w14:paraId="62C8FDB6" w14:textId="77777777" w:rsidR="00F80C9B" w:rsidRPr="00480089" w:rsidRDefault="00F80C9B">
      <w:pPr>
        <w:pStyle w:val="Title"/>
        <w:rPr>
          <w:color w:val="333333"/>
          <w:sz w:val="72"/>
          <w:szCs w:val="72"/>
        </w:rPr>
      </w:pPr>
    </w:p>
    <w:p w14:paraId="25019924" w14:textId="6648156E" w:rsidR="00F80C9B" w:rsidRPr="00480089" w:rsidRDefault="00F80C9B">
      <w:pPr>
        <w:pStyle w:val="Title"/>
        <w:rPr>
          <w:sz w:val="72"/>
          <w:szCs w:val="72"/>
        </w:rPr>
      </w:pPr>
      <w:r w:rsidRPr="00480089">
        <w:rPr>
          <w:color w:val="333333"/>
          <w:sz w:val="72"/>
          <w:szCs w:val="72"/>
        </w:rPr>
        <w:t>STUDENT ID: 2</w:t>
      </w:r>
      <w:r w:rsidR="000A550E">
        <w:rPr>
          <w:color w:val="333333"/>
          <w:sz w:val="72"/>
          <w:szCs w:val="72"/>
        </w:rPr>
        <w:t>514423</w:t>
      </w:r>
    </w:p>
    <w:p w14:paraId="79B01F8F" w14:textId="77777777" w:rsidR="00821D10" w:rsidRDefault="00821D10">
      <w:pPr>
        <w:pStyle w:val="BodyText"/>
        <w:rPr>
          <w:b/>
          <w:sz w:val="96"/>
        </w:rPr>
      </w:pPr>
    </w:p>
    <w:p w14:paraId="2D3635FE" w14:textId="77777777" w:rsidR="00821D10" w:rsidRDefault="00821D10">
      <w:pPr>
        <w:pStyle w:val="BodyText"/>
        <w:spacing w:before="515"/>
        <w:rPr>
          <w:b/>
          <w:sz w:val="96"/>
        </w:rPr>
      </w:pPr>
    </w:p>
    <w:p w14:paraId="19F82C07" w14:textId="77777777" w:rsidR="004E73D1" w:rsidRDefault="004E73D1">
      <w:pPr>
        <w:pStyle w:val="Heading2"/>
        <w:rPr>
          <w:color w:val="2E73B5"/>
        </w:rPr>
      </w:pPr>
      <w:bookmarkStart w:id="0" w:name="_bookmark0"/>
      <w:bookmarkEnd w:id="0"/>
    </w:p>
    <w:p w14:paraId="4D5F393B" w14:textId="77777777" w:rsidR="00480089" w:rsidRDefault="00480089" w:rsidP="00480089">
      <w:pPr>
        <w:pStyle w:val="Heading2"/>
        <w:ind w:left="0"/>
        <w:rPr>
          <w:color w:val="2E73B5"/>
        </w:rPr>
      </w:pPr>
    </w:p>
    <w:p w14:paraId="13C20D5E" w14:textId="7E20DA2F" w:rsidR="00821D10" w:rsidRDefault="00480089" w:rsidP="00480089">
      <w:pPr>
        <w:pStyle w:val="Heading2"/>
        <w:ind w:left="0"/>
      </w:pPr>
      <w:r>
        <w:rPr>
          <w:color w:val="2E73B5"/>
        </w:rPr>
        <w:lastRenderedPageBreak/>
        <w:t xml:space="preserve"> </w:t>
      </w:r>
      <w:r w:rsidR="00000000">
        <w:rPr>
          <w:color w:val="2E73B5"/>
        </w:rPr>
        <w:t>Table</w:t>
      </w:r>
      <w:r w:rsidR="00000000">
        <w:rPr>
          <w:color w:val="2E73B5"/>
          <w:spacing w:val="-3"/>
        </w:rPr>
        <w:t xml:space="preserve"> </w:t>
      </w:r>
      <w:r w:rsidR="00000000">
        <w:rPr>
          <w:color w:val="2E73B5"/>
        </w:rPr>
        <w:t xml:space="preserve">of </w:t>
      </w:r>
      <w:r w:rsidR="00000000">
        <w:rPr>
          <w:color w:val="2E73B5"/>
          <w:spacing w:val="-2"/>
        </w:rPr>
        <w:t>Contents</w:t>
      </w:r>
    </w:p>
    <w:p w14:paraId="16879C8D" w14:textId="77777777" w:rsidR="00821D10" w:rsidRDefault="00821D10">
      <w:pPr>
        <w:pStyle w:val="Heading2"/>
        <w:sectPr w:rsidR="00821D10">
          <w:footerReference w:type="default" r:id="rId6"/>
          <w:type w:val="continuous"/>
          <w:pgSz w:w="11910" w:h="16840"/>
          <w:pgMar w:top="1920" w:right="992" w:bottom="1652" w:left="1133" w:header="0" w:footer="1105" w:gutter="0"/>
          <w:pgNumType w:start="1"/>
          <w:cols w:space="720"/>
        </w:sectPr>
      </w:pPr>
    </w:p>
    <w:sdt>
      <w:sdtPr>
        <w:id w:val="-1954168493"/>
        <w:docPartObj>
          <w:docPartGallery w:val="Table of Contents"/>
          <w:docPartUnique/>
        </w:docPartObj>
      </w:sdtPr>
      <w:sdtContent>
        <w:p w14:paraId="6B8D990C" w14:textId="77777777" w:rsidR="00821D10" w:rsidRDefault="00000000">
          <w:pPr>
            <w:pStyle w:val="TOC2"/>
            <w:tabs>
              <w:tab w:val="right" w:leader="dot" w:pos="9628"/>
            </w:tabs>
            <w:spacing w:before="21" w:after="20"/>
          </w:pPr>
          <w:hyperlink w:anchor="_bookmark0" w:history="1">
            <w:r>
              <w:t>Table</w:t>
            </w:r>
            <w:r>
              <w:rPr>
                <w:spacing w:val="-3"/>
              </w:rPr>
              <w:t xml:space="preserve"> </w:t>
            </w:r>
            <w:r>
              <w:t xml:space="preserve">of </w:t>
            </w:r>
            <w:r>
              <w:rPr>
                <w:spacing w:val="-2"/>
              </w:rPr>
              <w:t>Contents</w:t>
            </w:r>
            <w:r>
              <w:tab/>
            </w:r>
            <w:r>
              <w:rPr>
                <w:spacing w:val="-12"/>
              </w:rPr>
              <w:t>1</w:t>
            </w:r>
          </w:hyperlink>
        </w:p>
        <w:p w14:paraId="32355AAB" w14:textId="77777777" w:rsidR="00821D10" w:rsidRDefault="00000000">
          <w:pPr>
            <w:pStyle w:val="TOC3"/>
            <w:tabs>
              <w:tab w:val="right" w:leader="dot" w:pos="9628"/>
            </w:tabs>
            <w:spacing w:before="78"/>
          </w:pPr>
          <w:hyperlink w:anchor="_bookmark1" w:history="1">
            <w:r>
              <w:rPr>
                <w:spacing w:val="-2"/>
              </w:rPr>
              <w:t>INTRODUCTION</w:t>
            </w:r>
            <w:r>
              <w:tab/>
            </w:r>
            <w:r>
              <w:rPr>
                <w:spacing w:val="-10"/>
              </w:rPr>
              <w:t>3</w:t>
            </w:r>
          </w:hyperlink>
        </w:p>
        <w:p w14:paraId="43E42EF5" w14:textId="77777777" w:rsidR="00821D10" w:rsidRDefault="00000000">
          <w:pPr>
            <w:pStyle w:val="TOC1"/>
            <w:tabs>
              <w:tab w:val="right" w:leader="dot" w:pos="9629"/>
            </w:tabs>
          </w:pPr>
          <w:hyperlink w:anchor="_bookmark2" w:history="1">
            <w:r>
              <w:t>Origin</w:t>
            </w:r>
            <w:r>
              <w:rPr>
                <w:spacing w:val="-1"/>
              </w:rPr>
              <w:t xml:space="preserve"> </w:t>
            </w:r>
            <w:r>
              <w:t>and</w:t>
            </w:r>
            <w:r>
              <w:rPr>
                <w:spacing w:val="-1"/>
              </w:rPr>
              <w:t xml:space="preserve"> </w:t>
            </w:r>
            <w:r>
              <w:t>historical context</w:t>
            </w:r>
            <w:r>
              <w:rPr>
                <w:spacing w:val="-1"/>
              </w:rPr>
              <w:t xml:space="preserve"> </w:t>
            </w:r>
            <w:r>
              <w:t xml:space="preserve">of </w:t>
            </w:r>
            <w:r>
              <w:rPr>
                <w:spacing w:val="-2"/>
              </w:rPr>
              <w:t>ambulance</w:t>
            </w:r>
            <w:r>
              <w:tab/>
            </w:r>
            <w:r>
              <w:rPr>
                <w:spacing w:val="-10"/>
              </w:rPr>
              <w:t>3</w:t>
            </w:r>
          </w:hyperlink>
        </w:p>
        <w:p w14:paraId="23EA48DE" w14:textId="77777777" w:rsidR="00821D10" w:rsidRDefault="00000000">
          <w:pPr>
            <w:pStyle w:val="TOC1"/>
            <w:tabs>
              <w:tab w:val="right" w:leader="dot" w:pos="9628"/>
            </w:tabs>
          </w:pPr>
          <w:hyperlink w:anchor="_bookmark3" w:history="1">
            <w:r>
              <w:t>Critical</w:t>
            </w:r>
            <w:r>
              <w:rPr>
                <w:spacing w:val="-2"/>
              </w:rPr>
              <w:t xml:space="preserve"> </w:t>
            </w:r>
            <w:r>
              <w:t>evaluation</w:t>
            </w:r>
            <w:r>
              <w:rPr>
                <w:spacing w:val="-2"/>
              </w:rPr>
              <w:t xml:space="preserve"> </w:t>
            </w:r>
            <w:r>
              <w:t>of</w:t>
            </w:r>
            <w:r>
              <w:rPr>
                <w:spacing w:val="-2"/>
              </w:rPr>
              <w:t xml:space="preserve"> </w:t>
            </w:r>
            <w:r>
              <w:t>ambulance</w:t>
            </w:r>
            <w:r>
              <w:rPr>
                <w:spacing w:val="-1"/>
              </w:rPr>
              <w:t xml:space="preserve"> </w:t>
            </w:r>
            <w:r>
              <w:t>services</w:t>
            </w:r>
            <w:r>
              <w:rPr>
                <w:spacing w:val="-3"/>
              </w:rPr>
              <w:t xml:space="preserve"> </w:t>
            </w:r>
            <w:r>
              <w:t>in</w:t>
            </w:r>
            <w:r>
              <w:rPr>
                <w:spacing w:val="-1"/>
              </w:rPr>
              <w:t xml:space="preserve"> </w:t>
            </w:r>
            <w:r>
              <w:rPr>
                <w:spacing w:val="-4"/>
              </w:rPr>
              <w:t>today</w:t>
            </w:r>
            <w:r>
              <w:tab/>
            </w:r>
            <w:r>
              <w:rPr>
                <w:spacing w:val="-10"/>
              </w:rPr>
              <w:t>4</w:t>
            </w:r>
          </w:hyperlink>
        </w:p>
        <w:p w14:paraId="6DFA3AA5" w14:textId="77777777" w:rsidR="00821D10" w:rsidRDefault="00000000">
          <w:pPr>
            <w:pStyle w:val="TOC1"/>
            <w:tabs>
              <w:tab w:val="right" w:leader="dot" w:pos="9629"/>
            </w:tabs>
          </w:pPr>
          <w:hyperlink w:anchor="_bookmark4" w:history="1">
            <w:r>
              <w:t>Significance</w:t>
            </w:r>
            <w:r>
              <w:rPr>
                <w:spacing w:val="-1"/>
              </w:rPr>
              <w:t xml:space="preserve"> </w:t>
            </w:r>
            <w:r>
              <w:t>the life</w:t>
            </w:r>
            <w:r>
              <w:rPr>
                <w:spacing w:val="-1"/>
              </w:rPr>
              <w:t xml:space="preserve"> </w:t>
            </w:r>
            <w:r>
              <w:t xml:space="preserve">of </w:t>
            </w:r>
            <w:r>
              <w:rPr>
                <w:spacing w:val="-4"/>
              </w:rPr>
              <w:t>user</w:t>
            </w:r>
            <w:r>
              <w:tab/>
            </w:r>
            <w:r>
              <w:rPr>
                <w:spacing w:val="-10"/>
              </w:rPr>
              <w:t>5</w:t>
            </w:r>
          </w:hyperlink>
        </w:p>
        <w:p w14:paraId="33A8CF84" w14:textId="77777777" w:rsidR="00821D10" w:rsidRDefault="00000000">
          <w:pPr>
            <w:pStyle w:val="TOC3"/>
            <w:tabs>
              <w:tab w:val="right" w:leader="dot" w:pos="9629"/>
            </w:tabs>
          </w:pPr>
          <w:hyperlink w:anchor="_bookmark5" w:history="1">
            <w:r>
              <w:rPr>
                <w:spacing w:val="-2"/>
              </w:rPr>
              <w:t>References</w:t>
            </w:r>
            <w:r>
              <w:tab/>
            </w:r>
            <w:r>
              <w:rPr>
                <w:spacing w:val="-10"/>
              </w:rPr>
              <w:t>6</w:t>
            </w:r>
          </w:hyperlink>
        </w:p>
      </w:sdtContent>
    </w:sdt>
    <w:p w14:paraId="6E2DD34B" w14:textId="77777777" w:rsidR="00821D10" w:rsidRDefault="00821D10">
      <w:pPr>
        <w:pStyle w:val="TOC3"/>
        <w:sectPr w:rsidR="00821D10">
          <w:type w:val="continuous"/>
          <w:pgSz w:w="11910" w:h="16840"/>
          <w:pgMar w:top="1058" w:right="992" w:bottom="1652" w:left="1133" w:header="0" w:footer="1105" w:gutter="0"/>
          <w:cols w:space="720"/>
        </w:sectPr>
      </w:pPr>
    </w:p>
    <w:p w14:paraId="6F0FC400" w14:textId="77777777" w:rsidR="00821D10" w:rsidRDefault="00000000">
      <w:pPr>
        <w:spacing w:before="76"/>
        <w:ind w:left="1"/>
        <w:rPr>
          <w:b/>
          <w:sz w:val="32"/>
        </w:rPr>
      </w:pPr>
      <w:r>
        <w:rPr>
          <w:b/>
          <w:noProof/>
          <w:sz w:val="32"/>
        </w:rPr>
        <w:lastRenderedPageBreak/>
        <w:drawing>
          <wp:anchor distT="0" distB="0" distL="0" distR="0" simplePos="0" relativeHeight="15728640" behindDoc="0" locked="0" layoutInCell="1" allowOverlap="1" wp14:anchorId="7328B091" wp14:editId="7B0A91A0">
            <wp:simplePos x="0" y="0"/>
            <wp:positionH relativeFrom="page">
              <wp:posOffset>720090</wp:posOffset>
            </wp:positionH>
            <wp:positionV relativeFrom="paragraph">
              <wp:posOffset>711199</wp:posOffset>
            </wp:positionV>
            <wp:extent cx="6118224" cy="3462654"/>
            <wp:effectExtent l="0" t="0" r="0" b="0"/>
            <wp:wrapNone/>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7" cstate="print"/>
                    <a:stretch>
                      <a:fillRect/>
                    </a:stretch>
                  </pic:blipFill>
                  <pic:spPr>
                    <a:xfrm>
                      <a:off x="0" y="0"/>
                      <a:ext cx="6118224" cy="3462654"/>
                    </a:xfrm>
                    <a:prstGeom prst="rect">
                      <a:avLst/>
                    </a:prstGeom>
                  </pic:spPr>
                </pic:pic>
              </a:graphicData>
            </a:graphic>
          </wp:anchor>
        </w:drawing>
      </w:r>
      <w:r>
        <w:rPr>
          <w:b/>
          <w:sz w:val="32"/>
        </w:rPr>
        <w:t>Task</w:t>
      </w:r>
      <w:r>
        <w:rPr>
          <w:b/>
          <w:spacing w:val="-4"/>
          <w:sz w:val="32"/>
        </w:rPr>
        <w:t xml:space="preserve"> </w:t>
      </w:r>
      <w:r>
        <w:rPr>
          <w:b/>
          <w:spacing w:val="-10"/>
          <w:sz w:val="32"/>
        </w:rPr>
        <w:t>1</w:t>
      </w:r>
    </w:p>
    <w:p w14:paraId="4ADF3999" w14:textId="77777777" w:rsidR="00821D10" w:rsidRDefault="00821D10">
      <w:pPr>
        <w:pStyle w:val="BodyText"/>
        <w:rPr>
          <w:b/>
          <w:sz w:val="32"/>
        </w:rPr>
      </w:pPr>
    </w:p>
    <w:p w14:paraId="70B17753" w14:textId="77777777" w:rsidR="00821D10" w:rsidRDefault="00821D10">
      <w:pPr>
        <w:pStyle w:val="BodyText"/>
        <w:rPr>
          <w:b/>
          <w:sz w:val="32"/>
        </w:rPr>
      </w:pPr>
    </w:p>
    <w:p w14:paraId="633B95B3" w14:textId="77777777" w:rsidR="00821D10" w:rsidRDefault="00821D10">
      <w:pPr>
        <w:pStyle w:val="BodyText"/>
        <w:rPr>
          <w:b/>
          <w:sz w:val="32"/>
        </w:rPr>
      </w:pPr>
    </w:p>
    <w:p w14:paraId="7FEAD940" w14:textId="77777777" w:rsidR="00821D10" w:rsidRDefault="00821D10">
      <w:pPr>
        <w:pStyle w:val="BodyText"/>
        <w:rPr>
          <w:b/>
          <w:sz w:val="32"/>
        </w:rPr>
      </w:pPr>
    </w:p>
    <w:p w14:paraId="6F9D7BA9" w14:textId="77777777" w:rsidR="00821D10" w:rsidRDefault="00821D10">
      <w:pPr>
        <w:pStyle w:val="BodyText"/>
        <w:rPr>
          <w:b/>
          <w:sz w:val="32"/>
        </w:rPr>
      </w:pPr>
    </w:p>
    <w:p w14:paraId="079DF5B7" w14:textId="77777777" w:rsidR="00821D10" w:rsidRDefault="00821D10">
      <w:pPr>
        <w:pStyle w:val="BodyText"/>
        <w:rPr>
          <w:b/>
          <w:sz w:val="32"/>
        </w:rPr>
      </w:pPr>
    </w:p>
    <w:p w14:paraId="51E80F92" w14:textId="77777777" w:rsidR="00821D10" w:rsidRDefault="00821D10">
      <w:pPr>
        <w:pStyle w:val="BodyText"/>
        <w:rPr>
          <w:b/>
          <w:sz w:val="32"/>
        </w:rPr>
      </w:pPr>
    </w:p>
    <w:p w14:paraId="4EAA46AE" w14:textId="77777777" w:rsidR="00821D10" w:rsidRDefault="00821D10">
      <w:pPr>
        <w:pStyle w:val="BodyText"/>
        <w:rPr>
          <w:b/>
          <w:sz w:val="32"/>
        </w:rPr>
      </w:pPr>
    </w:p>
    <w:p w14:paraId="7566579A" w14:textId="77777777" w:rsidR="00821D10" w:rsidRDefault="00821D10">
      <w:pPr>
        <w:pStyle w:val="BodyText"/>
        <w:rPr>
          <w:b/>
          <w:sz w:val="32"/>
        </w:rPr>
      </w:pPr>
    </w:p>
    <w:p w14:paraId="723B9957" w14:textId="77777777" w:rsidR="00821D10" w:rsidRDefault="00821D10">
      <w:pPr>
        <w:pStyle w:val="BodyText"/>
        <w:rPr>
          <w:b/>
          <w:sz w:val="32"/>
        </w:rPr>
      </w:pPr>
    </w:p>
    <w:p w14:paraId="73769C1C" w14:textId="77777777" w:rsidR="00821D10" w:rsidRDefault="00821D10">
      <w:pPr>
        <w:pStyle w:val="BodyText"/>
        <w:rPr>
          <w:b/>
          <w:sz w:val="32"/>
        </w:rPr>
      </w:pPr>
    </w:p>
    <w:p w14:paraId="284FC19A" w14:textId="77777777" w:rsidR="00821D10" w:rsidRDefault="00821D10">
      <w:pPr>
        <w:pStyle w:val="BodyText"/>
        <w:rPr>
          <w:b/>
          <w:sz w:val="32"/>
        </w:rPr>
      </w:pPr>
    </w:p>
    <w:p w14:paraId="16C30C49" w14:textId="77777777" w:rsidR="00821D10" w:rsidRDefault="00821D10">
      <w:pPr>
        <w:pStyle w:val="BodyText"/>
        <w:rPr>
          <w:b/>
          <w:sz w:val="32"/>
        </w:rPr>
      </w:pPr>
    </w:p>
    <w:p w14:paraId="53BB101B" w14:textId="77777777" w:rsidR="00821D10" w:rsidRDefault="00821D10">
      <w:pPr>
        <w:pStyle w:val="BodyText"/>
        <w:rPr>
          <w:b/>
          <w:sz w:val="32"/>
        </w:rPr>
      </w:pPr>
    </w:p>
    <w:p w14:paraId="4A65AF81" w14:textId="77777777" w:rsidR="00821D10" w:rsidRDefault="00821D10">
      <w:pPr>
        <w:pStyle w:val="BodyText"/>
        <w:spacing w:before="307"/>
        <w:rPr>
          <w:b/>
          <w:sz w:val="32"/>
        </w:rPr>
      </w:pPr>
    </w:p>
    <w:p w14:paraId="3A0ABD95" w14:textId="77777777" w:rsidR="00821D10" w:rsidRDefault="00000000">
      <w:pPr>
        <w:spacing w:line="910" w:lineRule="atLeast"/>
        <w:ind w:left="1" w:right="6351"/>
        <w:rPr>
          <w:b/>
          <w:sz w:val="32"/>
        </w:rPr>
      </w:pPr>
      <w:r>
        <w:rPr>
          <w:b/>
          <w:sz w:val="32"/>
        </w:rPr>
        <w:t xml:space="preserve">Task 2 </w:t>
      </w:r>
      <w:bookmarkStart w:id="1" w:name="_bookmark1"/>
      <w:bookmarkEnd w:id="1"/>
      <w:r>
        <w:rPr>
          <w:b/>
          <w:spacing w:val="-2"/>
          <w:sz w:val="32"/>
        </w:rPr>
        <w:t>INTRODUCTION</w:t>
      </w:r>
    </w:p>
    <w:p w14:paraId="4917CF2D" w14:textId="77777777" w:rsidR="00821D10" w:rsidRDefault="00000000">
      <w:pPr>
        <w:pStyle w:val="BodyText"/>
        <w:spacing w:before="122" w:line="360" w:lineRule="auto"/>
        <w:ind w:left="1" w:right="139"/>
        <w:jc w:val="both"/>
      </w:pPr>
      <w:r>
        <w:t>Ambulance is a specialised emergency vehicle provide pre hospital facility. For patient who is suffering from illness and injury there is a rapid transportation to the patient a rapid care provide in the vehicle (Boyd et al., 2023). Ambulance equipped with life-saving technology like ventilator, medications and highly trained staff of paramedical and technician. The primary work of the ambulance is to provide the urgent care and stabilise the patient before transferring to the hospital and it is the involving advanced technologies for better outcomes.</w:t>
      </w:r>
    </w:p>
    <w:p w14:paraId="3173C737" w14:textId="77777777" w:rsidR="00821D10" w:rsidRDefault="00821D10">
      <w:pPr>
        <w:pStyle w:val="BodyText"/>
        <w:spacing w:before="84"/>
      </w:pPr>
    </w:p>
    <w:p w14:paraId="41AE68F7" w14:textId="77777777" w:rsidR="00821D10" w:rsidRDefault="00000000">
      <w:pPr>
        <w:pStyle w:val="Heading1"/>
      </w:pPr>
      <w:bookmarkStart w:id="2" w:name="_bookmark2"/>
      <w:bookmarkEnd w:id="2"/>
      <w:r>
        <w:t>Origin</w:t>
      </w:r>
      <w:r>
        <w:rPr>
          <w:spacing w:val="-2"/>
        </w:rPr>
        <w:t xml:space="preserve"> </w:t>
      </w:r>
      <w:r>
        <w:t>and</w:t>
      </w:r>
      <w:r>
        <w:rPr>
          <w:spacing w:val="-2"/>
        </w:rPr>
        <w:t xml:space="preserve"> </w:t>
      </w:r>
      <w:r>
        <w:t>historical context</w:t>
      </w:r>
      <w:r>
        <w:rPr>
          <w:spacing w:val="-1"/>
        </w:rPr>
        <w:t xml:space="preserve"> </w:t>
      </w:r>
      <w:r>
        <w:t xml:space="preserve">of </w:t>
      </w:r>
      <w:r>
        <w:rPr>
          <w:spacing w:val="-2"/>
        </w:rPr>
        <w:t>ambulance</w:t>
      </w:r>
    </w:p>
    <w:p w14:paraId="5AFD995B" w14:textId="77777777" w:rsidR="00821D10" w:rsidRDefault="00000000">
      <w:pPr>
        <w:pStyle w:val="BodyText"/>
        <w:spacing w:before="304" w:line="360" w:lineRule="auto"/>
        <w:ind w:left="1" w:right="139" w:firstLine="60"/>
        <w:jc w:val="both"/>
      </w:pPr>
      <w:r>
        <w:t>The origin of the ambulance in UK evolved ad-hoc transportation for highly specialised emergency service. Early origin- Cholera and infectious disease units- from 1830-1860 the ambulance</w:t>
      </w:r>
      <w:r>
        <w:rPr>
          <w:spacing w:val="40"/>
        </w:rPr>
        <w:t xml:space="preserve"> </w:t>
      </w:r>
      <w:r>
        <w:t>dedicated to infectious disease not for general accidents (Park et al.). In 1832, the ambulance was introduced to move cholera patients and in 1867 to transport the patient of fever and smallpox from their homes to hospitals for isolation. In 1900 the ambulance were stretchers with wheels and transport the victims of street accidents.</w:t>
      </w:r>
    </w:p>
    <w:p w14:paraId="4DF118CA" w14:textId="77777777" w:rsidR="00821D10" w:rsidRDefault="00821D10">
      <w:pPr>
        <w:pStyle w:val="BodyText"/>
        <w:spacing w:line="360" w:lineRule="auto"/>
        <w:jc w:val="both"/>
        <w:sectPr w:rsidR="00821D10">
          <w:pgSz w:w="11910" w:h="16840"/>
          <w:pgMar w:top="1040" w:right="992" w:bottom="1300" w:left="1133" w:header="0" w:footer="1105" w:gutter="0"/>
          <w:cols w:space="720"/>
        </w:sectPr>
      </w:pPr>
    </w:p>
    <w:p w14:paraId="3550EA54" w14:textId="77777777" w:rsidR="00821D10" w:rsidRDefault="00000000">
      <w:pPr>
        <w:pStyle w:val="BodyText"/>
        <w:spacing w:before="76" w:line="360" w:lineRule="auto"/>
        <w:ind w:left="1" w:right="140"/>
        <w:jc w:val="both"/>
      </w:pPr>
      <w:r>
        <w:lastRenderedPageBreak/>
        <w:t>Development and motorisation- In 20</w:t>
      </w:r>
      <w:r>
        <w:rPr>
          <w:position w:val="7"/>
          <w:sz w:val="16"/>
        </w:rPr>
        <w:t>th</w:t>
      </w:r>
      <w:r>
        <w:rPr>
          <w:spacing w:val="40"/>
          <w:position w:val="7"/>
          <w:sz w:val="16"/>
        </w:rPr>
        <w:t xml:space="preserve"> </w:t>
      </w:r>
      <w:r>
        <w:t>century horse drawn ambulances are replaced with motor vehicles.</w:t>
      </w:r>
      <w:r>
        <w:rPr>
          <w:spacing w:val="-3"/>
        </w:rPr>
        <w:t xml:space="preserve"> </w:t>
      </w:r>
      <w:r>
        <w:t>In</w:t>
      </w:r>
      <w:r>
        <w:rPr>
          <w:spacing w:val="-1"/>
        </w:rPr>
        <w:t xml:space="preserve"> </w:t>
      </w:r>
      <w:r>
        <w:t>1904 the</w:t>
      </w:r>
      <w:r>
        <w:rPr>
          <w:spacing w:val="-1"/>
        </w:rPr>
        <w:t xml:space="preserve"> </w:t>
      </w:r>
      <w:r>
        <w:t>first motor</w:t>
      </w:r>
      <w:r>
        <w:rPr>
          <w:spacing w:val="-1"/>
        </w:rPr>
        <w:t xml:space="preserve"> </w:t>
      </w:r>
      <w:r>
        <w:t>vehicle ambulance</w:t>
      </w:r>
      <w:r>
        <w:rPr>
          <w:spacing w:val="-1"/>
        </w:rPr>
        <w:t xml:space="preserve"> </w:t>
      </w:r>
      <w:r>
        <w:t>was</w:t>
      </w:r>
      <w:r>
        <w:rPr>
          <w:spacing w:val="-2"/>
        </w:rPr>
        <w:t xml:space="preserve"> </w:t>
      </w:r>
      <w:r>
        <w:t>introduced with</w:t>
      </w:r>
      <w:r>
        <w:rPr>
          <w:spacing w:val="-1"/>
        </w:rPr>
        <w:t xml:space="preserve"> </w:t>
      </w:r>
      <w:r>
        <w:t>capable travelling</w:t>
      </w:r>
      <w:r>
        <w:rPr>
          <w:spacing w:val="-1"/>
        </w:rPr>
        <w:t xml:space="preserve"> </w:t>
      </w:r>
      <w:r>
        <w:t xml:space="preserve">of </w:t>
      </w:r>
      <w:r>
        <w:rPr>
          <w:spacing w:val="-2"/>
        </w:rPr>
        <w:t>15km.</w:t>
      </w:r>
    </w:p>
    <w:p w14:paraId="7C3A7666" w14:textId="77777777" w:rsidR="00821D10" w:rsidRDefault="00000000">
      <w:pPr>
        <w:pStyle w:val="BodyText"/>
        <w:spacing w:before="120" w:line="360" w:lineRule="auto"/>
        <w:ind w:left="1" w:right="139"/>
        <w:jc w:val="both"/>
      </w:pPr>
      <w:r>
        <w:t>The 999 system was introduced by UK ambulance which allowed patients and their nearby people directly call for ambulance during an ambulance (Powell and Williams).National health service act of 1946 was implemented in year 1948 in which system requiring the local authority to provide free fundamentally changed and provide ambulance to patient in need.</w:t>
      </w:r>
    </w:p>
    <w:p w14:paraId="69DD17BF" w14:textId="77777777" w:rsidR="00821D10" w:rsidRDefault="00000000">
      <w:pPr>
        <w:pStyle w:val="BodyText"/>
        <w:spacing w:before="120" w:line="360" w:lineRule="auto"/>
        <w:ind w:left="1" w:right="139"/>
        <w:jc w:val="both"/>
      </w:pPr>
      <w:r>
        <w:t>Paramedic evolution- After 1960s the simple transport shifts to active transport in which not only provide the transport but provide a medical emergency treatment by the ambulance workers.</w:t>
      </w:r>
      <w:r>
        <w:rPr>
          <w:spacing w:val="40"/>
        </w:rPr>
        <w:t xml:space="preserve"> </w:t>
      </w:r>
      <w:r>
        <w:t>Trained the worker of ambulance with advanced cardiovascular skills and paramedics.</w:t>
      </w:r>
    </w:p>
    <w:p w14:paraId="61E4DB6B" w14:textId="77777777" w:rsidR="00821D10" w:rsidRDefault="00000000">
      <w:pPr>
        <w:pStyle w:val="BodyText"/>
        <w:spacing w:before="120" w:line="360" w:lineRule="auto"/>
        <w:ind w:left="1" w:right="139"/>
        <w:jc w:val="both"/>
      </w:pPr>
      <w:r>
        <w:t>Modern structure- In 1947, the ambulance service was transferred to the NHS from the local government. Today ten regional NHS trust provide ambulances with voluntary organisations and which is act as auxiliary service.</w:t>
      </w:r>
    </w:p>
    <w:p w14:paraId="23C27A54" w14:textId="77777777" w:rsidR="00821D10" w:rsidRDefault="00821D10">
      <w:pPr>
        <w:pStyle w:val="BodyText"/>
        <w:spacing w:before="83"/>
      </w:pPr>
    </w:p>
    <w:p w14:paraId="76DBB5EA" w14:textId="77777777" w:rsidR="00821D10" w:rsidRDefault="00000000">
      <w:pPr>
        <w:pStyle w:val="Heading1"/>
        <w:spacing w:before="1"/>
        <w:jc w:val="both"/>
      </w:pPr>
      <w:bookmarkStart w:id="3" w:name="_bookmark3"/>
      <w:bookmarkEnd w:id="3"/>
      <w:r>
        <w:t>Critical</w:t>
      </w:r>
      <w:r>
        <w:rPr>
          <w:spacing w:val="-7"/>
        </w:rPr>
        <w:t xml:space="preserve"> </w:t>
      </w:r>
      <w:r>
        <w:t>evaluation</w:t>
      </w:r>
      <w:r>
        <w:rPr>
          <w:spacing w:val="-4"/>
        </w:rPr>
        <w:t xml:space="preserve"> </w:t>
      </w:r>
      <w:r>
        <w:t>of</w:t>
      </w:r>
      <w:r>
        <w:rPr>
          <w:spacing w:val="-4"/>
        </w:rPr>
        <w:t xml:space="preserve"> </w:t>
      </w:r>
      <w:r>
        <w:t>ambulance</w:t>
      </w:r>
      <w:r>
        <w:rPr>
          <w:spacing w:val="-4"/>
        </w:rPr>
        <w:t xml:space="preserve"> </w:t>
      </w:r>
      <w:r>
        <w:t>services</w:t>
      </w:r>
      <w:r>
        <w:rPr>
          <w:spacing w:val="-4"/>
        </w:rPr>
        <w:t xml:space="preserve"> </w:t>
      </w:r>
      <w:r>
        <w:t>in</w:t>
      </w:r>
      <w:r>
        <w:rPr>
          <w:spacing w:val="-4"/>
        </w:rPr>
        <w:t xml:space="preserve"> </w:t>
      </w:r>
      <w:r>
        <w:rPr>
          <w:spacing w:val="-2"/>
        </w:rPr>
        <w:t>today</w:t>
      </w:r>
    </w:p>
    <w:p w14:paraId="65DEC432" w14:textId="77777777" w:rsidR="00821D10" w:rsidRDefault="00000000">
      <w:pPr>
        <w:pStyle w:val="BodyText"/>
        <w:spacing w:before="304" w:line="360" w:lineRule="auto"/>
        <w:ind w:left="1" w:right="139"/>
        <w:jc w:val="both"/>
      </w:pPr>
      <w:r>
        <w:t>The UK ambulance service provide not only transport care but also community based urgent emergency care. Trained staff with paramedic skills also improve the services.</w:t>
      </w:r>
    </w:p>
    <w:p w14:paraId="2E19AB79" w14:textId="77777777" w:rsidR="00821D10" w:rsidRDefault="00000000">
      <w:pPr>
        <w:pStyle w:val="BodyText"/>
        <w:spacing w:before="120" w:line="360" w:lineRule="auto"/>
        <w:ind w:left="1" w:right="139" w:firstLine="60"/>
        <w:jc w:val="both"/>
      </w:pPr>
      <w:r>
        <w:t>Functional</w:t>
      </w:r>
      <w:r>
        <w:rPr>
          <w:spacing w:val="-2"/>
        </w:rPr>
        <w:t xml:space="preserve"> </w:t>
      </w:r>
      <w:r>
        <w:t>shift-</w:t>
      </w:r>
      <w:r>
        <w:rPr>
          <w:spacing w:val="-1"/>
        </w:rPr>
        <w:t xml:space="preserve"> </w:t>
      </w:r>
      <w:r>
        <w:t>paramedics</w:t>
      </w:r>
      <w:r>
        <w:rPr>
          <w:spacing w:val="-1"/>
        </w:rPr>
        <w:t xml:space="preserve"> </w:t>
      </w:r>
      <w:r>
        <w:t>staff</w:t>
      </w:r>
      <w:r>
        <w:rPr>
          <w:spacing w:val="-1"/>
        </w:rPr>
        <w:t xml:space="preserve"> </w:t>
      </w:r>
      <w:r>
        <w:t>now</w:t>
      </w:r>
      <w:r>
        <w:rPr>
          <w:spacing w:val="-1"/>
        </w:rPr>
        <w:t xml:space="preserve"> </w:t>
      </w:r>
      <w:r>
        <w:t>offers</w:t>
      </w:r>
      <w:r>
        <w:rPr>
          <w:spacing w:val="-1"/>
        </w:rPr>
        <w:t xml:space="preserve"> </w:t>
      </w:r>
      <w:r>
        <w:t>medication</w:t>
      </w:r>
      <w:r>
        <w:rPr>
          <w:spacing w:val="-1"/>
        </w:rPr>
        <w:t xml:space="preserve"> </w:t>
      </w:r>
      <w:r>
        <w:t>and</w:t>
      </w:r>
      <w:r>
        <w:rPr>
          <w:spacing w:val="-2"/>
        </w:rPr>
        <w:t xml:space="preserve"> </w:t>
      </w:r>
      <w:r>
        <w:t>on</w:t>
      </w:r>
      <w:r>
        <w:rPr>
          <w:spacing w:val="-1"/>
        </w:rPr>
        <w:t xml:space="preserve"> </w:t>
      </w:r>
      <w:r>
        <w:t>screen</w:t>
      </w:r>
      <w:r>
        <w:rPr>
          <w:spacing w:val="-1"/>
        </w:rPr>
        <w:t xml:space="preserve"> </w:t>
      </w:r>
      <w:r>
        <w:t>treatment</w:t>
      </w:r>
      <w:r>
        <w:rPr>
          <w:spacing w:val="-1"/>
        </w:rPr>
        <w:t xml:space="preserve"> </w:t>
      </w:r>
      <w:r>
        <w:t>on</w:t>
      </w:r>
      <w:r>
        <w:rPr>
          <w:spacing w:val="-1"/>
        </w:rPr>
        <w:t xml:space="preserve"> </w:t>
      </w:r>
      <w:r>
        <w:t>the</w:t>
      </w:r>
      <w:r>
        <w:rPr>
          <w:spacing w:val="-2"/>
        </w:rPr>
        <w:t xml:space="preserve"> </w:t>
      </w:r>
      <w:r>
        <w:t>ambulance to reduce the severity of the patient (Long et al.). Services increase by telephone triage. Focus on</w:t>
      </w:r>
      <w:r>
        <w:rPr>
          <w:spacing w:val="40"/>
        </w:rPr>
        <w:t xml:space="preserve"> </w:t>
      </w:r>
      <w:r>
        <w:t>see and treat rather than hear and treat by aim to treat patient at their home and if need of urgent treatment then go for treatment centres. Featuring high skilled advanced paramedic staff help in managing the complex and mental health cases.</w:t>
      </w:r>
    </w:p>
    <w:p w14:paraId="29D41DB8" w14:textId="77777777" w:rsidR="00821D10" w:rsidRDefault="00000000">
      <w:pPr>
        <w:pStyle w:val="BodyText"/>
        <w:spacing w:before="120" w:line="360" w:lineRule="auto"/>
        <w:ind w:left="1" w:right="139"/>
        <w:jc w:val="both"/>
      </w:pPr>
      <w:r>
        <w:t>Challenges- demand of ambulance are very high due to stroke and heart attack cases and it average over 59 minutes but the target of 28 minutes exceeding. The service is affected by the narrowing in the NHS. Due to the hospital handover time reduce the capacity of ambulance for new calls. The paramedic staff facing the difficulties in performance because of high burnout rate and the vacancy in the staff of paramedics.</w:t>
      </w:r>
    </w:p>
    <w:p w14:paraId="4984F0BD" w14:textId="77777777" w:rsidR="00821D10" w:rsidRDefault="00000000">
      <w:pPr>
        <w:pStyle w:val="BodyText"/>
        <w:spacing w:before="120" w:line="360" w:lineRule="auto"/>
        <w:ind w:left="1" w:right="140"/>
        <w:jc w:val="both"/>
      </w:pPr>
      <w:r>
        <w:t>Evaluation-</w:t>
      </w:r>
      <w:r>
        <w:rPr>
          <w:spacing w:val="-2"/>
        </w:rPr>
        <w:t xml:space="preserve"> </w:t>
      </w:r>
      <w:r>
        <w:t>The</w:t>
      </w:r>
      <w:r>
        <w:rPr>
          <w:spacing w:val="-1"/>
        </w:rPr>
        <w:t xml:space="preserve"> </w:t>
      </w:r>
      <w:r>
        <w:t>service</w:t>
      </w:r>
      <w:r>
        <w:rPr>
          <w:spacing w:val="-1"/>
        </w:rPr>
        <w:t xml:space="preserve"> </w:t>
      </w:r>
      <w:r>
        <w:t>is</w:t>
      </w:r>
      <w:r>
        <w:rPr>
          <w:spacing w:val="-2"/>
        </w:rPr>
        <w:t xml:space="preserve"> </w:t>
      </w:r>
      <w:r>
        <w:t>transition</w:t>
      </w:r>
      <w:r>
        <w:rPr>
          <w:spacing w:val="-2"/>
        </w:rPr>
        <w:t xml:space="preserve"> </w:t>
      </w:r>
      <w:r>
        <w:t>from</w:t>
      </w:r>
      <w:r>
        <w:rPr>
          <w:spacing w:val="-1"/>
        </w:rPr>
        <w:t xml:space="preserve"> </w:t>
      </w:r>
      <w:r>
        <w:t>emergency</w:t>
      </w:r>
      <w:r>
        <w:rPr>
          <w:spacing w:val="-2"/>
        </w:rPr>
        <w:t xml:space="preserve"> </w:t>
      </w:r>
      <w:r>
        <w:t>function</w:t>
      </w:r>
      <w:r>
        <w:rPr>
          <w:spacing w:val="-2"/>
        </w:rPr>
        <w:t xml:space="preserve"> </w:t>
      </w:r>
      <w:r>
        <w:t>to</w:t>
      </w:r>
      <w:r>
        <w:rPr>
          <w:spacing w:val="-2"/>
        </w:rPr>
        <w:t xml:space="preserve"> </w:t>
      </w:r>
      <w:r>
        <w:t>mobile</w:t>
      </w:r>
      <w:r>
        <w:rPr>
          <w:spacing w:val="-1"/>
        </w:rPr>
        <w:t xml:space="preserve"> </w:t>
      </w:r>
      <w:r>
        <w:t>health</w:t>
      </w:r>
      <w:r>
        <w:rPr>
          <w:spacing w:val="-2"/>
        </w:rPr>
        <w:t xml:space="preserve"> </w:t>
      </w:r>
      <w:r>
        <w:t>service</w:t>
      </w:r>
      <w:r>
        <w:rPr>
          <w:spacing w:val="-1"/>
        </w:rPr>
        <w:t xml:space="preserve"> </w:t>
      </w:r>
      <w:r>
        <w:t>and</w:t>
      </w:r>
      <w:r>
        <w:rPr>
          <w:spacing w:val="-2"/>
        </w:rPr>
        <w:t xml:space="preserve"> </w:t>
      </w:r>
      <w:r>
        <w:t>this</w:t>
      </w:r>
      <w:r>
        <w:rPr>
          <w:spacing w:val="-2"/>
        </w:rPr>
        <w:t xml:space="preserve"> </w:t>
      </w:r>
      <w:r>
        <w:t>help in treating the patient with very large portion on mobile screen and the future depend on better collaboration with community and staff with high skills rather than increasing the ambulances.</w:t>
      </w:r>
    </w:p>
    <w:p w14:paraId="0C1454C9" w14:textId="77777777" w:rsidR="00821D10" w:rsidRDefault="00821D10">
      <w:pPr>
        <w:pStyle w:val="BodyText"/>
        <w:spacing w:line="360" w:lineRule="auto"/>
        <w:jc w:val="both"/>
        <w:sectPr w:rsidR="00821D10">
          <w:pgSz w:w="11910" w:h="16840"/>
          <w:pgMar w:top="1040" w:right="992" w:bottom="1300" w:left="1133" w:header="0" w:footer="1105" w:gutter="0"/>
          <w:cols w:space="720"/>
        </w:sectPr>
      </w:pPr>
    </w:p>
    <w:p w14:paraId="0305597F" w14:textId="77777777" w:rsidR="00821D10" w:rsidRDefault="00000000">
      <w:pPr>
        <w:pStyle w:val="Heading1"/>
        <w:spacing w:before="76"/>
        <w:jc w:val="both"/>
      </w:pPr>
      <w:bookmarkStart w:id="4" w:name="_bookmark4"/>
      <w:bookmarkEnd w:id="4"/>
      <w:r>
        <w:lastRenderedPageBreak/>
        <w:t>Significance the</w:t>
      </w:r>
      <w:r>
        <w:rPr>
          <w:spacing w:val="-1"/>
        </w:rPr>
        <w:t xml:space="preserve"> </w:t>
      </w:r>
      <w:r>
        <w:t xml:space="preserve">life of </w:t>
      </w:r>
      <w:r>
        <w:rPr>
          <w:spacing w:val="-4"/>
        </w:rPr>
        <w:t>user</w:t>
      </w:r>
    </w:p>
    <w:p w14:paraId="7F4712A2" w14:textId="77777777" w:rsidR="00821D10" w:rsidRDefault="00000000">
      <w:pPr>
        <w:pStyle w:val="BodyText"/>
        <w:spacing w:before="120" w:line="360" w:lineRule="auto"/>
        <w:ind w:left="1" w:right="139"/>
        <w:jc w:val="both"/>
      </w:pPr>
      <w:r>
        <w:t>Ambulance in UK is provided by the NHS is not only the transport system but also a life-saving critical component of emergency care system (Evans et al.). For the patient who is suffering from life threatening condition like stroke, heart attack and severe trauma the first few minutes are very important so the ambulance service of UK aims is to reach quickly to patient and help in eight minute response time to most critical call in many areas, modern ambulance of UK have highly trained staff and doctors for more serious and critical cases. Ambulances of UK play a role in handling the mental health and in condition of any anxiety attack and blackout. The availability of service is 24/7 and 365 day in a year. The ambulance accessibility provide peace of mind in the public because they know that in any critical condition the professionals and services are available.</w:t>
      </w:r>
    </w:p>
    <w:p w14:paraId="64A2C537" w14:textId="77777777" w:rsidR="00821D10" w:rsidRDefault="00821D10">
      <w:pPr>
        <w:pStyle w:val="BodyText"/>
        <w:spacing w:line="360" w:lineRule="auto"/>
        <w:jc w:val="both"/>
        <w:sectPr w:rsidR="00821D10">
          <w:pgSz w:w="11910" w:h="16840"/>
          <w:pgMar w:top="1040" w:right="992" w:bottom="1300" w:left="1133" w:header="0" w:footer="1105" w:gutter="0"/>
          <w:cols w:space="720"/>
        </w:sectPr>
      </w:pPr>
    </w:p>
    <w:p w14:paraId="5374C332" w14:textId="77777777" w:rsidR="00821D10" w:rsidRDefault="00000000">
      <w:pPr>
        <w:pStyle w:val="Heading3"/>
      </w:pPr>
      <w:bookmarkStart w:id="5" w:name="_bookmark5"/>
      <w:bookmarkEnd w:id="5"/>
      <w:r>
        <w:rPr>
          <w:spacing w:val="-2"/>
        </w:rPr>
        <w:lastRenderedPageBreak/>
        <w:t>References</w:t>
      </w:r>
    </w:p>
    <w:p w14:paraId="41712470" w14:textId="77777777" w:rsidR="00821D10" w:rsidRDefault="00000000">
      <w:pPr>
        <w:pStyle w:val="BodyText"/>
        <w:spacing w:before="120"/>
        <w:ind w:left="549" w:right="138" w:hanging="548"/>
        <w:jc w:val="both"/>
      </w:pPr>
      <w:r>
        <w:t xml:space="preserve">Boyd, A., Sampson, F., Pilbery, R., Bell, F., Millins, M., Coster, J., Rosser, A. and Spaight, R. (2023). PP34 Which patients should be prealerted? Review of UK ambulance service guidelines. </w:t>
      </w:r>
      <w:r>
        <w:rPr>
          <w:i/>
        </w:rPr>
        <w:t>Emergency Medicine Journal</w:t>
      </w:r>
      <w:r>
        <w:t xml:space="preserve">, [online] 40(Suppl 1), pp.A14–A14. </w:t>
      </w:r>
      <w:r>
        <w:rPr>
          <w:spacing w:val="-2"/>
        </w:rPr>
        <w:t>doi:</w:t>
      </w:r>
      <w:hyperlink r:id="rId8">
        <w:r>
          <w:rPr>
            <w:color w:val="000080"/>
            <w:spacing w:val="-2"/>
            <w:u w:val="single" w:color="000080"/>
          </w:rPr>
          <w:t>https://doi.org/10.1136/emermed-2023-999.33</w:t>
        </w:r>
      </w:hyperlink>
      <w:r>
        <w:rPr>
          <w:spacing w:val="-2"/>
        </w:rPr>
        <w:t>.</w:t>
      </w:r>
    </w:p>
    <w:p w14:paraId="2C8FBD46" w14:textId="77777777" w:rsidR="00821D10" w:rsidRDefault="00000000">
      <w:pPr>
        <w:pStyle w:val="BodyText"/>
        <w:spacing w:before="120"/>
        <w:ind w:left="533" w:right="139" w:hanging="532"/>
        <w:jc w:val="both"/>
      </w:pPr>
      <w:r>
        <w:t>Evans, Bridie, et al. “Experiences and Views of People Who Frequently Call Emergency Ambulance</w:t>
      </w:r>
      <w:r>
        <w:rPr>
          <w:spacing w:val="-3"/>
        </w:rPr>
        <w:t xml:space="preserve"> </w:t>
      </w:r>
      <w:r>
        <w:t>Services:</w:t>
      </w:r>
      <w:r>
        <w:rPr>
          <w:spacing w:val="-3"/>
        </w:rPr>
        <w:t xml:space="preserve"> </w:t>
      </w:r>
      <w:r>
        <w:t>A</w:t>
      </w:r>
      <w:r>
        <w:rPr>
          <w:spacing w:val="-4"/>
        </w:rPr>
        <w:t xml:space="preserve"> </w:t>
      </w:r>
      <w:r>
        <w:t>Qualitative</w:t>
      </w:r>
      <w:r>
        <w:rPr>
          <w:spacing w:val="-3"/>
        </w:rPr>
        <w:t xml:space="preserve"> </w:t>
      </w:r>
      <w:r>
        <w:t>Study</w:t>
      </w:r>
      <w:r>
        <w:rPr>
          <w:spacing w:val="-3"/>
        </w:rPr>
        <w:t xml:space="preserve"> </w:t>
      </w:r>
      <w:r>
        <w:t>of</w:t>
      </w:r>
      <w:r>
        <w:rPr>
          <w:spacing w:val="-3"/>
        </w:rPr>
        <w:t xml:space="preserve"> </w:t>
      </w:r>
      <w:r>
        <w:t>UK</w:t>
      </w:r>
      <w:r>
        <w:rPr>
          <w:spacing w:val="-3"/>
        </w:rPr>
        <w:t xml:space="preserve"> </w:t>
      </w:r>
      <w:r>
        <w:t>Service</w:t>
      </w:r>
      <w:r>
        <w:rPr>
          <w:spacing w:val="-3"/>
        </w:rPr>
        <w:t xml:space="preserve"> </w:t>
      </w:r>
      <w:r>
        <w:t>Users.”</w:t>
      </w:r>
      <w:r>
        <w:rPr>
          <w:spacing w:val="-3"/>
        </w:rPr>
        <w:t xml:space="preserve"> </w:t>
      </w:r>
      <w:r>
        <w:rPr>
          <w:i/>
        </w:rPr>
        <w:t>Health</w:t>
      </w:r>
      <w:r>
        <w:rPr>
          <w:i/>
          <w:spacing w:val="-3"/>
        </w:rPr>
        <w:t xml:space="preserve"> </w:t>
      </w:r>
      <w:r>
        <w:rPr>
          <w:i/>
        </w:rPr>
        <w:t>Expectations</w:t>
      </w:r>
      <w:r>
        <w:t>,</w:t>
      </w:r>
      <w:r>
        <w:rPr>
          <w:spacing w:val="-3"/>
        </w:rPr>
        <w:t xml:space="preserve"> </w:t>
      </w:r>
      <w:r>
        <w:t>vol.</w:t>
      </w:r>
      <w:r>
        <w:rPr>
          <w:spacing w:val="-3"/>
        </w:rPr>
        <w:t xml:space="preserve"> </w:t>
      </w:r>
      <w:r>
        <w:t xml:space="preserve">27, no. 1, 17 Sept. 2023, pmc.ncbi.nlm.nih.gov/articles/PMC10726061/, </w:t>
      </w:r>
      <w:hyperlink r:id="rId9">
        <w:r>
          <w:rPr>
            <w:color w:val="000080"/>
            <w:spacing w:val="-2"/>
            <w:u w:val="single" w:color="000080"/>
          </w:rPr>
          <w:t>https://doi.org/10.1111/hex.13856</w:t>
        </w:r>
      </w:hyperlink>
      <w:r>
        <w:rPr>
          <w:spacing w:val="-2"/>
        </w:rPr>
        <w:t>.</w:t>
      </w:r>
    </w:p>
    <w:p w14:paraId="215CDF14" w14:textId="77777777" w:rsidR="00821D10" w:rsidRDefault="00000000">
      <w:pPr>
        <w:pStyle w:val="BodyText"/>
        <w:spacing w:before="120"/>
        <w:ind w:left="560" w:right="139" w:hanging="559"/>
        <w:jc w:val="both"/>
      </w:pPr>
      <w:r>
        <w:t xml:space="preserve">Long, Jaqui, et al. “How Do Emergency Departments Respond to Ambulance Pre-Alert Calls? Qualitative Exploration of the Management of Pre-Alerts in UK Emergency Departments.” </w:t>
      </w:r>
      <w:r>
        <w:rPr>
          <w:i/>
        </w:rPr>
        <w:t>Emergency Medicine Journal</w:t>
      </w:r>
      <w:r>
        <w:t xml:space="preserve">, vol. 42, no. 1, 17 Sept. 2024, p. emermed-2023-213854, </w:t>
      </w:r>
      <w:hyperlink r:id="rId10">
        <w:r>
          <w:rPr>
            <w:color w:val="000080"/>
            <w:spacing w:val="-2"/>
            <w:u w:val="single" w:color="000080"/>
          </w:rPr>
          <w:t>https://doi.org/10.1136/emermed-2023-213854</w:t>
        </w:r>
      </w:hyperlink>
      <w:r>
        <w:rPr>
          <w:spacing w:val="-2"/>
        </w:rPr>
        <w:t>.</w:t>
      </w:r>
    </w:p>
    <w:p w14:paraId="02E6C209" w14:textId="77777777" w:rsidR="00821D10" w:rsidRDefault="00000000">
      <w:pPr>
        <w:pStyle w:val="BodyText"/>
        <w:spacing w:before="120"/>
        <w:ind w:left="546" w:right="139" w:hanging="518"/>
        <w:jc w:val="both"/>
      </w:pPr>
      <w:r>
        <w:t xml:space="preserve">Park, Se Eun, et al. “Infectious Disease Control and Management in Ethiopia: A Case Study of Cholera.” </w:t>
      </w:r>
      <w:r>
        <w:rPr>
          <w:i/>
        </w:rPr>
        <w:t>Frontiers in Public Health</w:t>
      </w:r>
      <w:r>
        <w:t xml:space="preserve">, vol. 10, 30 May 2022, </w:t>
      </w:r>
      <w:hyperlink r:id="rId11">
        <w:r>
          <w:rPr>
            <w:color w:val="000080"/>
            <w:spacing w:val="-2"/>
            <w:u w:val="single" w:color="000080"/>
          </w:rPr>
          <w:t>https://doi.org/10.3389/fpubh.2022.870276</w:t>
        </w:r>
      </w:hyperlink>
      <w:r>
        <w:rPr>
          <w:spacing w:val="-2"/>
        </w:rPr>
        <w:t>.</w:t>
      </w:r>
    </w:p>
    <w:p w14:paraId="69AE767C" w14:textId="77777777" w:rsidR="00821D10" w:rsidRDefault="00000000">
      <w:pPr>
        <w:pStyle w:val="BodyText"/>
        <w:tabs>
          <w:tab w:val="left" w:pos="1573"/>
          <w:tab w:val="left" w:pos="2334"/>
          <w:tab w:val="left" w:pos="3208"/>
          <w:tab w:val="left" w:pos="3975"/>
          <w:tab w:val="left" w:pos="4675"/>
          <w:tab w:val="left" w:pos="5376"/>
          <w:tab w:val="left" w:pos="5956"/>
          <w:tab w:val="left" w:pos="6597"/>
          <w:tab w:val="left" w:pos="7457"/>
          <w:tab w:val="left" w:pos="8398"/>
          <w:tab w:val="left" w:pos="9098"/>
        </w:tabs>
        <w:spacing w:before="120"/>
        <w:ind w:left="560" w:right="139" w:hanging="545"/>
      </w:pPr>
      <w:r>
        <w:t>Powell,</w:t>
      </w:r>
      <w:r>
        <w:rPr>
          <w:spacing w:val="40"/>
        </w:rPr>
        <w:t xml:space="preserve"> </w:t>
      </w:r>
      <w:r>
        <w:t>Martin,</w:t>
      </w:r>
      <w:r>
        <w:rPr>
          <w:spacing w:val="40"/>
        </w:rPr>
        <w:t xml:space="preserve"> </w:t>
      </w:r>
      <w:r>
        <w:t>and</w:t>
      </w:r>
      <w:r>
        <w:rPr>
          <w:spacing w:val="40"/>
        </w:rPr>
        <w:t xml:space="preserve"> </w:t>
      </w:r>
      <w:r>
        <w:t>Iestyn</w:t>
      </w:r>
      <w:r>
        <w:rPr>
          <w:spacing w:val="40"/>
        </w:rPr>
        <w:t xml:space="preserve"> </w:t>
      </w:r>
      <w:r>
        <w:t>Williams.</w:t>
      </w:r>
      <w:r>
        <w:rPr>
          <w:spacing w:val="40"/>
        </w:rPr>
        <w:t xml:space="preserve"> </w:t>
      </w:r>
      <w:r>
        <w:t>“What</w:t>
      </w:r>
      <w:r>
        <w:rPr>
          <w:spacing w:val="40"/>
        </w:rPr>
        <w:t xml:space="preserve"> </w:t>
      </w:r>
      <w:r>
        <w:t>Is</w:t>
      </w:r>
      <w:r>
        <w:rPr>
          <w:spacing w:val="40"/>
        </w:rPr>
        <w:t xml:space="preserve"> </w:t>
      </w:r>
      <w:r>
        <w:t>a</w:t>
      </w:r>
      <w:r>
        <w:rPr>
          <w:spacing w:val="40"/>
        </w:rPr>
        <w:t xml:space="preserve"> </w:t>
      </w:r>
      <w:r>
        <w:t>“National”</w:t>
      </w:r>
      <w:r>
        <w:rPr>
          <w:spacing w:val="40"/>
        </w:rPr>
        <w:t xml:space="preserve"> </w:t>
      </w:r>
      <w:r>
        <w:t>“Health”</w:t>
      </w:r>
      <w:r>
        <w:rPr>
          <w:spacing w:val="40"/>
        </w:rPr>
        <w:t xml:space="preserve"> </w:t>
      </w:r>
      <w:r>
        <w:t>“Service”?</w:t>
      </w:r>
      <w:r>
        <w:rPr>
          <w:spacing w:val="40"/>
        </w:rPr>
        <w:t xml:space="preserve"> </w:t>
      </w:r>
      <w:r>
        <w:t>A</w:t>
      </w:r>
      <w:r>
        <w:rPr>
          <w:spacing w:val="40"/>
        </w:rPr>
        <w:t xml:space="preserve"> </w:t>
      </w:r>
      <w:r>
        <w:t xml:space="preserve">Keyword Analysis of Policy Documents Leading to the Formation of the UK NHS.” </w:t>
      </w:r>
      <w:r>
        <w:rPr>
          <w:i/>
        </w:rPr>
        <w:t xml:space="preserve">Health Economics, </w:t>
      </w:r>
      <w:r>
        <w:rPr>
          <w:i/>
          <w:spacing w:val="-2"/>
        </w:rPr>
        <w:t>Policy</w:t>
      </w:r>
      <w:r>
        <w:rPr>
          <w:i/>
        </w:rPr>
        <w:tab/>
      </w:r>
      <w:r>
        <w:rPr>
          <w:i/>
          <w:spacing w:val="-4"/>
        </w:rPr>
        <w:t>and</w:t>
      </w:r>
      <w:r>
        <w:rPr>
          <w:i/>
        </w:rPr>
        <w:tab/>
      </w:r>
      <w:r>
        <w:rPr>
          <w:i/>
          <w:spacing w:val="-4"/>
        </w:rPr>
        <w:t>Law</w:t>
      </w:r>
      <w:r>
        <w:rPr>
          <w:spacing w:val="-4"/>
        </w:rPr>
        <w:t>,</w:t>
      </w:r>
      <w:r>
        <w:tab/>
      </w:r>
      <w:r>
        <w:rPr>
          <w:spacing w:val="-4"/>
        </w:rPr>
        <w:t>vol.</w:t>
      </w:r>
      <w:r>
        <w:tab/>
      </w:r>
      <w:r>
        <w:rPr>
          <w:spacing w:val="-4"/>
        </w:rPr>
        <w:t>19,</w:t>
      </w:r>
      <w:r>
        <w:tab/>
      </w:r>
      <w:r>
        <w:rPr>
          <w:spacing w:val="-4"/>
        </w:rPr>
        <w:t>no.</w:t>
      </w:r>
      <w:r>
        <w:tab/>
      </w:r>
      <w:r>
        <w:rPr>
          <w:spacing w:val="-6"/>
        </w:rPr>
        <w:t>3,</w:t>
      </w:r>
      <w:r>
        <w:tab/>
      </w:r>
      <w:r>
        <w:rPr>
          <w:spacing w:val="-6"/>
        </w:rPr>
        <w:t>18</w:t>
      </w:r>
      <w:r>
        <w:tab/>
      </w:r>
      <w:r>
        <w:rPr>
          <w:spacing w:val="-4"/>
        </w:rPr>
        <w:t>Mar.</w:t>
      </w:r>
      <w:r>
        <w:tab/>
      </w:r>
      <w:r>
        <w:rPr>
          <w:spacing w:val="-2"/>
        </w:rPr>
        <w:t>2024,</w:t>
      </w:r>
      <w:r>
        <w:tab/>
      </w:r>
      <w:r>
        <w:rPr>
          <w:spacing w:val="-4"/>
        </w:rPr>
        <w:t>pp.</w:t>
      </w:r>
      <w:r>
        <w:tab/>
      </w:r>
      <w:r>
        <w:rPr>
          <w:spacing w:val="-2"/>
        </w:rPr>
        <w:t xml:space="preserve">1–14, </w:t>
      </w:r>
      <w:hyperlink r:id="rId12">
        <w:r>
          <w:rPr>
            <w:spacing w:val="-2"/>
          </w:rPr>
          <w:t>www.cambridge.org/core/journals/health-economics-policy-and-law/article/what-is-a-</w:t>
        </w:r>
      </w:hyperlink>
      <w:r>
        <w:rPr>
          <w:spacing w:val="80"/>
          <w:w w:val="150"/>
        </w:rPr>
        <w:t xml:space="preserve"> </w:t>
      </w:r>
      <w:r>
        <w:rPr>
          <w:spacing w:val="-2"/>
        </w:rPr>
        <w:t>national-health-service-a-keyword-analysis-of-policy-documents-leading-to-the-formation-of- the-uk-nhs/15C8E5CCF3203F04EA7CEF339D269F87,</w:t>
      </w:r>
    </w:p>
    <w:p w14:paraId="65045B1F" w14:textId="77777777" w:rsidR="00821D10" w:rsidRDefault="00000000">
      <w:pPr>
        <w:pStyle w:val="BodyText"/>
        <w:ind w:left="560"/>
      </w:pPr>
      <w:hyperlink r:id="rId13">
        <w:r>
          <w:rPr>
            <w:color w:val="000080"/>
            <w:spacing w:val="-2"/>
            <w:u w:val="single" w:color="000080"/>
          </w:rPr>
          <w:t>https://doi.org/10.1017/S1744133124000057</w:t>
        </w:r>
      </w:hyperlink>
      <w:r>
        <w:rPr>
          <w:spacing w:val="-2"/>
        </w:rPr>
        <w:t>.</w:t>
      </w:r>
    </w:p>
    <w:sectPr w:rsidR="00821D10">
      <w:pgSz w:w="11910" w:h="16840"/>
      <w:pgMar w:top="1040" w:right="992" w:bottom="1300" w:left="1133" w:header="0" w:footer="1105"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8550E0" w14:textId="77777777" w:rsidR="008F00BE" w:rsidRDefault="008F00BE">
      <w:r>
        <w:separator/>
      </w:r>
    </w:p>
  </w:endnote>
  <w:endnote w:type="continuationSeparator" w:id="0">
    <w:p w14:paraId="7E4EA6AF" w14:textId="77777777" w:rsidR="008F00BE" w:rsidRDefault="008F00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526213" w14:textId="77777777" w:rsidR="00821D10" w:rsidRDefault="00000000">
    <w:pPr>
      <w:pStyle w:val="BodyText"/>
      <w:spacing w:line="14" w:lineRule="auto"/>
      <w:rPr>
        <w:sz w:val="20"/>
      </w:rPr>
    </w:pPr>
    <w:r>
      <w:rPr>
        <w:noProof/>
        <w:sz w:val="20"/>
      </w:rPr>
      <mc:AlternateContent>
        <mc:Choice Requires="wps">
          <w:drawing>
            <wp:anchor distT="0" distB="0" distL="0" distR="0" simplePos="0" relativeHeight="487523840" behindDoc="1" locked="0" layoutInCell="1" allowOverlap="1" wp14:anchorId="25AE9471" wp14:editId="358167CD">
              <wp:simplePos x="0" y="0"/>
              <wp:positionH relativeFrom="page">
                <wp:posOffset>3703954</wp:posOffset>
              </wp:positionH>
              <wp:positionV relativeFrom="page">
                <wp:posOffset>9850761</wp:posOffset>
              </wp:positionV>
              <wp:extent cx="165100" cy="177800"/>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5100" cy="177800"/>
                      </a:xfrm>
                      <a:prstGeom prst="rect">
                        <a:avLst/>
                      </a:prstGeom>
                    </wps:spPr>
                    <wps:txbx>
                      <w:txbxContent>
                        <w:p w14:paraId="4077F884" w14:textId="77777777" w:rsidR="00821D10" w:rsidRDefault="00000000">
                          <w:pPr>
                            <w:pStyle w:val="BodyText"/>
                            <w:spacing w:line="280" w:lineRule="exact"/>
                            <w:ind w:left="60"/>
                            <w:rPr>
                              <w:rFonts w:ascii="MS Gothic"/>
                            </w:rPr>
                          </w:pPr>
                          <w:r>
                            <w:rPr>
                              <w:rFonts w:ascii="MS Gothic"/>
                              <w:spacing w:val="-10"/>
                            </w:rPr>
                            <w:fldChar w:fldCharType="begin"/>
                          </w:r>
                          <w:r>
                            <w:rPr>
                              <w:rFonts w:ascii="MS Gothic"/>
                              <w:spacing w:val="-10"/>
                            </w:rPr>
                            <w:instrText xml:space="preserve"> PAGE </w:instrText>
                          </w:r>
                          <w:r>
                            <w:rPr>
                              <w:rFonts w:ascii="MS Gothic"/>
                              <w:spacing w:val="-10"/>
                            </w:rPr>
                            <w:fldChar w:fldCharType="separate"/>
                          </w:r>
                          <w:r>
                            <w:rPr>
                              <w:rFonts w:ascii="MS Gothic"/>
                              <w:spacing w:val="-10"/>
                            </w:rPr>
                            <w:t>1</w:t>
                          </w:r>
                          <w:r>
                            <w:rPr>
                              <w:rFonts w:ascii="MS Gothic"/>
                              <w:spacing w:val="-10"/>
                            </w:rPr>
                            <w:fldChar w:fldCharType="end"/>
                          </w:r>
                        </w:p>
                      </w:txbxContent>
                    </wps:txbx>
                    <wps:bodyPr wrap="square" lIns="0" tIns="0" rIns="0" bIns="0" rtlCol="0">
                      <a:noAutofit/>
                    </wps:bodyPr>
                  </wps:wsp>
                </a:graphicData>
              </a:graphic>
            </wp:anchor>
          </w:drawing>
        </mc:Choice>
        <mc:Fallback>
          <w:pict>
            <v:shapetype w14:anchorId="25AE9471" id="_x0000_t202" coordsize="21600,21600" o:spt="202" path="m,l,21600r21600,l21600,xe">
              <v:stroke joinstyle="miter"/>
              <v:path gradientshapeok="t" o:connecttype="rect"/>
            </v:shapetype>
            <v:shape id="Textbox 1" o:spid="_x0000_s1026" type="#_x0000_t202" style="position:absolute;margin-left:291.65pt;margin-top:775.65pt;width:13pt;height:14pt;z-index:-1579264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" filled="f" stroked="f">
              <v:textbox inset="0,0,0,0">
                <w:txbxContent>
                  <w:p w14:paraId="4077F884" w14:textId="77777777" w:rsidR="00821D10" w:rsidRDefault="00000000">
                    <w:pPr>
                      <w:pStyle w:val="BodyText"/>
                      <w:spacing w:line="280" w:lineRule="exact"/>
                      <w:ind w:left="60"/>
                      <w:rPr>
                        <w:rFonts w:ascii="MS Gothic"/>
                      </w:rPr>
                    </w:pPr>
                    <w:r>
                      <w:rPr>
                        <w:rFonts w:ascii="MS Gothic"/>
                        <w:spacing w:val="-10"/>
                      </w:rPr>
                      <w:fldChar w:fldCharType="begin"/>
                    </w:r>
                    <w:r>
                      <w:rPr>
                        <w:rFonts w:ascii="MS Gothic"/>
                        <w:spacing w:val="-10"/>
                      </w:rPr>
                      <w:instrText xml:space="preserve"> PAGE </w:instrText>
                    </w:r>
                    <w:r>
                      <w:rPr>
                        <w:rFonts w:ascii="MS Gothic"/>
                        <w:spacing w:val="-10"/>
                      </w:rPr>
                      <w:fldChar w:fldCharType="separate"/>
                    </w:r>
                    <w:r>
                      <w:rPr>
                        <w:rFonts w:ascii="MS Gothic"/>
                        <w:spacing w:val="-10"/>
                      </w:rPr>
                      <w:t>1</w:t>
                    </w:r>
                    <w:r>
                      <w:rPr>
                        <w:rFonts w:ascii="MS Gothic"/>
                        <w:spacing w:val="-1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3F36E3" w14:textId="77777777" w:rsidR="008F00BE" w:rsidRDefault="008F00BE">
      <w:r>
        <w:separator/>
      </w:r>
    </w:p>
  </w:footnote>
  <w:footnote w:type="continuationSeparator" w:id="0">
    <w:p w14:paraId="7D5387DC" w14:textId="77777777" w:rsidR="008F00BE" w:rsidRDefault="008F00B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821D10"/>
    <w:rsid w:val="000A550E"/>
    <w:rsid w:val="00480089"/>
    <w:rsid w:val="004E73D1"/>
    <w:rsid w:val="00821D10"/>
    <w:rsid w:val="008F00BE"/>
    <w:rsid w:val="00976DF0"/>
    <w:rsid w:val="00C24DED"/>
    <w:rsid w:val="00EA52FF"/>
    <w:rsid w:val="00F80C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F7565"/>
  <w15:docId w15:val="{3EBEBAC3-A428-4B33-ADA8-EFD50D370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ind w:left="1"/>
      <w:outlineLvl w:val="0"/>
    </w:pPr>
    <w:rPr>
      <w:b/>
      <w:bCs/>
      <w:sz w:val="32"/>
      <w:szCs w:val="32"/>
    </w:rPr>
  </w:style>
  <w:style w:type="paragraph" w:styleId="Heading2">
    <w:name w:val="heading 2"/>
    <w:basedOn w:val="Normal"/>
    <w:uiPriority w:val="9"/>
    <w:unhideWhenUsed/>
    <w:qFormat/>
    <w:pPr>
      <w:spacing w:before="1"/>
      <w:ind w:left="1"/>
      <w:outlineLvl w:val="1"/>
    </w:pPr>
    <w:rPr>
      <w:sz w:val="32"/>
      <w:szCs w:val="32"/>
    </w:rPr>
  </w:style>
  <w:style w:type="paragraph" w:styleId="Heading3">
    <w:name w:val="heading 3"/>
    <w:basedOn w:val="Normal"/>
    <w:uiPriority w:val="9"/>
    <w:unhideWhenUsed/>
    <w:qFormat/>
    <w:pPr>
      <w:spacing w:before="76"/>
      <w:ind w:left="1"/>
      <w:outlineLvl w:val="2"/>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ind w:left="1"/>
    </w:pPr>
    <w:rPr>
      <w:sz w:val="24"/>
      <w:szCs w:val="24"/>
    </w:rPr>
  </w:style>
  <w:style w:type="paragraph" w:styleId="TOC2">
    <w:name w:val="toc 2"/>
    <w:basedOn w:val="Normal"/>
    <w:uiPriority w:val="1"/>
    <w:qFormat/>
    <w:pPr>
      <w:ind w:left="1"/>
    </w:pPr>
    <w:rPr>
      <w:sz w:val="24"/>
      <w:szCs w:val="24"/>
    </w:rPr>
  </w:style>
  <w:style w:type="paragraph" w:styleId="TOC3">
    <w:name w:val="toc 3"/>
    <w:basedOn w:val="Normal"/>
    <w:uiPriority w:val="1"/>
    <w:qFormat/>
    <w:pPr>
      <w:ind w:left="1"/>
    </w:pPr>
    <w:rPr>
      <w:sz w:val="24"/>
      <w:szCs w:val="24"/>
    </w:rPr>
  </w:style>
  <w:style w:type="paragraph" w:styleId="BodyText">
    <w:name w:val="Body Text"/>
    <w:basedOn w:val="Normal"/>
    <w:uiPriority w:val="1"/>
    <w:qFormat/>
    <w:rPr>
      <w:sz w:val="24"/>
      <w:szCs w:val="24"/>
    </w:rPr>
  </w:style>
  <w:style w:type="paragraph" w:styleId="Title">
    <w:name w:val="Title"/>
    <w:basedOn w:val="Normal"/>
    <w:uiPriority w:val="10"/>
    <w:qFormat/>
    <w:pPr>
      <w:ind w:left="1"/>
    </w:pPr>
    <w:rPr>
      <w:b/>
      <w:bCs/>
      <w:sz w:val="96"/>
      <w:szCs w:val="96"/>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136/emermed-2023-999.33" TargetMode="External"/><Relationship Id="rId13" Type="http://schemas.openxmlformats.org/officeDocument/2006/relationships/hyperlink" Target="https://doi.org/10.1017/S1744133124000057" TargetMode="External"/><Relationship Id="rId3" Type="http://schemas.openxmlformats.org/officeDocument/2006/relationships/webSettings" Target="webSettings.xml"/><Relationship Id="rId7" Type="http://schemas.openxmlformats.org/officeDocument/2006/relationships/image" Target="media/image1.jpeg"/><Relationship Id="rId12" Type="http://schemas.openxmlformats.org/officeDocument/2006/relationships/hyperlink" Target="http://www.cambridge.org/core/journals/health-economics-policy-and-law/article/what-is-a-"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hyperlink" Target="https://doi.org/10.3389/fpubh.2022.870276"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doi.org/10.1136/emermed-2023-213854" TargetMode="External"/><Relationship Id="rId4" Type="http://schemas.openxmlformats.org/officeDocument/2006/relationships/footnotes" Target="footnotes.xml"/><Relationship Id="rId9" Type="http://schemas.openxmlformats.org/officeDocument/2006/relationships/hyperlink" Target="https://doi.org/10.1111/hex.13856"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6</Pages>
  <Words>1043</Words>
  <Characters>5946</Characters>
  <Application>Microsoft Office Word</Application>
  <DocSecurity>0</DocSecurity>
  <Lines>49</Lines>
  <Paragraphs>13</Paragraphs>
  <ScaleCrop>false</ScaleCrop>
  <Company/>
  <LinksUpToDate>false</LinksUpToDate>
  <CharactersWithSpaces>6976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June Lillian Truepenny (2514423)</cp:lastModifiedBy>
  <cp:revision>9</cp:revision>
  <dcterms:created xsi:type="dcterms:W3CDTF">2026-02-20T10:05:00Z</dcterms:created>
  <dcterms:modified xsi:type="dcterms:W3CDTF">2026-02-20T10:11:00Z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2026-02-07T00:00:00Z</vt:filetime>
  </property>
  <property fmtid="{D5CDD505-2E9C-101B-9397-08002B2CF9AE}" pid="3" name="Creator">
    <vt:lpwstr>CamScanner office converter</vt:lpwstr>
  </property>
  <property fmtid="{D5CDD505-2E9C-101B-9397-08002B2CF9AE}" pid="4" name="LastSaved">
    <vt:filetime>2026-02-20T00:00:00Z</vt:filetime>
  </property>
</Properties>
</file>