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F70EB" w14:textId="77777777" w:rsidR="00A40242" w:rsidRPr="00A40242" w:rsidRDefault="00A40242" w:rsidP="00815452">
      <w:pPr>
        <w:pStyle w:val="NoSpacing"/>
      </w:pPr>
    </w:p>
    <w:p w14:paraId="32EBD4FE" w14:textId="77777777" w:rsidR="00A40242" w:rsidRPr="00A40242" w:rsidRDefault="00A40242" w:rsidP="00A40242">
      <w:pPr>
        <w:spacing w:line="480" w:lineRule="auto"/>
        <w:jc w:val="center"/>
        <w:rPr>
          <w:rFonts w:ascii="Times New Roman" w:hAnsi="Times New Roman" w:cs="Times New Roman"/>
          <w:b/>
          <w:sz w:val="24"/>
          <w:szCs w:val="24"/>
        </w:rPr>
      </w:pPr>
    </w:p>
    <w:p w14:paraId="1C56E439" w14:textId="77777777" w:rsidR="00A40242" w:rsidRPr="00A40242" w:rsidRDefault="00A40242" w:rsidP="00A40242">
      <w:pPr>
        <w:spacing w:line="480" w:lineRule="auto"/>
        <w:jc w:val="center"/>
        <w:rPr>
          <w:rFonts w:ascii="Times New Roman" w:hAnsi="Times New Roman" w:cs="Times New Roman"/>
          <w:b/>
          <w:sz w:val="24"/>
          <w:szCs w:val="24"/>
        </w:rPr>
      </w:pPr>
    </w:p>
    <w:p w14:paraId="4C7E3147" w14:textId="77777777" w:rsidR="00A40242" w:rsidRPr="00A40242" w:rsidRDefault="00A40242" w:rsidP="00A40242">
      <w:pPr>
        <w:spacing w:line="480" w:lineRule="auto"/>
        <w:jc w:val="center"/>
        <w:rPr>
          <w:rFonts w:ascii="Times New Roman" w:hAnsi="Times New Roman" w:cs="Times New Roman"/>
          <w:b/>
          <w:sz w:val="24"/>
          <w:szCs w:val="24"/>
        </w:rPr>
      </w:pPr>
    </w:p>
    <w:p w14:paraId="20355114" w14:textId="77777777" w:rsidR="00A40242" w:rsidRPr="00A40242" w:rsidRDefault="00A40242" w:rsidP="00A40242">
      <w:pPr>
        <w:spacing w:line="480" w:lineRule="auto"/>
        <w:jc w:val="center"/>
        <w:rPr>
          <w:rFonts w:ascii="Times New Roman" w:hAnsi="Times New Roman" w:cs="Times New Roman"/>
          <w:b/>
          <w:sz w:val="24"/>
          <w:szCs w:val="24"/>
        </w:rPr>
      </w:pPr>
    </w:p>
    <w:p w14:paraId="5C4B52AA" w14:textId="5B5BC5D8" w:rsidR="00A40242" w:rsidRPr="00A40242" w:rsidRDefault="00BB3EC4" w:rsidP="00C96AF3">
      <w:pPr>
        <w:spacing w:line="480" w:lineRule="auto"/>
        <w:jc w:val="both"/>
        <w:rPr>
          <w:rFonts w:ascii="Times New Roman" w:hAnsi="Times New Roman" w:cs="Times New Roman"/>
          <w:b/>
          <w:sz w:val="24"/>
          <w:szCs w:val="24"/>
        </w:rPr>
      </w:pPr>
      <w:r>
        <w:rPr>
          <w:rFonts w:ascii="Times New Roman" w:hAnsi="Times New Roman" w:cs="Times New Roman"/>
          <w:b/>
          <w:sz w:val="24"/>
          <w:szCs w:val="24"/>
        </w:rPr>
        <w:t>BUSINESS REPORT- COM</w:t>
      </w:r>
      <w:r w:rsidR="005442AE">
        <w:rPr>
          <w:rFonts w:ascii="Times New Roman" w:hAnsi="Times New Roman" w:cs="Times New Roman"/>
          <w:b/>
          <w:sz w:val="24"/>
          <w:szCs w:val="24"/>
        </w:rPr>
        <w:t>PARISON OF TWO HOSPITALITY ORGANISATIONS</w:t>
      </w:r>
    </w:p>
    <w:p w14:paraId="50AF3234" w14:textId="77777777" w:rsidR="00A40242" w:rsidRPr="00A40242" w:rsidRDefault="00A40242" w:rsidP="00C96AF3">
      <w:pPr>
        <w:spacing w:line="480" w:lineRule="auto"/>
        <w:jc w:val="both"/>
        <w:rPr>
          <w:rFonts w:ascii="Times New Roman" w:hAnsi="Times New Roman" w:cs="Times New Roman"/>
          <w:b/>
          <w:sz w:val="24"/>
          <w:szCs w:val="24"/>
        </w:rPr>
      </w:pPr>
    </w:p>
    <w:p w14:paraId="6C25C4B0" w14:textId="77777777" w:rsidR="00A40242" w:rsidRPr="00A40242" w:rsidRDefault="00A40242" w:rsidP="00C96AF3">
      <w:pPr>
        <w:spacing w:line="480" w:lineRule="auto"/>
        <w:jc w:val="both"/>
        <w:rPr>
          <w:rFonts w:ascii="Times New Roman" w:hAnsi="Times New Roman" w:cs="Times New Roman"/>
          <w:b/>
          <w:sz w:val="24"/>
          <w:szCs w:val="24"/>
        </w:rPr>
      </w:pPr>
    </w:p>
    <w:p w14:paraId="7FF77EEE" w14:textId="77777777" w:rsidR="00A40242" w:rsidRPr="00A40242" w:rsidRDefault="00000000" w:rsidP="00A40242">
      <w:pPr>
        <w:tabs>
          <w:tab w:val="left" w:pos="4980"/>
          <w:tab w:val="left" w:pos="5475"/>
        </w:tabs>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ab/>
      </w:r>
    </w:p>
    <w:p w14:paraId="234D54F8" w14:textId="77777777" w:rsidR="00A96BBB" w:rsidRDefault="00A96BBB" w:rsidP="00A96BBB">
      <w:pPr>
        <w:tabs>
          <w:tab w:val="left" w:pos="4980"/>
          <w:tab w:val="left" w:pos="5475"/>
        </w:tabs>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STUDENT/ID: </w:t>
      </w:r>
      <w:r w:rsidR="00DC4736">
        <w:rPr>
          <w:rFonts w:ascii="Times New Roman" w:hAnsi="Times New Roman" w:cs="Times New Roman"/>
          <w:sz w:val="24"/>
          <w:szCs w:val="24"/>
        </w:rPr>
        <w:t>LIVIA VALENTINA VLADU</w:t>
      </w:r>
      <w:r>
        <w:rPr>
          <w:rFonts w:ascii="Times New Roman" w:hAnsi="Times New Roman" w:cs="Times New Roman"/>
          <w:sz w:val="24"/>
          <w:szCs w:val="24"/>
        </w:rPr>
        <w:t xml:space="preserve"> </w:t>
      </w:r>
      <w:r>
        <w:rPr>
          <w:rFonts w:ascii="Times New Roman" w:hAnsi="Times New Roman" w:cs="Times New Roman"/>
          <w:sz w:val="24"/>
          <w:szCs w:val="24"/>
        </w:rPr>
        <w:t>2127120</w:t>
      </w:r>
    </w:p>
    <w:p w14:paraId="7EBC31EF" w14:textId="2707F5DD" w:rsidR="00A96BBB" w:rsidRDefault="00A96BBB" w:rsidP="00A96BBB">
      <w:pPr>
        <w:tabs>
          <w:tab w:val="left" w:pos="4980"/>
          <w:tab w:val="left" w:pos="5475"/>
        </w:tabs>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r w:rsidR="009C481C">
        <w:rPr>
          <w:rFonts w:ascii="Times New Roman" w:hAnsi="Times New Roman" w:cs="Times New Roman"/>
          <w:sz w:val="24"/>
          <w:szCs w:val="24"/>
        </w:rPr>
        <w:t>:</w:t>
      </w:r>
    </w:p>
    <w:p w14:paraId="7A8192B3" w14:textId="5DDAABC3" w:rsidR="00DA2AA8" w:rsidRDefault="00516421" w:rsidP="00A96BBB">
      <w:pPr>
        <w:tabs>
          <w:tab w:val="left" w:pos="4980"/>
          <w:tab w:val="left" w:pos="5475"/>
        </w:tabs>
        <w:spacing w:line="480" w:lineRule="auto"/>
        <w:rPr>
          <w:rFonts w:ascii="Times New Roman" w:hAnsi="Times New Roman" w:cs="Times New Roman"/>
          <w:sz w:val="24"/>
          <w:szCs w:val="24"/>
        </w:rPr>
      </w:pPr>
      <w:r>
        <w:rPr>
          <w:rFonts w:ascii="Times New Roman" w:hAnsi="Times New Roman" w:cs="Times New Roman"/>
          <w:sz w:val="24"/>
          <w:szCs w:val="24"/>
        </w:rPr>
        <w:t xml:space="preserve">FINANCIAL MANAGEMENT FOR THE </w:t>
      </w:r>
      <w:r w:rsidR="00DA2AA8">
        <w:rPr>
          <w:rFonts w:ascii="Times New Roman" w:hAnsi="Times New Roman" w:cs="Times New Roman"/>
          <w:sz w:val="24"/>
          <w:szCs w:val="24"/>
        </w:rPr>
        <w:t>HOTEL INDUSTRY</w:t>
      </w:r>
      <w:r w:rsidR="001927EE">
        <w:rPr>
          <w:rFonts w:ascii="Times New Roman" w:hAnsi="Times New Roman" w:cs="Times New Roman"/>
          <w:sz w:val="24"/>
          <w:szCs w:val="24"/>
        </w:rPr>
        <w:t xml:space="preserve"> </w:t>
      </w:r>
      <w:r w:rsidR="00DA2AA8">
        <w:rPr>
          <w:rFonts w:ascii="Times New Roman" w:hAnsi="Times New Roman" w:cs="Times New Roman"/>
          <w:sz w:val="24"/>
          <w:szCs w:val="24"/>
        </w:rPr>
        <w:t>(BMIH</w:t>
      </w:r>
      <w:r w:rsidR="001927EE">
        <w:rPr>
          <w:rFonts w:ascii="Times New Roman" w:hAnsi="Times New Roman" w:cs="Times New Roman"/>
          <w:sz w:val="24"/>
          <w:szCs w:val="24"/>
        </w:rPr>
        <w:t>5007, BMIH</w:t>
      </w:r>
      <w:r w:rsidR="008249FA">
        <w:rPr>
          <w:rFonts w:ascii="Times New Roman" w:hAnsi="Times New Roman" w:cs="Times New Roman"/>
          <w:sz w:val="24"/>
          <w:szCs w:val="24"/>
        </w:rPr>
        <w:t>5002)</w:t>
      </w:r>
    </w:p>
    <w:p w14:paraId="1A84B707" w14:textId="289934A1" w:rsidR="009C481C" w:rsidRDefault="00376F65" w:rsidP="00A96BBB">
      <w:pPr>
        <w:tabs>
          <w:tab w:val="left" w:pos="4980"/>
          <w:tab w:val="left" w:pos="5475"/>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A5108">
        <w:rPr>
          <w:rFonts w:ascii="Times New Roman" w:hAnsi="Times New Roman" w:cs="Times New Roman"/>
          <w:sz w:val="24"/>
          <w:szCs w:val="24"/>
        </w:rPr>
        <w:t xml:space="preserve">LECTURER’S NAME: </w:t>
      </w:r>
      <w:r>
        <w:rPr>
          <w:rFonts w:ascii="Times New Roman" w:hAnsi="Times New Roman" w:cs="Times New Roman"/>
          <w:sz w:val="24"/>
          <w:szCs w:val="24"/>
        </w:rPr>
        <w:t>JALIYA DE SILVA</w:t>
      </w:r>
    </w:p>
    <w:p w14:paraId="661176CA" w14:textId="594A8441" w:rsidR="00A40242" w:rsidRPr="00A40242" w:rsidRDefault="00C8442A" w:rsidP="00C8442A">
      <w:pPr>
        <w:tabs>
          <w:tab w:val="left" w:pos="4980"/>
          <w:tab w:val="left" w:pos="5475"/>
        </w:tabs>
        <w:spacing w:line="480" w:lineRule="auto"/>
        <w:rPr>
          <w:rFonts w:ascii="Times New Roman" w:hAnsi="Times New Roman" w:cs="Times New Roman"/>
          <w:b/>
          <w:sz w:val="24"/>
          <w:szCs w:val="24"/>
        </w:rPr>
      </w:pPr>
      <w:r>
        <w:rPr>
          <w:rFonts w:ascii="Times New Roman" w:hAnsi="Times New Roman" w:cs="Times New Roman"/>
          <w:sz w:val="24"/>
          <w:szCs w:val="24"/>
        </w:rPr>
        <w:t xml:space="preserve">                                    </w:t>
      </w:r>
    </w:p>
    <w:p w14:paraId="4707108E" w14:textId="77777777" w:rsidR="00A40242" w:rsidRPr="00A40242" w:rsidRDefault="00A40242" w:rsidP="00C96AF3">
      <w:pPr>
        <w:spacing w:line="480" w:lineRule="auto"/>
        <w:jc w:val="both"/>
        <w:rPr>
          <w:rFonts w:ascii="Times New Roman" w:hAnsi="Times New Roman" w:cs="Times New Roman"/>
          <w:b/>
          <w:sz w:val="24"/>
          <w:szCs w:val="24"/>
        </w:rPr>
      </w:pPr>
    </w:p>
    <w:p w14:paraId="7512E403" w14:textId="77777777" w:rsidR="00A40242" w:rsidRPr="00A40242" w:rsidRDefault="00A40242" w:rsidP="00C96AF3">
      <w:pPr>
        <w:spacing w:line="480" w:lineRule="auto"/>
        <w:jc w:val="both"/>
        <w:rPr>
          <w:rFonts w:ascii="Times New Roman" w:hAnsi="Times New Roman" w:cs="Times New Roman"/>
          <w:b/>
          <w:sz w:val="24"/>
          <w:szCs w:val="24"/>
        </w:rPr>
      </w:pPr>
    </w:p>
    <w:p w14:paraId="70C22B6B" w14:textId="77777777" w:rsidR="00A40242" w:rsidRPr="00A40242" w:rsidRDefault="00A40242" w:rsidP="00C96AF3">
      <w:pPr>
        <w:spacing w:line="480" w:lineRule="auto"/>
        <w:jc w:val="both"/>
        <w:rPr>
          <w:rFonts w:ascii="Times New Roman" w:hAnsi="Times New Roman" w:cs="Times New Roman"/>
          <w:b/>
          <w:sz w:val="24"/>
          <w:szCs w:val="24"/>
        </w:rPr>
      </w:pPr>
    </w:p>
    <w:p w14:paraId="64088A1A" w14:textId="77777777" w:rsidR="00A40242" w:rsidRDefault="00A40242" w:rsidP="00C96AF3">
      <w:pPr>
        <w:spacing w:line="480" w:lineRule="auto"/>
        <w:jc w:val="both"/>
        <w:rPr>
          <w:rFonts w:ascii="Times New Roman" w:hAnsi="Times New Roman" w:cs="Times New Roman"/>
          <w:b/>
          <w:sz w:val="24"/>
          <w:szCs w:val="24"/>
        </w:rPr>
      </w:pPr>
    </w:p>
    <w:p w14:paraId="36A6E661" w14:textId="77777777" w:rsidR="00815452" w:rsidRDefault="00815452" w:rsidP="00C96AF3">
      <w:pPr>
        <w:spacing w:line="480" w:lineRule="auto"/>
        <w:jc w:val="both"/>
        <w:rPr>
          <w:rFonts w:ascii="Times New Roman" w:hAnsi="Times New Roman" w:cs="Times New Roman"/>
          <w:b/>
          <w:sz w:val="24"/>
          <w:szCs w:val="24"/>
        </w:rPr>
      </w:pPr>
    </w:p>
    <w:p w14:paraId="3BE0F666" w14:textId="77777777" w:rsidR="00A40242" w:rsidRPr="00A40242" w:rsidRDefault="00A40242" w:rsidP="00C96AF3">
      <w:pPr>
        <w:spacing w:line="480" w:lineRule="auto"/>
        <w:jc w:val="both"/>
        <w:rPr>
          <w:rFonts w:ascii="Times New Roman" w:hAnsi="Times New Roman" w:cs="Times New Roman"/>
          <w:b/>
          <w:sz w:val="24"/>
          <w:szCs w:val="24"/>
        </w:rPr>
      </w:pPr>
    </w:p>
    <w:p w14:paraId="405974C1" w14:textId="77777777" w:rsidR="00542E20" w:rsidRPr="00A40242" w:rsidRDefault="00000000" w:rsidP="00815452">
      <w:pPr>
        <w:spacing w:line="480" w:lineRule="auto"/>
        <w:jc w:val="center"/>
        <w:rPr>
          <w:rFonts w:ascii="Times New Roman" w:hAnsi="Times New Roman" w:cs="Times New Roman"/>
          <w:b/>
          <w:sz w:val="24"/>
          <w:szCs w:val="24"/>
        </w:rPr>
      </w:pPr>
      <w:r w:rsidRPr="00A40242">
        <w:rPr>
          <w:rFonts w:ascii="Times New Roman" w:hAnsi="Times New Roman" w:cs="Times New Roman"/>
          <w:b/>
          <w:sz w:val="24"/>
          <w:szCs w:val="24"/>
        </w:rPr>
        <w:t>Executive Summary</w:t>
      </w:r>
    </w:p>
    <w:p w14:paraId="42E0F7D0" w14:textId="77777777" w:rsidR="00542E20" w:rsidRDefault="00000000" w:rsidP="00C96AF3">
      <w:p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t>This study investigates the financial strategies and practices of two significant participants in the hospitality sector, namely the Mandarin Oriental Hotel Group and Premier Inn. The scope of our analysis includes a diverse array of subjects, including the overall revenue, market positioning, potential for growth, and dedication to Corporate Social Responsibility (CSR).</w:t>
      </w:r>
    </w:p>
    <w:p w14:paraId="4B8FCF63" w14:textId="77777777" w:rsidR="00815452" w:rsidRPr="00A40242" w:rsidRDefault="00815452" w:rsidP="00C96AF3">
      <w:pPr>
        <w:spacing w:line="480" w:lineRule="auto"/>
        <w:jc w:val="both"/>
        <w:rPr>
          <w:rFonts w:ascii="Times New Roman" w:hAnsi="Times New Roman" w:cs="Times New Roman"/>
          <w:sz w:val="24"/>
          <w:szCs w:val="24"/>
        </w:rPr>
      </w:pPr>
    </w:p>
    <w:p w14:paraId="6713E739"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Introduction</w:t>
      </w:r>
    </w:p>
    <w:p w14:paraId="019A62E2"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The hospitality industry is characterized by its diverse and highly competitive nature, where personalized financial strategies are crucial for effectively navigating this complex terrain. This study aims to thoroughly examine and contrast Mandarin Oriental Hotel Group and Premier Inn, seeking to acquire insights into the key components of their financial management strategies and environmental sustainability practices.</w:t>
      </w:r>
    </w:p>
    <w:p w14:paraId="1AD01E2B"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Total Revenue</w:t>
      </w:r>
    </w:p>
    <w:p w14:paraId="3D221597"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Mandarin Oriental Hotel Group: The Luxury Revenue Champion</w:t>
      </w:r>
    </w:p>
    <w:p w14:paraId="5FA30926"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The sources of revenue refer to the many channels through which an entity generates income or funds. These sources include but are not limited to sales of goods or services and investments. The Mandarin Oriental Hotel Group produces substantial revenue by providing high-end accommodations, luxury food and beverage services, and world-class spa operations. The company's diverse sources of income are significantly influenced by its widely recognized b</w:t>
      </w:r>
      <w:r w:rsidR="00C96AF3" w:rsidRPr="00A40242">
        <w:rPr>
          <w:rFonts w:ascii="Times New Roman" w:hAnsi="Times New Roman" w:cs="Times New Roman"/>
          <w:sz w:val="24"/>
          <w:szCs w:val="24"/>
        </w:rPr>
        <w:t>rand and high-quality services.</w:t>
      </w:r>
    </w:p>
    <w:p w14:paraId="0CA2DD4F" w14:textId="77777777" w:rsidR="00542E20" w:rsidRPr="00A40242" w:rsidRDefault="00000000" w:rsidP="00225D6D">
      <w:p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lastRenderedPageBreak/>
        <w:t>An analysis of re</w:t>
      </w:r>
      <w:r w:rsidR="00225D6D" w:rsidRPr="00A40242">
        <w:rPr>
          <w:rFonts w:ascii="Times New Roman" w:hAnsi="Times New Roman" w:cs="Times New Roman"/>
          <w:sz w:val="24"/>
          <w:szCs w:val="24"/>
        </w:rPr>
        <w:t xml:space="preserve">venue patterns and fluctuations: Zhao et al. (2020) provided insights into brand relevance and its effects on product proliferation. </w:t>
      </w:r>
      <w:r w:rsidRPr="00A40242">
        <w:rPr>
          <w:rFonts w:ascii="Times New Roman" w:hAnsi="Times New Roman" w:cs="Times New Roman"/>
          <w:sz w:val="24"/>
          <w:szCs w:val="24"/>
        </w:rPr>
        <w:t>The organization as a whole has exhibited consistent growth in revenue throughout its historical trajectory. This phenomenon can mainly be attributed to its widespread presence in numerous esteemed global destinations, which ensure opulenc</w:t>
      </w:r>
      <w:r w:rsidR="00C96AF3" w:rsidRPr="00A40242">
        <w:rPr>
          <w:rFonts w:ascii="Times New Roman" w:hAnsi="Times New Roman" w:cs="Times New Roman"/>
          <w:sz w:val="24"/>
          <w:szCs w:val="24"/>
        </w:rPr>
        <w:t xml:space="preserve">e and extraordinary encounters. </w:t>
      </w:r>
      <w:r w:rsidRPr="00A40242">
        <w:rPr>
          <w:rFonts w:ascii="Times New Roman" w:hAnsi="Times New Roman" w:cs="Times New Roman"/>
          <w:sz w:val="24"/>
          <w:szCs w:val="24"/>
        </w:rPr>
        <w:t>The increase in the group's revenue can be ascribed to various factors, including intelligent site selections, implementation of premium pricing strategies, and a steadfast commitment to delivering exceptional customer experiences.</w:t>
      </w:r>
    </w:p>
    <w:p w14:paraId="5F10E5C1"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Premier Inn: The Affordable Lodging Dynamo</w:t>
      </w:r>
    </w:p>
    <w:p w14:paraId="264B16F3"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Revenue Sources: Premier Inn's revenue primarily stems from affordable accommodation, supplemented by ancillary services such as on-site dining, which contribute to extra income generation. Due to their widespread prevalence throughout the United Kingdom, they have solidified their position as the preferred choice f</w:t>
      </w:r>
      <w:r w:rsidR="00C96AF3" w:rsidRPr="00A40242">
        <w:rPr>
          <w:rFonts w:ascii="Times New Roman" w:hAnsi="Times New Roman" w:cs="Times New Roman"/>
          <w:sz w:val="24"/>
          <w:szCs w:val="24"/>
        </w:rPr>
        <w:t xml:space="preserve">or budget-conscious travelers. </w:t>
      </w:r>
      <w:r w:rsidRPr="00A40242">
        <w:rPr>
          <w:rFonts w:ascii="Times New Roman" w:hAnsi="Times New Roman" w:cs="Times New Roman"/>
          <w:sz w:val="24"/>
          <w:szCs w:val="24"/>
        </w:rPr>
        <w:t>The study examines the patterns and shifts in revenue generation within a given context. Premier Inn has consistently achieved steady revenue growth over a sustained period, mostly attributed to its strategic expansion efforts in domestic and international markets. Their business development has been reinforced by their established standing for offering high-quality accommodations at affordable rates</w:t>
      </w:r>
      <w:r w:rsidR="00225D6D" w:rsidRPr="00A40242">
        <w:rPr>
          <w:rFonts w:ascii="Times New Roman" w:hAnsi="Times New Roman" w:cs="Times New Roman"/>
          <w:sz w:val="24"/>
          <w:szCs w:val="24"/>
        </w:rPr>
        <w:t xml:space="preserve"> (Hu &amp; Song,2023)</w:t>
      </w:r>
      <w:r w:rsidRPr="00A40242">
        <w:rPr>
          <w:rFonts w:ascii="Times New Roman" w:hAnsi="Times New Roman" w:cs="Times New Roman"/>
          <w:sz w:val="24"/>
          <w:szCs w:val="24"/>
        </w:rPr>
        <w:t>.</w:t>
      </w:r>
      <w:r w:rsidR="00C96AF3" w:rsidRPr="00A40242">
        <w:rPr>
          <w:rFonts w:ascii="Times New Roman" w:hAnsi="Times New Roman" w:cs="Times New Roman"/>
          <w:sz w:val="24"/>
          <w:szCs w:val="24"/>
        </w:rPr>
        <w:t xml:space="preserve"> </w:t>
      </w:r>
      <w:r w:rsidRPr="00A40242">
        <w:rPr>
          <w:rFonts w:ascii="Times New Roman" w:hAnsi="Times New Roman" w:cs="Times New Roman"/>
          <w:sz w:val="24"/>
          <w:szCs w:val="24"/>
        </w:rPr>
        <w:t>Several factors can influence revenue, such as implementing an assertive market penetration strategy, maintaining cost-effective operations, and establishing robust customer loyalty programs. These significant drivers are the primary factors contributing to Premier Inn's revenue growth.</w:t>
      </w:r>
    </w:p>
    <w:p w14:paraId="29BC2918"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Comparison of Total Revenues</w:t>
      </w:r>
    </w:p>
    <w:p w14:paraId="328135C4" w14:textId="77777777" w:rsidR="00542E20" w:rsidRPr="00A40242" w:rsidRDefault="00000000" w:rsidP="00225D6D">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lastRenderedPageBreak/>
        <w:t>Das et al. (2021) proposed a multi-layered market forecast framework for hotel revenue management. Despite catering to clientele from different ends of the market spectrum, both Mandarin Oriental Hotel Group and Premier Inn have seen a sustained increase in their income. The initial classification pertains to luxury travel, whereas the subsequent classification demonstrates its prominence</w:t>
      </w:r>
      <w:r w:rsidR="00763960" w:rsidRPr="00A40242">
        <w:rPr>
          <w:rFonts w:ascii="Times New Roman" w:hAnsi="Times New Roman" w:cs="Times New Roman"/>
          <w:sz w:val="24"/>
          <w:szCs w:val="24"/>
        </w:rPr>
        <w:t xml:space="preserve"> (Denizci Guillet, 2020)</w:t>
      </w:r>
      <w:r w:rsidRPr="00A40242">
        <w:rPr>
          <w:rFonts w:ascii="Times New Roman" w:hAnsi="Times New Roman" w:cs="Times New Roman"/>
          <w:sz w:val="24"/>
          <w:szCs w:val="24"/>
        </w:rPr>
        <w:t>. Conversely, the third classification excels in the realm of affordable travel.</w:t>
      </w:r>
    </w:p>
    <w:p w14:paraId="21F874F3"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Market Position</w:t>
      </w:r>
    </w:p>
    <w:p w14:paraId="53AB5276"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Mandarin Oriental Hotel Group: The Luxury Connoisseurs</w:t>
      </w:r>
    </w:p>
    <w:p w14:paraId="6E875DF1" w14:textId="77777777" w:rsidR="00225D6D"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Market share is the proportion of a specific market controlled by a particular company or product. The Mandarin Oriental Hotel Group possesses a specific and distinct market segment, albeit relatively small, but it maintains a dominant position as the foremost industry frontrunner within luxury hotels. The primary clientele comprises affluent individuals, notable personalities, and discerning travelers seeking opule</w:t>
      </w:r>
      <w:r w:rsidR="00C96AF3" w:rsidRPr="00A40242">
        <w:rPr>
          <w:rFonts w:ascii="Times New Roman" w:hAnsi="Times New Roman" w:cs="Times New Roman"/>
          <w:sz w:val="24"/>
          <w:szCs w:val="24"/>
        </w:rPr>
        <w:t>nt and personalized encounters</w:t>
      </w:r>
      <w:r w:rsidR="00763960" w:rsidRPr="00A40242">
        <w:rPr>
          <w:rFonts w:ascii="Times New Roman" w:hAnsi="Times New Roman" w:cs="Times New Roman"/>
          <w:sz w:val="24"/>
          <w:szCs w:val="24"/>
        </w:rPr>
        <w:t xml:space="preserve"> (Kravariti et al., 2022)</w:t>
      </w:r>
      <w:r w:rsidR="00C96AF3" w:rsidRPr="00A40242">
        <w:rPr>
          <w:rFonts w:ascii="Times New Roman" w:hAnsi="Times New Roman" w:cs="Times New Roman"/>
          <w:sz w:val="24"/>
          <w:szCs w:val="24"/>
        </w:rPr>
        <w:t>.</w:t>
      </w:r>
      <w:r w:rsidRPr="00A40242">
        <w:rPr>
          <w:rFonts w:ascii="Times New Roman" w:hAnsi="Times New Roman" w:cs="Times New Roman"/>
          <w:sz w:val="24"/>
          <w:szCs w:val="24"/>
        </w:rPr>
        <w:t xml:space="preserve"> </w:t>
      </w:r>
    </w:p>
    <w:p w14:paraId="5A2BE807"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 xml:space="preserve">The customer base's demographic characteristics: </w:t>
      </w:r>
      <w:r w:rsidR="00E0153F" w:rsidRPr="00A40242">
        <w:rPr>
          <w:rFonts w:ascii="Times New Roman" w:hAnsi="Times New Roman" w:cs="Times New Roman"/>
          <w:sz w:val="24"/>
          <w:szCs w:val="24"/>
        </w:rPr>
        <w:t xml:space="preserve">The School of Business Researchers updated knowledge on the effects of place attachment and image on revisit intention in an ecotourism destination (2020). </w:t>
      </w:r>
      <w:r w:rsidRPr="00A40242">
        <w:rPr>
          <w:rFonts w:ascii="Times New Roman" w:hAnsi="Times New Roman" w:cs="Times New Roman"/>
          <w:sz w:val="24"/>
          <w:szCs w:val="24"/>
        </w:rPr>
        <w:t>The primary demographic of the organization's customer base comprises affluent tourists who prioritize personalized assistance, confidentiality, and opulent lodging. A substantial segment of their client demographics includes individuals with high incomes, celebrities, and influential</w:t>
      </w:r>
      <w:r w:rsidR="00C96AF3" w:rsidRPr="00A40242">
        <w:rPr>
          <w:rFonts w:ascii="Times New Roman" w:hAnsi="Times New Roman" w:cs="Times New Roman"/>
          <w:sz w:val="24"/>
          <w:szCs w:val="24"/>
        </w:rPr>
        <w:t xml:space="preserve"> figures in the business realm. </w:t>
      </w:r>
      <w:r w:rsidRPr="00A40242">
        <w:rPr>
          <w:rFonts w:ascii="Times New Roman" w:hAnsi="Times New Roman" w:cs="Times New Roman"/>
          <w:sz w:val="24"/>
          <w:szCs w:val="24"/>
        </w:rPr>
        <w:t>The general perception held by the public regarding the Mandarin Oriental brand is that it is closely associated with the notion of opulence and is renowned for its extensive history of providing exceptional customer service</w:t>
      </w:r>
      <w:r w:rsidR="00E0153F" w:rsidRPr="00A40242">
        <w:rPr>
          <w:rFonts w:ascii="Times New Roman" w:hAnsi="Times New Roman" w:cs="Times New Roman"/>
          <w:sz w:val="24"/>
          <w:szCs w:val="24"/>
        </w:rPr>
        <w:t xml:space="preserve"> </w:t>
      </w:r>
      <w:r w:rsidR="00E0153F" w:rsidRPr="00A40242">
        <w:rPr>
          <w:rFonts w:ascii="Times New Roman" w:hAnsi="Times New Roman" w:cs="Times New Roman"/>
          <w:sz w:val="24"/>
          <w:szCs w:val="24"/>
        </w:rPr>
        <w:lastRenderedPageBreak/>
        <w:t>(Thakur,2019)</w:t>
      </w:r>
      <w:r w:rsidRPr="00A40242">
        <w:rPr>
          <w:rFonts w:ascii="Times New Roman" w:hAnsi="Times New Roman" w:cs="Times New Roman"/>
          <w:sz w:val="24"/>
          <w:szCs w:val="24"/>
        </w:rPr>
        <w:t>. The entity in question has successfully upheld its esteemed reputation as a symbol of opulence and refinement.</w:t>
      </w:r>
    </w:p>
    <w:p w14:paraId="61712996"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Premier Inn: Budget Hospitality for the Masses</w:t>
      </w:r>
    </w:p>
    <w:p w14:paraId="4D553F8D" w14:textId="77777777" w:rsidR="00C96AF3"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 xml:space="preserve">Market Share: Within the hospitality business segment that caters to customers seeking cost-effective services, Premier Inn commands a significant proportion of the market share. They are the preferred accommodation choice for families, corporate travelers, and cost-conscious tourists seeking an excellent, affordable housing option. </w:t>
      </w:r>
    </w:p>
    <w:p w14:paraId="5A73D8D1" w14:textId="77777777" w:rsidR="00542E20" w:rsidRPr="00A40242" w:rsidRDefault="00000000" w:rsidP="00225D6D">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The consumer base of Premier Inn encompasses a wide array of demographics. This includes families seeking affordable accommodation, business travelers prioritizing convenience, and budget-conscious tourists visiting the United Kingdom. The brand resonates with people who prioritize convenience and accessibility.</w:t>
      </w:r>
      <w:r w:rsidR="00225D6D" w:rsidRPr="00A40242">
        <w:rPr>
          <w:rFonts w:ascii="Times New Roman" w:hAnsi="Times New Roman" w:cs="Times New Roman"/>
          <w:sz w:val="24"/>
          <w:szCs w:val="24"/>
        </w:rPr>
        <w:t xml:space="preserve"> </w:t>
      </w:r>
      <w:r w:rsidRPr="00A40242">
        <w:rPr>
          <w:rFonts w:ascii="Times New Roman" w:hAnsi="Times New Roman" w:cs="Times New Roman"/>
          <w:sz w:val="24"/>
          <w:szCs w:val="24"/>
        </w:rPr>
        <w:t>The fundamental perception held by the public regarding the Premier Inn brand is around its commitment to providing affordable comfort and maintaining a reliable standard of service. The organization has effectively established a reputation for being a reliable choice for individuals seeking economical accommodations prioritizing comfort.</w:t>
      </w:r>
    </w:p>
    <w:p w14:paraId="2951A68A"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Market Positions: A Distinct Contrast</w:t>
      </w:r>
    </w:p>
    <w:p w14:paraId="3C6EC317"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A notable disparity exists in the market positions occupied by Mandarin Oriental Hotel Group and Premier Inn, with the former exhibiting dominance within the luxury hotel sector and the latter asserting dominance within the economy hotel sector</w:t>
      </w:r>
      <w:r w:rsidR="008D6FD4" w:rsidRPr="00A40242">
        <w:rPr>
          <w:rFonts w:ascii="Times New Roman" w:hAnsi="Times New Roman" w:cs="Times New Roman"/>
          <w:sz w:val="24"/>
          <w:szCs w:val="24"/>
        </w:rPr>
        <w:t xml:space="preserve"> (Aliekperov, 2021)</w:t>
      </w:r>
      <w:r w:rsidRPr="00A40242">
        <w:rPr>
          <w:rFonts w:ascii="Times New Roman" w:hAnsi="Times New Roman" w:cs="Times New Roman"/>
          <w:sz w:val="24"/>
          <w:szCs w:val="24"/>
        </w:rPr>
        <w:t>. Each entity maximizes the potential of the opportunities that arise inside its respective specialized market.</w:t>
      </w:r>
      <w:r w:rsidR="00225D6D" w:rsidRPr="00A40242">
        <w:rPr>
          <w:rFonts w:ascii="Times New Roman" w:hAnsi="Times New Roman" w:cs="Times New Roman"/>
          <w:sz w:val="24"/>
          <w:szCs w:val="24"/>
        </w:rPr>
        <w:t xml:space="preserve"> Rungruangjit and Charoenpornpanichkul (2022) discussed building brand evangelism through micro-influencer-generated content on Instagram.</w:t>
      </w:r>
    </w:p>
    <w:p w14:paraId="003F23B9"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Growth Potential</w:t>
      </w:r>
    </w:p>
    <w:p w14:paraId="114A25EF"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lastRenderedPageBreak/>
        <w:t>Unpacking Growth Prospects</w:t>
      </w:r>
    </w:p>
    <w:p w14:paraId="649DFE5E" w14:textId="77777777" w:rsidR="00542E20" w:rsidRPr="00A40242" w:rsidRDefault="00000000" w:rsidP="00225D6D">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Despite operating in different market segments, both Premier Inn and the Mandarin Oriental Hotel Group demonstrate promising indications of future growth and expansion. The primary objective of the first entity is to enhance its range of high-end products at a limited number of locations. In contrast, the second entity aims to explore novel market prospects, prioritizing affordability, convenie</w:t>
      </w:r>
      <w:r w:rsidR="00225D6D" w:rsidRPr="00A40242">
        <w:rPr>
          <w:rFonts w:ascii="Times New Roman" w:hAnsi="Times New Roman" w:cs="Times New Roman"/>
          <w:sz w:val="24"/>
          <w:szCs w:val="24"/>
        </w:rPr>
        <w:t>nce, and uniformity</w:t>
      </w:r>
      <w:r w:rsidR="00763960" w:rsidRPr="00A40242">
        <w:rPr>
          <w:rFonts w:ascii="Times New Roman" w:hAnsi="Times New Roman" w:cs="Times New Roman"/>
          <w:sz w:val="24"/>
          <w:szCs w:val="24"/>
        </w:rPr>
        <w:t xml:space="preserve"> (Law et al., 2020)</w:t>
      </w:r>
      <w:r w:rsidR="00225D6D" w:rsidRPr="00A40242">
        <w:rPr>
          <w:rFonts w:ascii="Times New Roman" w:hAnsi="Times New Roman" w:cs="Times New Roman"/>
          <w:sz w:val="24"/>
          <w:szCs w:val="24"/>
        </w:rPr>
        <w:t>.</w:t>
      </w:r>
    </w:p>
    <w:p w14:paraId="1C343B5E"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Mandarin Oriental Hotel Group: The Luxury Expansion Vision</w:t>
      </w:r>
    </w:p>
    <w:p w14:paraId="1AD63B53"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Expansion strategies refer to organizations' various approaches and methods to increase their market presence, reach new customers, and enhance their overall. The expansion tactics of the Mandarin Oriental Hotel Group are centered around targeting affluent destinations with high demand in order to cater to luxury travelers seeking unique experiences. This approach aims to sustain the company's current</w:t>
      </w:r>
      <w:r w:rsidR="008D6FD4" w:rsidRPr="00A40242">
        <w:rPr>
          <w:rFonts w:ascii="Times New Roman" w:hAnsi="Times New Roman" w:cs="Times New Roman"/>
          <w:sz w:val="24"/>
          <w:szCs w:val="24"/>
        </w:rPr>
        <w:t xml:space="preserve"> growth rate (Denizci et al., 2021). </w:t>
      </w:r>
      <w:r w:rsidRPr="00A40242">
        <w:rPr>
          <w:rFonts w:ascii="Times New Roman" w:hAnsi="Times New Roman" w:cs="Times New Roman"/>
          <w:sz w:val="24"/>
          <w:szCs w:val="24"/>
        </w:rPr>
        <w:t>These destinations possess characteristics</w:t>
      </w:r>
      <w:r w:rsidR="00C96AF3" w:rsidRPr="00A40242">
        <w:rPr>
          <w:rFonts w:ascii="Times New Roman" w:hAnsi="Times New Roman" w:cs="Times New Roman"/>
          <w:sz w:val="24"/>
          <w:szCs w:val="24"/>
        </w:rPr>
        <w:t xml:space="preserve"> of exclusivity and remoteness.</w:t>
      </w:r>
    </w:p>
    <w:p w14:paraId="27AE9F25"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The analysis of potential market opportunities is a crucial aspect of business strategy. Identifying and evaluating these opportunities allows organizations to capitalize on emerging. The luxury travel industry is now undergoing growth, with a particular focus on emerging economies. The expansion is generating potential market prospects. Due to this circumstance, Mandarin Oriental is presented with a significant prospect to appeal to a novel clientele seeking opulence.</w:t>
      </w:r>
    </w:p>
    <w:p w14:paraId="711C068F"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Nevertheless, the luxury travel sector is characterized by intense competition, as numerous global contenders strive to capture the interest and patronage of affluent individuals possessing substantial financial resources</w:t>
      </w:r>
      <w:r w:rsidR="00763960" w:rsidRPr="00A40242">
        <w:rPr>
          <w:rFonts w:ascii="Times New Roman" w:hAnsi="Times New Roman" w:cs="Times New Roman"/>
          <w:sz w:val="24"/>
          <w:szCs w:val="24"/>
        </w:rPr>
        <w:t xml:space="preserve"> (Leung, 2019)</w:t>
      </w:r>
      <w:r w:rsidRPr="00A40242">
        <w:rPr>
          <w:rFonts w:ascii="Times New Roman" w:hAnsi="Times New Roman" w:cs="Times New Roman"/>
          <w:sz w:val="24"/>
          <w:szCs w:val="24"/>
        </w:rPr>
        <w:t xml:space="preserve">. This poses a significant obstacle to the growth and </w:t>
      </w:r>
      <w:r w:rsidRPr="00A40242">
        <w:rPr>
          <w:rFonts w:ascii="Times New Roman" w:hAnsi="Times New Roman" w:cs="Times New Roman"/>
          <w:sz w:val="24"/>
          <w:szCs w:val="24"/>
        </w:rPr>
        <w:lastRenderedPageBreak/>
        <w:t>development of the sector. Uncertainties in particular economies' economic climates pose challenges to sustaining growth.</w:t>
      </w:r>
    </w:p>
    <w:p w14:paraId="5B349E06"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Premier Inn: A Strategy for Expansion</w:t>
      </w:r>
    </w:p>
    <w:p w14:paraId="0C9F329C"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 xml:space="preserve">This paper aims to outline a comprehensive strategy for the growth and development of the Premier Inn, a prominent hotel chain. By examining key factors and trends in the hospitality industry, this plan seeks to identify opportunities for expansion and propose initiatives to enhance the brand's market presence and profitability. Analysis of the Hospitality Industry: </w:t>
      </w:r>
    </w:p>
    <w:p w14:paraId="526549C3" w14:textId="77777777" w:rsidR="00542E20" w:rsidRPr="00A40242" w:rsidRDefault="00000000" w:rsidP="00C96AF3">
      <w:pPr>
        <w:pStyle w:val="ListParagraph"/>
        <w:numPr>
          <w:ilvl w:val="0"/>
          <w:numId w:val="1"/>
        </w:num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t>Premier Inn is currently prioritizing the expansion of its global market presence and enhancing the quality of its services as integral components of its expansion initiatives. The proposed strategy entails establishing hotels and various forms of lodging in prominent global urban centers, aiming to appeal to both leisure travelers and corporate guests.</w:t>
      </w:r>
    </w:p>
    <w:p w14:paraId="12CB956F" w14:textId="77777777" w:rsidR="00542E20" w:rsidRPr="00A40242" w:rsidRDefault="00000000" w:rsidP="00C96AF3">
      <w:pPr>
        <w:pStyle w:val="ListParagraph"/>
        <w:numPr>
          <w:ilvl w:val="0"/>
          <w:numId w:val="1"/>
        </w:num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t>Due to the escalating demand observed in these areas, Premier Inn has a significant potential to leverage the burgeoning market for budget-friendly accommodations in prominent urban centers worldwide. The entity in question possesses a highly advantageous position, enabling it to leverage this particular market's expansion effectively.</w:t>
      </w:r>
    </w:p>
    <w:p w14:paraId="273083C4" w14:textId="77777777" w:rsidR="00542E20" w:rsidRPr="00A40242" w:rsidRDefault="00000000" w:rsidP="00C96AF3">
      <w:pPr>
        <w:pStyle w:val="ListParagraph"/>
        <w:numPr>
          <w:ilvl w:val="0"/>
          <w:numId w:val="1"/>
        </w:num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t>Premier Inn encounters competitive challenges from well-established local rivals in novel geographical areas, necessitating the need to adjust to diverse cultural preferences and regulatory frameworks prevalent in these emerging markets, thereby ensuring the sustained progression of its expansion endeavors.</w:t>
      </w:r>
    </w:p>
    <w:p w14:paraId="0B3BB1C6"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Growth Prospects: A Dynamic Perspective</w:t>
      </w:r>
    </w:p>
    <w:p w14:paraId="0C1FBBEB"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lastRenderedPageBreak/>
        <w:t>Both organizations demonstrate promising development potential as Mandarin Oriental Hotel Group aims to expand its luxury offerings. Premier Inn seeks to explore foreign markets as their respective areas of expansion concentration</w:t>
      </w:r>
      <w:r w:rsidR="00E0153F" w:rsidRPr="00A40242">
        <w:rPr>
          <w:rFonts w:ascii="Times New Roman" w:hAnsi="Times New Roman" w:cs="Times New Roman"/>
          <w:sz w:val="24"/>
          <w:szCs w:val="24"/>
        </w:rPr>
        <w:t xml:space="preserve"> (Owen &amp; Davies, 2019</w:t>
      </w:r>
      <w:r w:rsidR="008D6FD4" w:rsidRPr="00A40242">
        <w:rPr>
          <w:rFonts w:ascii="Times New Roman" w:hAnsi="Times New Roman" w:cs="Times New Roman"/>
          <w:sz w:val="24"/>
          <w:szCs w:val="24"/>
        </w:rPr>
        <w:t>; Gu et al., 2023</w:t>
      </w:r>
      <w:r w:rsidR="00E0153F" w:rsidRPr="00A40242">
        <w:rPr>
          <w:rFonts w:ascii="Times New Roman" w:hAnsi="Times New Roman" w:cs="Times New Roman"/>
          <w:sz w:val="24"/>
          <w:szCs w:val="24"/>
        </w:rPr>
        <w:t>)</w:t>
      </w:r>
      <w:r w:rsidRPr="00A40242">
        <w:rPr>
          <w:rFonts w:ascii="Times New Roman" w:hAnsi="Times New Roman" w:cs="Times New Roman"/>
          <w:sz w:val="24"/>
          <w:szCs w:val="24"/>
        </w:rPr>
        <w:t>.</w:t>
      </w:r>
    </w:p>
    <w:p w14:paraId="3878E8AF"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Financial Commitment to CSR (Corporate Social Responsibility)</w:t>
      </w:r>
    </w:p>
    <w:p w14:paraId="118351E7"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The CSR Landscape</w:t>
      </w:r>
    </w:p>
    <w:p w14:paraId="75E9B39A"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Corporate Social Responsibility (CSR), usually referred to as CSR, is a fundamental element of a corporation's identity in contemporary society. The scope of this endeavor encompasses active participation in community service, the implementation of ethical practices inside company operations, and efforts directed towards environmental preservation, among other related activities. Both the Mandarin Oriental Hotel Group and Premier Inn exhibit a commendable commitment to corporate social responsibility (CSR) by aligning their business operations with the demands of their specific target markets</w:t>
      </w:r>
      <w:r w:rsidR="00E0153F" w:rsidRPr="00A40242">
        <w:rPr>
          <w:rFonts w:ascii="Times New Roman" w:hAnsi="Times New Roman" w:cs="Times New Roman"/>
          <w:sz w:val="24"/>
          <w:szCs w:val="24"/>
        </w:rPr>
        <w:t xml:space="preserve"> (Ge et al.,2018)</w:t>
      </w:r>
      <w:r w:rsidRPr="00A40242">
        <w:rPr>
          <w:rFonts w:ascii="Times New Roman" w:hAnsi="Times New Roman" w:cs="Times New Roman"/>
          <w:sz w:val="24"/>
          <w:szCs w:val="24"/>
        </w:rPr>
        <w:t>.</w:t>
      </w:r>
    </w:p>
    <w:p w14:paraId="219C0CFD"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Mandarin Oriental Hotel Group: Sustainably Luxurious</w:t>
      </w:r>
    </w:p>
    <w:p w14:paraId="7AAB0B11"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The firm is renowned for its comprehensive sustainability efforts, encompassing trash reduction programs, water conservation initiatives, utilization of energy-efficient lighting, and a steadfast dedication to the procurement of environmentally friendly goods. The practices mentioned above have garner</w:t>
      </w:r>
      <w:r w:rsidR="00C96AF3" w:rsidRPr="00A40242">
        <w:rPr>
          <w:rFonts w:ascii="Times New Roman" w:hAnsi="Times New Roman" w:cs="Times New Roman"/>
          <w:sz w:val="24"/>
          <w:szCs w:val="24"/>
        </w:rPr>
        <w:t xml:space="preserve">ed praise for the organization. </w:t>
      </w:r>
      <w:r w:rsidRPr="00A40242">
        <w:rPr>
          <w:rFonts w:ascii="Times New Roman" w:hAnsi="Times New Roman" w:cs="Times New Roman"/>
          <w:sz w:val="24"/>
          <w:szCs w:val="24"/>
        </w:rPr>
        <w:t>In addition to its commitment to sustainability, the organization actively participates in diverse initiatives to foster meaningful engagement with the communities in which it operates</w:t>
      </w:r>
      <w:r w:rsidR="008D6FD4" w:rsidRPr="00A40242">
        <w:rPr>
          <w:rFonts w:ascii="Times New Roman" w:hAnsi="Times New Roman" w:cs="Times New Roman"/>
          <w:sz w:val="24"/>
          <w:szCs w:val="24"/>
        </w:rPr>
        <w:t xml:space="preserve"> (Dekhili, 2021)</w:t>
      </w:r>
      <w:r w:rsidRPr="00A40242">
        <w:rPr>
          <w:rFonts w:ascii="Times New Roman" w:hAnsi="Times New Roman" w:cs="Times New Roman"/>
          <w:sz w:val="24"/>
          <w:szCs w:val="24"/>
        </w:rPr>
        <w:t>. This engagement enhances the corporate brand perception and facilitates the establishment of a positive reputation within the geographical regi</w:t>
      </w:r>
      <w:r w:rsidR="00C96AF3" w:rsidRPr="00A40242">
        <w:rPr>
          <w:rFonts w:ascii="Times New Roman" w:hAnsi="Times New Roman" w:cs="Times New Roman"/>
          <w:sz w:val="24"/>
          <w:szCs w:val="24"/>
        </w:rPr>
        <w:t>ons where the company operates.</w:t>
      </w:r>
    </w:p>
    <w:p w14:paraId="0ED47E1E"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lastRenderedPageBreak/>
        <w:t>The concept of ethical business practices refers to the principles and standards that guide the behavior and decision-making of businesses in a morally responsible manner. The group's identity is closely intertwined with ethical sourcing and responsible business practices</w:t>
      </w:r>
      <w:r w:rsidR="008D6FD4" w:rsidRPr="00A40242">
        <w:rPr>
          <w:rFonts w:ascii="Times New Roman" w:hAnsi="Times New Roman" w:cs="Times New Roman"/>
          <w:sz w:val="24"/>
          <w:szCs w:val="24"/>
        </w:rPr>
        <w:t xml:space="preserve"> (Šerić &amp; Gil-Saura, 2019)</w:t>
      </w:r>
      <w:r w:rsidRPr="00A40242">
        <w:rPr>
          <w:rFonts w:ascii="Times New Roman" w:hAnsi="Times New Roman" w:cs="Times New Roman"/>
          <w:sz w:val="24"/>
          <w:szCs w:val="24"/>
        </w:rPr>
        <w:t>. The company places significant importance on the ethical sourcing of commodities, actively promoting fair labor practices, and collaborating with vendors with similar commitments to ethical standards.</w:t>
      </w:r>
    </w:p>
    <w:p w14:paraId="08F710F4" w14:textId="77777777" w:rsidR="00C96AF3"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Premier Inn: Ethical Practices on a Budget</w:t>
      </w:r>
    </w:p>
    <w:p w14:paraId="09522222" w14:textId="77777777" w:rsidR="008D6FD4"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In this discourse, we examine the ethical procedures implemented by Premier Inn, a renowned hospitality establishment, while maintaining a</w:t>
      </w:r>
      <w:r w:rsidR="00C96AF3" w:rsidRPr="00A40242">
        <w:rPr>
          <w:rFonts w:ascii="Times New Roman" w:hAnsi="Times New Roman" w:cs="Times New Roman"/>
          <w:sz w:val="24"/>
          <w:szCs w:val="24"/>
        </w:rPr>
        <w:t xml:space="preserve">n affordable pricing structure. </w:t>
      </w:r>
      <w:r w:rsidRPr="00A40242">
        <w:rPr>
          <w:rFonts w:ascii="Times New Roman" w:hAnsi="Times New Roman" w:cs="Times New Roman"/>
          <w:sz w:val="24"/>
          <w:szCs w:val="24"/>
        </w:rPr>
        <w:t>Activities pertaining to sustainability Premier Inn demonstrates a strong dedication to sustainability through implementing several environmentally conscious initiatives, including using energy-efficient lighting, implementing waste reduction strategies, and establishing comprehensive recycling systems (Murray, 2021).</w:t>
      </w:r>
    </w:p>
    <w:p w14:paraId="2EF41C63"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Community involvement refers to the active engagement of individuals within a particular community, wherein they provide their time and resources. In addition to advocating for sustainable practices, Premier Inn places significant importance on actively engaging with the local community and contributing to philanthropic endeavors. Their dedication to fostering constructive transformation within the community is evident in their active participation in activities that enhance comm</w:t>
      </w:r>
      <w:r w:rsidR="00C96AF3" w:rsidRPr="00A40242">
        <w:rPr>
          <w:rFonts w:ascii="Times New Roman" w:hAnsi="Times New Roman" w:cs="Times New Roman"/>
          <w:sz w:val="24"/>
          <w:szCs w:val="24"/>
        </w:rPr>
        <w:t>unity cohesion and development</w:t>
      </w:r>
      <w:r w:rsidR="008D6FD4" w:rsidRPr="00A40242">
        <w:rPr>
          <w:rFonts w:ascii="Times New Roman" w:hAnsi="Times New Roman" w:cs="Times New Roman"/>
          <w:sz w:val="24"/>
          <w:szCs w:val="24"/>
        </w:rPr>
        <w:t xml:space="preserve"> (Egan &amp; Haynes, 2019).</w:t>
      </w:r>
      <w:r w:rsidR="00C96AF3" w:rsidRPr="00A40242">
        <w:rPr>
          <w:rFonts w:ascii="Times New Roman" w:hAnsi="Times New Roman" w:cs="Times New Roman"/>
          <w:sz w:val="24"/>
          <w:szCs w:val="24"/>
        </w:rPr>
        <w:t xml:space="preserve"> </w:t>
      </w:r>
      <w:r w:rsidRPr="00A40242">
        <w:rPr>
          <w:rFonts w:ascii="Times New Roman" w:hAnsi="Times New Roman" w:cs="Times New Roman"/>
          <w:sz w:val="24"/>
          <w:szCs w:val="24"/>
        </w:rPr>
        <w:t xml:space="preserve">The implementation of ethical business procedures is a crucial aspect of organizational operations. The organization promotes the implementation of ethical sourcing protocols and conducts thorough assessments to ensure that the merchandise it offers adheres to rigorous ethical standards. Ensuring equitable </w:t>
      </w:r>
      <w:r w:rsidRPr="00A40242">
        <w:rPr>
          <w:rFonts w:ascii="Times New Roman" w:hAnsi="Times New Roman" w:cs="Times New Roman"/>
          <w:sz w:val="24"/>
          <w:szCs w:val="24"/>
        </w:rPr>
        <w:lastRenderedPageBreak/>
        <w:t>treatment of workers within their supply chain is accorded significant importance by the organization.</w:t>
      </w:r>
    </w:p>
    <w:p w14:paraId="65F1D7FB"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CSR Commitment: A Comparative Insight</w:t>
      </w:r>
    </w:p>
    <w:p w14:paraId="09F7A61B" w14:textId="77777777" w:rsidR="00542E20" w:rsidRPr="00A40242" w:rsidRDefault="00000000" w:rsidP="00E0153F">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Both organizations exhibit a robust dedication to corporate social responsibility (CSR), and their practices are closely matched with the particular demands and anticipations of the regions in which they conduct their operations</w:t>
      </w:r>
      <w:r w:rsidR="00E0153F" w:rsidRPr="00A40242">
        <w:rPr>
          <w:rFonts w:ascii="Times New Roman" w:hAnsi="Times New Roman" w:cs="Times New Roman"/>
          <w:sz w:val="24"/>
          <w:szCs w:val="24"/>
        </w:rPr>
        <w:t xml:space="preserve"> (Robina-Ramírez et al., 2021; Gjurašić &amp; Lončarić,2018))</w:t>
      </w:r>
      <w:r w:rsidRPr="00A40242">
        <w:rPr>
          <w:rFonts w:ascii="Times New Roman" w:hAnsi="Times New Roman" w:cs="Times New Roman"/>
          <w:sz w:val="24"/>
          <w:szCs w:val="24"/>
        </w:rPr>
        <w:t>. The implementation of these corporate social responsibility (CSR) initiatives not only significantly enhances the brand's reputation and goodwill among the communities in which it operates but also serves as a tangible manifestation of the company's commitment to conducting business in an ethical and e</w:t>
      </w:r>
      <w:r w:rsidR="00E0153F" w:rsidRPr="00A40242">
        <w:rPr>
          <w:rFonts w:ascii="Times New Roman" w:hAnsi="Times New Roman" w:cs="Times New Roman"/>
          <w:sz w:val="24"/>
          <w:szCs w:val="24"/>
        </w:rPr>
        <w:t>cologically responsible manner (Meira et al., 2023; Palácios et al., 2021).</w:t>
      </w:r>
    </w:p>
    <w:p w14:paraId="7CAC1F30"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Conclusion</w:t>
      </w:r>
    </w:p>
    <w:p w14:paraId="72357C48" w14:textId="77777777" w:rsidR="00542E20" w:rsidRPr="00A40242" w:rsidRDefault="00000000" w:rsidP="00C96AF3">
      <w:pPr>
        <w:spacing w:line="480" w:lineRule="auto"/>
        <w:ind w:firstLine="720"/>
        <w:jc w:val="both"/>
        <w:rPr>
          <w:rFonts w:ascii="Times New Roman" w:hAnsi="Times New Roman" w:cs="Times New Roman"/>
          <w:sz w:val="24"/>
          <w:szCs w:val="24"/>
        </w:rPr>
      </w:pPr>
      <w:r w:rsidRPr="00A40242">
        <w:rPr>
          <w:rFonts w:ascii="Times New Roman" w:hAnsi="Times New Roman" w:cs="Times New Roman"/>
          <w:sz w:val="24"/>
          <w:szCs w:val="24"/>
        </w:rPr>
        <w:t>In summary, this study has provided a comprehensive examination of Premier Inn and Mandarin Oriental Hotel Group, focusing primarily on both organizations' financial management strategies and practices. Both organizations possess distinctive advantages and strategies that enable them to compete effectively within their respective market sectors. Mandarin Oriental is renowned for its extraordinary standard of sophistication, while Premier Inn is recognized for its outstanding affordability. Both enterprises exhibit substantial development prospects and demonstrate a solid commitment to corporate social responsibility. In the context of providing advice, possessing a comprehensive comprehension of one's market positioning and talents is crucial.</w:t>
      </w:r>
    </w:p>
    <w:p w14:paraId="08EDBC23" w14:textId="77777777" w:rsidR="00542E20" w:rsidRPr="00A40242" w:rsidRDefault="00000000" w:rsidP="00C96AF3">
      <w:pPr>
        <w:spacing w:line="480" w:lineRule="auto"/>
        <w:jc w:val="both"/>
        <w:rPr>
          <w:rFonts w:ascii="Times New Roman" w:hAnsi="Times New Roman" w:cs="Times New Roman"/>
          <w:b/>
          <w:sz w:val="24"/>
          <w:szCs w:val="24"/>
        </w:rPr>
      </w:pPr>
      <w:r w:rsidRPr="00A40242">
        <w:rPr>
          <w:rFonts w:ascii="Times New Roman" w:hAnsi="Times New Roman" w:cs="Times New Roman"/>
          <w:b/>
          <w:sz w:val="24"/>
          <w:szCs w:val="24"/>
        </w:rPr>
        <w:t xml:space="preserve">Recommendations </w:t>
      </w:r>
    </w:p>
    <w:p w14:paraId="2357466F" w14:textId="77777777" w:rsidR="00542E20" w:rsidRPr="00A40242" w:rsidRDefault="00000000" w:rsidP="00C96AF3">
      <w:pPr>
        <w:pStyle w:val="ListParagraph"/>
        <w:numPr>
          <w:ilvl w:val="0"/>
          <w:numId w:val="2"/>
        </w:num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lastRenderedPageBreak/>
        <w:t>For Mandarin Oriental Hotel Group: It is advisable for the Mandarin Oriental Hotel Group to persist in expanding its presence in new premium markets while simultaneously enhancing its sustainability initiatives to align with the increasing desire for environmentally conscious luxury experiences. This advice was put up in response to the increasing interest among individuals in eco-friendly luxury vacations.</w:t>
      </w:r>
    </w:p>
    <w:p w14:paraId="6635E13F" w14:textId="77777777" w:rsidR="00046734" w:rsidRPr="00A40242" w:rsidRDefault="00000000" w:rsidP="00C96AF3">
      <w:pPr>
        <w:pStyle w:val="ListParagraph"/>
        <w:numPr>
          <w:ilvl w:val="0"/>
          <w:numId w:val="2"/>
        </w:numPr>
        <w:spacing w:line="480" w:lineRule="auto"/>
        <w:jc w:val="both"/>
        <w:rPr>
          <w:rFonts w:ascii="Times New Roman" w:hAnsi="Times New Roman" w:cs="Times New Roman"/>
          <w:sz w:val="24"/>
          <w:szCs w:val="24"/>
        </w:rPr>
      </w:pPr>
      <w:r w:rsidRPr="00A40242">
        <w:rPr>
          <w:rFonts w:ascii="Times New Roman" w:hAnsi="Times New Roman" w:cs="Times New Roman"/>
          <w:sz w:val="24"/>
          <w:szCs w:val="24"/>
        </w:rPr>
        <w:t xml:space="preserve">For Premier Inn: </w:t>
      </w:r>
      <w:r w:rsidR="00542E20" w:rsidRPr="00A40242">
        <w:rPr>
          <w:rFonts w:ascii="Times New Roman" w:hAnsi="Times New Roman" w:cs="Times New Roman"/>
          <w:sz w:val="24"/>
          <w:szCs w:val="24"/>
        </w:rPr>
        <w:t>To enhance its competitive advantage within the fiercely competitive low-cost hotel sector, Premier Inn should intensify its efforts to pursue worldwide expansion, capitalize on the achievements of its corporate social responsibility (CSR) initiatives, and explore novel marketing strategies.</w:t>
      </w:r>
    </w:p>
    <w:p w14:paraId="3C0F0E52" w14:textId="77777777" w:rsidR="0034654D" w:rsidRPr="00A40242" w:rsidRDefault="0034654D" w:rsidP="0034654D">
      <w:pPr>
        <w:spacing w:line="480" w:lineRule="auto"/>
        <w:jc w:val="both"/>
        <w:rPr>
          <w:rFonts w:ascii="Times New Roman" w:hAnsi="Times New Roman" w:cs="Times New Roman"/>
          <w:sz w:val="24"/>
          <w:szCs w:val="24"/>
        </w:rPr>
      </w:pPr>
    </w:p>
    <w:p w14:paraId="28A530DD" w14:textId="77777777" w:rsidR="0034654D" w:rsidRPr="00A40242" w:rsidRDefault="0034654D" w:rsidP="0034654D">
      <w:pPr>
        <w:spacing w:line="480" w:lineRule="auto"/>
        <w:jc w:val="both"/>
        <w:rPr>
          <w:rFonts w:ascii="Times New Roman" w:hAnsi="Times New Roman" w:cs="Times New Roman"/>
          <w:sz w:val="24"/>
          <w:szCs w:val="24"/>
        </w:rPr>
      </w:pPr>
    </w:p>
    <w:p w14:paraId="6450564A" w14:textId="77777777" w:rsidR="0034654D" w:rsidRPr="00A40242" w:rsidRDefault="0034654D" w:rsidP="0034654D">
      <w:pPr>
        <w:spacing w:line="480" w:lineRule="auto"/>
        <w:jc w:val="both"/>
        <w:rPr>
          <w:rFonts w:ascii="Times New Roman" w:hAnsi="Times New Roman" w:cs="Times New Roman"/>
          <w:sz w:val="24"/>
          <w:szCs w:val="24"/>
        </w:rPr>
      </w:pPr>
    </w:p>
    <w:p w14:paraId="790B4413" w14:textId="77777777" w:rsidR="00A40242" w:rsidRPr="00A40242" w:rsidRDefault="00A40242" w:rsidP="0034654D">
      <w:pPr>
        <w:spacing w:line="480" w:lineRule="auto"/>
        <w:jc w:val="both"/>
        <w:rPr>
          <w:rFonts w:ascii="Times New Roman" w:hAnsi="Times New Roman" w:cs="Times New Roman"/>
          <w:sz w:val="24"/>
          <w:szCs w:val="24"/>
        </w:rPr>
      </w:pPr>
    </w:p>
    <w:p w14:paraId="403F7C05" w14:textId="77777777" w:rsidR="00A40242" w:rsidRPr="00A40242" w:rsidRDefault="00A40242" w:rsidP="0034654D">
      <w:pPr>
        <w:spacing w:line="480" w:lineRule="auto"/>
        <w:jc w:val="both"/>
        <w:rPr>
          <w:rFonts w:ascii="Times New Roman" w:hAnsi="Times New Roman" w:cs="Times New Roman"/>
          <w:sz w:val="24"/>
          <w:szCs w:val="24"/>
        </w:rPr>
      </w:pPr>
    </w:p>
    <w:p w14:paraId="5E85B40A" w14:textId="77777777" w:rsidR="00A40242" w:rsidRPr="00A40242" w:rsidRDefault="00A40242" w:rsidP="0034654D">
      <w:pPr>
        <w:spacing w:line="480" w:lineRule="auto"/>
        <w:jc w:val="both"/>
        <w:rPr>
          <w:rFonts w:ascii="Times New Roman" w:hAnsi="Times New Roman" w:cs="Times New Roman"/>
          <w:sz w:val="24"/>
          <w:szCs w:val="24"/>
        </w:rPr>
      </w:pPr>
    </w:p>
    <w:p w14:paraId="4A58D6DF" w14:textId="77777777" w:rsidR="00A40242" w:rsidRPr="00A40242" w:rsidRDefault="00A40242" w:rsidP="0034654D">
      <w:pPr>
        <w:spacing w:line="480" w:lineRule="auto"/>
        <w:jc w:val="both"/>
        <w:rPr>
          <w:rFonts w:ascii="Times New Roman" w:hAnsi="Times New Roman" w:cs="Times New Roman"/>
          <w:sz w:val="24"/>
          <w:szCs w:val="24"/>
        </w:rPr>
      </w:pPr>
    </w:p>
    <w:p w14:paraId="4D3810C9" w14:textId="77777777" w:rsidR="00A40242" w:rsidRPr="00A40242" w:rsidRDefault="00A40242" w:rsidP="0034654D">
      <w:pPr>
        <w:spacing w:line="480" w:lineRule="auto"/>
        <w:jc w:val="both"/>
        <w:rPr>
          <w:rFonts w:ascii="Times New Roman" w:hAnsi="Times New Roman" w:cs="Times New Roman"/>
          <w:sz w:val="24"/>
          <w:szCs w:val="24"/>
        </w:rPr>
      </w:pPr>
    </w:p>
    <w:p w14:paraId="7AE8DECF" w14:textId="77777777" w:rsidR="00A40242" w:rsidRPr="00A40242" w:rsidRDefault="00A40242" w:rsidP="0034654D">
      <w:pPr>
        <w:spacing w:line="480" w:lineRule="auto"/>
        <w:jc w:val="both"/>
        <w:rPr>
          <w:rFonts w:ascii="Times New Roman" w:hAnsi="Times New Roman" w:cs="Times New Roman"/>
          <w:sz w:val="24"/>
          <w:szCs w:val="24"/>
        </w:rPr>
      </w:pPr>
    </w:p>
    <w:p w14:paraId="52B8ABB3" w14:textId="77777777" w:rsidR="00A40242" w:rsidRPr="00A40242" w:rsidRDefault="00A40242" w:rsidP="0034654D">
      <w:pPr>
        <w:spacing w:line="480" w:lineRule="auto"/>
        <w:jc w:val="both"/>
        <w:rPr>
          <w:rFonts w:ascii="Times New Roman" w:hAnsi="Times New Roman" w:cs="Times New Roman"/>
          <w:sz w:val="24"/>
          <w:szCs w:val="24"/>
        </w:rPr>
      </w:pPr>
    </w:p>
    <w:p w14:paraId="119FDFA7" w14:textId="77777777" w:rsidR="00A40242" w:rsidRPr="00A40242" w:rsidRDefault="00A40242" w:rsidP="0034654D">
      <w:pPr>
        <w:spacing w:line="480" w:lineRule="auto"/>
        <w:jc w:val="both"/>
        <w:rPr>
          <w:rFonts w:ascii="Times New Roman" w:hAnsi="Times New Roman" w:cs="Times New Roman"/>
          <w:sz w:val="24"/>
          <w:szCs w:val="24"/>
        </w:rPr>
      </w:pPr>
    </w:p>
    <w:p w14:paraId="3D53B32E" w14:textId="51659F6C" w:rsidR="00A40242" w:rsidRDefault="00A40242" w:rsidP="00815452">
      <w:pPr>
        <w:spacing w:line="480" w:lineRule="auto"/>
        <w:rPr>
          <w:rFonts w:ascii="Times New Roman" w:hAnsi="Times New Roman" w:cs="Times New Roman"/>
          <w:b/>
          <w:sz w:val="24"/>
          <w:szCs w:val="24"/>
        </w:rPr>
      </w:pPr>
    </w:p>
    <w:p w14:paraId="4F0DB750" w14:textId="77777777" w:rsidR="00A40242" w:rsidRPr="00A40242" w:rsidRDefault="00000000" w:rsidP="00A40242">
      <w:pPr>
        <w:spacing w:line="480" w:lineRule="auto"/>
        <w:jc w:val="center"/>
        <w:rPr>
          <w:rFonts w:ascii="Times New Roman" w:hAnsi="Times New Roman" w:cs="Times New Roman"/>
          <w:b/>
          <w:sz w:val="24"/>
          <w:szCs w:val="24"/>
        </w:rPr>
      </w:pPr>
      <w:r w:rsidRPr="00A40242">
        <w:rPr>
          <w:rFonts w:ascii="Times New Roman" w:hAnsi="Times New Roman" w:cs="Times New Roman"/>
          <w:b/>
          <w:sz w:val="24"/>
          <w:szCs w:val="24"/>
        </w:rPr>
        <w:t>References</w:t>
      </w:r>
    </w:p>
    <w:p w14:paraId="5C3E5C77"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Aliekperov, A. (2021). The customer experience model. Routledge. </w:t>
      </w:r>
    </w:p>
    <w:p w14:paraId="5F6E2A5A"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Das, R., Chadha, H., &amp; Banerjee, S. (2021). Multi-layered market forecast framework for hotel revenue management by continuously learning market dynamics. Journal of Revenue and Pricing Management, 20(3), 351–367. </w:t>
      </w:r>
      <w:hyperlink r:id="rId7" w:history="1">
        <w:r w:rsidRPr="00A40242">
          <w:rPr>
            <w:rStyle w:val="Hyperlink"/>
            <w:rFonts w:ascii="Times New Roman" w:hAnsi="Times New Roman" w:cs="Times New Roman"/>
            <w:sz w:val="24"/>
            <w:szCs w:val="24"/>
          </w:rPr>
          <w:t>https://doi.org/10.1057/s41272-021-00318-x</w:t>
        </w:r>
      </w:hyperlink>
      <w:r w:rsidRPr="00A40242">
        <w:rPr>
          <w:rFonts w:ascii="Times New Roman" w:hAnsi="Times New Roman" w:cs="Times New Roman"/>
          <w:sz w:val="24"/>
          <w:szCs w:val="24"/>
        </w:rPr>
        <w:t xml:space="preserve"> </w:t>
      </w:r>
    </w:p>
    <w:p w14:paraId="205BB8D5"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Dekhili, S. (Ed.). (2021). Marketing for sustainable development : rethinking consumption models. Wiley-ISTE. </w:t>
      </w:r>
      <w:hyperlink r:id="rId8" w:history="1">
        <w:r w:rsidRPr="00A40242">
          <w:rPr>
            <w:rStyle w:val="Hyperlink"/>
            <w:rFonts w:ascii="Times New Roman" w:hAnsi="Times New Roman" w:cs="Times New Roman"/>
            <w:sz w:val="24"/>
            <w:szCs w:val="24"/>
          </w:rPr>
          <w:t>https://doi.org/10.1002/9781119882176</w:t>
        </w:r>
      </w:hyperlink>
      <w:r w:rsidRPr="00A40242">
        <w:rPr>
          <w:rFonts w:ascii="Times New Roman" w:hAnsi="Times New Roman" w:cs="Times New Roman"/>
          <w:sz w:val="24"/>
          <w:szCs w:val="24"/>
        </w:rPr>
        <w:t xml:space="preserve">  </w:t>
      </w:r>
    </w:p>
    <w:p w14:paraId="79CE79B3"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Denizci Guillet, B. (2020). An evolutionary analysis of revenue management research in hospitality and tourism: Is there a paradigm shift? International Journal of Contemporary Hospitality Management, 32(2), 560–587. </w:t>
      </w:r>
      <w:hyperlink r:id="rId9" w:history="1">
        <w:r w:rsidRPr="00A40242">
          <w:rPr>
            <w:rStyle w:val="Hyperlink"/>
            <w:rFonts w:ascii="Times New Roman" w:hAnsi="Times New Roman" w:cs="Times New Roman"/>
            <w:sz w:val="24"/>
            <w:szCs w:val="24"/>
          </w:rPr>
          <w:t>https://doi.org/10.1108/IJCHM-06-2019-0515</w:t>
        </w:r>
      </w:hyperlink>
      <w:r w:rsidRPr="00A40242">
        <w:rPr>
          <w:rFonts w:ascii="Times New Roman" w:hAnsi="Times New Roman" w:cs="Times New Roman"/>
          <w:sz w:val="24"/>
          <w:szCs w:val="24"/>
        </w:rPr>
        <w:t xml:space="preserve">  </w:t>
      </w:r>
    </w:p>
    <w:p w14:paraId="011FBC52"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Denizci Guillet, B., &amp; Chu, A. M. C. (2021). Managing hotel revenue amid the COVID-19 crisis. International Journal of Contemporary Hospitality Management, 33(2), 604–627. </w:t>
      </w:r>
      <w:hyperlink r:id="rId10" w:history="1">
        <w:r w:rsidRPr="00A40242">
          <w:rPr>
            <w:rStyle w:val="Hyperlink"/>
            <w:rFonts w:ascii="Times New Roman" w:hAnsi="Times New Roman" w:cs="Times New Roman"/>
            <w:sz w:val="24"/>
            <w:szCs w:val="24"/>
          </w:rPr>
          <w:t>https://doi.org/10.1108/IJCHM-06-2020-0623</w:t>
        </w:r>
      </w:hyperlink>
      <w:r w:rsidRPr="00A40242">
        <w:rPr>
          <w:rFonts w:ascii="Times New Roman" w:hAnsi="Times New Roman" w:cs="Times New Roman"/>
          <w:sz w:val="24"/>
          <w:szCs w:val="24"/>
        </w:rPr>
        <w:t xml:space="preserve">   </w:t>
      </w:r>
    </w:p>
    <w:p w14:paraId="398845AB"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Egan, D., &amp; Haynes, N. C. (2019). Manager perceptions of big data reliability in hotel revenue management decision making. The International Journal of Quality &amp; Reliability Management, 36(1), 25–39. </w:t>
      </w:r>
      <w:hyperlink r:id="rId11" w:history="1">
        <w:r w:rsidRPr="00A40242">
          <w:rPr>
            <w:rStyle w:val="Hyperlink"/>
            <w:rFonts w:ascii="Times New Roman" w:hAnsi="Times New Roman" w:cs="Times New Roman"/>
            <w:sz w:val="24"/>
            <w:szCs w:val="24"/>
          </w:rPr>
          <w:t>https://doi.org/10.1108/IJQRM-02-2018-0056</w:t>
        </w:r>
      </w:hyperlink>
      <w:r w:rsidRPr="00A40242">
        <w:rPr>
          <w:rFonts w:ascii="Times New Roman" w:hAnsi="Times New Roman" w:cs="Times New Roman"/>
          <w:sz w:val="24"/>
          <w:szCs w:val="24"/>
        </w:rPr>
        <w:t xml:space="preserve">   </w:t>
      </w:r>
    </w:p>
    <w:p w14:paraId="3BE58D96"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Ge, H., Chen, S., &amp; Chen, Y. (2018). International Alliance of Green Hotels to Reach Sustainable Competitive Advantages. Sustainability (Basel, Switzerland), 10(3), 573–. </w:t>
      </w:r>
      <w:hyperlink r:id="rId12" w:history="1">
        <w:r w:rsidRPr="00A40242">
          <w:rPr>
            <w:rStyle w:val="Hyperlink"/>
            <w:rFonts w:ascii="Times New Roman" w:hAnsi="Times New Roman" w:cs="Times New Roman"/>
            <w:sz w:val="24"/>
            <w:szCs w:val="24"/>
          </w:rPr>
          <w:t>https://doi.org/10.3390/su10020573</w:t>
        </w:r>
      </w:hyperlink>
      <w:r w:rsidRPr="00A40242">
        <w:rPr>
          <w:rFonts w:ascii="Times New Roman" w:hAnsi="Times New Roman" w:cs="Times New Roman"/>
          <w:sz w:val="24"/>
          <w:szCs w:val="24"/>
        </w:rPr>
        <w:t xml:space="preserve"> </w:t>
      </w:r>
    </w:p>
    <w:p w14:paraId="707577F9"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lastRenderedPageBreak/>
        <w:t xml:space="preserve">Gjurašić, M., &amp; Lončarić, D. (2018). INTERNAL MARKET ORIENTATION AND ORGANIZATIONAL CITIZENSHIP BEHAVIOUR IN THE HOSPITALITY INDUSTRY – A LITERATURE REVIEW. Ekonomska Misao i Praksa, 27(1), 157–176. </w:t>
      </w:r>
    </w:p>
    <w:p w14:paraId="65888C68"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Gu, H., Li, B., Ryan, C., Tang, Y., &amp; Yang, X. (2023). From Darkest to Finest Hour: Recovery Strategies and Organizational Resilience in China’s Hotel Industry During the COVID-19 Pandemic. Journal of China Tourism Research, 19(1), 7–30. </w:t>
      </w:r>
      <w:hyperlink r:id="rId13" w:history="1">
        <w:r w:rsidRPr="00A40242">
          <w:rPr>
            <w:rStyle w:val="Hyperlink"/>
            <w:rFonts w:ascii="Times New Roman" w:hAnsi="Times New Roman" w:cs="Times New Roman"/>
            <w:sz w:val="24"/>
            <w:szCs w:val="24"/>
          </w:rPr>
          <w:t>https://doi.org/10.1080/19388160.2022.2164100</w:t>
        </w:r>
      </w:hyperlink>
      <w:r w:rsidRPr="00A40242">
        <w:rPr>
          <w:rFonts w:ascii="Times New Roman" w:hAnsi="Times New Roman" w:cs="Times New Roman"/>
          <w:sz w:val="24"/>
          <w:szCs w:val="24"/>
        </w:rPr>
        <w:t xml:space="preserve">   </w:t>
      </w:r>
    </w:p>
    <w:p w14:paraId="427F62D9"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Hu, T., &amp; Song, H. (2023). Analysis of Influencing Factors and Distribution Simulation of Budget Hotel Room Pricing Based on Big Data and Machine Learning from a Spatial Perspective. Sustainability (Basel, Switzerland), 15(1), 617–. </w:t>
      </w:r>
      <w:hyperlink r:id="rId14" w:history="1">
        <w:r w:rsidRPr="00A40242">
          <w:rPr>
            <w:rStyle w:val="Hyperlink"/>
            <w:rFonts w:ascii="Times New Roman" w:hAnsi="Times New Roman" w:cs="Times New Roman"/>
            <w:sz w:val="24"/>
            <w:szCs w:val="24"/>
          </w:rPr>
          <w:t>https://doi.org/10.3390/su15010617</w:t>
        </w:r>
      </w:hyperlink>
      <w:r w:rsidRPr="00A40242">
        <w:rPr>
          <w:rFonts w:ascii="Times New Roman" w:hAnsi="Times New Roman" w:cs="Times New Roman"/>
          <w:sz w:val="24"/>
          <w:szCs w:val="24"/>
        </w:rPr>
        <w:t xml:space="preserve"> </w:t>
      </w:r>
    </w:p>
    <w:p w14:paraId="2BFFFC58"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Kravariti, F., Voutsina, K., Tasoulis, K., Dibia, C., &amp; Johnston, K. (2022). Talent management in hospitality and tourism: a systematic literature review and research agenda. International Journal of Contemporary Hospitality Management, 34(1), 321–360. </w:t>
      </w:r>
      <w:hyperlink r:id="rId15" w:history="1">
        <w:r w:rsidRPr="00A40242">
          <w:rPr>
            <w:rStyle w:val="Hyperlink"/>
            <w:rFonts w:ascii="Times New Roman" w:hAnsi="Times New Roman" w:cs="Times New Roman"/>
            <w:sz w:val="24"/>
            <w:szCs w:val="24"/>
          </w:rPr>
          <w:t>https://doi.org/10.1108/IJCHM-03-2021-0365</w:t>
        </w:r>
      </w:hyperlink>
      <w:r w:rsidRPr="00A40242">
        <w:rPr>
          <w:rFonts w:ascii="Times New Roman" w:hAnsi="Times New Roman" w:cs="Times New Roman"/>
          <w:sz w:val="24"/>
          <w:szCs w:val="24"/>
        </w:rPr>
        <w:t xml:space="preserve">  </w:t>
      </w:r>
    </w:p>
    <w:p w14:paraId="168089D2"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Law, R., Leung, D., &amp; Chan, I. C. C. (2020). Progression and development of information and communication technology research in hospitality and tourism: A state-of-the-art review. International Journal of Contemporary Hospitality Management, 32(2), 511–534. </w:t>
      </w:r>
      <w:hyperlink r:id="rId16" w:history="1">
        <w:r w:rsidRPr="00A40242">
          <w:rPr>
            <w:rStyle w:val="Hyperlink"/>
            <w:rFonts w:ascii="Times New Roman" w:hAnsi="Times New Roman" w:cs="Times New Roman"/>
            <w:sz w:val="24"/>
            <w:szCs w:val="24"/>
          </w:rPr>
          <w:t>https://doi.org/10.1108/IJCHM-07-2018-0586</w:t>
        </w:r>
      </w:hyperlink>
      <w:r w:rsidRPr="00A40242">
        <w:rPr>
          <w:rFonts w:ascii="Times New Roman" w:hAnsi="Times New Roman" w:cs="Times New Roman"/>
          <w:sz w:val="24"/>
          <w:szCs w:val="24"/>
        </w:rPr>
        <w:t xml:space="preserve">  </w:t>
      </w:r>
    </w:p>
    <w:p w14:paraId="5C340C90"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  Leung, R. (2019). Smart hospitality: Taiwan hotel stakeholder perspectives. Tourism Review (Association Internationale D’experts Scientifiques Du Tourisme), 74(1), 50–62. </w:t>
      </w:r>
      <w:hyperlink r:id="rId17" w:history="1">
        <w:r w:rsidRPr="00A40242">
          <w:rPr>
            <w:rStyle w:val="Hyperlink"/>
            <w:rFonts w:ascii="Times New Roman" w:hAnsi="Times New Roman" w:cs="Times New Roman"/>
            <w:sz w:val="24"/>
            <w:szCs w:val="24"/>
          </w:rPr>
          <w:t>https://doi.org/10.1108/TR-09-2017-0149</w:t>
        </w:r>
      </w:hyperlink>
      <w:r w:rsidRPr="00A40242">
        <w:rPr>
          <w:rFonts w:ascii="Times New Roman" w:hAnsi="Times New Roman" w:cs="Times New Roman"/>
          <w:sz w:val="24"/>
          <w:szCs w:val="24"/>
        </w:rPr>
        <w:t xml:space="preserve">  </w:t>
      </w:r>
    </w:p>
    <w:p w14:paraId="53D2D0E5"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lastRenderedPageBreak/>
        <w:t xml:space="preserve">Meira, J. V. de S., Hancer, M., Anjos, S. J. G. dos, &amp; Eves, A. (2023). Human resources practices and employee motivation in the hospitality industry: A cross-cultural research. Tourism and Hospitality Management, 29(2), 157–167. </w:t>
      </w:r>
      <w:hyperlink r:id="rId18" w:history="1">
        <w:r w:rsidRPr="00A40242">
          <w:rPr>
            <w:rStyle w:val="Hyperlink"/>
            <w:rFonts w:ascii="Times New Roman" w:hAnsi="Times New Roman" w:cs="Times New Roman"/>
            <w:sz w:val="24"/>
            <w:szCs w:val="24"/>
          </w:rPr>
          <w:t>https://doi.org/10.20867/thm.29.2.1</w:t>
        </w:r>
      </w:hyperlink>
      <w:r w:rsidRPr="00A40242">
        <w:rPr>
          <w:rFonts w:ascii="Times New Roman" w:hAnsi="Times New Roman" w:cs="Times New Roman"/>
          <w:sz w:val="24"/>
          <w:szCs w:val="24"/>
        </w:rPr>
        <w:t xml:space="preserve"> </w:t>
      </w:r>
    </w:p>
    <w:p w14:paraId="59A4C033"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Murray, W. C. (2021). Understanding the preferred job rewards in the Canadian lodging sector. Journal of Human Resources in Hospitality &amp; Tourism, 20(1), 101–126. </w:t>
      </w:r>
      <w:hyperlink r:id="rId19" w:history="1">
        <w:r w:rsidRPr="00A40242">
          <w:rPr>
            <w:rStyle w:val="Hyperlink"/>
            <w:rFonts w:ascii="Times New Roman" w:hAnsi="Times New Roman" w:cs="Times New Roman"/>
            <w:sz w:val="24"/>
            <w:szCs w:val="24"/>
          </w:rPr>
          <w:t>https://doi.org/10.1080/15332845.2020.1821432</w:t>
        </w:r>
      </w:hyperlink>
      <w:r w:rsidRPr="00A40242">
        <w:rPr>
          <w:rFonts w:ascii="Times New Roman" w:hAnsi="Times New Roman" w:cs="Times New Roman"/>
          <w:sz w:val="24"/>
          <w:szCs w:val="24"/>
        </w:rPr>
        <w:t xml:space="preserve"> </w:t>
      </w:r>
    </w:p>
    <w:p w14:paraId="206E4AA8"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Owen &amp; Davies Ltd: Christie &amp; Co and Knight Frank exchanges on the sale of Cotswold Inns &amp; Hotels. (2019). In News Bites - Private Companies. News Bites Pty Ltd. </w:t>
      </w:r>
    </w:p>
    <w:p w14:paraId="4232D89C"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Palácios, H., Almeida, H. de, &amp; Sousa, M. J. (2021). A Bibliometric Analysis of Service Climate as a Sustainable Competitive Advantage in Hospitality. Sustainability (Basel, Switzerland), 13(21), 12214–. </w:t>
      </w:r>
      <w:hyperlink r:id="rId20" w:history="1">
        <w:r w:rsidRPr="00A40242">
          <w:rPr>
            <w:rStyle w:val="Hyperlink"/>
            <w:rFonts w:ascii="Times New Roman" w:hAnsi="Times New Roman" w:cs="Times New Roman"/>
            <w:sz w:val="24"/>
            <w:szCs w:val="24"/>
          </w:rPr>
          <w:t>https://doi.org/10.3390/su132112214</w:t>
        </w:r>
      </w:hyperlink>
      <w:r w:rsidRPr="00A40242">
        <w:rPr>
          <w:rFonts w:ascii="Times New Roman" w:hAnsi="Times New Roman" w:cs="Times New Roman"/>
          <w:sz w:val="24"/>
          <w:szCs w:val="24"/>
        </w:rPr>
        <w:t xml:space="preserve"> </w:t>
      </w:r>
    </w:p>
    <w:p w14:paraId="33ACC0C0"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Robina-Ramírez, R., Isabel Sánchez-Hernández, M., &amp; Díaz-Caro, C. (2021). Hotel manager perceptions about corporate compliance in the tourism industry: an empirical regional case study in Spain. Journal of Management and Governance, 25(2), 627–654. </w:t>
      </w:r>
      <w:hyperlink r:id="rId21" w:history="1">
        <w:r w:rsidRPr="00A40242">
          <w:rPr>
            <w:rStyle w:val="Hyperlink"/>
            <w:rFonts w:ascii="Times New Roman" w:hAnsi="Times New Roman" w:cs="Times New Roman"/>
            <w:sz w:val="24"/>
            <w:szCs w:val="24"/>
          </w:rPr>
          <w:t>https://doi.org/10.1007/s10997-020-09514-0</w:t>
        </w:r>
      </w:hyperlink>
      <w:r w:rsidRPr="00A40242">
        <w:rPr>
          <w:rFonts w:ascii="Times New Roman" w:hAnsi="Times New Roman" w:cs="Times New Roman"/>
          <w:sz w:val="24"/>
          <w:szCs w:val="24"/>
        </w:rPr>
        <w:t xml:space="preserve"> </w:t>
      </w:r>
    </w:p>
    <w:p w14:paraId="056B44B2"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Rungruangjit, W., &amp; Charoenpornpanichkul, K. (2022). Building Stronger Brand Evangelism for Sustainable Marketing through Micro-Influencer-Generated Content on Instagram in the Fashion Industry. Sustainability (Basel, Switzerland), 14(23), 15770–. </w:t>
      </w:r>
      <w:hyperlink r:id="rId22" w:history="1">
        <w:r w:rsidRPr="00A40242">
          <w:rPr>
            <w:rStyle w:val="Hyperlink"/>
            <w:rFonts w:ascii="Times New Roman" w:hAnsi="Times New Roman" w:cs="Times New Roman"/>
            <w:sz w:val="24"/>
            <w:szCs w:val="24"/>
          </w:rPr>
          <w:t>https://doi.org/10.3390/su142315770</w:t>
        </w:r>
      </w:hyperlink>
      <w:r w:rsidRPr="00A40242">
        <w:rPr>
          <w:rFonts w:ascii="Times New Roman" w:hAnsi="Times New Roman" w:cs="Times New Roman"/>
          <w:sz w:val="24"/>
          <w:szCs w:val="24"/>
        </w:rPr>
        <w:t xml:space="preserve"> </w:t>
      </w:r>
    </w:p>
    <w:p w14:paraId="7F3703F4"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School of Business Researchers Update Knowledge of Sustainability Research (Effects of Place Attachment and Image on Revisit Intention in an Ecotourism Destination: Using an </w:t>
      </w:r>
      <w:r w:rsidRPr="00A40242">
        <w:rPr>
          <w:rFonts w:ascii="Times New Roman" w:hAnsi="Times New Roman" w:cs="Times New Roman"/>
          <w:sz w:val="24"/>
          <w:szCs w:val="24"/>
        </w:rPr>
        <w:lastRenderedPageBreak/>
        <w:t xml:space="preserve">Extended Model of Goal-Directed Behavior). (2020). In Ecology, Environment &amp; Conservation (p. 695–). NewsRX LLC. </w:t>
      </w:r>
    </w:p>
    <w:p w14:paraId="7C9F96AE" w14:textId="77777777" w:rsidR="009F2DE1"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Šerić, M., &amp; Gil-Saura, I. (2019). Understanding brand equity in hotel firms. What is the role of brand loyalty and satisfaction? International Journal of Contemporary Hospitality Management, 31(9), 3526–3546. </w:t>
      </w:r>
      <w:hyperlink r:id="rId23" w:history="1">
        <w:r w:rsidRPr="00A40242">
          <w:rPr>
            <w:rStyle w:val="Hyperlink"/>
            <w:rFonts w:ascii="Times New Roman" w:hAnsi="Times New Roman" w:cs="Times New Roman"/>
            <w:sz w:val="24"/>
            <w:szCs w:val="24"/>
          </w:rPr>
          <w:t>https://doi.org/10.1108/IJCHM-06-2018-0516</w:t>
        </w:r>
      </w:hyperlink>
      <w:r w:rsidRPr="00A40242">
        <w:rPr>
          <w:rFonts w:ascii="Times New Roman" w:hAnsi="Times New Roman" w:cs="Times New Roman"/>
          <w:sz w:val="24"/>
          <w:szCs w:val="24"/>
        </w:rPr>
        <w:t xml:space="preserve"> </w:t>
      </w:r>
    </w:p>
    <w:p w14:paraId="116498E9"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Thakur, R. (2019). The moderating role of customer engagement experiences in customer satisfaction–loyalty relationship. European Journal of Marketing, 53(7), 1278–1310. </w:t>
      </w:r>
      <w:hyperlink r:id="rId24" w:history="1">
        <w:r w:rsidRPr="00A40242">
          <w:rPr>
            <w:rStyle w:val="Hyperlink"/>
            <w:rFonts w:ascii="Times New Roman" w:hAnsi="Times New Roman" w:cs="Times New Roman"/>
            <w:sz w:val="24"/>
            <w:szCs w:val="24"/>
          </w:rPr>
          <w:t>https://doi.org/10.1108/EJM-11-2017-0895</w:t>
        </w:r>
      </w:hyperlink>
      <w:r w:rsidRPr="00A40242">
        <w:rPr>
          <w:rFonts w:ascii="Times New Roman" w:hAnsi="Times New Roman" w:cs="Times New Roman"/>
          <w:sz w:val="24"/>
          <w:szCs w:val="24"/>
        </w:rPr>
        <w:t xml:space="preserve"> </w:t>
      </w:r>
    </w:p>
    <w:p w14:paraId="5B4AD452" w14:textId="77777777" w:rsidR="00A40242" w:rsidRPr="00A40242" w:rsidRDefault="00000000" w:rsidP="00A40242">
      <w:pPr>
        <w:spacing w:line="480" w:lineRule="auto"/>
        <w:ind w:left="720" w:hanging="720"/>
        <w:jc w:val="both"/>
        <w:rPr>
          <w:rFonts w:ascii="Times New Roman" w:hAnsi="Times New Roman" w:cs="Times New Roman"/>
          <w:sz w:val="24"/>
          <w:szCs w:val="24"/>
        </w:rPr>
      </w:pPr>
      <w:r w:rsidRPr="00A40242">
        <w:rPr>
          <w:rFonts w:ascii="Times New Roman" w:hAnsi="Times New Roman" w:cs="Times New Roman"/>
          <w:sz w:val="24"/>
          <w:szCs w:val="24"/>
        </w:rPr>
        <w:t xml:space="preserve">Zhao, Y., Zhang, Y., Wang, J. (Feng), Schrock, W. A., &amp; Calantone, R. J. (2020). Brand relevance and the effects of product proliferation across product categories. Journal of the Academy of Marketing Science, 48(6), 1192–1210. </w:t>
      </w:r>
      <w:hyperlink r:id="rId25" w:history="1">
        <w:r w:rsidRPr="00A40242">
          <w:rPr>
            <w:rStyle w:val="Hyperlink"/>
            <w:rFonts w:ascii="Times New Roman" w:hAnsi="Times New Roman" w:cs="Times New Roman"/>
            <w:sz w:val="24"/>
            <w:szCs w:val="24"/>
          </w:rPr>
          <w:t>https://doi.org/10.1007/s11747-020-00727-1</w:t>
        </w:r>
      </w:hyperlink>
      <w:r w:rsidRPr="00A40242">
        <w:rPr>
          <w:rFonts w:ascii="Times New Roman" w:hAnsi="Times New Roman" w:cs="Times New Roman"/>
          <w:sz w:val="24"/>
          <w:szCs w:val="24"/>
        </w:rPr>
        <w:t xml:space="preserve"> </w:t>
      </w:r>
    </w:p>
    <w:sectPr w:rsidR="00A40242" w:rsidRPr="00A40242">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B9DC6" w14:textId="77777777" w:rsidR="004E1F05" w:rsidRDefault="004E1F05">
      <w:pPr>
        <w:spacing w:after="0" w:line="240" w:lineRule="auto"/>
      </w:pPr>
      <w:r>
        <w:separator/>
      </w:r>
    </w:p>
  </w:endnote>
  <w:endnote w:type="continuationSeparator" w:id="0">
    <w:p w14:paraId="4F97B948" w14:textId="77777777" w:rsidR="004E1F05" w:rsidRDefault="004E1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8093B" w14:textId="77777777" w:rsidR="004E1F05" w:rsidRDefault="004E1F05">
      <w:pPr>
        <w:spacing w:after="0" w:line="240" w:lineRule="auto"/>
      </w:pPr>
      <w:r>
        <w:separator/>
      </w:r>
    </w:p>
  </w:footnote>
  <w:footnote w:type="continuationSeparator" w:id="0">
    <w:p w14:paraId="2D64BFBA" w14:textId="77777777" w:rsidR="004E1F05" w:rsidRDefault="004E1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120529"/>
      <w:docPartObj>
        <w:docPartGallery w:val="Page Numbers (Top of Page)"/>
        <w:docPartUnique/>
      </w:docPartObj>
    </w:sdtPr>
    <w:sdtEndPr>
      <w:rPr>
        <w:noProof/>
      </w:rPr>
    </w:sdtEndPr>
    <w:sdtContent>
      <w:p w14:paraId="60D327C6" w14:textId="77777777" w:rsidR="00A40242" w:rsidRDefault="00000000">
        <w:pPr>
          <w:pStyle w:val="Header"/>
          <w:jc w:val="right"/>
        </w:pPr>
        <w:r>
          <w:fldChar w:fldCharType="begin"/>
        </w:r>
        <w:r>
          <w:instrText xml:space="preserve"> PAGE   \* MERGEFORMAT </w:instrText>
        </w:r>
        <w:r>
          <w:fldChar w:fldCharType="separate"/>
        </w:r>
        <w:r>
          <w:rPr>
            <w:noProof/>
          </w:rPr>
          <w:t>15</w:t>
        </w:r>
        <w:r>
          <w:rPr>
            <w:noProof/>
          </w:rPr>
          <w:fldChar w:fldCharType="end"/>
        </w:r>
      </w:p>
    </w:sdtContent>
  </w:sdt>
  <w:p w14:paraId="1FA9B0B2" w14:textId="77777777" w:rsidR="00A40242" w:rsidRPr="00A40242" w:rsidRDefault="00000000" w:rsidP="00A40242">
    <w:pPr>
      <w:pStyle w:val="Header"/>
      <w:jc w:val="both"/>
      <w:rPr>
        <w:rFonts w:ascii="Times New Roman" w:hAnsi="Times New Roman" w:cs="Times New Roman"/>
        <w:b/>
        <w:sz w:val="24"/>
        <w:szCs w:val="24"/>
      </w:rPr>
    </w:pPr>
    <w:r w:rsidRPr="00A40242">
      <w:rPr>
        <w:rFonts w:ascii="Times New Roman" w:hAnsi="Times New Roman" w:cs="Times New Roman"/>
        <w:b/>
        <w:sz w:val="24"/>
        <w:szCs w:val="24"/>
      </w:rPr>
      <w:t>ENHANCING THE HOSPITALITY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B63E26"/>
    <w:multiLevelType w:val="hybridMultilevel"/>
    <w:tmpl w:val="D73A8C2A"/>
    <w:lvl w:ilvl="0" w:tplc="208E3CC4">
      <w:start w:val="1"/>
      <w:numFmt w:val="upperRoman"/>
      <w:lvlText w:val="%1."/>
      <w:lvlJc w:val="right"/>
      <w:pPr>
        <w:ind w:left="720" w:hanging="360"/>
      </w:pPr>
    </w:lvl>
    <w:lvl w:ilvl="1" w:tplc="99502F3C" w:tentative="1">
      <w:start w:val="1"/>
      <w:numFmt w:val="lowerLetter"/>
      <w:lvlText w:val="%2."/>
      <w:lvlJc w:val="left"/>
      <w:pPr>
        <w:ind w:left="1440" w:hanging="360"/>
      </w:pPr>
    </w:lvl>
    <w:lvl w:ilvl="2" w:tplc="5AC0EFD2" w:tentative="1">
      <w:start w:val="1"/>
      <w:numFmt w:val="lowerRoman"/>
      <w:lvlText w:val="%3."/>
      <w:lvlJc w:val="right"/>
      <w:pPr>
        <w:ind w:left="2160" w:hanging="180"/>
      </w:pPr>
    </w:lvl>
    <w:lvl w:ilvl="3" w:tplc="079EAB04" w:tentative="1">
      <w:start w:val="1"/>
      <w:numFmt w:val="decimal"/>
      <w:lvlText w:val="%4."/>
      <w:lvlJc w:val="left"/>
      <w:pPr>
        <w:ind w:left="2880" w:hanging="360"/>
      </w:pPr>
    </w:lvl>
    <w:lvl w:ilvl="4" w:tplc="3F38DC74" w:tentative="1">
      <w:start w:val="1"/>
      <w:numFmt w:val="lowerLetter"/>
      <w:lvlText w:val="%5."/>
      <w:lvlJc w:val="left"/>
      <w:pPr>
        <w:ind w:left="3600" w:hanging="360"/>
      </w:pPr>
    </w:lvl>
    <w:lvl w:ilvl="5" w:tplc="E0361E18" w:tentative="1">
      <w:start w:val="1"/>
      <w:numFmt w:val="lowerRoman"/>
      <w:lvlText w:val="%6."/>
      <w:lvlJc w:val="right"/>
      <w:pPr>
        <w:ind w:left="4320" w:hanging="180"/>
      </w:pPr>
    </w:lvl>
    <w:lvl w:ilvl="6" w:tplc="04D6E99A" w:tentative="1">
      <w:start w:val="1"/>
      <w:numFmt w:val="decimal"/>
      <w:lvlText w:val="%7."/>
      <w:lvlJc w:val="left"/>
      <w:pPr>
        <w:ind w:left="5040" w:hanging="360"/>
      </w:pPr>
    </w:lvl>
    <w:lvl w:ilvl="7" w:tplc="371ED370" w:tentative="1">
      <w:start w:val="1"/>
      <w:numFmt w:val="lowerLetter"/>
      <w:lvlText w:val="%8."/>
      <w:lvlJc w:val="left"/>
      <w:pPr>
        <w:ind w:left="5760" w:hanging="360"/>
      </w:pPr>
    </w:lvl>
    <w:lvl w:ilvl="8" w:tplc="0D42E026" w:tentative="1">
      <w:start w:val="1"/>
      <w:numFmt w:val="lowerRoman"/>
      <w:lvlText w:val="%9."/>
      <w:lvlJc w:val="right"/>
      <w:pPr>
        <w:ind w:left="6480" w:hanging="180"/>
      </w:pPr>
    </w:lvl>
  </w:abstractNum>
  <w:abstractNum w:abstractNumId="1" w15:restartNumberingAfterBreak="0">
    <w:nsid w:val="73FA1586"/>
    <w:multiLevelType w:val="hybridMultilevel"/>
    <w:tmpl w:val="3CF29CB6"/>
    <w:lvl w:ilvl="0" w:tplc="117883DE">
      <w:start w:val="1"/>
      <w:numFmt w:val="decimal"/>
      <w:lvlText w:val="%1."/>
      <w:lvlJc w:val="left"/>
      <w:pPr>
        <w:ind w:left="720" w:hanging="360"/>
      </w:pPr>
    </w:lvl>
    <w:lvl w:ilvl="1" w:tplc="454A879E" w:tentative="1">
      <w:start w:val="1"/>
      <w:numFmt w:val="lowerLetter"/>
      <w:lvlText w:val="%2."/>
      <w:lvlJc w:val="left"/>
      <w:pPr>
        <w:ind w:left="1440" w:hanging="360"/>
      </w:pPr>
    </w:lvl>
    <w:lvl w:ilvl="2" w:tplc="2ABCCEE0" w:tentative="1">
      <w:start w:val="1"/>
      <w:numFmt w:val="lowerRoman"/>
      <w:lvlText w:val="%3."/>
      <w:lvlJc w:val="right"/>
      <w:pPr>
        <w:ind w:left="2160" w:hanging="180"/>
      </w:pPr>
    </w:lvl>
    <w:lvl w:ilvl="3" w:tplc="0F465B92" w:tentative="1">
      <w:start w:val="1"/>
      <w:numFmt w:val="decimal"/>
      <w:lvlText w:val="%4."/>
      <w:lvlJc w:val="left"/>
      <w:pPr>
        <w:ind w:left="2880" w:hanging="360"/>
      </w:pPr>
    </w:lvl>
    <w:lvl w:ilvl="4" w:tplc="5204BD80" w:tentative="1">
      <w:start w:val="1"/>
      <w:numFmt w:val="lowerLetter"/>
      <w:lvlText w:val="%5."/>
      <w:lvlJc w:val="left"/>
      <w:pPr>
        <w:ind w:left="3600" w:hanging="360"/>
      </w:pPr>
    </w:lvl>
    <w:lvl w:ilvl="5" w:tplc="7646F774" w:tentative="1">
      <w:start w:val="1"/>
      <w:numFmt w:val="lowerRoman"/>
      <w:lvlText w:val="%6."/>
      <w:lvlJc w:val="right"/>
      <w:pPr>
        <w:ind w:left="4320" w:hanging="180"/>
      </w:pPr>
    </w:lvl>
    <w:lvl w:ilvl="6" w:tplc="E7AAEC7C" w:tentative="1">
      <w:start w:val="1"/>
      <w:numFmt w:val="decimal"/>
      <w:lvlText w:val="%7."/>
      <w:lvlJc w:val="left"/>
      <w:pPr>
        <w:ind w:left="5040" w:hanging="360"/>
      </w:pPr>
    </w:lvl>
    <w:lvl w:ilvl="7" w:tplc="FF6C7838" w:tentative="1">
      <w:start w:val="1"/>
      <w:numFmt w:val="lowerLetter"/>
      <w:lvlText w:val="%8."/>
      <w:lvlJc w:val="left"/>
      <w:pPr>
        <w:ind w:left="5760" w:hanging="360"/>
      </w:pPr>
    </w:lvl>
    <w:lvl w:ilvl="8" w:tplc="642ECFE2" w:tentative="1">
      <w:start w:val="1"/>
      <w:numFmt w:val="lowerRoman"/>
      <w:lvlText w:val="%9."/>
      <w:lvlJc w:val="right"/>
      <w:pPr>
        <w:ind w:left="6480" w:hanging="180"/>
      </w:pPr>
    </w:lvl>
  </w:abstractNum>
  <w:num w:numId="1" w16cid:durableId="1896158178">
    <w:abstractNumId w:val="0"/>
  </w:num>
  <w:num w:numId="2" w16cid:durableId="206991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20"/>
    <w:rsid w:val="00046734"/>
    <w:rsid w:val="000A19F0"/>
    <w:rsid w:val="001706A5"/>
    <w:rsid w:val="001927EE"/>
    <w:rsid w:val="001E4933"/>
    <w:rsid w:val="00225D6D"/>
    <w:rsid w:val="0034654D"/>
    <w:rsid w:val="00376F65"/>
    <w:rsid w:val="004D73BD"/>
    <w:rsid w:val="004E1F05"/>
    <w:rsid w:val="00516421"/>
    <w:rsid w:val="00542E20"/>
    <w:rsid w:val="005442AE"/>
    <w:rsid w:val="006A5108"/>
    <w:rsid w:val="006D5BF1"/>
    <w:rsid w:val="00723937"/>
    <w:rsid w:val="00763960"/>
    <w:rsid w:val="00815452"/>
    <w:rsid w:val="008249FA"/>
    <w:rsid w:val="008459F5"/>
    <w:rsid w:val="008D6FD4"/>
    <w:rsid w:val="00944123"/>
    <w:rsid w:val="009C481C"/>
    <w:rsid w:val="009F2DE1"/>
    <w:rsid w:val="00A1578D"/>
    <w:rsid w:val="00A40242"/>
    <w:rsid w:val="00A96BBB"/>
    <w:rsid w:val="00B208E7"/>
    <w:rsid w:val="00BB3EC4"/>
    <w:rsid w:val="00BF227B"/>
    <w:rsid w:val="00C27417"/>
    <w:rsid w:val="00C8442A"/>
    <w:rsid w:val="00C96AF3"/>
    <w:rsid w:val="00DA24A5"/>
    <w:rsid w:val="00DA2AA8"/>
    <w:rsid w:val="00DC4736"/>
    <w:rsid w:val="00E0064F"/>
    <w:rsid w:val="00E0153F"/>
    <w:rsid w:val="00E63139"/>
    <w:rsid w:val="00F00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0B2A"/>
  <w15:chartTrackingRefBased/>
  <w15:docId w15:val="{35223595-9B40-4698-8CB2-3C64F1D7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AF3"/>
    <w:pPr>
      <w:ind w:left="720"/>
      <w:contextualSpacing/>
    </w:pPr>
  </w:style>
  <w:style w:type="character" w:styleId="Hyperlink">
    <w:name w:val="Hyperlink"/>
    <w:basedOn w:val="DefaultParagraphFont"/>
    <w:uiPriority w:val="99"/>
    <w:unhideWhenUsed/>
    <w:rsid w:val="009F2DE1"/>
    <w:rPr>
      <w:color w:val="0563C1" w:themeColor="hyperlink"/>
      <w:u w:val="single"/>
    </w:rPr>
  </w:style>
  <w:style w:type="paragraph" w:styleId="Header">
    <w:name w:val="header"/>
    <w:basedOn w:val="Normal"/>
    <w:link w:val="HeaderChar"/>
    <w:uiPriority w:val="99"/>
    <w:unhideWhenUsed/>
    <w:rsid w:val="00A402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242"/>
  </w:style>
  <w:style w:type="paragraph" w:styleId="Footer">
    <w:name w:val="footer"/>
    <w:basedOn w:val="Normal"/>
    <w:link w:val="FooterChar"/>
    <w:uiPriority w:val="99"/>
    <w:unhideWhenUsed/>
    <w:rsid w:val="00A402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242"/>
  </w:style>
  <w:style w:type="paragraph" w:styleId="NoSpacing">
    <w:name w:val="No Spacing"/>
    <w:uiPriority w:val="1"/>
    <w:qFormat/>
    <w:rsid w:val="008154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9781119882176" TargetMode="External"/><Relationship Id="rId13" Type="http://schemas.openxmlformats.org/officeDocument/2006/relationships/hyperlink" Target="https://doi.org/10.1080/19388160.2022.2164100" TargetMode="External"/><Relationship Id="rId18" Type="http://schemas.openxmlformats.org/officeDocument/2006/relationships/hyperlink" Target="https://doi.org/10.20867/thm.29.2.1"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07/s10997-020-09514-0" TargetMode="External"/><Relationship Id="rId7" Type="http://schemas.openxmlformats.org/officeDocument/2006/relationships/hyperlink" Target="https://doi.org/10.1057/s41272-021-00318-x" TargetMode="External"/><Relationship Id="rId12" Type="http://schemas.openxmlformats.org/officeDocument/2006/relationships/hyperlink" Target="https://doi.org/10.3390/su10020573" TargetMode="External"/><Relationship Id="rId17" Type="http://schemas.openxmlformats.org/officeDocument/2006/relationships/hyperlink" Target="https://doi.org/10.1108/TR-09-2017-0149" TargetMode="External"/><Relationship Id="rId25" Type="http://schemas.openxmlformats.org/officeDocument/2006/relationships/hyperlink" Target="https://doi.org/10.1007/s11747-020-00727-1" TargetMode="External"/><Relationship Id="rId2" Type="http://schemas.openxmlformats.org/officeDocument/2006/relationships/styles" Target="styles.xml"/><Relationship Id="rId16" Type="http://schemas.openxmlformats.org/officeDocument/2006/relationships/hyperlink" Target="https://doi.org/10.1108/IJCHM-07-2018-0586" TargetMode="External"/><Relationship Id="rId20" Type="http://schemas.openxmlformats.org/officeDocument/2006/relationships/hyperlink" Target="https://doi.org/10.3390/su1321122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QRM-02-2018-0056" TargetMode="External"/><Relationship Id="rId24" Type="http://schemas.openxmlformats.org/officeDocument/2006/relationships/hyperlink" Target="https://doi.org/10.1108/EJM-11-2017-0895" TargetMode="External"/><Relationship Id="rId5" Type="http://schemas.openxmlformats.org/officeDocument/2006/relationships/footnotes" Target="footnotes.xml"/><Relationship Id="rId15" Type="http://schemas.openxmlformats.org/officeDocument/2006/relationships/hyperlink" Target="https://doi.org/10.1108/IJCHM-03-2021-0365" TargetMode="External"/><Relationship Id="rId23" Type="http://schemas.openxmlformats.org/officeDocument/2006/relationships/hyperlink" Target="https://doi.org/10.1108/IJCHM-06-2018-0516" TargetMode="External"/><Relationship Id="rId28" Type="http://schemas.openxmlformats.org/officeDocument/2006/relationships/theme" Target="theme/theme1.xml"/><Relationship Id="rId10" Type="http://schemas.openxmlformats.org/officeDocument/2006/relationships/hyperlink" Target="https://doi.org/10.1108/IJCHM-06-2020-0623" TargetMode="External"/><Relationship Id="rId19" Type="http://schemas.openxmlformats.org/officeDocument/2006/relationships/hyperlink" Target="https://doi.org/10.1080/15332845.2020.1821432" TargetMode="External"/><Relationship Id="rId4" Type="http://schemas.openxmlformats.org/officeDocument/2006/relationships/webSettings" Target="webSettings.xml"/><Relationship Id="rId9" Type="http://schemas.openxmlformats.org/officeDocument/2006/relationships/hyperlink" Target="https://doi.org/10.1108/IJCHM-06-2019-0515" TargetMode="External"/><Relationship Id="rId14" Type="http://schemas.openxmlformats.org/officeDocument/2006/relationships/hyperlink" Target="https://doi.org/10.3390/su15010617" TargetMode="External"/><Relationship Id="rId22" Type="http://schemas.openxmlformats.org/officeDocument/2006/relationships/hyperlink" Target="https://doi.org/10.3390/su14231577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896</TotalTime>
  <Pages>15</Pages>
  <Words>2856</Words>
  <Characters>18817</Characters>
  <Application>Microsoft Office Word</Application>
  <DocSecurity>0</DocSecurity>
  <Lines>303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Livia Vladu</cp:lastModifiedBy>
  <cp:revision>25</cp:revision>
  <dcterms:created xsi:type="dcterms:W3CDTF">2023-10-14T18:55:00Z</dcterms:created>
  <dcterms:modified xsi:type="dcterms:W3CDTF">2023-10-19T18:25:00Z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b81fff0b3fe0f2db4a38bbc2adae4dabd7a4091937740563f8a2fd85b4fdf523</vt:lpwstr>
  </property>
</Properties>
</file>