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920E8" w14:textId="2510DF2B" w:rsidR="000E7CC1" w:rsidRDefault="000E7CC1" w:rsidP="00DE1005">
      <w:pPr>
        <w:pStyle w:val="Heading1"/>
        <w:rPr>
          <w:rFonts w:ascii="Arial" w:hAnsi="Arial" w:cs="Arial"/>
          <w:sz w:val="32"/>
          <w:szCs w:val="32"/>
        </w:rPr>
      </w:pPr>
      <w:r>
        <w:rPr>
          <w:noProof/>
        </w:rPr>
        <w:drawing>
          <wp:anchor distT="0" distB="0" distL="114300" distR="114300" simplePos="0" relativeHeight="251658240" behindDoc="1" locked="0" layoutInCell="1" allowOverlap="1" wp14:anchorId="52280505" wp14:editId="6D3488C9">
            <wp:simplePos x="0" y="0"/>
            <wp:positionH relativeFrom="column">
              <wp:posOffset>586740</wp:posOffset>
            </wp:positionH>
            <wp:positionV relativeFrom="paragraph">
              <wp:posOffset>0</wp:posOffset>
            </wp:positionV>
            <wp:extent cx="2859405" cy="2859405"/>
            <wp:effectExtent l="0" t="0" r="0" b="0"/>
            <wp:wrapTight wrapText="bothSides">
              <wp:wrapPolygon edited="0">
                <wp:start x="0" y="0"/>
                <wp:lineTo x="0" y="21442"/>
                <wp:lineTo x="21442" y="21442"/>
                <wp:lineTo x="21442" y="0"/>
                <wp:lineTo x="0" y="0"/>
              </wp:wrapPolygon>
            </wp:wrapTight>
            <wp:docPr id="1998314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2859405"/>
                    </a:xfrm>
                    <a:prstGeom prst="rect">
                      <a:avLst/>
                    </a:prstGeom>
                    <a:noFill/>
                  </pic:spPr>
                </pic:pic>
              </a:graphicData>
            </a:graphic>
          </wp:anchor>
        </w:drawing>
      </w:r>
    </w:p>
    <w:p w14:paraId="15AA8DF3" w14:textId="7C979A94" w:rsidR="000E7CC1" w:rsidRDefault="000E7CC1" w:rsidP="00DE1005">
      <w:pPr>
        <w:pStyle w:val="Heading1"/>
        <w:rPr>
          <w:rFonts w:ascii="Arial" w:hAnsi="Arial" w:cs="Arial"/>
          <w:sz w:val="32"/>
          <w:szCs w:val="32"/>
        </w:rPr>
      </w:pPr>
    </w:p>
    <w:p w14:paraId="6A58ED5B" w14:textId="49BFE644" w:rsidR="000E7CC1" w:rsidRDefault="000E7CC1" w:rsidP="00DE1005">
      <w:pPr>
        <w:pStyle w:val="Heading1"/>
        <w:rPr>
          <w:rFonts w:ascii="Arial" w:hAnsi="Arial" w:cs="Arial"/>
          <w:sz w:val="32"/>
          <w:szCs w:val="32"/>
        </w:rPr>
      </w:pPr>
    </w:p>
    <w:p w14:paraId="5E712E29" w14:textId="78B128DF" w:rsidR="000E7CC1" w:rsidRDefault="000E7CC1" w:rsidP="00DE1005">
      <w:pPr>
        <w:pStyle w:val="Heading1"/>
        <w:rPr>
          <w:rFonts w:ascii="Arial" w:hAnsi="Arial" w:cs="Arial"/>
          <w:sz w:val="32"/>
          <w:szCs w:val="32"/>
        </w:rPr>
      </w:pPr>
    </w:p>
    <w:p w14:paraId="4E7EB4F6" w14:textId="3890ADFA" w:rsidR="000E7CC1" w:rsidRDefault="000E7CC1" w:rsidP="00DE1005">
      <w:pPr>
        <w:pStyle w:val="Heading1"/>
        <w:rPr>
          <w:rFonts w:ascii="Arial" w:hAnsi="Arial" w:cs="Arial"/>
          <w:sz w:val="32"/>
          <w:szCs w:val="32"/>
        </w:rPr>
      </w:pPr>
    </w:p>
    <w:p w14:paraId="3C7B69AE" w14:textId="77777777" w:rsidR="000E7CC1" w:rsidRDefault="000E7CC1" w:rsidP="00DE1005">
      <w:pPr>
        <w:pStyle w:val="Heading1"/>
        <w:rPr>
          <w:rFonts w:ascii="Arial" w:hAnsi="Arial" w:cs="Arial"/>
          <w:sz w:val="32"/>
          <w:szCs w:val="32"/>
        </w:rPr>
      </w:pPr>
    </w:p>
    <w:p w14:paraId="0D6DB3A4" w14:textId="725B1567" w:rsidR="00AD1852" w:rsidRPr="00DE1005" w:rsidRDefault="00AD1852" w:rsidP="000E7CC1">
      <w:pPr>
        <w:pStyle w:val="Heading1"/>
        <w:numPr>
          <w:ilvl w:val="0"/>
          <w:numId w:val="1"/>
        </w:numPr>
      </w:pPr>
      <w:r w:rsidRPr="00DE1005">
        <w:rPr>
          <w:rFonts w:ascii="Arial" w:hAnsi="Arial" w:cs="Arial"/>
          <w:sz w:val="32"/>
          <w:szCs w:val="32"/>
        </w:rPr>
        <w:t>Student name: Amina noor</w:t>
      </w:r>
    </w:p>
    <w:p w14:paraId="44915745" w14:textId="77777777" w:rsidR="00AD1852" w:rsidRPr="000A3874" w:rsidRDefault="00AD1852" w:rsidP="000E7CC1">
      <w:pPr>
        <w:pStyle w:val="ListParagraph"/>
        <w:numPr>
          <w:ilvl w:val="0"/>
          <w:numId w:val="1"/>
        </w:numPr>
        <w:jc w:val="both"/>
        <w:rPr>
          <w:rFonts w:ascii="Arial" w:hAnsi="Arial" w:cs="Arial"/>
          <w:sz w:val="32"/>
          <w:szCs w:val="32"/>
        </w:rPr>
      </w:pPr>
      <w:r w:rsidRPr="000A3874">
        <w:rPr>
          <w:rFonts w:ascii="Arial" w:hAnsi="Arial" w:cs="Arial"/>
          <w:sz w:val="32"/>
          <w:szCs w:val="32"/>
        </w:rPr>
        <w:t>Student ID:2421445</w:t>
      </w:r>
    </w:p>
    <w:p w14:paraId="16CDDC5B" w14:textId="77777777" w:rsidR="00AD1852" w:rsidRPr="000A3874" w:rsidRDefault="00AD1852" w:rsidP="000E7CC1">
      <w:pPr>
        <w:pStyle w:val="ListParagraph"/>
        <w:numPr>
          <w:ilvl w:val="0"/>
          <w:numId w:val="1"/>
        </w:numPr>
        <w:jc w:val="both"/>
        <w:rPr>
          <w:rFonts w:ascii="Arial" w:hAnsi="Arial" w:cs="Arial"/>
          <w:sz w:val="32"/>
          <w:szCs w:val="32"/>
        </w:rPr>
      </w:pPr>
      <w:r w:rsidRPr="000A3874">
        <w:rPr>
          <w:rFonts w:ascii="Arial" w:hAnsi="Arial" w:cs="Arial"/>
          <w:sz w:val="32"/>
          <w:szCs w:val="32"/>
        </w:rPr>
        <w:t>Module title:</w:t>
      </w:r>
      <w:r w:rsidRPr="000A3874">
        <w:rPr>
          <w:sz w:val="32"/>
          <w:szCs w:val="32"/>
        </w:rPr>
        <w:t xml:space="preserve"> </w:t>
      </w:r>
      <w:r w:rsidRPr="000A3874">
        <w:rPr>
          <w:rFonts w:ascii="Arial" w:hAnsi="Arial" w:cs="Arial"/>
          <w:sz w:val="32"/>
          <w:szCs w:val="32"/>
        </w:rPr>
        <w:t>Principles of Health and Social Care Practice (BMHP5016)</w:t>
      </w:r>
    </w:p>
    <w:p w14:paraId="728B489A" w14:textId="77777777" w:rsidR="00AD1852" w:rsidRPr="000A3874" w:rsidRDefault="00AD1852" w:rsidP="000E7CC1">
      <w:pPr>
        <w:pStyle w:val="ListParagraph"/>
        <w:numPr>
          <w:ilvl w:val="0"/>
          <w:numId w:val="1"/>
        </w:numPr>
        <w:jc w:val="both"/>
        <w:rPr>
          <w:rFonts w:ascii="Arial" w:hAnsi="Arial" w:cs="Arial"/>
          <w:sz w:val="32"/>
          <w:szCs w:val="32"/>
        </w:rPr>
      </w:pPr>
      <w:r w:rsidRPr="000A3874">
        <w:rPr>
          <w:rFonts w:ascii="Arial" w:hAnsi="Arial" w:cs="Arial"/>
          <w:sz w:val="32"/>
          <w:szCs w:val="32"/>
        </w:rPr>
        <w:t>Module code: (BMHP5016)</w:t>
      </w:r>
    </w:p>
    <w:p w14:paraId="646D28F7" w14:textId="3371BFD7" w:rsidR="00AD1852" w:rsidRDefault="00AD1852" w:rsidP="000E7CC1">
      <w:pPr>
        <w:pStyle w:val="ListParagraph"/>
        <w:numPr>
          <w:ilvl w:val="0"/>
          <w:numId w:val="1"/>
        </w:numPr>
        <w:jc w:val="both"/>
        <w:rPr>
          <w:rFonts w:ascii="Arial" w:hAnsi="Arial" w:cs="Arial"/>
          <w:sz w:val="32"/>
          <w:szCs w:val="32"/>
        </w:rPr>
      </w:pPr>
      <w:r w:rsidRPr="000A3874">
        <w:rPr>
          <w:rFonts w:ascii="Arial" w:hAnsi="Arial" w:cs="Arial"/>
          <w:sz w:val="32"/>
          <w:szCs w:val="32"/>
        </w:rPr>
        <w:t xml:space="preserve">Assignment title (Component </w:t>
      </w:r>
      <w:r w:rsidR="00C86CDE">
        <w:rPr>
          <w:rFonts w:ascii="Arial" w:hAnsi="Arial" w:cs="Arial"/>
          <w:sz w:val="32"/>
          <w:szCs w:val="32"/>
        </w:rPr>
        <w:t>2</w:t>
      </w:r>
      <w:r w:rsidRPr="000A3874">
        <w:rPr>
          <w:rFonts w:ascii="Arial" w:hAnsi="Arial" w:cs="Arial"/>
          <w:sz w:val="32"/>
          <w:szCs w:val="32"/>
        </w:rPr>
        <w:t xml:space="preserve">: Reflective Report) </w:t>
      </w:r>
    </w:p>
    <w:p w14:paraId="09CFE072" w14:textId="4CDD0C58" w:rsidR="00C86CDE" w:rsidRDefault="00C86CDE" w:rsidP="000E7CC1">
      <w:pPr>
        <w:pStyle w:val="ListParagraph"/>
        <w:numPr>
          <w:ilvl w:val="0"/>
          <w:numId w:val="1"/>
        </w:numPr>
        <w:jc w:val="both"/>
        <w:rPr>
          <w:rFonts w:ascii="Arial" w:hAnsi="Arial" w:cs="Arial"/>
          <w:sz w:val="32"/>
          <w:szCs w:val="32"/>
        </w:rPr>
      </w:pPr>
      <w:r>
        <w:rPr>
          <w:rFonts w:ascii="Arial" w:hAnsi="Arial" w:cs="Arial"/>
          <w:sz w:val="32"/>
          <w:szCs w:val="32"/>
        </w:rPr>
        <w:t>Lecturer name: Kennedy</w:t>
      </w:r>
    </w:p>
    <w:p w14:paraId="6D99FDB3" w14:textId="10CFCF73" w:rsidR="00C86CDE" w:rsidRPr="000A3874" w:rsidRDefault="00C86CDE" w:rsidP="000E7CC1">
      <w:pPr>
        <w:pStyle w:val="ListParagraph"/>
        <w:numPr>
          <w:ilvl w:val="0"/>
          <w:numId w:val="1"/>
        </w:numPr>
        <w:jc w:val="both"/>
        <w:rPr>
          <w:rFonts w:ascii="Arial" w:hAnsi="Arial" w:cs="Arial"/>
          <w:sz w:val="32"/>
          <w:szCs w:val="32"/>
        </w:rPr>
      </w:pPr>
      <w:r>
        <w:rPr>
          <w:rFonts w:ascii="Arial" w:hAnsi="Arial" w:cs="Arial"/>
          <w:sz w:val="32"/>
          <w:szCs w:val="32"/>
        </w:rPr>
        <w:t>Word count</w:t>
      </w:r>
      <w:r w:rsidR="006B1762">
        <w:rPr>
          <w:rFonts w:ascii="Arial" w:hAnsi="Arial" w:cs="Arial"/>
          <w:sz w:val="32"/>
          <w:szCs w:val="32"/>
        </w:rPr>
        <w:t>:</w:t>
      </w:r>
      <w:r w:rsidR="00693FFB">
        <w:rPr>
          <w:rFonts w:ascii="Arial" w:hAnsi="Arial" w:cs="Arial"/>
          <w:sz w:val="32"/>
          <w:szCs w:val="32"/>
        </w:rPr>
        <w:t>2675</w:t>
      </w:r>
    </w:p>
    <w:sdt>
      <w:sdtPr>
        <w:rPr>
          <w:rFonts w:asciiTheme="minorHAnsi" w:eastAsiaTheme="minorHAnsi" w:hAnsiTheme="minorHAnsi" w:cstheme="minorBidi"/>
          <w:color w:val="auto"/>
          <w:kern w:val="2"/>
          <w:sz w:val="24"/>
          <w:szCs w:val="24"/>
          <w:lang w:eastAsia="en-US"/>
          <w14:ligatures w14:val="standardContextual"/>
        </w:rPr>
        <w:id w:val="1171149933"/>
        <w:docPartObj>
          <w:docPartGallery w:val="Table of Contents"/>
          <w:docPartUnique/>
        </w:docPartObj>
      </w:sdtPr>
      <w:sdtEndPr>
        <w:rPr>
          <w:b/>
          <w:bCs/>
        </w:rPr>
      </w:sdtEndPr>
      <w:sdtContent>
        <w:p w14:paraId="69EF94F7" w14:textId="77777777" w:rsidR="007F08FC" w:rsidRDefault="007F08FC">
          <w:pPr>
            <w:pStyle w:val="TOCHeading"/>
          </w:pPr>
        </w:p>
        <w:p w14:paraId="616F3608" w14:textId="77777777" w:rsidR="007F08FC" w:rsidRDefault="007F08FC">
          <w:pPr>
            <w:rPr>
              <w:rFonts w:asciiTheme="majorHAnsi" w:eastAsiaTheme="majorEastAsia" w:hAnsiTheme="majorHAnsi" w:cstheme="majorBidi"/>
              <w:color w:val="0F4761" w:themeColor="accent1" w:themeShade="BF"/>
              <w:kern w:val="0"/>
              <w:sz w:val="32"/>
              <w:szCs w:val="32"/>
              <w:lang w:eastAsia="en-GB"/>
              <w14:ligatures w14:val="none"/>
            </w:rPr>
          </w:pPr>
          <w:r>
            <w:br w:type="page"/>
          </w:r>
        </w:p>
        <w:p w14:paraId="531A61FE" w14:textId="2732C2FD" w:rsidR="007F08FC" w:rsidRDefault="007F08FC">
          <w:pPr>
            <w:pStyle w:val="TOCHeading"/>
          </w:pPr>
          <w:r>
            <w:lastRenderedPageBreak/>
            <w:t>Table of Contents</w:t>
          </w:r>
        </w:p>
        <w:p w14:paraId="7261131C" w14:textId="5F0D378A" w:rsidR="007F08FC" w:rsidRDefault="007F08FC">
          <w:pPr>
            <w:pStyle w:val="TOC1"/>
            <w:tabs>
              <w:tab w:val="right" w:leader="dot" w:pos="9016"/>
            </w:tabs>
            <w:rPr>
              <w:rStyle w:val="Hyperlink"/>
              <w:noProof/>
            </w:rPr>
          </w:pPr>
          <w:r>
            <w:fldChar w:fldCharType="begin"/>
          </w:r>
          <w:r>
            <w:instrText xml:space="preserve"> TOC \o "1-3" \h \z \u </w:instrText>
          </w:r>
          <w:r>
            <w:fldChar w:fldCharType="separate"/>
          </w:r>
          <w:hyperlink w:anchor="_Toc242486009" w:history="1">
            <w:r w:rsidRPr="00AD323A">
              <w:rPr>
                <w:rStyle w:val="Hyperlink"/>
                <w:noProof/>
              </w:rPr>
              <w:t>Abstract</w:t>
            </w:r>
            <w:r>
              <w:rPr>
                <w:noProof/>
                <w:webHidden/>
              </w:rPr>
              <w:tab/>
            </w:r>
            <w:r>
              <w:rPr>
                <w:noProof/>
                <w:webHidden/>
              </w:rPr>
              <w:fldChar w:fldCharType="begin"/>
            </w:r>
            <w:r>
              <w:rPr>
                <w:noProof/>
                <w:webHidden/>
              </w:rPr>
              <w:instrText xml:space="preserve"> PAGEREF _Toc242486009 \h </w:instrText>
            </w:r>
            <w:r>
              <w:rPr>
                <w:noProof/>
                <w:webHidden/>
              </w:rPr>
            </w:r>
            <w:r>
              <w:rPr>
                <w:noProof/>
                <w:webHidden/>
              </w:rPr>
              <w:fldChar w:fldCharType="separate"/>
            </w:r>
            <w:r w:rsidR="0021179E">
              <w:rPr>
                <w:noProof/>
                <w:webHidden/>
              </w:rPr>
              <w:t>3</w:t>
            </w:r>
            <w:r>
              <w:rPr>
                <w:noProof/>
                <w:webHidden/>
              </w:rPr>
              <w:fldChar w:fldCharType="end"/>
            </w:r>
          </w:hyperlink>
        </w:p>
        <w:p w14:paraId="316C1BF3" w14:textId="1533F4F1" w:rsidR="003C230E" w:rsidRPr="003C230E" w:rsidRDefault="003C230E" w:rsidP="003C230E">
          <w:pPr>
            <w:rPr>
              <w:noProof/>
              <w:lang w:eastAsia="en-GB"/>
            </w:rPr>
          </w:pPr>
          <w:r>
            <w:rPr>
              <w:noProof/>
              <w:lang w:eastAsia="en-GB"/>
            </w:rPr>
            <w:t>introduction</w:t>
          </w:r>
          <w:r w:rsidR="0021179E">
            <w:rPr>
              <w:noProof/>
              <w:lang w:eastAsia="en-GB"/>
            </w:rPr>
            <w:t>……………………………………………………………………………………………………</w:t>
          </w:r>
          <w:r w:rsidR="00A95CED">
            <w:rPr>
              <w:noProof/>
              <w:lang w:eastAsia="en-GB"/>
            </w:rPr>
            <w:t>..</w:t>
          </w:r>
          <w:r w:rsidR="0021179E">
            <w:rPr>
              <w:noProof/>
              <w:lang w:eastAsia="en-GB"/>
            </w:rPr>
            <w:t>2</w:t>
          </w:r>
        </w:p>
        <w:p w14:paraId="11271E2C" w14:textId="5E25C7F4" w:rsidR="007F08FC" w:rsidRDefault="007F08FC">
          <w:pPr>
            <w:pStyle w:val="TOC1"/>
            <w:tabs>
              <w:tab w:val="right" w:leader="dot" w:pos="9016"/>
            </w:tabs>
            <w:rPr>
              <w:rFonts w:eastAsiaTheme="minorEastAsia"/>
              <w:noProof/>
              <w:lang w:eastAsia="en-GB"/>
            </w:rPr>
          </w:pPr>
          <w:hyperlink w:anchor="_Toc242486010" w:history="1">
            <w:r w:rsidRPr="00AD323A">
              <w:rPr>
                <w:rStyle w:val="Hyperlink"/>
                <w:noProof/>
              </w:rPr>
              <w:t>Definition of person-centred care</w:t>
            </w:r>
            <w:r>
              <w:rPr>
                <w:noProof/>
                <w:webHidden/>
              </w:rPr>
              <w:tab/>
            </w:r>
            <w:r>
              <w:rPr>
                <w:noProof/>
                <w:webHidden/>
              </w:rPr>
              <w:fldChar w:fldCharType="begin"/>
            </w:r>
            <w:r>
              <w:rPr>
                <w:noProof/>
                <w:webHidden/>
              </w:rPr>
              <w:instrText xml:space="preserve"> PAGEREF _Toc242486010 \h </w:instrText>
            </w:r>
            <w:r>
              <w:rPr>
                <w:noProof/>
                <w:webHidden/>
              </w:rPr>
            </w:r>
            <w:r>
              <w:rPr>
                <w:noProof/>
                <w:webHidden/>
              </w:rPr>
              <w:fldChar w:fldCharType="separate"/>
            </w:r>
            <w:r w:rsidR="0021179E">
              <w:rPr>
                <w:noProof/>
                <w:webHidden/>
              </w:rPr>
              <w:t>3</w:t>
            </w:r>
            <w:r>
              <w:rPr>
                <w:noProof/>
                <w:webHidden/>
              </w:rPr>
              <w:fldChar w:fldCharType="end"/>
            </w:r>
          </w:hyperlink>
        </w:p>
        <w:p w14:paraId="24BD4159" w14:textId="1BB63219" w:rsidR="007F08FC" w:rsidRDefault="007F08FC">
          <w:pPr>
            <w:pStyle w:val="TOC1"/>
            <w:tabs>
              <w:tab w:val="right" w:leader="dot" w:pos="9016"/>
            </w:tabs>
            <w:rPr>
              <w:rFonts w:eastAsiaTheme="minorEastAsia"/>
              <w:noProof/>
              <w:lang w:eastAsia="en-GB"/>
            </w:rPr>
          </w:pPr>
          <w:hyperlink w:anchor="_Toc242486011" w:history="1">
            <w:r w:rsidRPr="00AD323A">
              <w:rPr>
                <w:rStyle w:val="Hyperlink"/>
                <w:noProof/>
              </w:rPr>
              <w:t>Relevant Theories</w:t>
            </w:r>
            <w:r>
              <w:rPr>
                <w:noProof/>
                <w:webHidden/>
              </w:rPr>
              <w:tab/>
            </w:r>
            <w:r>
              <w:rPr>
                <w:noProof/>
                <w:webHidden/>
              </w:rPr>
              <w:fldChar w:fldCharType="begin"/>
            </w:r>
            <w:r>
              <w:rPr>
                <w:noProof/>
                <w:webHidden/>
              </w:rPr>
              <w:instrText xml:space="preserve"> PAGEREF _Toc242486011 \h </w:instrText>
            </w:r>
            <w:r>
              <w:rPr>
                <w:noProof/>
                <w:webHidden/>
              </w:rPr>
            </w:r>
            <w:r>
              <w:rPr>
                <w:noProof/>
                <w:webHidden/>
              </w:rPr>
              <w:fldChar w:fldCharType="separate"/>
            </w:r>
            <w:r w:rsidR="0021179E">
              <w:rPr>
                <w:noProof/>
                <w:webHidden/>
              </w:rPr>
              <w:t>5</w:t>
            </w:r>
            <w:r>
              <w:rPr>
                <w:noProof/>
                <w:webHidden/>
              </w:rPr>
              <w:fldChar w:fldCharType="end"/>
            </w:r>
          </w:hyperlink>
        </w:p>
        <w:p w14:paraId="0B80B220" w14:textId="75CAD6ED" w:rsidR="007F08FC" w:rsidRDefault="007F08FC">
          <w:pPr>
            <w:pStyle w:val="TOC1"/>
            <w:tabs>
              <w:tab w:val="right" w:leader="dot" w:pos="9016"/>
            </w:tabs>
            <w:rPr>
              <w:rFonts w:eastAsiaTheme="minorEastAsia"/>
              <w:noProof/>
              <w:lang w:eastAsia="en-GB"/>
            </w:rPr>
          </w:pPr>
          <w:hyperlink w:anchor="_Toc242486012" w:history="1">
            <w:r w:rsidRPr="00AD323A">
              <w:rPr>
                <w:rStyle w:val="Hyperlink"/>
                <w:noProof/>
              </w:rPr>
              <w:t>Ethical fundamentals</w:t>
            </w:r>
            <w:r>
              <w:rPr>
                <w:noProof/>
                <w:webHidden/>
              </w:rPr>
              <w:tab/>
            </w:r>
            <w:r>
              <w:rPr>
                <w:noProof/>
                <w:webHidden/>
              </w:rPr>
              <w:fldChar w:fldCharType="begin"/>
            </w:r>
            <w:r>
              <w:rPr>
                <w:noProof/>
                <w:webHidden/>
              </w:rPr>
              <w:instrText xml:space="preserve"> PAGEREF _Toc242486012 \h </w:instrText>
            </w:r>
            <w:r>
              <w:rPr>
                <w:noProof/>
                <w:webHidden/>
              </w:rPr>
            </w:r>
            <w:r>
              <w:rPr>
                <w:noProof/>
                <w:webHidden/>
              </w:rPr>
              <w:fldChar w:fldCharType="separate"/>
            </w:r>
            <w:r w:rsidR="0021179E">
              <w:rPr>
                <w:noProof/>
                <w:webHidden/>
              </w:rPr>
              <w:t>6</w:t>
            </w:r>
            <w:r>
              <w:rPr>
                <w:noProof/>
                <w:webHidden/>
              </w:rPr>
              <w:fldChar w:fldCharType="end"/>
            </w:r>
          </w:hyperlink>
        </w:p>
        <w:p w14:paraId="633E3157" w14:textId="146B22EA" w:rsidR="007F08FC" w:rsidRDefault="007F08FC">
          <w:pPr>
            <w:pStyle w:val="TOC1"/>
            <w:tabs>
              <w:tab w:val="right" w:leader="dot" w:pos="9016"/>
            </w:tabs>
            <w:rPr>
              <w:rFonts w:eastAsiaTheme="minorEastAsia"/>
              <w:noProof/>
              <w:lang w:eastAsia="en-GB"/>
            </w:rPr>
          </w:pPr>
          <w:hyperlink w:anchor="_Toc242486013" w:history="1">
            <w:r w:rsidRPr="00AD323A">
              <w:rPr>
                <w:rStyle w:val="Hyperlink"/>
                <w:noProof/>
              </w:rPr>
              <w:t>Evaluation of Partnership Working</w:t>
            </w:r>
            <w:r>
              <w:rPr>
                <w:noProof/>
                <w:webHidden/>
              </w:rPr>
              <w:tab/>
            </w:r>
            <w:r>
              <w:rPr>
                <w:noProof/>
                <w:webHidden/>
              </w:rPr>
              <w:fldChar w:fldCharType="begin"/>
            </w:r>
            <w:r>
              <w:rPr>
                <w:noProof/>
                <w:webHidden/>
              </w:rPr>
              <w:instrText xml:space="preserve"> PAGEREF _Toc242486013 \h </w:instrText>
            </w:r>
            <w:r>
              <w:rPr>
                <w:noProof/>
                <w:webHidden/>
              </w:rPr>
            </w:r>
            <w:r>
              <w:rPr>
                <w:noProof/>
                <w:webHidden/>
              </w:rPr>
              <w:fldChar w:fldCharType="separate"/>
            </w:r>
            <w:r w:rsidR="0021179E">
              <w:rPr>
                <w:noProof/>
                <w:webHidden/>
              </w:rPr>
              <w:t>7</w:t>
            </w:r>
            <w:r>
              <w:rPr>
                <w:noProof/>
                <w:webHidden/>
              </w:rPr>
              <w:fldChar w:fldCharType="end"/>
            </w:r>
          </w:hyperlink>
        </w:p>
        <w:p w14:paraId="63F7CDE4" w14:textId="11842FD1" w:rsidR="007F08FC" w:rsidRDefault="007F08FC">
          <w:pPr>
            <w:pStyle w:val="TOC1"/>
            <w:tabs>
              <w:tab w:val="right" w:leader="dot" w:pos="9016"/>
            </w:tabs>
            <w:rPr>
              <w:rFonts w:eastAsiaTheme="minorEastAsia"/>
              <w:noProof/>
              <w:lang w:eastAsia="en-GB"/>
            </w:rPr>
          </w:pPr>
          <w:hyperlink w:anchor="_Toc242486014" w:history="1">
            <w:r w:rsidRPr="00AD323A">
              <w:rPr>
                <w:rStyle w:val="Hyperlink"/>
                <w:noProof/>
              </w:rPr>
              <w:t>Policy and Legislation</w:t>
            </w:r>
            <w:r>
              <w:rPr>
                <w:noProof/>
                <w:webHidden/>
              </w:rPr>
              <w:tab/>
            </w:r>
            <w:r>
              <w:rPr>
                <w:noProof/>
                <w:webHidden/>
              </w:rPr>
              <w:fldChar w:fldCharType="begin"/>
            </w:r>
            <w:r>
              <w:rPr>
                <w:noProof/>
                <w:webHidden/>
              </w:rPr>
              <w:instrText xml:space="preserve"> PAGEREF _Toc242486014 \h </w:instrText>
            </w:r>
            <w:r>
              <w:rPr>
                <w:noProof/>
                <w:webHidden/>
              </w:rPr>
            </w:r>
            <w:r>
              <w:rPr>
                <w:noProof/>
                <w:webHidden/>
              </w:rPr>
              <w:fldChar w:fldCharType="separate"/>
            </w:r>
            <w:r w:rsidR="0021179E">
              <w:rPr>
                <w:noProof/>
                <w:webHidden/>
              </w:rPr>
              <w:t>8</w:t>
            </w:r>
            <w:r>
              <w:rPr>
                <w:noProof/>
                <w:webHidden/>
              </w:rPr>
              <w:fldChar w:fldCharType="end"/>
            </w:r>
          </w:hyperlink>
        </w:p>
        <w:p w14:paraId="34A28443" w14:textId="6D92DF39" w:rsidR="007F08FC" w:rsidRDefault="007F08FC">
          <w:pPr>
            <w:pStyle w:val="TOC1"/>
            <w:tabs>
              <w:tab w:val="right" w:leader="dot" w:pos="9016"/>
            </w:tabs>
            <w:rPr>
              <w:rFonts w:eastAsiaTheme="minorEastAsia"/>
              <w:noProof/>
              <w:lang w:eastAsia="en-GB"/>
            </w:rPr>
          </w:pPr>
          <w:hyperlink w:anchor="_Toc242486015" w:history="1">
            <w:r w:rsidRPr="00AD323A">
              <w:rPr>
                <w:rStyle w:val="Hyperlink"/>
                <w:noProof/>
              </w:rPr>
              <w:t>Recommendations</w:t>
            </w:r>
            <w:r>
              <w:rPr>
                <w:noProof/>
                <w:webHidden/>
              </w:rPr>
              <w:tab/>
            </w:r>
            <w:r>
              <w:rPr>
                <w:noProof/>
                <w:webHidden/>
              </w:rPr>
              <w:fldChar w:fldCharType="begin"/>
            </w:r>
            <w:r>
              <w:rPr>
                <w:noProof/>
                <w:webHidden/>
              </w:rPr>
              <w:instrText xml:space="preserve"> PAGEREF _Toc242486015 \h </w:instrText>
            </w:r>
            <w:r>
              <w:rPr>
                <w:noProof/>
                <w:webHidden/>
              </w:rPr>
            </w:r>
            <w:r>
              <w:rPr>
                <w:noProof/>
                <w:webHidden/>
              </w:rPr>
              <w:fldChar w:fldCharType="separate"/>
            </w:r>
            <w:r w:rsidR="0021179E">
              <w:rPr>
                <w:noProof/>
                <w:webHidden/>
              </w:rPr>
              <w:t>9</w:t>
            </w:r>
            <w:r>
              <w:rPr>
                <w:noProof/>
                <w:webHidden/>
              </w:rPr>
              <w:fldChar w:fldCharType="end"/>
            </w:r>
          </w:hyperlink>
        </w:p>
        <w:p w14:paraId="59B8CF69" w14:textId="7998D63D" w:rsidR="007F08FC" w:rsidRDefault="007F08FC">
          <w:pPr>
            <w:pStyle w:val="TOC1"/>
            <w:tabs>
              <w:tab w:val="right" w:leader="dot" w:pos="9016"/>
            </w:tabs>
            <w:rPr>
              <w:rFonts w:eastAsiaTheme="minorEastAsia"/>
              <w:noProof/>
              <w:lang w:eastAsia="en-GB"/>
            </w:rPr>
          </w:pPr>
          <w:hyperlink w:anchor="_Toc242486016" w:history="1">
            <w:r w:rsidRPr="00AD323A">
              <w:rPr>
                <w:rStyle w:val="Hyperlink"/>
                <w:noProof/>
              </w:rPr>
              <w:t>Conclusion</w:t>
            </w:r>
            <w:r>
              <w:rPr>
                <w:noProof/>
                <w:webHidden/>
              </w:rPr>
              <w:tab/>
            </w:r>
            <w:r>
              <w:rPr>
                <w:noProof/>
                <w:webHidden/>
              </w:rPr>
              <w:fldChar w:fldCharType="begin"/>
            </w:r>
            <w:r>
              <w:rPr>
                <w:noProof/>
                <w:webHidden/>
              </w:rPr>
              <w:instrText xml:space="preserve"> PAGEREF _Toc242486016 \h </w:instrText>
            </w:r>
            <w:r>
              <w:rPr>
                <w:noProof/>
                <w:webHidden/>
              </w:rPr>
            </w:r>
            <w:r>
              <w:rPr>
                <w:noProof/>
                <w:webHidden/>
              </w:rPr>
              <w:fldChar w:fldCharType="separate"/>
            </w:r>
            <w:r w:rsidR="0021179E">
              <w:rPr>
                <w:noProof/>
                <w:webHidden/>
              </w:rPr>
              <w:t>10</w:t>
            </w:r>
            <w:r>
              <w:rPr>
                <w:noProof/>
                <w:webHidden/>
              </w:rPr>
              <w:fldChar w:fldCharType="end"/>
            </w:r>
          </w:hyperlink>
        </w:p>
        <w:p w14:paraId="21F9DD84" w14:textId="3159DF8A" w:rsidR="007F08FC" w:rsidRDefault="007F08FC">
          <w:pPr>
            <w:pStyle w:val="TOC1"/>
            <w:tabs>
              <w:tab w:val="right" w:leader="dot" w:pos="9016"/>
            </w:tabs>
            <w:rPr>
              <w:rFonts w:eastAsiaTheme="minorEastAsia"/>
              <w:noProof/>
              <w:lang w:eastAsia="en-GB"/>
            </w:rPr>
          </w:pPr>
          <w:hyperlink w:anchor="_Toc242486017" w:history="1">
            <w:r w:rsidRPr="00AD323A">
              <w:rPr>
                <w:rStyle w:val="Hyperlink"/>
                <w:noProof/>
              </w:rPr>
              <w:t>References</w:t>
            </w:r>
            <w:r>
              <w:rPr>
                <w:noProof/>
                <w:webHidden/>
              </w:rPr>
              <w:tab/>
            </w:r>
            <w:r>
              <w:rPr>
                <w:noProof/>
                <w:webHidden/>
              </w:rPr>
              <w:fldChar w:fldCharType="begin"/>
            </w:r>
            <w:r>
              <w:rPr>
                <w:noProof/>
                <w:webHidden/>
              </w:rPr>
              <w:instrText xml:space="preserve"> PAGEREF _Toc242486017 \h </w:instrText>
            </w:r>
            <w:r>
              <w:rPr>
                <w:noProof/>
                <w:webHidden/>
              </w:rPr>
            </w:r>
            <w:r>
              <w:rPr>
                <w:noProof/>
                <w:webHidden/>
              </w:rPr>
              <w:fldChar w:fldCharType="separate"/>
            </w:r>
            <w:r w:rsidR="0021179E">
              <w:rPr>
                <w:noProof/>
                <w:webHidden/>
              </w:rPr>
              <w:t>11</w:t>
            </w:r>
            <w:r>
              <w:rPr>
                <w:noProof/>
                <w:webHidden/>
              </w:rPr>
              <w:fldChar w:fldCharType="end"/>
            </w:r>
          </w:hyperlink>
        </w:p>
        <w:p w14:paraId="362E31E7" w14:textId="34CE3788" w:rsidR="007F08FC" w:rsidRDefault="007F08FC">
          <w:r>
            <w:rPr>
              <w:b/>
              <w:bCs/>
            </w:rPr>
            <w:fldChar w:fldCharType="end"/>
          </w:r>
        </w:p>
      </w:sdtContent>
    </w:sdt>
    <w:p w14:paraId="6B714CD0" w14:textId="77777777" w:rsidR="00F42965" w:rsidRDefault="00F42965" w:rsidP="00BF2BA9">
      <w:pPr>
        <w:pStyle w:val="Heading1"/>
      </w:pPr>
    </w:p>
    <w:p w14:paraId="3BA0336F" w14:textId="77777777" w:rsidR="00F42965" w:rsidRDefault="00F42965" w:rsidP="00BF2BA9">
      <w:pPr>
        <w:pStyle w:val="Heading1"/>
      </w:pPr>
    </w:p>
    <w:p w14:paraId="77754160" w14:textId="77777777" w:rsidR="00F42965" w:rsidRDefault="00F42965" w:rsidP="00BF2BA9">
      <w:pPr>
        <w:pStyle w:val="Heading1"/>
      </w:pPr>
    </w:p>
    <w:p w14:paraId="60AD8668" w14:textId="77777777" w:rsidR="00F42965" w:rsidRDefault="00F42965" w:rsidP="00BF2BA9">
      <w:pPr>
        <w:pStyle w:val="Heading1"/>
      </w:pPr>
    </w:p>
    <w:p w14:paraId="2D32F682" w14:textId="77777777" w:rsidR="00F42965" w:rsidRDefault="00F42965" w:rsidP="00BF2BA9">
      <w:pPr>
        <w:pStyle w:val="Heading1"/>
      </w:pPr>
    </w:p>
    <w:p w14:paraId="61492172" w14:textId="77777777" w:rsidR="007F08FC" w:rsidRDefault="007F08FC">
      <w:pPr>
        <w:rPr>
          <w:rFonts w:asciiTheme="majorHAnsi" w:eastAsiaTheme="majorEastAsia" w:hAnsiTheme="majorHAnsi" w:cstheme="majorBidi"/>
          <w:color w:val="0F4761" w:themeColor="accent1" w:themeShade="BF"/>
          <w:sz w:val="40"/>
          <w:szCs w:val="40"/>
        </w:rPr>
      </w:pPr>
      <w:bookmarkStart w:id="0" w:name="_Toc242486009"/>
      <w:r>
        <w:br w:type="page"/>
      </w:r>
    </w:p>
    <w:p w14:paraId="0AE912FE" w14:textId="783D433B" w:rsidR="00FA73CB" w:rsidRPr="0045265E" w:rsidRDefault="00FA73CB" w:rsidP="00BF2BA9">
      <w:pPr>
        <w:pStyle w:val="Heading1"/>
      </w:pPr>
      <w:r w:rsidRPr="0045265E">
        <w:lastRenderedPageBreak/>
        <w:t>Abstract</w:t>
      </w:r>
      <w:bookmarkEnd w:id="0"/>
    </w:p>
    <w:p w14:paraId="39C37BF0" w14:textId="2B232957" w:rsidR="005558CB" w:rsidRPr="003C230E" w:rsidRDefault="00FB61F4" w:rsidP="00AB0468">
      <w:pPr>
        <w:spacing w:line="360" w:lineRule="auto"/>
        <w:jc w:val="both"/>
        <w:rPr>
          <w:rStyle w:val="Heading1Char"/>
        </w:rPr>
      </w:pPr>
      <w:r>
        <w:rPr>
          <w:rFonts w:ascii="Arial" w:hAnsi="Arial" w:cs="Arial"/>
        </w:rPr>
        <w:t>This report examines person-centred care (PCC) and partnership working (PW) in community care. PCC centres decisions on individuals’ needs, preferences, values and wellbeing, while shared decision-making supports collaboration with professionals. The report explores PCC through Maslow’s hierarchy of needs, Bronfenbrenner’s ecological model and four ethical principles: autonomy, beneficence, non-maleficence and justice. It assesses how partnership working, including Integrated Care Systems, coordinates health and social care, while recognising barriers such as poor communication, conflicting priorities and limited resources. It reviews relevant legislation, the Care Act 2014, Health and Care Act 2022, Equality Act 2010 and Human Rights Act 1998 and professional guidance. Findings indicate PCC and PW improve involvement, wellbeing and continuity, but implementation remains challenging. Recommendations include targeted workforce training, better information-sharing and greater service user and carer participation in care planning.</w:t>
      </w:r>
      <w:r>
        <w:rPr>
          <w:rFonts w:ascii="Arial" w:hAnsi="Arial" w:cs="Arial"/>
        </w:rPr>
        <w:br/>
      </w:r>
      <w:bookmarkStart w:id="1" w:name="_Toc242486010"/>
      <w:r w:rsidR="005558CB" w:rsidRPr="003C230E">
        <w:rPr>
          <w:rStyle w:val="Heading1Char"/>
        </w:rPr>
        <w:t>Introduction</w:t>
      </w:r>
    </w:p>
    <w:p w14:paraId="16ACA02E" w14:textId="7C3B6583" w:rsidR="00441A67" w:rsidRDefault="001C3BA0" w:rsidP="005558CB">
      <w:pPr>
        <w:spacing w:line="360" w:lineRule="auto"/>
        <w:jc w:val="both"/>
        <w:rPr>
          <w:rFonts w:ascii="Arial" w:hAnsi="Arial" w:cs="Arial"/>
        </w:rPr>
      </w:pPr>
      <w:r>
        <w:rPr>
          <w:rStyle w:val="Heading1Char"/>
          <w:rFonts w:ascii="Arial" w:hAnsi="Arial" w:cs="Arial"/>
          <w:color w:val="auto"/>
          <w:sz w:val="24"/>
          <w:szCs w:val="24"/>
        </w:rPr>
        <w:t>Person-centred care (PCC) and partnership working (PW) help health and social care services meet people’s needs, preferences, and desired outcomes. The Care Act 2014 places individual wellbeing at the heart of care decisions, ensuring people’s needs, goals, views, and wishes guide support (Department of Health and Social Care, 2025). PCC promotes choice and control through shared decisions and personalised care plans, rather than standardised services. Partnership working connects health and social care teams, local authorities, and voluntary organisations to provide joined-up community support (NHS England, 2026). This report explores PCC’s definition, foundations, ethics, and application, as well as partnership working’s role, benefits, and challenges in community care. It reviews relevant legislation and policy before making evidence-based recommendations to improve practice.</w:t>
      </w:r>
    </w:p>
    <w:p w14:paraId="74E99BCD" w14:textId="07C47441" w:rsidR="007C2A2D" w:rsidRPr="005558CB" w:rsidRDefault="007C2A2D" w:rsidP="00441A67">
      <w:pPr>
        <w:pStyle w:val="Heading1"/>
        <w:rPr>
          <w:rFonts w:ascii="Arial" w:hAnsi="Arial" w:cs="Arial"/>
        </w:rPr>
      </w:pPr>
      <w:r w:rsidRPr="007C2A2D">
        <w:t xml:space="preserve">Definition of </w:t>
      </w:r>
      <w:r w:rsidR="0095032E" w:rsidRPr="007C2A2D">
        <w:t>person-centred</w:t>
      </w:r>
      <w:r w:rsidRPr="007C2A2D">
        <w:t xml:space="preserve"> care</w:t>
      </w:r>
      <w:bookmarkEnd w:id="1"/>
    </w:p>
    <w:p w14:paraId="6CEB9372" w14:textId="75947F6B" w:rsidR="007C2A2D" w:rsidRDefault="00E71FA1" w:rsidP="004B08B8">
      <w:pPr>
        <w:spacing w:line="360" w:lineRule="auto"/>
        <w:jc w:val="both"/>
        <w:rPr>
          <w:rFonts w:ascii="Arial" w:hAnsi="Arial" w:cs="Arial"/>
        </w:rPr>
      </w:pPr>
      <w:r>
        <w:rPr>
          <w:rFonts w:ascii="Arial" w:hAnsi="Arial" w:cs="Arial"/>
        </w:rPr>
        <w:t xml:space="preserve">(PCC) Person-centred care (PCC) puts individuals at the heart of health and social care decisions, reflecting their needs, preferences, values, and goals. The CQC requires providers to meet assessed needs and preferences, involving service users </w:t>
      </w:r>
      <w:r>
        <w:rPr>
          <w:rFonts w:ascii="Arial" w:hAnsi="Arial" w:cs="Arial"/>
        </w:rPr>
        <w:lastRenderedPageBreak/>
        <w:t>or lawful representatives in care planning, management, and review (Care Quality Commission, 2025). NICE (2016) recommends home-care plans based on personal priorities and goals. This is essential in community care, where support must address varied physical, emotional, social, cultural, and practical needs. NHS England (2019) identifies four elements of personalised care: shared decisions, tailored plans, self-management support, and links to community resources, promoting choice and control. NICE (2021) also stresses shared decision-making so individuals understand their options and participate fully in planning support.</w:t>
      </w:r>
    </w:p>
    <w:p w14:paraId="793CFDD1" w14:textId="77777777" w:rsidR="0015328E" w:rsidRDefault="00671E39" w:rsidP="004B08B8">
      <w:pPr>
        <w:spacing w:line="360" w:lineRule="auto"/>
        <w:jc w:val="both"/>
        <w:rPr>
          <w:rFonts w:ascii="Arial" w:hAnsi="Arial" w:cs="Arial"/>
        </w:rPr>
      </w:pPr>
      <w:r w:rsidRPr="00671E39">
        <w:rPr>
          <w:rFonts w:ascii="Arial" w:hAnsi="Arial" w:cs="Arial"/>
        </w:rPr>
        <w:t>PCC delivers wide</w:t>
      </w:r>
      <w:r w:rsidRPr="00671E39">
        <w:rPr>
          <w:rFonts w:ascii="Cambria Math" w:hAnsi="Cambria Math" w:cs="Cambria Math"/>
        </w:rPr>
        <w:t>‑</w:t>
      </w:r>
      <w:r w:rsidRPr="00671E39">
        <w:rPr>
          <w:rFonts w:ascii="Arial" w:hAnsi="Arial" w:cs="Arial"/>
        </w:rPr>
        <w:t>ranging benefits. When people are genuinely engaged in decisions about their care, their autonomy is strengthened, their satisfaction with services rises, and they are more likely to maintain independence (NICE, 2016). Research also links person</w:t>
      </w:r>
      <w:r w:rsidRPr="00671E39">
        <w:rPr>
          <w:rFonts w:ascii="Cambria Math" w:hAnsi="Cambria Math" w:cs="Cambria Math"/>
        </w:rPr>
        <w:t>‑</w:t>
      </w:r>
      <w:r w:rsidRPr="00671E39">
        <w:rPr>
          <w:rFonts w:ascii="Arial" w:hAnsi="Arial" w:cs="Arial"/>
        </w:rPr>
        <w:t xml:space="preserve">centred methods to </w:t>
      </w:r>
      <w:r>
        <w:rPr>
          <w:rFonts w:ascii="Arial" w:hAnsi="Arial" w:cs="Arial"/>
        </w:rPr>
        <w:t>better experiences and clinical outcomes, though results vary by</w:t>
      </w:r>
      <w:r w:rsidRPr="00671E39">
        <w:rPr>
          <w:rFonts w:ascii="Arial" w:hAnsi="Arial" w:cs="Arial"/>
        </w:rPr>
        <w:t xml:space="preserve"> context and intervention type (Santana </w:t>
      </w:r>
      <w:r w:rsidRPr="001C7E2F">
        <w:rPr>
          <w:rFonts w:ascii="Arial" w:hAnsi="Arial" w:cs="Arial"/>
          <w:i/>
          <w:iCs/>
        </w:rPr>
        <w:t>et al</w:t>
      </w:r>
      <w:r w:rsidRPr="00671E39">
        <w:rPr>
          <w:rFonts w:ascii="Arial" w:hAnsi="Arial" w:cs="Arial"/>
        </w:rPr>
        <w:t>., 2018).</w:t>
      </w:r>
    </w:p>
    <w:p w14:paraId="5E797259" w14:textId="6D590FAA" w:rsidR="00671E39" w:rsidRDefault="0015328E" w:rsidP="004B08B8">
      <w:pPr>
        <w:spacing w:line="360" w:lineRule="auto"/>
        <w:jc w:val="both"/>
        <w:rPr>
          <w:rFonts w:ascii="Arial" w:hAnsi="Arial" w:cs="Arial"/>
        </w:rPr>
      </w:pPr>
      <w:r>
        <w:rPr>
          <w:rFonts w:ascii="Arial" w:hAnsi="Arial" w:cs="Arial"/>
        </w:rPr>
        <w:t xml:space="preserve"> </w:t>
      </w:r>
      <w:r w:rsidR="00A6510D">
        <w:rPr>
          <w:rFonts w:ascii="Arial" w:hAnsi="Arial" w:cs="Arial"/>
        </w:rPr>
        <w:t>However, implementing PCC in community settings is challenging. High workloads, staff shortages, and limited time can restrict meaningful conversations and individualised planning. Conflicts may arise when a person’s preferences differ from professionals’ views of what is safe, clinically appropriate, or sustainable. The CQC says these differences should be discussed openly, explained clearly, and resolved by agreement where possible (Care Quality Commission, 2025). Effective person-centred care needs adequate resources, supportive organisations, and consistent communication among everyone involved.</w:t>
      </w:r>
    </w:p>
    <w:p w14:paraId="654B33FF" w14:textId="40FBE655" w:rsidR="002565C1" w:rsidRPr="000E4192" w:rsidRDefault="002565C1" w:rsidP="00BF2BA9">
      <w:pPr>
        <w:pStyle w:val="Heading1"/>
      </w:pPr>
      <w:bookmarkStart w:id="2" w:name="_Toc242486011"/>
      <w:r w:rsidRPr="000E4192">
        <w:t>Relevant Theories</w:t>
      </w:r>
      <w:bookmarkEnd w:id="2"/>
    </w:p>
    <w:p w14:paraId="1DBAAE62" w14:textId="36C6FD66" w:rsidR="00055417" w:rsidRPr="000E4192" w:rsidRDefault="005F477A" w:rsidP="00055417">
      <w:pPr>
        <w:spacing w:line="360" w:lineRule="auto"/>
        <w:jc w:val="both"/>
        <w:rPr>
          <w:rFonts w:ascii="Arial" w:hAnsi="Arial" w:cs="Arial"/>
        </w:rPr>
      </w:pPr>
      <w:r w:rsidRPr="000E4192">
        <w:rPr>
          <w:rFonts w:ascii="Arial" w:hAnsi="Arial" w:cs="Arial"/>
        </w:rPr>
        <w:t xml:space="preserve">Several theories explain the principles of person-centred care (PCC) and </w:t>
      </w:r>
      <w:r w:rsidR="007B57ED" w:rsidRPr="000E4192">
        <w:rPr>
          <w:rFonts w:ascii="Arial" w:hAnsi="Arial" w:cs="Arial"/>
        </w:rPr>
        <w:t>how they apply</w:t>
      </w:r>
      <w:r w:rsidRPr="000E4192">
        <w:rPr>
          <w:rFonts w:ascii="Arial" w:hAnsi="Arial" w:cs="Arial"/>
        </w:rPr>
        <w:t xml:space="preserve"> in community care. Maslow’s hierarchy of needs and Bronfenbrenner’s Ecological Model of Human Development offer different perspectives on understanding individuals, their needs, and the circumstances that affect their wellbeing.</w:t>
      </w:r>
    </w:p>
    <w:p w14:paraId="25E2CD84" w14:textId="42556EBB" w:rsidR="0011494D" w:rsidRDefault="00C43318" w:rsidP="0011494D">
      <w:pPr>
        <w:spacing w:line="360" w:lineRule="auto"/>
        <w:jc w:val="both"/>
        <w:rPr>
          <w:rFonts w:ascii="Arial" w:hAnsi="Arial" w:cs="Arial"/>
        </w:rPr>
      </w:pPr>
      <w:r>
        <w:rPr>
          <w:rFonts w:ascii="Arial" w:hAnsi="Arial" w:cs="Arial"/>
          <w:noProof/>
        </w:rPr>
        <w:lastRenderedPageBreak/>
        <w:drawing>
          <wp:anchor distT="0" distB="0" distL="114300" distR="114300" simplePos="0" relativeHeight="251659264" behindDoc="1" locked="0" layoutInCell="1" allowOverlap="1" wp14:anchorId="4D081739" wp14:editId="23B71408">
            <wp:simplePos x="0" y="0"/>
            <wp:positionH relativeFrom="margin">
              <wp:posOffset>-220980</wp:posOffset>
            </wp:positionH>
            <wp:positionV relativeFrom="paragraph">
              <wp:posOffset>2308860</wp:posOffset>
            </wp:positionV>
            <wp:extent cx="6576060" cy="4488180"/>
            <wp:effectExtent l="0" t="0" r="0" b="7620"/>
            <wp:wrapTight wrapText="bothSides">
              <wp:wrapPolygon edited="0">
                <wp:start x="0" y="0"/>
                <wp:lineTo x="0" y="21545"/>
                <wp:lineTo x="21525" y="21545"/>
                <wp:lineTo x="21525" y="0"/>
                <wp:lineTo x="0" y="0"/>
              </wp:wrapPolygon>
            </wp:wrapTight>
            <wp:docPr id="85249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76060" cy="4488180"/>
                    </a:xfrm>
                    <a:prstGeom prst="rect">
                      <a:avLst/>
                    </a:prstGeom>
                    <a:noFill/>
                  </pic:spPr>
                </pic:pic>
              </a:graphicData>
            </a:graphic>
            <wp14:sizeRelH relativeFrom="margin">
              <wp14:pctWidth>0</wp14:pctWidth>
            </wp14:sizeRelH>
            <wp14:sizeRelV relativeFrom="margin">
              <wp14:pctHeight>0</wp14:pctHeight>
            </wp14:sizeRelV>
          </wp:anchor>
        </w:drawing>
      </w:r>
      <w:r w:rsidR="0025414E">
        <w:rPr>
          <w:rFonts w:ascii="Arial" w:hAnsi="Arial" w:cs="Arial"/>
        </w:rPr>
        <w:t>Maslow’s hierarchy groups human needs into five levels: physiological, safety, belonging, esteem and self-actualisation (Maslow, 1943), covering basic needs, security, relationships, self-worth and potential. In community care, it encourages practitioners to consider the whole person, not just their condition. Supporting an older person at home, for example, involves addressing physical needs and safety as well as emotional wellbeing, relationships and independence. This supports PCC by tailoring care to individual needs, preferences and goals rather than offering identical support to everyone.</w:t>
      </w:r>
    </w:p>
    <w:p w14:paraId="6848AFA1" w14:textId="0C480787" w:rsidR="00C43318" w:rsidRDefault="00C43318" w:rsidP="0011494D">
      <w:pPr>
        <w:spacing w:line="360" w:lineRule="auto"/>
        <w:jc w:val="both"/>
        <w:rPr>
          <w:rFonts w:ascii="Arial" w:hAnsi="Arial" w:cs="Arial"/>
        </w:rPr>
      </w:pPr>
    </w:p>
    <w:p w14:paraId="4F373E3F" w14:textId="7A76DB38" w:rsidR="00055417" w:rsidRDefault="0011494D" w:rsidP="0011494D">
      <w:pPr>
        <w:spacing w:line="360" w:lineRule="auto"/>
        <w:jc w:val="both"/>
        <w:rPr>
          <w:rFonts w:ascii="Arial" w:hAnsi="Arial" w:cs="Arial"/>
        </w:rPr>
      </w:pPr>
      <w:r>
        <w:rPr>
          <w:rFonts w:ascii="Arial" w:hAnsi="Arial" w:cs="Arial"/>
        </w:rPr>
        <w:t xml:space="preserve"> Maslow’s hierarchy has limitations: people may not experience or prioritise needs in a fixed order. Someone may value relationships and independence despite unmet physical or safety needs. Practitioners should avoid assuming a universal hierarchy, listen to each person, assess their circumstances and involve them in care decisions. Maslow’s theory can inform person-centred practice but cannot replace individual assessment or professional judgement.</w:t>
      </w:r>
    </w:p>
    <w:p w14:paraId="7DDC20A7" w14:textId="3CC4FC8A" w:rsidR="0067405C" w:rsidRDefault="00161583" w:rsidP="00055417">
      <w:pPr>
        <w:spacing w:line="360" w:lineRule="auto"/>
        <w:jc w:val="both"/>
        <w:rPr>
          <w:rFonts w:ascii="Arial" w:hAnsi="Arial" w:cs="Arial"/>
        </w:rPr>
      </w:pPr>
      <w:r w:rsidRPr="00BC01B9">
        <w:rPr>
          <w:rFonts w:ascii="Arial" w:hAnsi="Arial" w:cs="Arial"/>
          <w:noProof/>
        </w:rPr>
        <w:lastRenderedPageBreak/>
        <mc:AlternateContent>
          <mc:Choice Requires="wps">
            <w:drawing>
              <wp:anchor distT="45720" distB="45720" distL="114300" distR="114300" simplePos="0" relativeHeight="251662336" behindDoc="1" locked="0" layoutInCell="1" allowOverlap="1" wp14:anchorId="25F132C6" wp14:editId="508877EF">
                <wp:simplePos x="0" y="0"/>
                <wp:positionH relativeFrom="column">
                  <wp:posOffset>4343400</wp:posOffset>
                </wp:positionH>
                <wp:positionV relativeFrom="paragraph">
                  <wp:posOffset>2659380</wp:posOffset>
                </wp:positionV>
                <wp:extent cx="1104900" cy="26670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66700"/>
                        </a:xfrm>
                        <a:prstGeom prst="rect">
                          <a:avLst/>
                        </a:prstGeom>
                        <a:solidFill>
                          <a:srgbClr val="FFFFFF"/>
                        </a:solidFill>
                        <a:ln w="9525">
                          <a:solidFill>
                            <a:srgbClr val="000000"/>
                          </a:solidFill>
                          <a:miter lim="800000"/>
                          <a:headEnd/>
                          <a:tailEnd/>
                        </a:ln>
                      </wps:spPr>
                      <wps:txbx>
                        <w:txbxContent>
                          <w:p w14:paraId="66A3E713" w14:textId="3B402B29" w:rsidR="00BC01B9" w:rsidRDefault="00161583">
                            <w:r w:rsidRPr="00161583">
                              <w:t>earlyyears.tv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F132C6" id="_x0000_t202" coordsize="21600,21600" o:spt="202" path="m,l,21600r21600,l21600,xe">
                <v:stroke joinstyle="miter"/>
                <v:path gradientshapeok="t" o:connecttype="rect"/>
              </v:shapetype>
              <v:shape id="Text Box 2" o:spid="_x0000_s1026" type="#_x0000_t202" style="position:absolute;left:0;text-align:left;margin-left:342pt;margin-top:209.4pt;width:87pt;height:21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">
                <v:textbox>
                  <w:txbxContent>
                    <w:p w14:paraId="66A3E713" w14:textId="3B402B29" w:rsidR="00BC01B9" w:rsidRDefault="00161583">
                      <w:r w:rsidRPr="00161583">
                        <w:t>earlyyears.tv</w:t>
                      </w:r>
                    </w:p>
                  </w:txbxContent>
                </v:textbox>
                <w10:wrap type="tight"/>
              </v:shape>
            </w:pict>
          </mc:Fallback>
        </mc:AlternateContent>
      </w:r>
      <w:r w:rsidR="0067405C">
        <w:rPr>
          <w:rFonts w:ascii="Arial" w:hAnsi="Arial" w:cs="Arial"/>
          <w:noProof/>
        </w:rPr>
        <w:drawing>
          <wp:anchor distT="0" distB="0" distL="114300" distR="114300" simplePos="0" relativeHeight="251660288" behindDoc="1" locked="0" layoutInCell="1" allowOverlap="1" wp14:anchorId="78C666F4" wp14:editId="490716D6">
            <wp:simplePos x="0" y="0"/>
            <wp:positionH relativeFrom="margin">
              <wp:posOffset>45720</wp:posOffset>
            </wp:positionH>
            <wp:positionV relativeFrom="paragraph">
              <wp:posOffset>0</wp:posOffset>
            </wp:positionV>
            <wp:extent cx="5928360" cy="2682240"/>
            <wp:effectExtent l="0" t="0" r="0" b="3810"/>
            <wp:wrapTight wrapText="bothSides">
              <wp:wrapPolygon edited="0">
                <wp:start x="0" y="0"/>
                <wp:lineTo x="0" y="21477"/>
                <wp:lineTo x="21517" y="21477"/>
                <wp:lineTo x="21517" y="0"/>
                <wp:lineTo x="0" y="0"/>
              </wp:wrapPolygon>
            </wp:wrapTight>
            <wp:docPr id="16544111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8360" cy="2682240"/>
                    </a:xfrm>
                    <a:prstGeom prst="rect">
                      <a:avLst/>
                    </a:prstGeom>
                    <a:noFill/>
                  </pic:spPr>
                </pic:pic>
              </a:graphicData>
            </a:graphic>
            <wp14:sizeRelH relativeFrom="margin">
              <wp14:pctWidth>0</wp14:pctWidth>
            </wp14:sizeRelH>
            <wp14:sizeRelV relativeFrom="margin">
              <wp14:pctHeight>0</wp14:pctHeight>
            </wp14:sizeRelV>
          </wp:anchor>
        </w:drawing>
      </w:r>
    </w:p>
    <w:p w14:paraId="7DA869A5" w14:textId="3983518B" w:rsidR="00055417" w:rsidRPr="000E4192" w:rsidRDefault="000B1A04" w:rsidP="00055417">
      <w:pPr>
        <w:spacing w:line="360" w:lineRule="auto"/>
        <w:jc w:val="both"/>
        <w:rPr>
          <w:rFonts w:ascii="Arial" w:hAnsi="Arial" w:cs="Arial"/>
        </w:rPr>
      </w:pPr>
      <w:r>
        <w:rPr>
          <w:rFonts w:ascii="Arial" w:hAnsi="Arial" w:cs="Arial"/>
        </w:rPr>
        <w:t>Bronfenbrenner’s Ecological Model of Human Development explains how relationships and environments shape people (Bronfenbrenner, 1979). It considers close relationships, connections between settings, organisations and services, and broader social and cultural influences. Though developed to explain human development, its ecological perspective also helps community care practitioners assess influences on wellbeing.</w:t>
      </w:r>
    </w:p>
    <w:p w14:paraId="4719CC48" w14:textId="23B84A4A" w:rsidR="00055417" w:rsidRPr="000E4192" w:rsidRDefault="00FE5DB8" w:rsidP="00055417">
      <w:pPr>
        <w:spacing w:line="360" w:lineRule="auto"/>
        <w:jc w:val="both"/>
        <w:rPr>
          <w:rFonts w:ascii="Arial" w:hAnsi="Arial" w:cs="Arial"/>
        </w:rPr>
      </w:pPr>
      <w:r>
        <w:rPr>
          <w:rFonts w:ascii="Arial" w:hAnsi="Arial" w:cs="Arial"/>
        </w:rPr>
        <w:t>Older people receiving home care may depend on family, friends, nurses, social workers and local services. Clear communication and partnership coordinate support around their preferences; poor communication disrupts care. Bronfenbrenner’s model shows how relationships, services and the wider environment shape wellbeing, but does not prescribe care or identify the best intervention. Practitioners should consider these factors alongside personal wishes and experiences, using individual assessments and shared decisions rather than assumptions.</w:t>
      </w:r>
    </w:p>
    <w:p w14:paraId="49BE183D" w14:textId="67BA91DB" w:rsidR="001C362E" w:rsidRPr="000E4192" w:rsidRDefault="00ED59B2" w:rsidP="00055417">
      <w:pPr>
        <w:spacing w:line="360" w:lineRule="auto"/>
        <w:jc w:val="both"/>
        <w:rPr>
          <w:rFonts w:ascii="Arial" w:hAnsi="Arial" w:cs="Arial"/>
          <w:b/>
          <w:bCs/>
        </w:rPr>
      </w:pPr>
      <w:r>
        <w:rPr>
          <w:rFonts w:ascii="Arial" w:hAnsi="Arial" w:cs="Arial"/>
        </w:rPr>
        <w:t>Maslow helps practitioners identify individual needs and motivation, while Bronfenbrenner shows how relationships, services and environment shape care. For an older person seeking independence at home, Maslow guides assessment of physical, emotional and social needs; Bronfenbrenner highlights family, community resources and professional relationships. Together, they balance personal needs with environmental influences. Neither theory should be applied rigidly: person-centred care respects preferences, considers differing viewpoints and adapts support to individual circumstances.</w:t>
      </w:r>
    </w:p>
    <w:p w14:paraId="0B4EFC38" w14:textId="4204B5C5" w:rsidR="005C4695" w:rsidRDefault="009E22AB" w:rsidP="00BF2BA9">
      <w:pPr>
        <w:pStyle w:val="Heading1"/>
      </w:pPr>
      <w:bookmarkStart w:id="3" w:name="_Toc242486012"/>
      <w:r w:rsidRPr="009E22AB">
        <w:lastRenderedPageBreak/>
        <w:t>Ethical fundamentals</w:t>
      </w:r>
      <w:bookmarkEnd w:id="3"/>
    </w:p>
    <w:p w14:paraId="7A75F929" w14:textId="25BDF010" w:rsidR="00177950" w:rsidRPr="00177950" w:rsidRDefault="00177950" w:rsidP="00EB72A7">
      <w:pPr>
        <w:spacing w:line="360" w:lineRule="auto"/>
        <w:jc w:val="both"/>
        <w:rPr>
          <w:rFonts w:ascii="Arial" w:hAnsi="Arial" w:cs="Arial"/>
        </w:rPr>
      </w:pPr>
      <w:r w:rsidRPr="00177950">
        <w:rPr>
          <w:rFonts w:ascii="Arial" w:hAnsi="Arial" w:cs="Arial"/>
        </w:rPr>
        <w:t>Four core ethical principles guide responsible, fair practice in health and social care: autonomy, beneficence, non</w:t>
      </w:r>
      <w:r w:rsidRPr="00177950">
        <w:rPr>
          <w:rFonts w:ascii="Cambria Math" w:hAnsi="Cambria Math" w:cs="Cambria Math"/>
        </w:rPr>
        <w:t>‑</w:t>
      </w:r>
      <w:r w:rsidRPr="00177950">
        <w:rPr>
          <w:rFonts w:ascii="Arial" w:hAnsi="Arial" w:cs="Arial"/>
        </w:rPr>
        <w:t>maleficence, and justice (Beauchamp and Childress, 2019). Together they underpin person</w:t>
      </w:r>
      <w:r w:rsidRPr="00177950">
        <w:rPr>
          <w:rFonts w:ascii="Cambria Math" w:hAnsi="Cambria Math" w:cs="Cambria Math"/>
        </w:rPr>
        <w:t>‑</w:t>
      </w:r>
      <w:r w:rsidRPr="00177950">
        <w:rPr>
          <w:rFonts w:ascii="Arial" w:hAnsi="Arial" w:cs="Arial"/>
        </w:rPr>
        <w:t xml:space="preserve">centred care and effective partnership working, ensuring that services respect dignity, involve people in decisions, and distribute support </w:t>
      </w:r>
      <w:r w:rsidR="00D96473" w:rsidRPr="00177950">
        <w:rPr>
          <w:rFonts w:ascii="Arial" w:hAnsi="Arial" w:cs="Arial"/>
        </w:rPr>
        <w:t>fairly.</w:t>
      </w:r>
      <w:r w:rsidR="00D96473" w:rsidRPr="00D96473">
        <w:rPr>
          <w:rFonts w:ascii="Arial" w:hAnsi="Arial" w:cs="Arial"/>
        </w:rPr>
        <w:t xml:space="preserve"> NICE (2021) reinforces that shared decision</w:t>
      </w:r>
      <w:r w:rsidR="00D96473" w:rsidRPr="00D96473">
        <w:rPr>
          <w:rFonts w:ascii="Cambria Math" w:hAnsi="Cambria Math" w:cs="Cambria Math"/>
        </w:rPr>
        <w:t>‑</w:t>
      </w:r>
      <w:r w:rsidR="00D96473" w:rsidRPr="00D96473">
        <w:rPr>
          <w:rFonts w:ascii="Arial" w:hAnsi="Arial" w:cs="Arial"/>
        </w:rPr>
        <w:t>making supports autonomy by helping people weigh risks, benefits, and preferences before making informed choices about their care.</w:t>
      </w:r>
    </w:p>
    <w:p w14:paraId="6B39FAC2" w14:textId="7B584B53" w:rsidR="00177950" w:rsidRPr="00177950" w:rsidRDefault="00177950" w:rsidP="00EB72A7">
      <w:pPr>
        <w:spacing w:line="360" w:lineRule="auto"/>
        <w:jc w:val="both"/>
        <w:rPr>
          <w:rFonts w:ascii="Arial" w:hAnsi="Arial" w:cs="Arial"/>
        </w:rPr>
      </w:pPr>
      <w:r w:rsidRPr="00EB72A7">
        <w:rPr>
          <w:rFonts w:ascii="Arial" w:hAnsi="Arial" w:cs="Arial"/>
          <w:b/>
          <w:bCs/>
        </w:rPr>
        <w:t>Autonomy</w:t>
      </w:r>
      <w:r w:rsidRPr="00177950">
        <w:rPr>
          <w:rFonts w:ascii="Arial" w:hAnsi="Arial" w:cs="Arial"/>
        </w:rPr>
        <w:t xml:space="preserve"> means respecting an individual’s right to make informed choices about their own care and support.</w:t>
      </w:r>
      <w:r w:rsidR="00257789">
        <w:rPr>
          <w:rFonts w:ascii="Arial" w:hAnsi="Arial" w:cs="Arial"/>
        </w:rPr>
        <w:t xml:space="preserve"> </w:t>
      </w:r>
      <w:r w:rsidRPr="00EB72A7">
        <w:rPr>
          <w:rFonts w:ascii="Arial" w:hAnsi="Arial" w:cs="Arial"/>
          <w:b/>
          <w:bCs/>
        </w:rPr>
        <w:t>Beneficence</w:t>
      </w:r>
      <w:r w:rsidRPr="00177950">
        <w:rPr>
          <w:rFonts w:ascii="Arial" w:hAnsi="Arial" w:cs="Arial"/>
        </w:rPr>
        <w:t xml:space="preserve"> means acting in ways that promote the person’s wellbeing and best interests.</w:t>
      </w:r>
      <w:r w:rsidR="00257789">
        <w:rPr>
          <w:rFonts w:ascii="Arial" w:hAnsi="Arial" w:cs="Arial"/>
        </w:rPr>
        <w:t xml:space="preserve"> </w:t>
      </w:r>
      <w:r w:rsidRPr="00EB72A7">
        <w:rPr>
          <w:rFonts w:ascii="Arial" w:hAnsi="Arial" w:cs="Arial"/>
          <w:b/>
          <w:bCs/>
        </w:rPr>
        <w:t>Non</w:t>
      </w:r>
      <w:r w:rsidRPr="00EB72A7">
        <w:rPr>
          <w:rFonts w:ascii="Cambria Math" w:hAnsi="Cambria Math" w:cs="Cambria Math"/>
          <w:b/>
          <w:bCs/>
        </w:rPr>
        <w:t>‑</w:t>
      </w:r>
      <w:r w:rsidRPr="00EB72A7">
        <w:rPr>
          <w:rFonts w:ascii="Arial" w:hAnsi="Arial" w:cs="Arial"/>
          <w:b/>
          <w:bCs/>
        </w:rPr>
        <w:t>maleficence</w:t>
      </w:r>
      <w:r w:rsidRPr="00177950">
        <w:rPr>
          <w:rFonts w:ascii="Arial" w:hAnsi="Arial" w:cs="Arial"/>
        </w:rPr>
        <w:t xml:space="preserve"> means avoiding unnecessary harm and taking steps to prevent risk.</w:t>
      </w:r>
      <w:r w:rsidR="00257789">
        <w:rPr>
          <w:rFonts w:ascii="Arial" w:hAnsi="Arial" w:cs="Arial"/>
        </w:rPr>
        <w:t xml:space="preserve"> </w:t>
      </w:r>
      <w:r w:rsidRPr="00EB72A7">
        <w:rPr>
          <w:rFonts w:ascii="Arial" w:hAnsi="Arial" w:cs="Arial"/>
          <w:b/>
          <w:bCs/>
        </w:rPr>
        <w:t>Justice</w:t>
      </w:r>
      <w:r w:rsidRPr="00177950">
        <w:rPr>
          <w:rFonts w:ascii="Arial" w:hAnsi="Arial" w:cs="Arial"/>
        </w:rPr>
        <w:t xml:space="preserve"> means ensuring fairness, equality of access, and equitable treatment for </w:t>
      </w:r>
      <w:r w:rsidR="00310CA4" w:rsidRPr="00177950">
        <w:rPr>
          <w:rFonts w:ascii="Arial" w:hAnsi="Arial" w:cs="Arial"/>
        </w:rPr>
        <w:t>all. These</w:t>
      </w:r>
      <w:r w:rsidRPr="00177950">
        <w:rPr>
          <w:rFonts w:ascii="Arial" w:hAnsi="Arial" w:cs="Arial"/>
        </w:rPr>
        <w:t xml:space="preserve"> principles often overlap and can sometimes pull in different directions, creating genuine ethical dilemmas. Three common examples from community care illustrate how tensions arise and how they may be addressed:</w:t>
      </w:r>
    </w:p>
    <w:p w14:paraId="2A55DFA9" w14:textId="36444AE7" w:rsidR="00177950" w:rsidRPr="00177950" w:rsidRDefault="00191860" w:rsidP="00EB72A7">
      <w:pPr>
        <w:spacing w:line="360" w:lineRule="auto"/>
        <w:jc w:val="both"/>
        <w:rPr>
          <w:rFonts w:ascii="Arial" w:hAnsi="Arial" w:cs="Arial"/>
        </w:rPr>
      </w:pPr>
      <w:r>
        <w:rPr>
          <w:rFonts w:ascii="Arial" w:hAnsi="Arial" w:cs="Arial"/>
        </w:rPr>
        <w:t xml:space="preserve">An older person at significant risk of falls wishes to remain independent at home, reflecting their autonomy and right to dignity, privacy, and familiar surroundings. Family and professionals </w:t>
      </w:r>
      <w:r w:rsidR="00960FAA">
        <w:rPr>
          <w:rFonts w:ascii="Arial" w:hAnsi="Arial" w:cs="Arial"/>
        </w:rPr>
        <w:t>prioritise</w:t>
      </w:r>
      <w:r>
        <w:rPr>
          <w:rFonts w:ascii="Arial" w:hAnsi="Arial" w:cs="Arial"/>
        </w:rPr>
        <w:t xml:space="preserve"> safety, guided by beneficence and non-maleficence. The Mental Capacity Act 2005 presumes capacity; an unwise decision alone does not prove incapacity (Mental Capacity Act 2005). Discuss risks openly, consider adaptations such as grab rails, alarms, or more visits, and document the agreed plan. This respects their choice while taking reasonable steps to protect them.</w:t>
      </w:r>
    </w:p>
    <w:p w14:paraId="3B72218C" w14:textId="0880D763" w:rsidR="00177950" w:rsidRPr="00177950" w:rsidRDefault="00177950" w:rsidP="00EB72A7">
      <w:pPr>
        <w:spacing w:line="360" w:lineRule="auto"/>
        <w:jc w:val="both"/>
        <w:rPr>
          <w:rFonts w:ascii="Arial" w:hAnsi="Arial" w:cs="Arial"/>
        </w:rPr>
      </w:pPr>
      <w:r w:rsidRPr="00177950">
        <w:rPr>
          <w:rFonts w:ascii="Arial" w:hAnsi="Arial" w:cs="Arial"/>
        </w:rPr>
        <w:t>Second, someone receiving care declines help with personal hygiene despite staff concerns about skin integrity and infection risk. Here, autonomy protects their right to refuse, while beneficence and non</w:t>
      </w:r>
      <w:r w:rsidRPr="00177950">
        <w:rPr>
          <w:rFonts w:ascii="Cambria Math" w:hAnsi="Cambria Math" w:cs="Cambria Math"/>
        </w:rPr>
        <w:t>‑</w:t>
      </w:r>
      <w:r w:rsidRPr="00177950">
        <w:rPr>
          <w:rFonts w:ascii="Arial" w:hAnsi="Arial" w:cs="Arial"/>
        </w:rPr>
        <w:t xml:space="preserve">maleficence require safeguarding their health. Staff should explore the reasons behind the refusal embarrassment, loss of privacy, or discomfort with timing and offer alternatives such as different times of day, preferred staff, or partial support. Consent must be respected; capacity should </w:t>
      </w:r>
      <w:r w:rsidR="00EB72A7">
        <w:rPr>
          <w:rFonts w:ascii="Arial" w:hAnsi="Arial" w:cs="Arial"/>
        </w:rPr>
        <w:t>be questioned only on objective grounds</w:t>
      </w:r>
      <w:r w:rsidRPr="00177950">
        <w:rPr>
          <w:rFonts w:ascii="Arial" w:hAnsi="Arial" w:cs="Arial"/>
        </w:rPr>
        <w:t>, not simply because the decision seems unwise (CQC, 2025).</w:t>
      </w:r>
    </w:p>
    <w:p w14:paraId="247DD8D2" w14:textId="7B144B16" w:rsidR="00177950" w:rsidRPr="00177950" w:rsidRDefault="00177950" w:rsidP="00EB72A7">
      <w:pPr>
        <w:spacing w:line="360" w:lineRule="auto"/>
        <w:jc w:val="both"/>
        <w:rPr>
          <w:rFonts w:ascii="Arial" w:hAnsi="Arial" w:cs="Arial"/>
        </w:rPr>
      </w:pPr>
      <w:r w:rsidRPr="00177950">
        <w:rPr>
          <w:rFonts w:ascii="Arial" w:hAnsi="Arial" w:cs="Arial"/>
        </w:rPr>
        <w:lastRenderedPageBreak/>
        <w:t xml:space="preserve">Third, a relative asks a care worker for private details about an individual’s health and support, believing they are </w:t>
      </w:r>
      <w:r w:rsidR="00EB72A7">
        <w:rPr>
          <w:rFonts w:ascii="Arial" w:hAnsi="Arial" w:cs="Arial"/>
        </w:rPr>
        <w:t>protecting</w:t>
      </w:r>
      <w:r w:rsidRPr="00177950">
        <w:rPr>
          <w:rFonts w:ascii="Arial" w:hAnsi="Arial" w:cs="Arial"/>
        </w:rPr>
        <w:t xml:space="preserve"> them. This creates tension between partnership involvement and the individual’s right to confidentiality. The Health and Care Professions Council (HCPC, 2024) requires registrants to protect personal information and only share it with proper authority. The correct approach is to check what consent the individual has given, share only information </w:t>
      </w:r>
      <w:r w:rsidR="00EB72A7">
        <w:rPr>
          <w:rFonts w:ascii="Arial" w:hAnsi="Arial" w:cs="Arial"/>
        </w:rPr>
        <w:t xml:space="preserve">directly relevant to their care, and withhold or limit disclosure where the person has not agreed unless safeguarding concerns </w:t>
      </w:r>
      <w:r w:rsidRPr="00177950">
        <w:rPr>
          <w:rFonts w:ascii="Arial" w:hAnsi="Arial" w:cs="Arial"/>
        </w:rPr>
        <w:t>legally permit or require disclosure without consent.</w:t>
      </w:r>
    </w:p>
    <w:p w14:paraId="6D6C1E58" w14:textId="0AF3A56B" w:rsidR="00177950" w:rsidRPr="00177950" w:rsidRDefault="00177950" w:rsidP="007C3D84">
      <w:pPr>
        <w:spacing w:line="360" w:lineRule="auto"/>
        <w:jc w:val="both"/>
        <w:rPr>
          <w:rFonts w:ascii="Arial" w:hAnsi="Arial" w:cs="Arial"/>
        </w:rPr>
      </w:pPr>
      <w:r w:rsidRPr="00177950">
        <w:rPr>
          <w:rFonts w:ascii="Arial" w:hAnsi="Arial" w:cs="Arial"/>
        </w:rPr>
        <w:t>In all these scenarios, ethical practice means balancing principles rather than prioritising one above all others. It also means communicating clearly, listening to all perspectives, and documenting decisions transparently. The Care Act 2014 wellbeing principle and professional standards from bodies including the HCPC provide a consistent framework for this balanced, person</w:t>
      </w:r>
      <w:r w:rsidRPr="00177950">
        <w:rPr>
          <w:rFonts w:ascii="Cambria Math" w:hAnsi="Cambria Math" w:cs="Cambria Math"/>
        </w:rPr>
        <w:t>‑</w:t>
      </w:r>
      <w:r w:rsidRPr="00177950">
        <w:rPr>
          <w:rFonts w:ascii="Arial" w:hAnsi="Arial" w:cs="Arial"/>
        </w:rPr>
        <w:t>centred ethical approach.</w:t>
      </w:r>
    </w:p>
    <w:p w14:paraId="20DF3396" w14:textId="6DE8C931" w:rsidR="00353002" w:rsidRDefault="00353002" w:rsidP="00BF2BA9">
      <w:pPr>
        <w:pStyle w:val="Heading1"/>
      </w:pPr>
      <w:bookmarkStart w:id="4" w:name="_Toc242486013"/>
      <w:r w:rsidRPr="00353002">
        <w:t>Evaluation of Partnership Working</w:t>
      </w:r>
      <w:bookmarkEnd w:id="4"/>
    </w:p>
    <w:p w14:paraId="191B237E" w14:textId="2C485D1F" w:rsidR="00F827AC" w:rsidRPr="00F827AC" w:rsidRDefault="00F827AC" w:rsidP="00F827AC">
      <w:pPr>
        <w:spacing w:line="360" w:lineRule="auto"/>
        <w:jc w:val="both"/>
        <w:rPr>
          <w:rFonts w:ascii="Arial" w:hAnsi="Arial" w:cs="Arial"/>
        </w:rPr>
      </w:pPr>
      <w:r w:rsidRPr="00F827AC">
        <w:rPr>
          <w:rFonts w:ascii="Arial" w:hAnsi="Arial" w:cs="Arial"/>
        </w:rPr>
        <w:t>Partnership working (PW) involves different organisations, teams, and professionals collaborating to plan, deliver, and review care around the individual rather than around service boundaries. In England, Integrated Care Boards (ICBs) and Integrated Care Systems (ICSs) bring together NHS bodies, local authorities, and community partners to assess local needs and design coordinated services (NHS England, 2026). This is particularly important in community care, where a single individual may receive support from GPs, district nurses, social workers, domiciliary care providers, pharmacists, and voluntary groups</w:t>
      </w:r>
      <w:r>
        <w:rPr>
          <w:rFonts w:ascii="Arial" w:hAnsi="Arial" w:cs="Arial"/>
        </w:rPr>
        <w:t>,</w:t>
      </w:r>
      <w:r w:rsidRPr="00F827AC">
        <w:rPr>
          <w:rFonts w:ascii="Arial" w:hAnsi="Arial" w:cs="Arial"/>
        </w:rPr>
        <w:t xml:space="preserve"> each with separate responsibilities, records, and reporting structures.</w:t>
      </w:r>
    </w:p>
    <w:p w14:paraId="412D4F9F" w14:textId="32B652DA" w:rsidR="00F827AC" w:rsidRPr="00F827AC" w:rsidRDefault="00113E40" w:rsidP="00F827AC">
      <w:pPr>
        <w:spacing w:line="360" w:lineRule="auto"/>
        <w:jc w:val="both"/>
        <w:rPr>
          <w:rFonts w:ascii="Arial" w:hAnsi="Arial" w:cs="Arial"/>
        </w:rPr>
      </w:pPr>
      <w:r>
        <w:rPr>
          <w:rFonts w:ascii="Arial" w:hAnsi="Arial" w:cs="Arial"/>
        </w:rPr>
        <w:t>Effective partnership working gives teams a fuller picture of a person’s circumstances, avoids duplicate assessments, eases hospital-to-home transitions, and enables timely responses to changing needs. The Care Act 2014 legally requires local authorities and relevant partners to cooperate (Care Act 2014). Coordinated discharge planning among hospital, community nursing, and social care teams can reduce delayed transfers and readmissions.</w:t>
      </w:r>
    </w:p>
    <w:p w14:paraId="02545F1B" w14:textId="3A1BD747" w:rsidR="00F827AC" w:rsidRPr="00F827AC" w:rsidRDefault="00113E40" w:rsidP="00F827AC">
      <w:pPr>
        <w:spacing w:line="360" w:lineRule="auto"/>
        <w:jc w:val="both"/>
        <w:rPr>
          <w:rFonts w:ascii="Arial" w:hAnsi="Arial" w:cs="Arial"/>
        </w:rPr>
      </w:pPr>
      <w:r>
        <w:rPr>
          <w:rFonts w:ascii="Arial" w:hAnsi="Arial" w:cs="Arial"/>
        </w:rPr>
        <w:t xml:space="preserve">Nevertheless, collaboration faces major barriers. Incompatible IT systems, differing priorities and conflicting procedures can make information-sharing slow or unreliable. </w:t>
      </w:r>
      <w:r>
        <w:rPr>
          <w:rFonts w:ascii="Arial" w:hAnsi="Arial" w:cs="Arial"/>
        </w:rPr>
        <w:lastRenderedPageBreak/>
        <w:t>Changing roles may leave gaps in support or duplicate effort. Partnerships also often lack the shared accountability, leadership and sustainable funding needed to embed change beyond short-term projects (</w:t>
      </w:r>
      <w:r w:rsidR="00CC3E45" w:rsidRPr="00CC3E45">
        <w:rPr>
          <w:rFonts w:ascii="Arial" w:hAnsi="Arial" w:cs="Arial"/>
        </w:rPr>
        <w:t>Ross, S., Jabbal, J. and Blythe, N.</w:t>
      </w:r>
      <w:r w:rsidR="00CC3E45">
        <w:rPr>
          <w:rFonts w:ascii="Arial" w:hAnsi="Arial" w:cs="Arial"/>
        </w:rPr>
        <w:t>,</w:t>
      </w:r>
      <w:r w:rsidR="00CC3E45" w:rsidRPr="00CC3E45">
        <w:rPr>
          <w:rFonts w:ascii="Arial" w:hAnsi="Arial" w:cs="Arial"/>
        </w:rPr>
        <w:t xml:space="preserve"> (2025</w:t>
      </w:r>
      <w:r>
        <w:rPr>
          <w:rFonts w:ascii="Arial" w:hAnsi="Arial" w:cs="Arial"/>
        </w:rPr>
        <w:t>). Service users and families may worry that sharing information compromises privacy or control over their data.</w:t>
      </w:r>
    </w:p>
    <w:p w14:paraId="760356E7" w14:textId="551827A1" w:rsidR="00F827AC" w:rsidRPr="00F827AC" w:rsidRDefault="00FC313E" w:rsidP="00F827AC">
      <w:pPr>
        <w:spacing w:line="360" w:lineRule="auto"/>
        <w:jc w:val="both"/>
        <w:rPr>
          <w:rFonts w:ascii="Arial" w:hAnsi="Arial" w:cs="Arial"/>
        </w:rPr>
      </w:pPr>
      <w:r>
        <w:rPr>
          <w:rFonts w:ascii="Arial" w:hAnsi="Arial" w:cs="Arial"/>
        </w:rPr>
        <w:t>Successful partnership working must be person-centred in both design and practice. Professionals must involve service users and their chosen representatives in key discussions, ensuring collaboration reflects the person’s preferences</w:t>
      </w:r>
      <w:r w:rsidR="00EF1770">
        <w:rPr>
          <w:rFonts w:ascii="Arial" w:hAnsi="Arial" w:cs="Arial"/>
        </w:rPr>
        <w:t>,</w:t>
      </w:r>
      <w:r w:rsidR="00710A97">
        <w:rPr>
          <w:rFonts w:ascii="Arial" w:hAnsi="Arial" w:cs="Arial"/>
        </w:rPr>
        <w:t xml:space="preserve"> </w:t>
      </w:r>
      <w:r>
        <w:rPr>
          <w:rFonts w:ascii="Arial" w:hAnsi="Arial" w:cs="Arial"/>
        </w:rPr>
        <w:t>not just operational efficiency. This is especially vital in community care, where support at home can otherwise become professionally dominated.</w:t>
      </w:r>
    </w:p>
    <w:p w14:paraId="030B9021" w14:textId="21D575EE" w:rsidR="004A2A9A" w:rsidRDefault="004A2A9A" w:rsidP="00BF2BA9">
      <w:pPr>
        <w:pStyle w:val="Heading1"/>
      </w:pPr>
      <w:bookmarkStart w:id="5" w:name="_Toc242486014"/>
      <w:r w:rsidRPr="004A2A9A">
        <w:t>Policy and Legislation</w:t>
      </w:r>
      <w:bookmarkEnd w:id="5"/>
    </w:p>
    <w:p w14:paraId="3D443853" w14:textId="77875558" w:rsidR="00FE73FE" w:rsidRPr="00FE73FE" w:rsidRDefault="008D68A6" w:rsidP="00FE73FE">
      <w:pPr>
        <w:spacing w:line="360" w:lineRule="auto"/>
        <w:jc w:val="both"/>
        <w:rPr>
          <w:rFonts w:ascii="Arial" w:hAnsi="Arial" w:cs="Arial"/>
        </w:rPr>
      </w:pPr>
      <w:r>
        <w:rPr>
          <w:rFonts w:ascii="Arial" w:hAnsi="Arial" w:cs="Arial"/>
        </w:rPr>
        <w:t>A strong legislative framework supports person-centred care and partnership working throughout England:</w:t>
      </w:r>
    </w:p>
    <w:p w14:paraId="7D318FB5" w14:textId="691D85DE" w:rsidR="00FE73FE" w:rsidRPr="00FE73FE" w:rsidRDefault="00FE73FE" w:rsidP="00FE73FE">
      <w:pPr>
        <w:spacing w:line="360" w:lineRule="auto"/>
        <w:jc w:val="both"/>
        <w:rPr>
          <w:rFonts w:ascii="Arial" w:hAnsi="Arial" w:cs="Arial"/>
        </w:rPr>
      </w:pPr>
      <w:r w:rsidRPr="00FE73FE">
        <w:rPr>
          <w:rFonts w:ascii="Arial" w:hAnsi="Arial" w:cs="Arial"/>
          <w:b/>
          <w:bCs/>
        </w:rPr>
        <w:t>Care Act 2014</w:t>
      </w:r>
      <w:r>
        <w:rPr>
          <w:rFonts w:ascii="Arial" w:hAnsi="Arial" w:cs="Arial"/>
          <w:b/>
          <w:bCs/>
        </w:rPr>
        <w:t>:</w:t>
      </w:r>
      <w:r w:rsidRPr="00FE73FE">
        <w:rPr>
          <w:rFonts w:ascii="Arial" w:hAnsi="Arial" w:cs="Arial"/>
        </w:rPr>
        <w:t xml:space="preserve"> The cornerstone legislation for adult social care in England. Section 1 establishes the wellbeing principle, requiring local authorities to promote the individual’s views, wishes, dignity, independence, and control when making any decision about care and support (Department of Health and Social Care, 2025). Care planning must focus on the outcomes the person wants to achieve rather than on standard service provision.</w:t>
      </w:r>
    </w:p>
    <w:p w14:paraId="7162FE80" w14:textId="33EA6FDF" w:rsidR="00FE73FE" w:rsidRPr="00FE73FE" w:rsidRDefault="00FE73FE" w:rsidP="00FE73FE">
      <w:pPr>
        <w:spacing w:line="360" w:lineRule="auto"/>
        <w:jc w:val="both"/>
        <w:rPr>
          <w:rFonts w:ascii="Arial" w:hAnsi="Arial" w:cs="Arial"/>
        </w:rPr>
      </w:pPr>
      <w:r w:rsidRPr="00FE73FE">
        <w:rPr>
          <w:rFonts w:ascii="Arial" w:hAnsi="Arial" w:cs="Arial"/>
          <w:b/>
          <w:bCs/>
        </w:rPr>
        <w:t>Health and Care Act 2022</w:t>
      </w:r>
      <w:r w:rsidRPr="00FE73FE">
        <w:rPr>
          <w:rFonts w:ascii="Arial" w:hAnsi="Arial" w:cs="Arial"/>
        </w:rPr>
        <w:t xml:space="preserve"> </w:t>
      </w:r>
      <w:r>
        <w:rPr>
          <w:rFonts w:ascii="Arial" w:hAnsi="Arial" w:cs="Arial"/>
        </w:rPr>
        <w:t>strengthened</w:t>
      </w:r>
      <w:r w:rsidRPr="00FE73FE">
        <w:rPr>
          <w:rFonts w:ascii="Arial" w:hAnsi="Arial" w:cs="Arial"/>
        </w:rPr>
        <w:t xml:space="preserve"> the legal basis for Integrated Care Boards and placed a duty on them to involve service users and communities in planning, reduce health inequalities, and promote person</w:t>
      </w:r>
      <w:r w:rsidRPr="00FE73FE">
        <w:rPr>
          <w:rFonts w:ascii="Cambria Math" w:hAnsi="Cambria Math" w:cs="Cambria Math"/>
        </w:rPr>
        <w:t>‑</w:t>
      </w:r>
      <w:r w:rsidRPr="00FE73FE">
        <w:rPr>
          <w:rFonts w:ascii="Arial" w:hAnsi="Arial" w:cs="Arial"/>
        </w:rPr>
        <w:t>centred choice (Health and Care Act 2022). It aims to remove barriers between health and social care, supporting joined</w:t>
      </w:r>
      <w:r w:rsidRPr="00FE73FE">
        <w:rPr>
          <w:rFonts w:ascii="Cambria Math" w:hAnsi="Cambria Math" w:cs="Cambria Math"/>
        </w:rPr>
        <w:t>‑</w:t>
      </w:r>
      <w:r w:rsidRPr="00FE73FE">
        <w:rPr>
          <w:rFonts w:ascii="Arial" w:hAnsi="Arial" w:cs="Arial"/>
        </w:rPr>
        <w:t>up commissioning and delivery.</w:t>
      </w:r>
    </w:p>
    <w:p w14:paraId="7DCA5621" w14:textId="575FD148" w:rsidR="00FE73FE" w:rsidRPr="00FE73FE" w:rsidRDefault="00FE73FE" w:rsidP="00FE73FE">
      <w:pPr>
        <w:spacing w:line="360" w:lineRule="auto"/>
        <w:jc w:val="both"/>
        <w:rPr>
          <w:rFonts w:ascii="Arial" w:hAnsi="Arial" w:cs="Arial"/>
        </w:rPr>
      </w:pPr>
      <w:r w:rsidRPr="00FE73FE">
        <w:rPr>
          <w:rFonts w:ascii="Arial" w:hAnsi="Arial" w:cs="Arial"/>
          <w:b/>
          <w:bCs/>
        </w:rPr>
        <w:t>Health and Social Care Act 2012</w:t>
      </w:r>
      <w:r w:rsidRPr="00FE73FE">
        <w:rPr>
          <w:rFonts w:ascii="Arial" w:hAnsi="Arial" w:cs="Arial"/>
        </w:rPr>
        <w:t xml:space="preserve"> </w:t>
      </w:r>
      <w:r>
        <w:rPr>
          <w:rFonts w:ascii="Arial" w:hAnsi="Arial" w:cs="Arial"/>
        </w:rPr>
        <w:t>introduced</w:t>
      </w:r>
      <w:r w:rsidRPr="00FE73FE">
        <w:rPr>
          <w:rFonts w:ascii="Arial" w:hAnsi="Arial" w:cs="Arial"/>
        </w:rPr>
        <w:t xml:space="preserve"> duties to reduce health inequalities, increase public and patient involvement, and promote integrated working. These continue to support PCC by encouraging shared decision</w:t>
      </w:r>
      <w:r w:rsidRPr="00FE73FE">
        <w:rPr>
          <w:rFonts w:ascii="Cambria Math" w:hAnsi="Cambria Math" w:cs="Cambria Math"/>
        </w:rPr>
        <w:t>‑</w:t>
      </w:r>
      <w:r w:rsidRPr="00FE73FE">
        <w:rPr>
          <w:rFonts w:ascii="Arial" w:hAnsi="Arial" w:cs="Arial"/>
        </w:rPr>
        <w:t>making and service alignment across providers.</w:t>
      </w:r>
    </w:p>
    <w:p w14:paraId="565723E7" w14:textId="7D1AB916" w:rsidR="00FE73FE" w:rsidRPr="00FE73FE" w:rsidRDefault="00FE73FE" w:rsidP="00FE73FE">
      <w:pPr>
        <w:spacing w:line="360" w:lineRule="auto"/>
        <w:jc w:val="both"/>
        <w:rPr>
          <w:rFonts w:ascii="Arial" w:hAnsi="Arial" w:cs="Arial"/>
        </w:rPr>
      </w:pPr>
      <w:r w:rsidRPr="00FE73FE">
        <w:rPr>
          <w:rFonts w:ascii="Arial" w:hAnsi="Arial" w:cs="Arial"/>
          <w:b/>
          <w:bCs/>
        </w:rPr>
        <w:t>Equality Act 2010</w:t>
      </w:r>
      <w:r w:rsidRPr="00FE73FE">
        <w:rPr>
          <w:rFonts w:ascii="Arial" w:hAnsi="Arial" w:cs="Arial"/>
        </w:rPr>
        <w:t xml:space="preserve"> </w:t>
      </w:r>
      <w:r>
        <w:rPr>
          <w:rFonts w:ascii="Arial" w:hAnsi="Arial" w:cs="Arial"/>
        </w:rPr>
        <w:t>prohibits</w:t>
      </w:r>
      <w:r w:rsidRPr="00FE73FE">
        <w:rPr>
          <w:rFonts w:ascii="Arial" w:hAnsi="Arial" w:cs="Arial"/>
        </w:rPr>
        <w:t xml:space="preserve"> discrimination, harassment, and victimisation in service provision and places a legal duty to make reasonable adjustments so that people with </w:t>
      </w:r>
      <w:r w:rsidRPr="00FE73FE">
        <w:rPr>
          <w:rFonts w:ascii="Arial" w:hAnsi="Arial" w:cs="Arial"/>
        </w:rPr>
        <w:lastRenderedPageBreak/>
        <w:t>disabilities can access care on an equal basis. In community care, this may mean providing information in accessible formats, adapting communication styles, or altering visiting schedules to meet needs.</w:t>
      </w:r>
    </w:p>
    <w:p w14:paraId="68092EC1" w14:textId="0CA635BA" w:rsidR="00FE73FE" w:rsidRPr="00FE73FE" w:rsidRDefault="00FE73FE" w:rsidP="00FE73FE">
      <w:pPr>
        <w:spacing w:line="360" w:lineRule="auto"/>
        <w:jc w:val="both"/>
        <w:rPr>
          <w:rFonts w:ascii="Arial" w:hAnsi="Arial" w:cs="Arial"/>
        </w:rPr>
      </w:pPr>
      <w:r w:rsidRPr="00FE73FE">
        <w:rPr>
          <w:rFonts w:ascii="Arial" w:hAnsi="Arial" w:cs="Arial"/>
          <w:b/>
          <w:bCs/>
        </w:rPr>
        <w:t>Human Rights Act 1998</w:t>
      </w:r>
      <w:r w:rsidRPr="00FE73FE">
        <w:rPr>
          <w:rFonts w:ascii="Arial" w:hAnsi="Arial" w:cs="Arial"/>
        </w:rPr>
        <w:t xml:space="preserve"> Article 8 protects respect for private and family life, home, and correspondence (Human Rights Act 1998). This is directly relevant to care delivered in a person’s own home, reinforcing rights to privacy, dignity, and personal choice.</w:t>
      </w:r>
    </w:p>
    <w:p w14:paraId="284BE830" w14:textId="4BC43B4F" w:rsidR="00E8124D" w:rsidRPr="00E8124D" w:rsidRDefault="00FC313E" w:rsidP="00FE73FE">
      <w:pPr>
        <w:spacing w:line="360" w:lineRule="auto"/>
        <w:jc w:val="both"/>
        <w:rPr>
          <w:rFonts w:ascii="Arial" w:hAnsi="Arial" w:cs="Arial"/>
        </w:rPr>
      </w:pPr>
      <w:r>
        <w:rPr>
          <w:rFonts w:ascii="Arial" w:hAnsi="Arial" w:cs="Arial"/>
        </w:rPr>
        <w:t>These laws provide a strong statutory foundation, but legislation alone cannot transform practice. Incompatible records, staff shortages, budget limits, and entrenched cultures can prevent consistent realisation of rights in community care. Although integrated discharge pathways are encouraged, staffing pressures may delay assessments or limit time to explain options. Policy sets direction; sustained commitment, resources, and leadership make person-centred, collaborative care routine.</w:t>
      </w:r>
    </w:p>
    <w:p w14:paraId="29778520" w14:textId="7E4EABD9" w:rsidR="003C7DAA" w:rsidRPr="003C7DAA" w:rsidRDefault="006B6C2A" w:rsidP="00BF2BA9">
      <w:pPr>
        <w:pStyle w:val="Heading1"/>
      </w:pPr>
      <w:bookmarkStart w:id="6" w:name="_Toc242486015"/>
      <w:r>
        <w:t>R</w:t>
      </w:r>
      <w:r w:rsidR="003C7DAA" w:rsidRPr="003C7DAA">
        <w:t>ecommendations</w:t>
      </w:r>
      <w:bookmarkEnd w:id="6"/>
    </w:p>
    <w:p w14:paraId="71CC1C80" w14:textId="685B7987" w:rsidR="007928D6" w:rsidRDefault="000B0999" w:rsidP="004B08B8">
      <w:pPr>
        <w:spacing w:line="360" w:lineRule="auto"/>
        <w:jc w:val="both"/>
        <w:rPr>
          <w:rFonts w:ascii="Arial" w:hAnsi="Arial" w:cs="Arial"/>
        </w:rPr>
      </w:pPr>
      <w:r>
        <w:rPr>
          <w:rFonts w:ascii="Arial" w:hAnsi="Arial" w:cs="Arial"/>
        </w:rPr>
        <w:t xml:space="preserve">Community care providers should train staff in person-centred care, communication and shared decision-making to involve individuals in care planning and meet their </w:t>
      </w:r>
      <w:r w:rsidR="00E8453C">
        <w:rPr>
          <w:rFonts w:ascii="Arial" w:hAnsi="Arial" w:cs="Arial"/>
        </w:rPr>
        <w:t>needs.</w:t>
      </w:r>
      <w:r w:rsidR="00E8453C" w:rsidRPr="00E8453C">
        <w:rPr>
          <w:rFonts w:ascii="Arial" w:hAnsi="Arial" w:cs="Arial"/>
        </w:rPr>
        <w:t xml:space="preserve"> NICE (2021) highlights that shared decision</w:t>
      </w:r>
      <w:r w:rsidR="00E8453C" w:rsidRPr="00E8453C">
        <w:rPr>
          <w:rFonts w:ascii="Cambria Math" w:hAnsi="Cambria Math" w:cs="Cambria Math"/>
        </w:rPr>
        <w:t>‑</w:t>
      </w:r>
      <w:r w:rsidR="00E8453C" w:rsidRPr="00E8453C">
        <w:rPr>
          <w:rFonts w:ascii="Arial" w:hAnsi="Arial" w:cs="Arial"/>
        </w:rPr>
        <w:t>making improves involvement and leads to better care experiences, making it an essential skill for community care staff.</w:t>
      </w:r>
      <w:r>
        <w:rPr>
          <w:rFonts w:ascii="Arial" w:hAnsi="Arial" w:cs="Arial"/>
        </w:rPr>
        <w:t xml:space="preserve"> Skills for Care (2025) highlights workforce development as key to improving adult social </w:t>
      </w:r>
      <w:r w:rsidR="00E043EF">
        <w:rPr>
          <w:rFonts w:ascii="Arial" w:hAnsi="Arial" w:cs="Arial"/>
        </w:rPr>
        <w:t>care. Services</w:t>
      </w:r>
      <w:r>
        <w:rPr>
          <w:rFonts w:ascii="Arial" w:hAnsi="Arial" w:cs="Arial"/>
        </w:rPr>
        <w:t xml:space="preserve"> should strengthen information-sharing between health and social care professionals. Digital care records can reduce repeated assessments and improve </w:t>
      </w:r>
      <w:r w:rsidR="00E043EF">
        <w:rPr>
          <w:rFonts w:ascii="Arial" w:hAnsi="Arial" w:cs="Arial"/>
        </w:rPr>
        <w:t>continuity but</w:t>
      </w:r>
      <w:r>
        <w:rPr>
          <w:rFonts w:ascii="Arial" w:hAnsi="Arial" w:cs="Arial"/>
        </w:rPr>
        <w:t xml:space="preserve"> must not replace personal communication or exclude people with limited digital skills (Skills for Care, 2025).</w:t>
      </w:r>
    </w:p>
    <w:p w14:paraId="58E3BF57" w14:textId="344443E3" w:rsidR="004B08B8" w:rsidRPr="006B6C2A" w:rsidRDefault="00E043EF" w:rsidP="004B08B8">
      <w:pPr>
        <w:spacing w:line="360" w:lineRule="auto"/>
        <w:jc w:val="both"/>
        <w:rPr>
          <w:rFonts w:ascii="Arial" w:hAnsi="Arial" w:cs="Arial"/>
        </w:rPr>
      </w:pPr>
      <w:r>
        <w:rPr>
          <w:rFonts w:ascii="Arial" w:hAnsi="Arial" w:cs="Arial"/>
        </w:rPr>
        <w:t>Finally, community care services should involve individuals, caregivers, and relevant professionals in care planning. NHS England (2026) stresses active community participation in health and care. Regular communication and clear roles can improve coordination and reduce delays. Since workforce and resources are limited, implement changes gradually and evaluate them frequently.</w:t>
      </w:r>
    </w:p>
    <w:p w14:paraId="5439F457" w14:textId="7CE42EC9" w:rsidR="00417DC7" w:rsidRDefault="00417DC7" w:rsidP="00BF2BA9">
      <w:pPr>
        <w:pStyle w:val="Heading1"/>
      </w:pPr>
      <w:bookmarkStart w:id="7" w:name="_Toc242486016"/>
      <w:r w:rsidRPr="00417DC7">
        <w:lastRenderedPageBreak/>
        <w:t>Conclusion</w:t>
      </w:r>
      <w:bookmarkEnd w:id="7"/>
    </w:p>
    <w:p w14:paraId="2031D8FB" w14:textId="37D4ED56" w:rsidR="009938CC" w:rsidRPr="007C3D84" w:rsidRDefault="008E7A9F" w:rsidP="007C3D84">
      <w:pPr>
        <w:spacing w:line="360" w:lineRule="auto"/>
        <w:jc w:val="both"/>
        <w:rPr>
          <w:rFonts w:ascii="Arial" w:hAnsi="Arial" w:cs="Arial"/>
        </w:rPr>
      </w:pPr>
      <w:r w:rsidRPr="007C3D84">
        <w:rPr>
          <w:rFonts w:ascii="Arial" w:hAnsi="Arial" w:cs="Arial"/>
        </w:rPr>
        <w:t>Person-centred care and partnership working are essential to high-quality community care, tailoring support to individual needs, preferences, values and wellbeing rather than standard routines. Guided by holistic frameworks such as Maslow’s hierarchy of needs and Bronfenbrenner’s ecological model, practice balances autonomy, beneficence, non-maleficence and justice with personal choice, safety and fairness. Collaboration across health, social care and voluntary organisations, including Integrated Care Systems, improves coordination and continuity, though communication gaps, organisational differences and resource shortages remain. The Care Act 2014, Health and Care Act 2022, Equality Act 2010 and Human Rights Act 1998 require collaborative, person-centred practice, which depends on sustained commitment and adequate resources. Recommendations include workforce training, accessible information-sharing and meaningful involvement of service users and carers, alongside action on resource constraints and limited digital access. These practices uphold dignity and rights, promote independence and ensure care reflects what matters to recipients.</w:t>
      </w:r>
    </w:p>
    <w:p w14:paraId="6C1B26DA" w14:textId="77777777" w:rsidR="00466DC5" w:rsidRDefault="00466DC5" w:rsidP="00267230">
      <w:pPr>
        <w:rPr>
          <w:rFonts w:ascii="Arial" w:hAnsi="Arial" w:cs="Arial"/>
          <w:b/>
          <w:bCs/>
          <w:u w:val="single"/>
        </w:rPr>
      </w:pPr>
    </w:p>
    <w:p w14:paraId="07269ECF" w14:textId="77777777" w:rsidR="00466DC5" w:rsidRDefault="00466DC5" w:rsidP="00267230">
      <w:pPr>
        <w:rPr>
          <w:rFonts w:ascii="Arial" w:hAnsi="Arial" w:cs="Arial"/>
          <w:b/>
          <w:bCs/>
          <w:u w:val="single"/>
        </w:rPr>
      </w:pPr>
    </w:p>
    <w:p w14:paraId="77315CF6" w14:textId="77777777" w:rsidR="00466DC5" w:rsidRDefault="00466DC5" w:rsidP="00267230">
      <w:pPr>
        <w:rPr>
          <w:rFonts w:ascii="Arial" w:hAnsi="Arial" w:cs="Arial"/>
          <w:b/>
          <w:bCs/>
          <w:u w:val="single"/>
        </w:rPr>
      </w:pPr>
    </w:p>
    <w:p w14:paraId="09AAA69B" w14:textId="77777777" w:rsidR="00466DC5" w:rsidRDefault="00466DC5" w:rsidP="00267230">
      <w:pPr>
        <w:rPr>
          <w:rFonts w:ascii="Arial" w:hAnsi="Arial" w:cs="Arial"/>
          <w:b/>
          <w:bCs/>
          <w:u w:val="single"/>
        </w:rPr>
      </w:pPr>
    </w:p>
    <w:p w14:paraId="3A43BBF1" w14:textId="77777777" w:rsidR="00466DC5" w:rsidRDefault="00466DC5" w:rsidP="00267230">
      <w:pPr>
        <w:rPr>
          <w:rFonts w:ascii="Arial" w:hAnsi="Arial" w:cs="Arial"/>
          <w:b/>
          <w:bCs/>
          <w:u w:val="single"/>
        </w:rPr>
      </w:pPr>
    </w:p>
    <w:p w14:paraId="05146448" w14:textId="77777777" w:rsidR="00466DC5" w:rsidRDefault="00466DC5" w:rsidP="00267230">
      <w:pPr>
        <w:rPr>
          <w:rFonts w:ascii="Arial" w:hAnsi="Arial" w:cs="Arial"/>
          <w:b/>
          <w:bCs/>
          <w:u w:val="single"/>
        </w:rPr>
      </w:pPr>
    </w:p>
    <w:p w14:paraId="1548CE94" w14:textId="77777777" w:rsidR="00466DC5" w:rsidRDefault="00466DC5" w:rsidP="00267230">
      <w:pPr>
        <w:rPr>
          <w:rFonts w:ascii="Arial" w:hAnsi="Arial" w:cs="Arial"/>
          <w:b/>
          <w:bCs/>
          <w:u w:val="single"/>
        </w:rPr>
      </w:pPr>
    </w:p>
    <w:p w14:paraId="7B36AD13" w14:textId="77777777" w:rsidR="00F57500" w:rsidRDefault="00F57500" w:rsidP="00267230">
      <w:pPr>
        <w:rPr>
          <w:rFonts w:ascii="Arial" w:hAnsi="Arial" w:cs="Arial"/>
          <w:b/>
          <w:bCs/>
          <w:u w:val="single"/>
        </w:rPr>
      </w:pPr>
    </w:p>
    <w:p w14:paraId="72EC3D79" w14:textId="77777777" w:rsidR="00147698" w:rsidRDefault="00147698" w:rsidP="00267230">
      <w:pPr>
        <w:rPr>
          <w:rFonts w:ascii="Arial" w:hAnsi="Arial" w:cs="Arial"/>
          <w:b/>
          <w:bCs/>
          <w:u w:val="single"/>
        </w:rPr>
      </w:pPr>
    </w:p>
    <w:p w14:paraId="39D10E37" w14:textId="77777777" w:rsidR="00147698" w:rsidRDefault="00147698" w:rsidP="00267230">
      <w:pPr>
        <w:rPr>
          <w:rFonts w:ascii="Arial" w:hAnsi="Arial" w:cs="Arial"/>
          <w:b/>
          <w:bCs/>
          <w:u w:val="single"/>
        </w:rPr>
      </w:pPr>
    </w:p>
    <w:p w14:paraId="2F28B3B2" w14:textId="77777777" w:rsidR="006D76A9" w:rsidRDefault="006D76A9" w:rsidP="00BF2BA9">
      <w:pPr>
        <w:pStyle w:val="Heading1"/>
      </w:pPr>
      <w:bookmarkStart w:id="8" w:name="_Toc242486017"/>
    </w:p>
    <w:p w14:paraId="00455A9E" w14:textId="0EB0C956" w:rsidR="00FA73CB" w:rsidRPr="00F82740" w:rsidRDefault="004C4BB9" w:rsidP="00BF2BA9">
      <w:pPr>
        <w:pStyle w:val="Heading1"/>
      </w:pPr>
      <w:r>
        <w:t>R</w:t>
      </w:r>
      <w:r w:rsidR="000A6FFC" w:rsidRPr="0045265E">
        <w:t>eferences</w:t>
      </w:r>
      <w:bookmarkEnd w:id="8"/>
    </w:p>
    <w:p w14:paraId="20F03AF4" w14:textId="77777777" w:rsidR="007D1D01" w:rsidRPr="003A67D5" w:rsidRDefault="007D1D01" w:rsidP="009D6F0D">
      <w:pPr>
        <w:spacing w:line="360" w:lineRule="auto"/>
        <w:rPr>
          <w:rFonts w:ascii="Arial" w:hAnsi="Arial" w:cs="Arial"/>
        </w:rPr>
      </w:pPr>
      <w:r w:rsidRPr="003A67D5">
        <w:rPr>
          <w:rFonts w:ascii="Arial" w:hAnsi="Arial" w:cs="Arial"/>
        </w:rPr>
        <w:t xml:space="preserve">Beauchamp, T.L. and Childress, J.F. (2019). </w:t>
      </w:r>
      <w:r w:rsidRPr="003A67D5">
        <w:rPr>
          <w:rFonts w:ascii="Arial" w:hAnsi="Arial" w:cs="Arial"/>
          <w:i/>
          <w:iCs/>
        </w:rPr>
        <w:t>Principles of Biomedical Ethics</w:t>
      </w:r>
      <w:r w:rsidRPr="003A67D5">
        <w:rPr>
          <w:rFonts w:ascii="Arial" w:hAnsi="Arial" w:cs="Arial"/>
        </w:rPr>
        <w:t>. 7th ed. New York, N.Y.: Oxford University Press.</w:t>
      </w:r>
    </w:p>
    <w:p w14:paraId="3B126C12" w14:textId="77777777" w:rsidR="007D1D01" w:rsidRPr="007C2CF0" w:rsidRDefault="007D1D01" w:rsidP="007C2CF0">
      <w:pPr>
        <w:spacing w:line="360" w:lineRule="auto"/>
        <w:rPr>
          <w:rFonts w:ascii="Arial" w:hAnsi="Arial" w:cs="Arial"/>
        </w:rPr>
      </w:pPr>
      <w:r w:rsidRPr="007C2CF0">
        <w:rPr>
          <w:rFonts w:ascii="Arial" w:hAnsi="Arial" w:cs="Arial"/>
        </w:rPr>
        <w:t xml:space="preserve">Bronfenbrenner, U. (1979). </w:t>
      </w:r>
      <w:r w:rsidRPr="007C2CF0">
        <w:rPr>
          <w:rFonts w:ascii="Arial" w:hAnsi="Arial" w:cs="Arial"/>
          <w:i/>
          <w:iCs/>
        </w:rPr>
        <w:t>The ecology of human development</w:t>
      </w:r>
      <w:r w:rsidRPr="007C2CF0">
        <w:rPr>
          <w:rFonts w:ascii="Arial" w:hAnsi="Arial" w:cs="Arial"/>
        </w:rPr>
        <w:t xml:space="preserve">. </w:t>
      </w:r>
      <w:r w:rsidRPr="007C2CF0">
        <w:rPr>
          <w:rFonts w:ascii="Arial" w:hAnsi="Arial" w:cs="Arial"/>
          <w:i/>
          <w:iCs/>
        </w:rPr>
        <w:t>Harvard University Press eBooks</w:t>
      </w:r>
      <w:r w:rsidRPr="007C2CF0">
        <w:rPr>
          <w:rFonts w:ascii="Arial" w:hAnsi="Arial" w:cs="Arial"/>
        </w:rPr>
        <w:t>. Harvard University Press. doi:10.4159/9780674028845.</w:t>
      </w:r>
    </w:p>
    <w:p w14:paraId="4CC8C8AD" w14:textId="77777777" w:rsidR="007D1D01" w:rsidRPr="003A67D5" w:rsidRDefault="007D1D01" w:rsidP="00D6690A">
      <w:pPr>
        <w:spacing w:line="360" w:lineRule="auto"/>
        <w:rPr>
          <w:rFonts w:ascii="Arial" w:hAnsi="Arial" w:cs="Arial"/>
        </w:rPr>
      </w:pPr>
      <w:r w:rsidRPr="003A67D5">
        <w:rPr>
          <w:rFonts w:ascii="Arial" w:hAnsi="Arial" w:cs="Arial"/>
        </w:rPr>
        <w:t>Care Quality Commission (2025)</w:t>
      </w:r>
      <w:r>
        <w:rPr>
          <w:rFonts w:ascii="Arial" w:hAnsi="Arial" w:cs="Arial"/>
        </w:rPr>
        <w:t>. Regulation 9: Person-centred</w:t>
      </w:r>
      <w:r w:rsidRPr="003A67D5">
        <w:rPr>
          <w:rFonts w:ascii="Arial" w:hAnsi="Arial" w:cs="Arial"/>
          <w:i/>
          <w:iCs/>
        </w:rPr>
        <w:t xml:space="preserve"> care</w:t>
      </w:r>
      <w:r w:rsidRPr="003A67D5">
        <w:rPr>
          <w:rFonts w:ascii="Arial" w:hAnsi="Arial" w:cs="Arial"/>
        </w:rPr>
        <w:t xml:space="preserve">. Available at: </w:t>
      </w:r>
      <w:hyperlink r:id="rId11" w:tgtFrame="_new" w:history="1">
        <w:r w:rsidRPr="003A67D5">
          <w:rPr>
            <w:rStyle w:val="Hyperlink"/>
            <w:rFonts w:ascii="Arial" w:hAnsi="Arial" w:cs="Arial"/>
          </w:rPr>
          <w:t>https://www.cqc.org.uk/guidance-regulation/providers/regulations-service-providers-and-managers/health-social-care-act/regulation-9</w:t>
        </w:r>
      </w:hyperlink>
      <w:r w:rsidRPr="003A67D5">
        <w:rPr>
          <w:rFonts w:ascii="Arial" w:hAnsi="Arial" w:cs="Arial"/>
        </w:rPr>
        <w:t xml:space="preserve"> (Accessed: 27 September 2026).</w:t>
      </w:r>
    </w:p>
    <w:p w14:paraId="4DC78264" w14:textId="77777777" w:rsidR="007D1D01" w:rsidRPr="003A67D5" w:rsidRDefault="007D1D01" w:rsidP="00D6690A">
      <w:pPr>
        <w:spacing w:line="360" w:lineRule="auto"/>
        <w:rPr>
          <w:rFonts w:ascii="Arial" w:hAnsi="Arial" w:cs="Arial"/>
        </w:rPr>
      </w:pPr>
      <w:r w:rsidRPr="003A67D5">
        <w:rPr>
          <w:rFonts w:ascii="Arial" w:hAnsi="Arial" w:cs="Arial"/>
        </w:rPr>
        <w:t xml:space="preserve">Department of Health and Social Care (2025) </w:t>
      </w:r>
      <w:r w:rsidRPr="003A67D5">
        <w:rPr>
          <w:rFonts w:ascii="Arial" w:hAnsi="Arial" w:cs="Arial"/>
          <w:i/>
          <w:iCs/>
        </w:rPr>
        <w:t>Care and support statutory guidance</w:t>
      </w:r>
      <w:r w:rsidRPr="003A67D5">
        <w:rPr>
          <w:rFonts w:ascii="Arial" w:hAnsi="Arial" w:cs="Arial"/>
        </w:rPr>
        <w:t xml:space="preserve">. Available at: </w:t>
      </w:r>
      <w:hyperlink r:id="rId12" w:tgtFrame="_new" w:history="1">
        <w:r w:rsidRPr="003A67D5">
          <w:rPr>
            <w:rStyle w:val="Hyperlink"/>
            <w:rFonts w:ascii="Arial" w:hAnsi="Arial" w:cs="Arial"/>
          </w:rPr>
          <w:t>https://www.gov.uk/government/publications/care-act-statutory-guidance/care-and-support-statutory-guidance</w:t>
        </w:r>
      </w:hyperlink>
      <w:r w:rsidRPr="003A67D5">
        <w:rPr>
          <w:rFonts w:ascii="Arial" w:hAnsi="Arial" w:cs="Arial"/>
        </w:rPr>
        <w:t xml:space="preserve"> (Accessed: 27 September 2026).</w:t>
      </w:r>
    </w:p>
    <w:p w14:paraId="79E22598" w14:textId="77777777" w:rsidR="007D1D01" w:rsidRPr="003A67D5" w:rsidRDefault="007D1D01" w:rsidP="002A767F">
      <w:pPr>
        <w:spacing w:line="360" w:lineRule="auto"/>
        <w:rPr>
          <w:rFonts w:ascii="Arial" w:hAnsi="Arial" w:cs="Arial"/>
        </w:rPr>
      </w:pPr>
      <w:r w:rsidRPr="003A67D5">
        <w:rPr>
          <w:rFonts w:ascii="Arial" w:hAnsi="Arial" w:cs="Arial"/>
        </w:rPr>
        <w:t xml:space="preserve">GOV.UK (1998). </w:t>
      </w:r>
      <w:r w:rsidRPr="003A67D5">
        <w:rPr>
          <w:rFonts w:ascii="Arial" w:hAnsi="Arial" w:cs="Arial"/>
          <w:i/>
          <w:iCs/>
        </w:rPr>
        <w:t>Human Rights Act 1998</w:t>
      </w:r>
      <w:r w:rsidRPr="003A67D5">
        <w:rPr>
          <w:rFonts w:ascii="Arial" w:hAnsi="Arial" w:cs="Arial"/>
        </w:rPr>
        <w:t xml:space="preserve">. [online] Legislation.gov.uk. Available at: </w:t>
      </w:r>
      <w:hyperlink r:id="rId13" w:history="1">
        <w:r w:rsidRPr="003A67D5">
          <w:rPr>
            <w:rStyle w:val="Hyperlink"/>
            <w:rFonts w:ascii="Arial" w:hAnsi="Arial" w:cs="Arial"/>
          </w:rPr>
          <w:t>https://www.legislation.gov.uk/ukpga/1998/42</w:t>
        </w:r>
      </w:hyperlink>
      <w:r w:rsidRPr="003A67D5">
        <w:rPr>
          <w:rFonts w:ascii="Arial" w:hAnsi="Arial" w:cs="Arial"/>
        </w:rPr>
        <w:t xml:space="preserve"> [Accessed 28 Sept. 2026].</w:t>
      </w:r>
    </w:p>
    <w:p w14:paraId="73C92E4E" w14:textId="77777777" w:rsidR="007D1D01" w:rsidRPr="003A67D5" w:rsidRDefault="007D1D01" w:rsidP="00A445E1">
      <w:pPr>
        <w:spacing w:line="360" w:lineRule="auto"/>
        <w:rPr>
          <w:rFonts w:ascii="Arial" w:hAnsi="Arial" w:cs="Arial"/>
        </w:rPr>
      </w:pPr>
      <w:r w:rsidRPr="003A67D5">
        <w:rPr>
          <w:rFonts w:ascii="Arial" w:hAnsi="Arial" w:cs="Arial"/>
        </w:rPr>
        <w:t xml:space="preserve">GOV.UK (2010). </w:t>
      </w:r>
      <w:r w:rsidRPr="003A67D5">
        <w:rPr>
          <w:rFonts w:ascii="Arial" w:hAnsi="Arial" w:cs="Arial"/>
          <w:i/>
          <w:iCs/>
        </w:rPr>
        <w:t>Equality Act 2010</w:t>
      </w:r>
      <w:r w:rsidRPr="003A67D5">
        <w:rPr>
          <w:rFonts w:ascii="Arial" w:hAnsi="Arial" w:cs="Arial"/>
        </w:rPr>
        <w:t xml:space="preserve">. [online] Legislation.gov.uk. Available at: </w:t>
      </w:r>
      <w:hyperlink r:id="rId14" w:history="1">
        <w:r w:rsidRPr="003A67D5">
          <w:rPr>
            <w:rStyle w:val="Hyperlink"/>
            <w:rFonts w:ascii="Arial" w:hAnsi="Arial" w:cs="Arial"/>
          </w:rPr>
          <w:t>https://www.legislation.gov.uk/ukpga/2010/15</w:t>
        </w:r>
      </w:hyperlink>
      <w:r w:rsidRPr="003A67D5">
        <w:rPr>
          <w:rFonts w:ascii="Arial" w:hAnsi="Arial" w:cs="Arial"/>
        </w:rPr>
        <w:t xml:space="preserve">  (Accessed 28 Sept. 2026).</w:t>
      </w:r>
    </w:p>
    <w:p w14:paraId="08024A5E" w14:textId="77777777" w:rsidR="007D1D01" w:rsidRPr="003A67D5" w:rsidRDefault="007D1D01" w:rsidP="004317F7">
      <w:pPr>
        <w:spacing w:line="360" w:lineRule="auto"/>
        <w:rPr>
          <w:rFonts w:ascii="Arial" w:hAnsi="Arial" w:cs="Arial"/>
        </w:rPr>
      </w:pPr>
      <w:r w:rsidRPr="003A67D5">
        <w:rPr>
          <w:rFonts w:ascii="Arial" w:hAnsi="Arial" w:cs="Arial"/>
        </w:rPr>
        <w:t xml:space="preserve">GOV.UK (2012). </w:t>
      </w:r>
      <w:r w:rsidRPr="003A67D5">
        <w:rPr>
          <w:rFonts w:ascii="Arial" w:hAnsi="Arial" w:cs="Arial"/>
          <w:i/>
          <w:iCs/>
        </w:rPr>
        <w:t>Health and Social Care Act 2012</w:t>
      </w:r>
      <w:r w:rsidRPr="003A67D5">
        <w:rPr>
          <w:rFonts w:ascii="Arial" w:hAnsi="Arial" w:cs="Arial"/>
        </w:rPr>
        <w:t xml:space="preserve">. [online] Legislation.gov.uk. Available at: </w:t>
      </w:r>
      <w:hyperlink r:id="rId15" w:history="1">
        <w:r w:rsidRPr="003A67D5">
          <w:rPr>
            <w:rStyle w:val="Hyperlink"/>
            <w:rFonts w:ascii="Arial" w:hAnsi="Arial" w:cs="Arial"/>
          </w:rPr>
          <w:t>https://www.legislation.gov.uk/ukpga/2012/7</w:t>
        </w:r>
      </w:hyperlink>
      <w:r w:rsidRPr="003A67D5">
        <w:rPr>
          <w:rFonts w:ascii="Arial" w:hAnsi="Arial" w:cs="Arial"/>
        </w:rPr>
        <w:t xml:space="preserve"> (Accessed 28 Sept. 2026).</w:t>
      </w:r>
    </w:p>
    <w:p w14:paraId="5AEBBE81" w14:textId="77777777" w:rsidR="007D1D01" w:rsidRPr="003A67D5" w:rsidRDefault="007D1D01" w:rsidP="00D1366F">
      <w:pPr>
        <w:spacing w:line="360" w:lineRule="auto"/>
        <w:rPr>
          <w:rFonts w:ascii="Arial" w:hAnsi="Arial" w:cs="Arial"/>
        </w:rPr>
      </w:pPr>
      <w:r w:rsidRPr="003A67D5">
        <w:rPr>
          <w:rFonts w:ascii="Arial" w:hAnsi="Arial" w:cs="Arial"/>
        </w:rPr>
        <w:t xml:space="preserve">GOV.UK (2014). </w:t>
      </w:r>
      <w:r w:rsidRPr="003A67D5">
        <w:rPr>
          <w:rFonts w:ascii="Arial" w:hAnsi="Arial" w:cs="Arial"/>
          <w:i/>
          <w:iCs/>
        </w:rPr>
        <w:t>Care Act 2014</w:t>
      </w:r>
      <w:r w:rsidRPr="003A67D5">
        <w:rPr>
          <w:rFonts w:ascii="Arial" w:hAnsi="Arial" w:cs="Arial"/>
        </w:rPr>
        <w:t xml:space="preserve">. [online] Legislation.gov.uk. Available at: </w:t>
      </w:r>
      <w:hyperlink r:id="rId16" w:history="1">
        <w:r w:rsidRPr="003A67D5">
          <w:rPr>
            <w:rStyle w:val="Hyperlink"/>
            <w:rFonts w:ascii="Arial" w:hAnsi="Arial" w:cs="Arial"/>
          </w:rPr>
          <w:t>https://www.legislation.gov.uk/ukpga/2014/23/section/6</w:t>
        </w:r>
      </w:hyperlink>
      <w:r w:rsidRPr="003A67D5">
        <w:rPr>
          <w:rFonts w:ascii="Arial" w:hAnsi="Arial" w:cs="Arial"/>
        </w:rPr>
        <w:t xml:space="preserve"> (Accessed 27 Sept. 2026).</w:t>
      </w:r>
    </w:p>
    <w:p w14:paraId="20F84A35" w14:textId="77777777" w:rsidR="007D1D01" w:rsidRPr="003A67D5" w:rsidRDefault="007D1D01" w:rsidP="00EF0E18">
      <w:pPr>
        <w:spacing w:line="360" w:lineRule="auto"/>
        <w:rPr>
          <w:rFonts w:ascii="Arial" w:hAnsi="Arial" w:cs="Arial"/>
        </w:rPr>
      </w:pPr>
      <w:r w:rsidRPr="003A67D5">
        <w:rPr>
          <w:rFonts w:ascii="Arial" w:hAnsi="Arial" w:cs="Arial"/>
        </w:rPr>
        <w:t xml:space="preserve">GOV.UK (2022). </w:t>
      </w:r>
      <w:r w:rsidRPr="003A67D5">
        <w:rPr>
          <w:rFonts w:ascii="Arial" w:hAnsi="Arial" w:cs="Arial"/>
          <w:i/>
          <w:iCs/>
        </w:rPr>
        <w:t>Health and Care Act 2022</w:t>
      </w:r>
      <w:r w:rsidRPr="003A67D5">
        <w:rPr>
          <w:rFonts w:ascii="Arial" w:hAnsi="Arial" w:cs="Arial"/>
        </w:rPr>
        <w:t xml:space="preserve">. [online] Legislation.gov.uk. Available at: </w:t>
      </w:r>
      <w:hyperlink r:id="rId17" w:history="1">
        <w:r w:rsidRPr="003A67D5">
          <w:rPr>
            <w:rStyle w:val="Hyperlink"/>
            <w:rFonts w:ascii="Arial" w:hAnsi="Arial" w:cs="Arial"/>
          </w:rPr>
          <w:t>https://www.legislation.gov.uk/ukpga/2022/31</w:t>
        </w:r>
      </w:hyperlink>
      <w:r w:rsidRPr="003A67D5">
        <w:rPr>
          <w:rFonts w:ascii="Arial" w:hAnsi="Arial" w:cs="Arial"/>
        </w:rPr>
        <w:t xml:space="preserve"> (Accessed 28 Sept. 2026).</w:t>
      </w:r>
    </w:p>
    <w:p w14:paraId="7043A9F1" w14:textId="77777777" w:rsidR="007D1D01" w:rsidRPr="003A67D5" w:rsidRDefault="007D1D01" w:rsidP="005542D7">
      <w:pPr>
        <w:spacing w:line="360" w:lineRule="auto"/>
        <w:rPr>
          <w:rFonts w:ascii="Arial" w:hAnsi="Arial" w:cs="Arial"/>
        </w:rPr>
      </w:pPr>
      <w:r w:rsidRPr="003A67D5">
        <w:rPr>
          <w:rFonts w:ascii="Arial" w:hAnsi="Arial" w:cs="Arial"/>
        </w:rPr>
        <w:t xml:space="preserve">HCPC (2024). </w:t>
      </w:r>
      <w:r w:rsidRPr="003A67D5">
        <w:rPr>
          <w:rFonts w:ascii="Arial" w:hAnsi="Arial" w:cs="Arial"/>
          <w:i/>
          <w:iCs/>
        </w:rPr>
        <w:t>Standards of conduct, performance and ethics |</w:t>
      </w:r>
      <w:r w:rsidRPr="003A67D5">
        <w:rPr>
          <w:rFonts w:ascii="Arial" w:hAnsi="Arial" w:cs="Arial"/>
        </w:rPr>
        <w:t xml:space="preserve">. [online] Hcpc-uk.org. Available at: </w:t>
      </w:r>
      <w:hyperlink r:id="rId18" w:history="1">
        <w:r w:rsidRPr="003A67D5">
          <w:rPr>
            <w:rStyle w:val="Hyperlink"/>
            <w:rFonts w:ascii="Arial" w:hAnsi="Arial" w:cs="Arial"/>
          </w:rPr>
          <w:t>https://www.hcpc-uk.org/standards/standards-of-conduct-performance-and-ethics/</w:t>
        </w:r>
      </w:hyperlink>
      <w:r w:rsidRPr="003A67D5">
        <w:rPr>
          <w:rFonts w:ascii="Arial" w:hAnsi="Arial" w:cs="Arial"/>
        </w:rPr>
        <w:t xml:space="preserve"> (Accessed 27 Sept. 2026).</w:t>
      </w:r>
    </w:p>
    <w:p w14:paraId="6EDB88D2" w14:textId="77777777" w:rsidR="007D1D01" w:rsidRPr="003A67D5" w:rsidRDefault="007D1D01" w:rsidP="00B15E77">
      <w:pPr>
        <w:spacing w:line="360" w:lineRule="auto"/>
        <w:rPr>
          <w:rFonts w:ascii="Arial" w:hAnsi="Arial" w:cs="Arial"/>
        </w:rPr>
      </w:pPr>
      <w:r w:rsidRPr="003A67D5">
        <w:rPr>
          <w:rFonts w:ascii="Arial" w:hAnsi="Arial" w:cs="Arial"/>
        </w:rPr>
        <w:t xml:space="preserve">Maslow, A.H. (1943) 'A theory of human motivation', </w:t>
      </w:r>
      <w:r w:rsidRPr="003A67D5">
        <w:rPr>
          <w:rFonts w:ascii="Arial" w:hAnsi="Arial" w:cs="Arial"/>
          <w:i/>
          <w:iCs/>
        </w:rPr>
        <w:t>Psychological Review</w:t>
      </w:r>
      <w:r w:rsidRPr="003A67D5">
        <w:rPr>
          <w:rFonts w:ascii="Arial" w:hAnsi="Arial" w:cs="Arial"/>
        </w:rPr>
        <w:t>, 50(4), pp. 370–396. doi: 10.1037/h0054346.</w:t>
      </w:r>
    </w:p>
    <w:p w14:paraId="771CCD4F" w14:textId="77777777" w:rsidR="007D1D01" w:rsidRPr="003A67D5" w:rsidRDefault="007D1D01" w:rsidP="00E32A33">
      <w:pPr>
        <w:spacing w:line="360" w:lineRule="auto"/>
        <w:rPr>
          <w:rFonts w:ascii="Arial" w:hAnsi="Arial" w:cs="Arial"/>
        </w:rPr>
      </w:pPr>
      <w:r w:rsidRPr="003A67D5">
        <w:rPr>
          <w:rFonts w:ascii="Arial" w:hAnsi="Arial" w:cs="Arial"/>
        </w:rPr>
        <w:lastRenderedPageBreak/>
        <w:t xml:space="preserve">Mental Capacity Act (2005). </w:t>
      </w:r>
      <w:r w:rsidRPr="003A67D5">
        <w:rPr>
          <w:rFonts w:ascii="Arial" w:hAnsi="Arial" w:cs="Arial"/>
          <w:i/>
          <w:iCs/>
        </w:rPr>
        <w:t>Mental Capacity Act 2005</w:t>
      </w:r>
      <w:r w:rsidRPr="003A67D5">
        <w:rPr>
          <w:rFonts w:ascii="Arial" w:hAnsi="Arial" w:cs="Arial"/>
        </w:rPr>
        <w:t xml:space="preserve">. Legislation.gov.uk. Available at: </w:t>
      </w:r>
      <w:hyperlink r:id="rId19" w:history="1">
        <w:r w:rsidRPr="003A67D5">
          <w:rPr>
            <w:rStyle w:val="Hyperlink"/>
            <w:rFonts w:ascii="Arial" w:hAnsi="Arial" w:cs="Arial"/>
          </w:rPr>
          <w:t>https://www.legislation.gov.uk/ukpga/2005/9</w:t>
        </w:r>
      </w:hyperlink>
      <w:r w:rsidRPr="003A67D5">
        <w:rPr>
          <w:rFonts w:ascii="Arial" w:hAnsi="Arial" w:cs="Arial"/>
        </w:rPr>
        <w:t xml:space="preserve"> [Accessed 1 Oct. 2026].</w:t>
      </w:r>
    </w:p>
    <w:p w14:paraId="26FD34A1" w14:textId="77777777" w:rsidR="007D1D01" w:rsidRPr="003A67D5" w:rsidRDefault="007D1D01" w:rsidP="00D6690A">
      <w:pPr>
        <w:spacing w:line="360" w:lineRule="auto"/>
        <w:rPr>
          <w:rFonts w:ascii="Arial" w:hAnsi="Arial" w:cs="Arial"/>
        </w:rPr>
      </w:pPr>
      <w:r w:rsidRPr="003A67D5">
        <w:rPr>
          <w:rFonts w:ascii="Arial" w:hAnsi="Arial" w:cs="Arial"/>
        </w:rPr>
        <w:t xml:space="preserve">National Institute for Health and Care Excellence (2016) </w:t>
      </w:r>
      <w:r w:rsidRPr="003A67D5">
        <w:rPr>
          <w:rFonts w:ascii="Arial" w:hAnsi="Arial" w:cs="Arial"/>
          <w:i/>
          <w:iCs/>
        </w:rPr>
        <w:t>Home care for older people: Quality statement 1 – Person-centred planning (QS123)</w:t>
      </w:r>
      <w:r w:rsidRPr="003A67D5">
        <w:rPr>
          <w:rFonts w:ascii="Arial" w:hAnsi="Arial" w:cs="Arial"/>
        </w:rPr>
        <w:t xml:space="preserve">. Available at: </w:t>
      </w:r>
      <w:hyperlink r:id="rId20" w:tgtFrame="_new" w:history="1">
        <w:r w:rsidRPr="003A67D5">
          <w:rPr>
            <w:rStyle w:val="Hyperlink"/>
            <w:rFonts w:ascii="Arial" w:hAnsi="Arial" w:cs="Arial"/>
          </w:rPr>
          <w:t>https://www.nice.org.uk/guidance/qs123/chapter/Quality-statement-1-Person-centred-planning</w:t>
        </w:r>
      </w:hyperlink>
      <w:r w:rsidRPr="003A67D5">
        <w:rPr>
          <w:rFonts w:ascii="Arial" w:hAnsi="Arial" w:cs="Arial"/>
        </w:rPr>
        <w:t xml:space="preserve"> (Accessed: 27 September 2026).</w:t>
      </w:r>
    </w:p>
    <w:p w14:paraId="5AD8D1BD" w14:textId="77777777" w:rsidR="007D1D01" w:rsidRPr="003A67D5" w:rsidRDefault="007D1D01" w:rsidP="00D6690A">
      <w:pPr>
        <w:spacing w:line="360" w:lineRule="auto"/>
        <w:rPr>
          <w:rFonts w:ascii="Arial" w:hAnsi="Arial" w:cs="Arial"/>
        </w:rPr>
      </w:pPr>
      <w:r w:rsidRPr="003A67D5">
        <w:rPr>
          <w:rFonts w:ascii="Arial" w:hAnsi="Arial" w:cs="Arial"/>
        </w:rPr>
        <w:t xml:space="preserve">National Institute for Health and Care Excellence (2021) </w:t>
      </w:r>
      <w:r w:rsidRPr="003A67D5">
        <w:rPr>
          <w:rFonts w:ascii="Arial" w:hAnsi="Arial" w:cs="Arial"/>
          <w:i/>
          <w:iCs/>
        </w:rPr>
        <w:t>Shared decision making (NG197)</w:t>
      </w:r>
      <w:r w:rsidRPr="003A67D5">
        <w:rPr>
          <w:rFonts w:ascii="Arial" w:hAnsi="Arial" w:cs="Arial"/>
        </w:rPr>
        <w:t xml:space="preserve">. Available at: </w:t>
      </w:r>
      <w:hyperlink r:id="rId21" w:tgtFrame="_new" w:history="1">
        <w:r w:rsidRPr="003A67D5">
          <w:rPr>
            <w:rStyle w:val="Hyperlink"/>
            <w:rFonts w:ascii="Arial" w:hAnsi="Arial" w:cs="Arial"/>
          </w:rPr>
          <w:t>https://www.nice.org.uk/guidance/ng197/chapter/recommendations</w:t>
        </w:r>
      </w:hyperlink>
      <w:r w:rsidRPr="003A67D5">
        <w:rPr>
          <w:rFonts w:ascii="Arial" w:hAnsi="Arial" w:cs="Arial"/>
        </w:rPr>
        <w:t xml:space="preserve"> (Accessed: 27 September 2026). </w:t>
      </w:r>
    </w:p>
    <w:p w14:paraId="4AF323EA" w14:textId="77777777" w:rsidR="007D1D01" w:rsidRPr="003A67D5" w:rsidRDefault="007D1D01" w:rsidP="0085388F">
      <w:pPr>
        <w:spacing w:line="360" w:lineRule="auto"/>
        <w:rPr>
          <w:rFonts w:ascii="Arial" w:hAnsi="Arial" w:cs="Arial"/>
        </w:rPr>
      </w:pPr>
      <w:r w:rsidRPr="003A67D5">
        <w:rPr>
          <w:rFonts w:ascii="Arial" w:hAnsi="Arial" w:cs="Arial"/>
        </w:rPr>
        <w:t xml:space="preserve">NHS England (2019). </w:t>
      </w:r>
      <w:r w:rsidRPr="003A67D5">
        <w:rPr>
          <w:rFonts w:ascii="Arial" w:hAnsi="Arial" w:cs="Arial"/>
          <w:i/>
          <w:iCs/>
        </w:rPr>
        <w:t>Universal Personalised Care: Implementing the Comprehensive Model</w:t>
      </w:r>
      <w:r w:rsidRPr="003A67D5">
        <w:rPr>
          <w:rFonts w:ascii="Arial" w:hAnsi="Arial" w:cs="Arial"/>
        </w:rPr>
        <w:t xml:space="preserve">. [online] England.nhs.uk. Available at: </w:t>
      </w:r>
      <w:hyperlink r:id="rId22" w:history="1">
        <w:r w:rsidRPr="003A67D5">
          <w:rPr>
            <w:rStyle w:val="Hyperlink"/>
            <w:rFonts w:ascii="Arial" w:hAnsi="Arial" w:cs="Arial"/>
          </w:rPr>
          <w:t>https://www.england.nhs.uk/publication/universal-personalised-care-implementing-the-comprehensive-model/</w:t>
        </w:r>
      </w:hyperlink>
      <w:r w:rsidRPr="003A67D5">
        <w:rPr>
          <w:rFonts w:ascii="Arial" w:hAnsi="Arial" w:cs="Arial"/>
        </w:rPr>
        <w:t xml:space="preserve"> [Accessed 1 Oct. 2026].</w:t>
      </w:r>
    </w:p>
    <w:p w14:paraId="6CB5A331" w14:textId="77777777" w:rsidR="007D1D01" w:rsidRDefault="007D1D01" w:rsidP="007C2CF0">
      <w:pPr>
        <w:spacing w:line="360" w:lineRule="auto"/>
        <w:rPr>
          <w:rFonts w:ascii="Arial" w:hAnsi="Arial" w:cs="Arial"/>
        </w:rPr>
      </w:pPr>
      <w:r w:rsidRPr="003A67D5">
        <w:rPr>
          <w:rFonts w:ascii="Arial" w:hAnsi="Arial" w:cs="Arial"/>
        </w:rPr>
        <w:t xml:space="preserve">NHS England (2026) </w:t>
      </w:r>
      <w:r w:rsidRPr="003A67D5">
        <w:rPr>
          <w:rFonts w:ascii="Arial" w:hAnsi="Arial" w:cs="Arial"/>
          <w:i/>
          <w:iCs/>
        </w:rPr>
        <w:t>Working in partnership with people and communities: Statutory guidance</w:t>
      </w:r>
      <w:r w:rsidRPr="003A67D5">
        <w:rPr>
          <w:rFonts w:ascii="Arial" w:hAnsi="Arial" w:cs="Arial"/>
        </w:rPr>
        <w:t xml:space="preserve">. Available at: </w:t>
      </w:r>
      <w:hyperlink r:id="rId23" w:tgtFrame="_new" w:history="1">
        <w:r w:rsidRPr="003A67D5">
          <w:rPr>
            <w:rStyle w:val="Hyperlink"/>
            <w:rFonts w:ascii="Arial" w:hAnsi="Arial" w:cs="Arial"/>
          </w:rPr>
          <w:t>https://www.england.nhs.uk/long-read/working-in-partnership-with-people-and-communities-statutory-guidance/</w:t>
        </w:r>
      </w:hyperlink>
      <w:r w:rsidRPr="003A67D5">
        <w:rPr>
          <w:rFonts w:ascii="Arial" w:hAnsi="Arial" w:cs="Arial"/>
        </w:rPr>
        <w:t xml:space="preserve"> (Accessed: 27 September 2026).</w:t>
      </w:r>
    </w:p>
    <w:p w14:paraId="0F42912E" w14:textId="77777777" w:rsidR="007D1D01" w:rsidRPr="00050ED7" w:rsidRDefault="007D1D01" w:rsidP="00D6690A">
      <w:pPr>
        <w:spacing w:line="360" w:lineRule="auto"/>
        <w:rPr>
          <w:rFonts w:ascii="Arial" w:hAnsi="Arial" w:cs="Arial"/>
        </w:rPr>
      </w:pPr>
      <w:r w:rsidRPr="003A67D5">
        <w:rPr>
          <w:rFonts w:ascii="Arial" w:hAnsi="Arial" w:cs="Arial"/>
        </w:rPr>
        <w:t xml:space="preserve">Ross, S., Jabaal, J. and Blythe, N. (2025). </w:t>
      </w:r>
      <w:r w:rsidRPr="003A67D5">
        <w:rPr>
          <w:rFonts w:ascii="Arial" w:hAnsi="Arial" w:cs="Arial"/>
          <w:i/>
          <w:iCs/>
        </w:rPr>
        <w:t>Place-based partnerships: challenges and opportunities</w:t>
      </w:r>
      <w:r w:rsidRPr="003A67D5">
        <w:rPr>
          <w:rFonts w:ascii="Arial" w:hAnsi="Arial" w:cs="Arial"/>
        </w:rPr>
        <w:t xml:space="preserve">. [online] The King’s Fund. Available at: </w:t>
      </w:r>
      <w:hyperlink r:id="rId24" w:history="1">
        <w:r w:rsidRPr="003A67D5">
          <w:rPr>
            <w:rStyle w:val="Hyperlink"/>
            <w:rFonts w:ascii="Arial" w:hAnsi="Arial" w:cs="Arial"/>
          </w:rPr>
          <w:t>https://www.kingsfund.org.uk/insight-and-analysis/reports/place-based-partnerships-challenges-opportunities</w:t>
        </w:r>
      </w:hyperlink>
      <w:r w:rsidRPr="003A67D5">
        <w:rPr>
          <w:rFonts w:ascii="Arial" w:hAnsi="Arial" w:cs="Arial"/>
        </w:rPr>
        <w:t xml:space="preserve"> [Accessed 1 Oct. 2026]</w:t>
      </w:r>
    </w:p>
    <w:p w14:paraId="07C8474A" w14:textId="77777777" w:rsidR="007D1D01" w:rsidRPr="003A67D5" w:rsidRDefault="007D1D01" w:rsidP="00B15E77">
      <w:pPr>
        <w:spacing w:line="360" w:lineRule="auto"/>
        <w:rPr>
          <w:rFonts w:ascii="Arial" w:hAnsi="Arial" w:cs="Arial"/>
        </w:rPr>
      </w:pPr>
      <w:r w:rsidRPr="003A67D5">
        <w:rPr>
          <w:rFonts w:ascii="Arial" w:hAnsi="Arial" w:cs="Arial"/>
        </w:rPr>
        <w:t xml:space="preserve">Santana, M.J., Manalili, K., Jolley, R.J., Zelinsky, S., Quan, H. and Lu, M. (2018). How to practice person-centred care: A conceptual framework. </w:t>
      </w:r>
      <w:r w:rsidRPr="003A67D5">
        <w:rPr>
          <w:rFonts w:ascii="Arial" w:hAnsi="Arial" w:cs="Arial"/>
          <w:i/>
          <w:iCs/>
        </w:rPr>
        <w:t>Health Expectations</w:t>
      </w:r>
      <w:r w:rsidRPr="003A67D5">
        <w:rPr>
          <w:rFonts w:ascii="Arial" w:hAnsi="Arial" w:cs="Arial"/>
        </w:rPr>
        <w:t xml:space="preserve">, [online] 21(2), pp.429–440. doi: </w:t>
      </w:r>
      <w:hyperlink r:id="rId25" w:history="1">
        <w:r w:rsidRPr="003A67D5">
          <w:rPr>
            <w:rStyle w:val="Hyperlink"/>
            <w:rFonts w:ascii="Arial" w:hAnsi="Arial" w:cs="Arial"/>
          </w:rPr>
          <w:t>https://doi.org/10.1111/hex.12640</w:t>
        </w:r>
      </w:hyperlink>
      <w:r w:rsidRPr="003A67D5">
        <w:rPr>
          <w:rFonts w:ascii="Arial" w:hAnsi="Arial" w:cs="Arial"/>
        </w:rPr>
        <w:t>.</w:t>
      </w:r>
    </w:p>
    <w:p w14:paraId="2963907D" w14:textId="77777777" w:rsidR="007D1D01" w:rsidRPr="003A67D5" w:rsidRDefault="007D1D01" w:rsidP="002A767F">
      <w:pPr>
        <w:spacing w:line="360" w:lineRule="auto"/>
        <w:rPr>
          <w:rFonts w:ascii="Arial" w:hAnsi="Arial" w:cs="Arial"/>
        </w:rPr>
      </w:pPr>
      <w:r w:rsidRPr="003A67D5">
        <w:rPr>
          <w:rFonts w:ascii="Arial" w:eastAsia="Times New Roman" w:hAnsi="Arial" w:cs="Arial"/>
          <w:kern w:val="0"/>
          <w:lang w:eastAsia="en-GB"/>
          <w14:ligatures w14:val="none"/>
        </w:rPr>
        <w:t xml:space="preserve"> </w:t>
      </w:r>
      <w:r w:rsidRPr="003A67D5">
        <w:rPr>
          <w:rFonts w:ascii="Arial" w:hAnsi="Arial" w:cs="Arial"/>
        </w:rPr>
        <w:t xml:space="preserve">Skills for Care (2025) A workforce strategy for adult social care in England at: </w:t>
      </w:r>
      <w:hyperlink r:id="rId26" w:history="1">
        <w:r w:rsidRPr="003A67D5">
          <w:rPr>
            <w:rStyle w:val="Hyperlink"/>
            <w:rFonts w:ascii="Arial" w:hAnsi="Arial" w:cs="Arial"/>
          </w:rPr>
          <w:t>https://www.skillsforcare.org.uk/Workforce-Strategy/resources/Supporting-resources/Workforce-Strategy-for-Adult-Social-Care-in-England-July-2025.pdf</w:t>
        </w:r>
      </w:hyperlink>
      <w:r w:rsidRPr="003A67D5">
        <w:rPr>
          <w:rFonts w:ascii="Arial" w:hAnsi="Arial" w:cs="Arial"/>
        </w:rPr>
        <w:t xml:space="preserve"> [Accessed 30 Sept. 2026].</w:t>
      </w:r>
    </w:p>
    <w:p w14:paraId="1D4B2EA9" w14:textId="0FD234E3" w:rsidR="00E4311F" w:rsidRPr="003A67D5" w:rsidRDefault="00E4311F" w:rsidP="00B15E77">
      <w:pPr>
        <w:spacing w:line="360" w:lineRule="auto"/>
        <w:rPr>
          <w:rFonts w:ascii="Arial" w:hAnsi="Arial" w:cs="Arial"/>
        </w:rPr>
      </w:pPr>
    </w:p>
    <w:sectPr w:rsidR="00E4311F" w:rsidRPr="003A67D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5FC57" w14:textId="77777777" w:rsidR="00A66EC4" w:rsidRDefault="00A66EC4" w:rsidP="00784CC2">
      <w:pPr>
        <w:spacing w:after="0" w:line="240" w:lineRule="auto"/>
      </w:pPr>
      <w:r>
        <w:separator/>
      </w:r>
    </w:p>
  </w:endnote>
  <w:endnote w:type="continuationSeparator" w:id="0">
    <w:p w14:paraId="63ABC203" w14:textId="77777777" w:rsidR="00A66EC4" w:rsidRDefault="00A66EC4" w:rsidP="00784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CD53E" w14:textId="77777777" w:rsidR="00784CC2" w:rsidRDefault="00784C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79BD6" w14:textId="77777777" w:rsidR="00A66EC4" w:rsidRDefault="00A66EC4" w:rsidP="00784CC2">
      <w:pPr>
        <w:spacing w:after="0" w:line="240" w:lineRule="auto"/>
      </w:pPr>
      <w:r>
        <w:separator/>
      </w:r>
    </w:p>
  </w:footnote>
  <w:footnote w:type="continuationSeparator" w:id="0">
    <w:p w14:paraId="7935686D" w14:textId="77777777" w:rsidR="00A66EC4" w:rsidRDefault="00A66EC4" w:rsidP="00784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11C32"/>
    <w:multiLevelType w:val="hybridMultilevel"/>
    <w:tmpl w:val="6D68C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894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103"/>
    <w:rsid w:val="00000CDB"/>
    <w:rsid w:val="00003E09"/>
    <w:rsid w:val="00011E8A"/>
    <w:rsid w:val="00012658"/>
    <w:rsid w:val="00016392"/>
    <w:rsid w:val="00022F30"/>
    <w:rsid w:val="000342AA"/>
    <w:rsid w:val="00034BEC"/>
    <w:rsid w:val="00050ED7"/>
    <w:rsid w:val="000511CC"/>
    <w:rsid w:val="00055417"/>
    <w:rsid w:val="00055CA2"/>
    <w:rsid w:val="000560FB"/>
    <w:rsid w:val="000602D5"/>
    <w:rsid w:val="000625AE"/>
    <w:rsid w:val="00066996"/>
    <w:rsid w:val="000763EC"/>
    <w:rsid w:val="000830B0"/>
    <w:rsid w:val="000930FB"/>
    <w:rsid w:val="000931A7"/>
    <w:rsid w:val="00096BB0"/>
    <w:rsid w:val="00097323"/>
    <w:rsid w:val="000A0B55"/>
    <w:rsid w:val="000A6222"/>
    <w:rsid w:val="000A636B"/>
    <w:rsid w:val="000A6FFC"/>
    <w:rsid w:val="000A715E"/>
    <w:rsid w:val="000B0999"/>
    <w:rsid w:val="000B1A04"/>
    <w:rsid w:val="000B1EA3"/>
    <w:rsid w:val="000B6696"/>
    <w:rsid w:val="000C06EB"/>
    <w:rsid w:val="000D2A12"/>
    <w:rsid w:val="000E4192"/>
    <w:rsid w:val="000E7CC1"/>
    <w:rsid w:val="000F177B"/>
    <w:rsid w:val="000F524E"/>
    <w:rsid w:val="00101A72"/>
    <w:rsid w:val="00113E40"/>
    <w:rsid w:val="0011494D"/>
    <w:rsid w:val="00136B70"/>
    <w:rsid w:val="00143421"/>
    <w:rsid w:val="00147698"/>
    <w:rsid w:val="0015328E"/>
    <w:rsid w:val="00161583"/>
    <w:rsid w:val="00161B6E"/>
    <w:rsid w:val="00163304"/>
    <w:rsid w:val="001636D3"/>
    <w:rsid w:val="0017091A"/>
    <w:rsid w:val="00171152"/>
    <w:rsid w:val="00177950"/>
    <w:rsid w:val="00182BD3"/>
    <w:rsid w:val="0018749C"/>
    <w:rsid w:val="0019069F"/>
    <w:rsid w:val="00191860"/>
    <w:rsid w:val="00193E51"/>
    <w:rsid w:val="001A44AA"/>
    <w:rsid w:val="001B302B"/>
    <w:rsid w:val="001C0786"/>
    <w:rsid w:val="001C2422"/>
    <w:rsid w:val="001C362E"/>
    <w:rsid w:val="001C3BA0"/>
    <w:rsid w:val="001C7E2F"/>
    <w:rsid w:val="001D1629"/>
    <w:rsid w:val="001D5008"/>
    <w:rsid w:val="001E22F1"/>
    <w:rsid w:val="001E7DDD"/>
    <w:rsid w:val="001F620A"/>
    <w:rsid w:val="00200A37"/>
    <w:rsid w:val="0021179E"/>
    <w:rsid w:val="0021332A"/>
    <w:rsid w:val="002353A7"/>
    <w:rsid w:val="00235C27"/>
    <w:rsid w:val="00236C06"/>
    <w:rsid w:val="00237132"/>
    <w:rsid w:val="00240463"/>
    <w:rsid w:val="0024568B"/>
    <w:rsid w:val="00250DFB"/>
    <w:rsid w:val="0025414E"/>
    <w:rsid w:val="002565C1"/>
    <w:rsid w:val="00257789"/>
    <w:rsid w:val="0026601D"/>
    <w:rsid w:val="00267230"/>
    <w:rsid w:val="00283F3E"/>
    <w:rsid w:val="002851EC"/>
    <w:rsid w:val="002855BC"/>
    <w:rsid w:val="0029637A"/>
    <w:rsid w:val="002A0218"/>
    <w:rsid w:val="002A767F"/>
    <w:rsid w:val="002B154E"/>
    <w:rsid w:val="002C3A29"/>
    <w:rsid w:val="002D2FE6"/>
    <w:rsid w:val="002E17E2"/>
    <w:rsid w:val="002E1F7F"/>
    <w:rsid w:val="002E6FDB"/>
    <w:rsid w:val="002F2023"/>
    <w:rsid w:val="002F5000"/>
    <w:rsid w:val="002F548E"/>
    <w:rsid w:val="002F771D"/>
    <w:rsid w:val="003006D6"/>
    <w:rsid w:val="00310CA4"/>
    <w:rsid w:val="00311261"/>
    <w:rsid w:val="0031271D"/>
    <w:rsid w:val="00323337"/>
    <w:rsid w:val="0032442C"/>
    <w:rsid w:val="003301A4"/>
    <w:rsid w:val="00350CFF"/>
    <w:rsid w:val="003524D7"/>
    <w:rsid w:val="00352EC3"/>
    <w:rsid w:val="00353002"/>
    <w:rsid w:val="0035487A"/>
    <w:rsid w:val="00364088"/>
    <w:rsid w:val="0036624F"/>
    <w:rsid w:val="00372DFA"/>
    <w:rsid w:val="003771D2"/>
    <w:rsid w:val="00377D82"/>
    <w:rsid w:val="003808EF"/>
    <w:rsid w:val="00393591"/>
    <w:rsid w:val="003A01AD"/>
    <w:rsid w:val="003A1DE5"/>
    <w:rsid w:val="003A3713"/>
    <w:rsid w:val="003A5024"/>
    <w:rsid w:val="003A67D5"/>
    <w:rsid w:val="003B29D4"/>
    <w:rsid w:val="003C230E"/>
    <w:rsid w:val="003C7DAA"/>
    <w:rsid w:val="003D19F8"/>
    <w:rsid w:val="003D42D5"/>
    <w:rsid w:val="003D7B76"/>
    <w:rsid w:val="003E2E20"/>
    <w:rsid w:val="003E568C"/>
    <w:rsid w:val="003E58EB"/>
    <w:rsid w:val="003F1D70"/>
    <w:rsid w:val="00401E79"/>
    <w:rsid w:val="00415D75"/>
    <w:rsid w:val="00417DC7"/>
    <w:rsid w:val="00421510"/>
    <w:rsid w:val="00422BDE"/>
    <w:rsid w:val="00427F2D"/>
    <w:rsid w:val="004317F7"/>
    <w:rsid w:val="00441A67"/>
    <w:rsid w:val="00442DB9"/>
    <w:rsid w:val="00442FC2"/>
    <w:rsid w:val="00451B10"/>
    <w:rsid w:val="0045265E"/>
    <w:rsid w:val="00455BC5"/>
    <w:rsid w:val="004575C1"/>
    <w:rsid w:val="0046551B"/>
    <w:rsid w:val="00466DC5"/>
    <w:rsid w:val="00482358"/>
    <w:rsid w:val="004907EA"/>
    <w:rsid w:val="00494282"/>
    <w:rsid w:val="004A2A9A"/>
    <w:rsid w:val="004A613C"/>
    <w:rsid w:val="004B08B8"/>
    <w:rsid w:val="004C018B"/>
    <w:rsid w:val="004C322D"/>
    <w:rsid w:val="004C4BB9"/>
    <w:rsid w:val="004C6372"/>
    <w:rsid w:val="004D052F"/>
    <w:rsid w:val="004D498C"/>
    <w:rsid w:val="004E1C5C"/>
    <w:rsid w:val="004E1D81"/>
    <w:rsid w:val="004F1EFF"/>
    <w:rsid w:val="0050052B"/>
    <w:rsid w:val="005100ED"/>
    <w:rsid w:val="00526E9B"/>
    <w:rsid w:val="00530419"/>
    <w:rsid w:val="00530FEC"/>
    <w:rsid w:val="005542D7"/>
    <w:rsid w:val="005558CB"/>
    <w:rsid w:val="00563D65"/>
    <w:rsid w:val="00565D00"/>
    <w:rsid w:val="00567698"/>
    <w:rsid w:val="00571C01"/>
    <w:rsid w:val="00576318"/>
    <w:rsid w:val="00592FFA"/>
    <w:rsid w:val="0059440C"/>
    <w:rsid w:val="005B0B4E"/>
    <w:rsid w:val="005B27F8"/>
    <w:rsid w:val="005C4695"/>
    <w:rsid w:val="005C63D6"/>
    <w:rsid w:val="005C6FD8"/>
    <w:rsid w:val="005D1962"/>
    <w:rsid w:val="005D42E8"/>
    <w:rsid w:val="005E0AEC"/>
    <w:rsid w:val="005F34D0"/>
    <w:rsid w:val="005F477A"/>
    <w:rsid w:val="00612AD9"/>
    <w:rsid w:val="006153EA"/>
    <w:rsid w:val="00621141"/>
    <w:rsid w:val="00621B67"/>
    <w:rsid w:val="006252E0"/>
    <w:rsid w:val="00636F69"/>
    <w:rsid w:val="00642FFA"/>
    <w:rsid w:val="006578BE"/>
    <w:rsid w:val="0066254D"/>
    <w:rsid w:val="00671E39"/>
    <w:rsid w:val="00672321"/>
    <w:rsid w:val="006725B9"/>
    <w:rsid w:val="0067405C"/>
    <w:rsid w:val="0067592F"/>
    <w:rsid w:val="00685FC8"/>
    <w:rsid w:val="00686E7D"/>
    <w:rsid w:val="00693FFB"/>
    <w:rsid w:val="00697E6A"/>
    <w:rsid w:val="006A2494"/>
    <w:rsid w:val="006B1762"/>
    <w:rsid w:val="006B1B07"/>
    <w:rsid w:val="006B6684"/>
    <w:rsid w:val="006B6C2A"/>
    <w:rsid w:val="006C0B23"/>
    <w:rsid w:val="006C1A97"/>
    <w:rsid w:val="006C5756"/>
    <w:rsid w:val="006C69F0"/>
    <w:rsid w:val="006D68D1"/>
    <w:rsid w:val="006D76A9"/>
    <w:rsid w:val="006F35DC"/>
    <w:rsid w:val="0071035B"/>
    <w:rsid w:val="00710A97"/>
    <w:rsid w:val="00735C24"/>
    <w:rsid w:val="00736451"/>
    <w:rsid w:val="007424BA"/>
    <w:rsid w:val="007471C6"/>
    <w:rsid w:val="00747327"/>
    <w:rsid w:val="007534DC"/>
    <w:rsid w:val="00760A00"/>
    <w:rsid w:val="00770EC6"/>
    <w:rsid w:val="00784CC2"/>
    <w:rsid w:val="007928D6"/>
    <w:rsid w:val="00793EE2"/>
    <w:rsid w:val="00797752"/>
    <w:rsid w:val="007A3918"/>
    <w:rsid w:val="007A6B6B"/>
    <w:rsid w:val="007B57ED"/>
    <w:rsid w:val="007B75EB"/>
    <w:rsid w:val="007C2A2D"/>
    <w:rsid w:val="007C2CF0"/>
    <w:rsid w:val="007C3D84"/>
    <w:rsid w:val="007C686F"/>
    <w:rsid w:val="007D1D01"/>
    <w:rsid w:val="007D29F8"/>
    <w:rsid w:val="007E5CBB"/>
    <w:rsid w:val="007F08FC"/>
    <w:rsid w:val="007F48AD"/>
    <w:rsid w:val="008024E9"/>
    <w:rsid w:val="008050D2"/>
    <w:rsid w:val="00806077"/>
    <w:rsid w:val="008061ED"/>
    <w:rsid w:val="008117C8"/>
    <w:rsid w:val="00816CD2"/>
    <w:rsid w:val="00836832"/>
    <w:rsid w:val="00843A1A"/>
    <w:rsid w:val="008471C8"/>
    <w:rsid w:val="0085031B"/>
    <w:rsid w:val="0085388F"/>
    <w:rsid w:val="00880889"/>
    <w:rsid w:val="00882894"/>
    <w:rsid w:val="00884ECD"/>
    <w:rsid w:val="00891D63"/>
    <w:rsid w:val="008945AF"/>
    <w:rsid w:val="008A0047"/>
    <w:rsid w:val="008A068B"/>
    <w:rsid w:val="008A0C36"/>
    <w:rsid w:val="008A6C51"/>
    <w:rsid w:val="008B295B"/>
    <w:rsid w:val="008B3208"/>
    <w:rsid w:val="008B43A9"/>
    <w:rsid w:val="008C3F83"/>
    <w:rsid w:val="008D3587"/>
    <w:rsid w:val="008D3655"/>
    <w:rsid w:val="008D552A"/>
    <w:rsid w:val="008D68A6"/>
    <w:rsid w:val="008E1894"/>
    <w:rsid w:val="008E25E8"/>
    <w:rsid w:val="008E28AA"/>
    <w:rsid w:val="008E7177"/>
    <w:rsid w:val="008E7A9F"/>
    <w:rsid w:val="008F1582"/>
    <w:rsid w:val="008F3DBA"/>
    <w:rsid w:val="008F60CD"/>
    <w:rsid w:val="008F7A6B"/>
    <w:rsid w:val="00900C90"/>
    <w:rsid w:val="009160F1"/>
    <w:rsid w:val="0093276E"/>
    <w:rsid w:val="00933730"/>
    <w:rsid w:val="0094517B"/>
    <w:rsid w:val="0095032E"/>
    <w:rsid w:val="00953B19"/>
    <w:rsid w:val="0096088C"/>
    <w:rsid w:val="00960FAA"/>
    <w:rsid w:val="00965CFE"/>
    <w:rsid w:val="00966275"/>
    <w:rsid w:val="009679C0"/>
    <w:rsid w:val="00974946"/>
    <w:rsid w:val="00975494"/>
    <w:rsid w:val="00985705"/>
    <w:rsid w:val="00985FC9"/>
    <w:rsid w:val="009938CC"/>
    <w:rsid w:val="009950D1"/>
    <w:rsid w:val="009A52FC"/>
    <w:rsid w:val="009A6336"/>
    <w:rsid w:val="009B3577"/>
    <w:rsid w:val="009D2C54"/>
    <w:rsid w:val="009D6F0D"/>
    <w:rsid w:val="009E22AB"/>
    <w:rsid w:val="009F1C76"/>
    <w:rsid w:val="009F1DEB"/>
    <w:rsid w:val="009F21E7"/>
    <w:rsid w:val="00A00D73"/>
    <w:rsid w:val="00A07AEA"/>
    <w:rsid w:val="00A105B9"/>
    <w:rsid w:val="00A11467"/>
    <w:rsid w:val="00A15430"/>
    <w:rsid w:val="00A15F7A"/>
    <w:rsid w:val="00A17AC5"/>
    <w:rsid w:val="00A17C95"/>
    <w:rsid w:val="00A30FA2"/>
    <w:rsid w:val="00A36CBD"/>
    <w:rsid w:val="00A411A3"/>
    <w:rsid w:val="00A44174"/>
    <w:rsid w:val="00A445E1"/>
    <w:rsid w:val="00A4677A"/>
    <w:rsid w:val="00A46F8C"/>
    <w:rsid w:val="00A526E8"/>
    <w:rsid w:val="00A55864"/>
    <w:rsid w:val="00A647C5"/>
    <w:rsid w:val="00A6510D"/>
    <w:rsid w:val="00A66EC4"/>
    <w:rsid w:val="00A70872"/>
    <w:rsid w:val="00A7207C"/>
    <w:rsid w:val="00A84130"/>
    <w:rsid w:val="00A91DE3"/>
    <w:rsid w:val="00A92E91"/>
    <w:rsid w:val="00A95CED"/>
    <w:rsid w:val="00AA2042"/>
    <w:rsid w:val="00AB0468"/>
    <w:rsid w:val="00AB1AAB"/>
    <w:rsid w:val="00AB421E"/>
    <w:rsid w:val="00AB7168"/>
    <w:rsid w:val="00AD1852"/>
    <w:rsid w:val="00AD7922"/>
    <w:rsid w:val="00AE0416"/>
    <w:rsid w:val="00AE157B"/>
    <w:rsid w:val="00AE6148"/>
    <w:rsid w:val="00AF0793"/>
    <w:rsid w:val="00AF092C"/>
    <w:rsid w:val="00AF09B2"/>
    <w:rsid w:val="00AF6427"/>
    <w:rsid w:val="00B03405"/>
    <w:rsid w:val="00B03BED"/>
    <w:rsid w:val="00B07C90"/>
    <w:rsid w:val="00B15E77"/>
    <w:rsid w:val="00B21524"/>
    <w:rsid w:val="00B35B1F"/>
    <w:rsid w:val="00B378BD"/>
    <w:rsid w:val="00B61F3C"/>
    <w:rsid w:val="00B64748"/>
    <w:rsid w:val="00B6724F"/>
    <w:rsid w:val="00B7431A"/>
    <w:rsid w:val="00B80EBF"/>
    <w:rsid w:val="00B91466"/>
    <w:rsid w:val="00BA1D81"/>
    <w:rsid w:val="00BB0B6A"/>
    <w:rsid w:val="00BB2441"/>
    <w:rsid w:val="00BC01B9"/>
    <w:rsid w:val="00BC25BF"/>
    <w:rsid w:val="00BC6D66"/>
    <w:rsid w:val="00BD0632"/>
    <w:rsid w:val="00BD09DB"/>
    <w:rsid w:val="00BE012A"/>
    <w:rsid w:val="00BE12FE"/>
    <w:rsid w:val="00BF0588"/>
    <w:rsid w:val="00BF2BA9"/>
    <w:rsid w:val="00BF673F"/>
    <w:rsid w:val="00BF7AB5"/>
    <w:rsid w:val="00C007AC"/>
    <w:rsid w:val="00C12534"/>
    <w:rsid w:val="00C20895"/>
    <w:rsid w:val="00C22A6D"/>
    <w:rsid w:val="00C242BF"/>
    <w:rsid w:val="00C24547"/>
    <w:rsid w:val="00C340E0"/>
    <w:rsid w:val="00C344B2"/>
    <w:rsid w:val="00C43318"/>
    <w:rsid w:val="00C45404"/>
    <w:rsid w:val="00C478C8"/>
    <w:rsid w:val="00C61B4B"/>
    <w:rsid w:val="00C64802"/>
    <w:rsid w:val="00C700E5"/>
    <w:rsid w:val="00C7122A"/>
    <w:rsid w:val="00C86CDE"/>
    <w:rsid w:val="00C96E73"/>
    <w:rsid w:val="00CA1054"/>
    <w:rsid w:val="00CB1D88"/>
    <w:rsid w:val="00CC3E45"/>
    <w:rsid w:val="00CD22D1"/>
    <w:rsid w:val="00CF25C3"/>
    <w:rsid w:val="00CF71CD"/>
    <w:rsid w:val="00D05092"/>
    <w:rsid w:val="00D12CD6"/>
    <w:rsid w:val="00D12D1A"/>
    <w:rsid w:val="00D1366F"/>
    <w:rsid w:val="00D14DF9"/>
    <w:rsid w:val="00D23833"/>
    <w:rsid w:val="00D54DC1"/>
    <w:rsid w:val="00D57466"/>
    <w:rsid w:val="00D6690A"/>
    <w:rsid w:val="00D66EC3"/>
    <w:rsid w:val="00D8285B"/>
    <w:rsid w:val="00D93912"/>
    <w:rsid w:val="00D96473"/>
    <w:rsid w:val="00DA3B81"/>
    <w:rsid w:val="00DB0D8D"/>
    <w:rsid w:val="00DB44B8"/>
    <w:rsid w:val="00DB5B83"/>
    <w:rsid w:val="00DB64FE"/>
    <w:rsid w:val="00DC06BA"/>
    <w:rsid w:val="00DD0B9C"/>
    <w:rsid w:val="00DE1005"/>
    <w:rsid w:val="00E043EF"/>
    <w:rsid w:val="00E16092"/>
    <w:rsid w:val="00E226C7"/>
    <w:rsid w:val="00E26BED"/>
    <w:rsid w:val="00E309CE"/>
    <w:rsid w:val="00E32A33"/>
    <w:rsid w:val="00E3312B"/>
    <w:rsid w:val="00E36C93"/>
    <w:rsid w:val="00E4311F"/>
    <w:rsid w:val="00E51E21"/>
    <w:rsid w:val="00E53ACC"/>
    <w:rsid w:val="00E607C7"/>
    <w:rsid w:val="00E66C20"/>
    <w:rsid w:val="00E71FA1"/>
    <w:rsid w:val="00E76076"/>
    <w:rsid w:val="00E77D1E"/>
    <w:rsid w:val="00E8124D"/>
    <w:rsid w:val="00E8365F"/>
    <w:rsid w:val="00E8453C"/>
    <w:rsid w:val="00E90516"/>
    <w:rsid w:val="00E90FE3"/>
    <w:rsid w:val="00E9446A"/>
    <w:rsid w:val="00EA1FC6"/>
    <w:rsid w:val="00EB0C91"/>
    <w:rsid w:val="00EB72A7"/>
    <w:rsid w:val="00EC0103"/>
    <w:rsid w:val="00EC1C76"/>
    <w:rsid w:val="00EC3284"/>
    <w:rsid w:val="00EC3FBF"/>
    <w:rsid w:val="00EC5CAE"/>
    <w:rsid w:val="00ED5040"/>
    <w:rsid w:val="00ED59B2"/>
    <w:rsid w:val="00ED7D47"/>
    <w:rsid w:val="00EF0E18"/>
    <w:rsid w:val="00EF1770"/>
    <w:rsid w:val="00EF4CDB"/>
    <w:rsid w:val="00F053CF"/>
    <w:rsid w:val="00F10E68"/>
    <w:rsid w:val="00F1195B"/>
    <w:rsid w:val="00F16583"/>
    <w:rsid w:val="00F20B52"/>
    <w:rsid w:val="00F24907"/>
    <w:rsid w:val="00F42965"/>
    <w:rsid w:val="00F44EE4"/>
    <w:rsid w:val="00F453FC"/>
    <w:rsid w:val="00F456CC"/>
    <w:rsid w:val="00F50A46"/>
    <w:rsid w:val="00F57500"/>
    <w:rsid w:val="00F62384"/>
    <w:rsid w:val="00F749AA"/>
    <w:rsid w:val="00F7533D"/>
    <w:rsid w:val="00F77104"/>
    <w:rsid w:val="00F82740"/>
    <w:rsid w:val="00F827AC"/>
    <w:rsid w:val="00F859B2"/>
    <w:rsid w:val="00FA65C1"/>
    <w:rsid w:val="00FA73CB"/>
    <w:rsid w:val="00FB05FB"/>
    <w:rsid w:val="00FB60A0"/>
    <w:rsid w:val="00FB61F4"/>
    <w:rsid w:val="00FC313E"/>
    <w:rsid w:val="00FD0963"/>
    <w:rsid w:val="00FE18A6"/>
    <w:rsid w:val="00FE1AB9"/>
    <w:rsid w:val="00FE3CEE"/>
    <w:rsid w:val="00FE5DB8"/>
    <w:rsid w:val="00FE73FE"/>
    <w:rsid w:val="00FF4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7D21F"/>
  <w15:chartTrackingRefBased/>
  <w15:docId w15:val="{C4DF6D7F-EBA8-477F-859D-7D05C7C57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1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01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01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01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01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01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01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01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01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1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01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01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1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1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1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1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1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103"/>
    <w:rPr>
      <w:rFonts w:eastAsiaTheme="majorEastAsia" w:cstheme="majorBidi"/>
      <w:color w:val="272727" w:themeColor="text1" w:themeTint="D8"/>
    </w:rPr>
  </w:style>
  <w:style w:type="paragraph" w:styleId="Title">
    <w:name w:val="Title"/>
    <w:basedOn w:val="Normal"/>
    <w:next w:val="Normal"/>
    <w:link w:val="TitleChar"/>
    <w:uiPriority w:val="10"/>
    <w:qFormat/>
    <w:rsid w:val="00EC01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1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1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1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103"/>
    <w:pPr>
      <w:spacing w:before="160"/>
      <w:jc w:val="center"/>
    </w:pPr>
    <w:rPr>
      <w:i/>
      <w:iCs/>
      <w:color w:val="404040" w:themeColor="text1" w:themeTint="BF"/>
    </w:rPr>
  </w:style>
  <w:style w:type="character" w:customStyle="1" w:styleId="QuoteChar">
    <w:name w:val="Quote Char"/>
    <w:basedOn w:val="DefaultParagraphFont"/>
    <w:link w:val="Quote"/>
    <w:uiPriority w:val="29"/>
    <w:rsid w:val="00EC0103"/>
    <w:rPr>
      <w:i/>
      <w:iCs/>
      <w:color w:val="404040" w:themeColor="text1" w:themeTint="BF"/>
    </w:rPr>
  </w:style>
  <w:style w:type="paragraph" w:styleId="ListParagraph">
    <w:name w:val="List Paragraph"/>
    <w:basedOn w:val="Normal"/>
    <w:uiPriority w:val="34"/>
    <w:qFormat/>
    <w:rsid w:val="00EC0103"/>
    <w:pPr>
      <w:ind w:left="720"/>
      <w:contextualSpacing/>
    </w:pPr>
  </w:style>
  <w:style w:type="character" w:styleId="IntenseEmphasis">
    <w:name w:val="Intense Emphasis"/>
    <w:basedOn w:val="DefaultParagraphFont"/>
    <w:uiPriority w:val="21"/>
    <w:qFormat/>
    <w:rsid w:val="00EC0103"/>
    <w:rPr>
      <w:i/>
      <w:iCs/>
      <w:color w:val="0F4761" w:themeColor="accent1" w:themeShade="BF"/>
    </w:rPr>
  </w:style>
  <w:style w:type="paragraph" w:styleId="IntenseQuote">
    <w:name w:val="Intense Quote"/>
    <w:basedOn w:val="Normal"/>
    <w:next w:val="Normal"/>
    <w:link w:val="IntenseQuoteChar"/>
    <w:uiPriority w:val="30"/>
    <w:qFormat/>
    <w:rsid w:val="00EC01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0103"/>
    <w:rPr>
      <w:i/>
      <w:iCs/>
      <w:color w:val="0F4761" w:themeColor="accent1" w:themeShade="BF"/>
    </w:rPr>
  </w:style>
  <w:style w:type="character" w:styleId="IntenseReference">
    <w:name w:val="Intense Reference"/>
    <w:basedOn w:val="DefaultParagraphFont"/>
    <w:uiPriority w:val="32"/>
    <w:qFormat/>
    <w:rsid w:val="00EC0103"/>
    <w:rPr>
      <w:b/>
      <w:bCs/>
      <w:smallCaps/>
      <w:color w:val="0F4761" w:themeColor="accent1" w:themeShade="BF"/>
      <w:spacing w:val="5"/>
    </w:rPr>
  </w:style>
  <w:style w:type="character" w:styleId="Hyperlink">
    <w:name w:val="Hyperlink"/>
    <w:basedOn w:val="DefaultParagraphFont"/>
    <w:uiPriority w:val="99"/>
    <w:unhideWhenUsed/>
    <w:rsid w:val="00966275"/>
    <w:rPr>
      <w:color w:val="467886" w:themeColor="hyperlink"/>
      <w:u w:val="single"/>
    </w:rPr>
  </w:style>
  <w:style w:type="character" w:styleId="UnresolvedMention">
    <w:name w:val="Unresolved Mention"/>
    <w:basedOn w:val="DefaultParagraphFont"/>
    <w:uiPriority w:val="99"/>
    <w:semiHidden/>
    <w:unhideWhenUsed/>
    <w:rsid w:val="00966275"/>
    <w:rPr>
      <w:color w:val="605E5C"/>
      <w:shd w:val="clear" w:color="auto" w:fill="E1DFDD"/>
    </w:rPr>
  </w:style>
  <w:style w:type="character" w:styleId="FollowedHyperlink">
    <w:name w:val="FollowedHyperlink"/>
    <w:basedOn w:val="DefaultParagraphFont"/>
    <w:uiPriority w:val="99"/>
    <w:semiHidden/>
    <w:unhideWhenUsed/>
    <w:rsid w:val="00050ED7"/>
    <w:rPr>
      <w:color w:val="96607D" w:themeColor="followedHyperlink"/>
      <w:u w:val="single"/>
    </w:rPr>
  </w:style>
  <w:style w:type="paragraph" w:styleId="TOCHeading">
    <w:name w:val="TOC Heading"/>
    <w:basedOn w:val="Heading1"/>
    <w:next w:val="Normal"/>
    <w:uiPriority w:val="39"/>
    <w:unhideWhenUsed/>
    <w:qFormat/>
    <w:rsid w:val="00C4540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F2BA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1998/42" TargetMode="External"/><Relationship Id="rId18" Type="http://schemas.openxmlformats.org/officeDocument/2006/relationships/hyperlink" Target="https://www.hcpc-uk.org/standards/standards-of-conduct-performance-and-ethics/" TargetMode="External"/><Relationship Id="rId26" Type="http://schemas.openxmlformats.org/officeDocument/2006/relationships/hyperlink" Target="https://www.skillsforcare.org.uk/Workforce-Strategy/resources/Supporting-resources/Workforce-Strategy-for-Adult-Social-Care-in-England-July-2025.pdf" TargetMode="External"/><Relationship Id="rId3" Type="http://schemas.openxmlformats.org/officeDocument/2006/relationships/styles" Target="styles.xml"/><Relationship Id="rId21" Type="http://schemas.openxmlformats.org/officeDocument/2006/relationships/hyperlink" Target="https://www.nice.org.uk/guidance/ng197/chapter/recommendations" TargetMode="External"/><Relationship Id="rId7" Type="http://schemas.openxmlformats.org/officeDocument/2006/relationships/endnotes" Target="endnotes.xml"/><Relationship Id="rId12" Type="http://schemas.openxmlformats.org/officeDocument/2006/relationships/hyperlink" Target="https://www.gov.uk/government/publications/care-act-statutory-guidance/care-and-support-statutory-guidance?utm_source=chatgpt.com" TargetMode="External"/><Relationship Id="rId17" Type="http://schemas.openxmlformats.org/officeDocument/2006/relationships/hyperlink" Target="https://www.legislation.gov.uk/ukpga/2022/31" TargetMode="External"/><Relationship Id="rId25" Type="http://schemas.openxmlformats.org/officeDocument/2006/relationships/hyperlink" Target="https://doi.org/10.1111/hex.12640" TargetMode="External"/><Relationship Id="rId2" Type="http://schemas.openxmlformats.org/officeDocument/2006/relationships/numbering" Target="numbering.xml"/><Relationship Id="rId16" Type="http://schemas.openxmlformats.org/officeDocument/2006/relationships/hyperlink" Target="https://www.legislation.gov.uk/ukpga/2014/23/section/6" TargetMode="External"/><Relationship Id="rId20" Type="http://schemas.openxmlformats.org/officeDocument/2006/relationships/hyperlink" Target="https://www.nice.org.uk/guidance/qs123/chapter/Quality-statement-1-Person-centred-plann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health-social-care-act/regulation-9?utm_source=chatgpt.com" TargetMode="External"/><Relationship Id="rId24" Type="http://schemas.openxmlformats.org/officeDocument/2006/relationships/hyperlink" Target="https://www.kingsfund.org.uk/insight-and-analysis/reports/place-based-partnerships-challenges-opportunities" TargetMode="External"/><Relationship Id="rId5" Type="http://schemas.openxmlformats.org/officeDocument/2006/relationships/webSettings" Target="webSettings.xml"/><Relationship Id="rId15" Type="http://schemas.openxmlformats.org/officeDocument/2006/relationships/hyperlink" Target="https://www.legislation.gov.uk/ukpga/2012/7" TargetMode="External"/><Relationship Id="rId23" Type="http://schemas.openxmlformats.org/officeDocument/2006/relationships/hyperlink" Target="https://www.england.nhs.uk/long-read/working-in-partnership-with-people-and-communities-statutory-guidance/?utm_source=chatgpt.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legislation.gov.uk/ukpga/200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10/15" TargetMode="External"/><Relationship Id="rId22" Type="http://schemas.openxmlformats.org/officeDocument/2006/relationships/hyperlink" Target="https://www.england.nhs.uk/publication/universal-personalised-care-implementing-the-comprehensive-mode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691AC3B-8190-479D-8580-35F21281EA22}">
  <we:reference id="wa200000368" version="1.0.0.0" store="en-US" storeType="OMEX"/>
  <we:alternateReferences>
    <we:reference id="WA200000368" version="1.0.0.0" store="" storeType="OMEX"/>
  </we:alternateReferences>
  <we:properties>
    <we:property name="documentId" value="&quot;dd028e1f1a12d7d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B7DEC-85CD-4727-BC2C-937131273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1015</TotalTime>
  <Pages>13</Pages>
  <Words>3479</Words>
  <Characters>19832</Characters>
  <Application>Microsoft Office Word</Application>
  <DocSecurity>0</DocSecurity>
  <Lines>165</Lines>
  <Paragraphs>46</Paragraphs>
  <ScaleCrop>false</ScaleCrop>
  <Company/>
  <LinksUpToDate>false</LinksUpToDate>
  <CharactersWithSpaces>23265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472</cp:revision>
  <dcterms:created xsi:type="dcterms:W3CDTF">2026-09-25T10:59:00Z</dcterms:created>
  <dcterms:modified xsi:type="dcterms:W3CDTF">2026-10-10T22:59:00Z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8270e4e4-23d8-4088-908f-c47daeb9bd4d</vt:lpwstr>
  </property>
</Properties>
</file>