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ascii="Times New Roman" w:hAnsi="Times New Roman" w:cs="Times New Roman"/>
          <w:sz w:val="24"/>
          <w:lang w:val="en-GB"/>
        </w:rPr>
      </w:pPr>
    </w:p>
    <w:p>
      <w:pPr>
        <w:spacing w:line="360" w:lineRule="auto"/>
        <w:rPr>
          <w:rFonts w:hint="default" w:ascii="Times New Roman" w:hAnsi="Times New Roman" w:cs="Times New Roman"/>
          <w:sz w:val="24"/>
          <w:lang w:val="en-GB"/>
        </w:rPr>
      </w:pPr>
    </w:p>
    <w:p>
      <w:pPr>
        <w:spacing w:line="360" w:lineRule="auto"/>
        <w:rPr>
          <w:rFonts w:ascii="Times New Roman" w:hAnsi="Times New Roman" w:cs="Times New Roman"/>
          <w:sz w:val="24"/>
        </w:rPr>
      </w:pPr>
    </w:p>
    <w:p>
      <w:pPr>
        <w:pStyle w:val="6"/>
        <w:spacing w:before="0" w:beforeAutospacing="0" w:after="0" w:afterAutospacing="0" w:line="360" w:lineRule="auto"/>
        <w:ind w:right="34"/>
        <w:jc w:val="center"/>
        <w:rPr>
          <w:rFonts w:hint="default" w:ascii="Calibri" w:hAnsi="Calibri" w:cs="Tahoma"/>
          <w:i/>
          <w:sz w:val="24"/>
          <w:szCs w:val="24"/>
          <w:lang w:val="en-GB"/>
        </w:rPr>
      </w:pPr>
      <w:r>
        <w:rPr>
          <w:rFonts w:hint="default" w:ascii="Times New Roman" w:hAnsi="Times New Roman" w:cs="Times New Roman"/>
          <w:b/>
          <w:bCs/>
          <w:i w:val="0"/>
          <w:iCs/>
          <w:sz w:val="36"/>
          <w:szCs w:val="36"/>
          <w:lang w:val="en-GB"/>
        </w:rPr>
        <w:t>Wills from part two of the register ‘Baldwyn’ 1461-1474 : A study in Medieval preparation for the soul and the afterlife</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By</w:t>
      </w:r>
    </w:p>
    <w:p>
      <w:pPr>
        <w:spacing w:line="360" w:lineRule="auto"/>
        <w:jc w:val="center"/>
        <w:rPr>
          <w:rFonts w:ascii="Times New Roman" w:hAnsi="Times New Roman" w:cs="Times New Roman"/>
          <w:sz w:val="24"/>
        </w:rPr>
      </w:pPr>
      <w:r>
        <w:rPr>
          <w:rFonts w:hint="default" w:ascii="Times New Roman" w:hAnsi="Times New Roman" w:cs="Times New Roman"/>
          <w:b/>
          <w:bCs/>
          <w:sz w:val="28"/>
          <w:szCs w:val="28"/>
          <w:lang w:val="en-GB"/>
        </w:rPr>
        <w:t>Deborah Jane Ashby</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jc w:val="center"/>
        <w:rPr>
          <w:rFonts w:ascii="Times New Roman" w:hAnsi="Times New Roman" w:cs="Times New Roman"/>
          <w:b/>
          <w:bCs/>
          <w:sz w:val="24"/>
        </w:rPr>
      </w:pPr>
      <w:r>
        <w:rPr>
          <w:rFonts w:ascii="Times New Roman" w:hAnsi="Times New Roman" w:cs="Times New Roman"/>
          <w:b/>
          <w:bCs/>
          <w:sz w:val="24"/>
        </w:rPr>
        <w:t>A Dissertation</w:t>
      </w:r>
    </w:p>
    <w:p>
      <w:pPr>
        <w:spacing w:line="360" w:lineRule="auto"/>
        <w:jc w:val="center"/>
        <w:rPr>
          <w:rFonts w:hint="default" w:ascii="Times New Roman" w:hAnsi="Times New Roman" w:cs="Times New Roman"/>
          <w:b/>
          <w:bCs/>
          <w:sz w:val="24"/>
          <w:lang w:val="en-GB"/>
        </w:rPr>
      </w:pPr>
      <w:r>
        <w:rPr>
          <w:rFonts w:ascii="Times New Roman" w:hAnsi="Times New Roman" w:cs="Times New Roman"/>
          <w:b/>
          <w:bCs/>
          <w:sz w:val="24"/>
        </w:rPr>
        <w:t xml:space="preserve">Submitted to </w:t>
      </w:r>
      <w:r>
        <w:rPr>
          <w:rFonts w:hint="default" w:ascii="Times New Roman" w:hAnsi="Times New Roman" w:cs="Times New Roman"/>
          <w:b/>
          <w:bCs/>
          <w:sz w:val="24"/>
          <w:lang w:val="en-GB"/>
        </w:rPr>
        <w:t xml:space="preserve"> Humanities Department</w:t>
      </w:r>
    </w:p>
    <w:p>
      <w:pPr>
        <w:spacing w:line="360" w:lineRule="auto"/>
        <w:jc w:val="center"/>
        <w:rPr>
          <w:rFonts w:ascii="Times New Roman" w:hAnsi="Times New Roman" w:cs="Times New Roman"/>
          <w:b/>
          <w:bCs/>
          <w:sz w:val="24"/>
        </w:rPr>
      </w:pPr>
      <w:r>
        <w:rPr>
          <w:rFonts w:ascii="Times New Roman" w:hAnsi="Times New Roman" w:cs="Times New Roman"/>
          <w:b/>
          <w:bCs/>
          <w:sz w:val="24"/>
        </w:rPr>
        <w:t xml:space="preserve">In Partial Fulfilment of the Requirements </w:t>
      </w:r>
    </w:p>
    <w:p>
      <w:pPr>
        <w:spacing w:line="360" w:lineRule="auto"/>
        <w:jc w:val="center"/>
        <w:rPr>
          <w:rFonts w:ascii="Times New Roman" w:hAnsi="Times New Roman" w:cs="Times New Roman"/>
          <w:b/>
          <w:bCs/>
          <w:sz w:val="24"/>
        </w:rPr>
      </w:pPr>
      <w:r>
        <w:rPr>
          <w:rFonts w:ascii="Times New Roman" w:hAnsi="Times New Roman" w:cs="Times New Roman"/>
          <w:b/>
          <w:bCs/>
          <w:sz w:val="24"/>
        </w:rPr>
        <w:t xml:space="preserve">For </w:t>
      </w:r>
      <w:r>
        <w:rPr>
          <w:rFonts w:hint="default" w:ascii="Times New Roman" w:hAnsi="Times New Roman" w:cs="Times New Roman"/>
          <w:b/>
          <w:bCs/>
          <w:sz w:val="24"/>
          <w:lang w:val="en-GB"/>
        </w:rPr>
        <w:t>M.A Medieval Studies</w:t>
      </w:r>
      <w:r>
        <w:rPr>
          <w:rFonts w:ascii="Times New Roman" w:hAnsi="Times New Roman" w:cs="Times New Roman"/>
          <w:b/>
          <w:bCs/>
          <w:sz w:val="24"/>
        </w:rPr>
        <w:t xml:space="preserve"> </w:t>
      </w:r>
    </w:p>
    <w:p>
      <w:pPr>
        <w:spacing w:line="360" w:lineRule="auto"/>
        <w:jc w:val="center"/>
        <w:rPr>
          <w:rFonts w:hint="default" w:ascii="Times New Roman" w:hAnsi="Times New Roman" w:cs="Times New Roman"/>
          <w:b/>
          <w:bCs/>
          <w:sz w:val="24"/>
          <w:lang w:val="en-GB"/>
        </w:rPr>
      </w:pPr>
      <w:r>
        <w:rPr>
          <w:rFonts w:hint="default" w:ascii="Times New Roman" w:hAnsi="Times New Roman" w:cs="Times New Roman"/>
          <w:b/>
          <w:bCs/>
          <w:sz w:val="24"/>
          <w:lang w:val="en-GB"/>
        </w:rPr>
        <w:t>Word count 13509</w:t>
      </w:r>
    </w:p>
    <w:p>
      <w:pPr>
        <w:spacing w:line="360" w:lineRule="auto"/>
        <w:jc w:val="center"/>
        <w:rPr>
          <w:rFonts w:hint="default" w:ascii="Times New Roman" w:hAnsi="Times New Roman" w:cs="Times New Roman"/>
          <w:b/>
          <w:bCs/>
          <w:sz w:val="24"/>
          <w:lang w:val="en-GB"/>
        </w:rPr>
      </w:pPr>
      <w:r>
        <w:rPr>
          <w:rFonts w:hint="default" w:ascii="Times New Roman" w:hAnsi="Times New Roman" w:cs="Times New Roman"/>
          <w:b/>
          <w:bCs/>
          <w:sz w:val="24"/>
          <w:lang w:val="en-GB"/>
        </w:rPr>
        <w:t>22/09/2020</w:t>
      </w:r>
    </w:p>
    <w:p>
      <w:pPr>
        <w:spacing w:line="360" w:lineRule="auto"/>
        <w:jc w:val="center"/>
        <w:rPr>
          <w:rFonts w:hint="default" w:ascii="Times New Roman" w:hAnsi="Times New Roman" w:cs="Times New Roman"/>
          <w:b/>
          <w:bCs/>
          <w:sz w:val="24"/>
          <w:lang w:val="en-GB"/>
        </w:rPr>
      </w:pPr>
    </w:p>
    <w:p>
      <w:pPr>
        <w:spacing w:line="360" w:lineRule="auto"/>
        <w:jc w:val="center"/>
        <w:rPr>
          <w:rFonts w:hint="default" w:ascii="Times New Roman" w:hAnsi="Times New Roman" w:cs="Times New Roman"/>
          <w:b/>
          <w:bCs/>
          <w:sz w:val="24"/>
          <w:lang w:val="en-GB"/>
        </w:rPr>
      </w:pPr>
    </w:p>
    <w:p>
      <w:pPr>
        <w:spacing w:line="360" w:lineRule="auto"/>
        <w:jc w:val="center"/>
        <w:rPr>
          <w:rFonts w:hint="default" w:ascii="Times New Roman" w:hAnsi="Times New Roman" w:cs="Times New Roman"/>
          <w:b/>
          <w:bCs/>
          <w:sz w:val="24"/>
          <w:lang w:val="en-GB"/>
        </w:rPr>
      </w:pPr>
    </w:p>
    <w:p>
      <w:pPr>
        <w:spacing w:line="360" w:lineRule="auto"/>
        <w:jc w:val="center"/>
        <w:rPr>
          <w:rFonts w:hint="default" w:ascii="Times New Roman" w:hAnsi="Times New Roman" w:cs="Times New Roman"/>
          <w:b/>
          <w:bCs/>
          <w:sz w:val="24"/>
          <w:lang w:val="en-GB"/>
        </w:rPr>
      </w:pPr>
    </w:p>
    <w:p>
      <w:pPr>
        <w:spacing w:line="360" w:lineRule="auto"/>
        <w:jc w:val="center"/>
        <w:rPr>
          <w:rFonts w:hint="default" w:ascii="Times New Roman" w:hAnsi="Times New Roman" w:cs="Times New Roman"/>
          <w:b/>
          <w:bCs/>
          <w:sz w:val="24"/>
          <w:lang w:val="en-GB"/>
        </w:rPr>
      </w:pPr>
    </w:p>
    <w:p>
      <w:pPr>
        <w:spacing w:line="360" w:lineRule="auto"/>
        <w:jc w:val="center"/>
        <w:rPr>
          <w:rFonts w:hint="default" w:ascii="Times New Roman" w:hAnsi="Times New Roman" w:cs="Times New Roman"/>
          <w:b/>
          <w:bCs/>
          <w:sz w:val="24"/>
          <w:lang w:val="en-GB"/>
        </w:rPr>
      </w:pPr>
    </w:p>
    <w:p>
      <w:pPr>
        <w:spacing w:line="360" w:lineRule="auto"/>
        <w:jc w:val="center"/>
        <w:rPr>
          <w:rFonts w:hint="default" w:ascii="Times New Roman" w:hAnsi="Times New Roman" w:cs="Times New Roman"/>
          <w:b/>
          <w:bCs/>
          <w:sz w:val="24"/>
          <w:lang w:val="en-GB"/>
        </w:rPr>
      </w:pPr>
    </w:p>
    <w:p>
      <w:pPr>
        <w:spacing w:line="360" w:lineRule="auto"/>
        <w:rPr>
          <w:rFonts w:hint="default" w:ascii="Times New Roman" w:hAnsi="Times New Roman" w:cs="Times New Roman"/>
          <w:b/>
          <w:bCs/>
          <w:sz w:val="24"/>
          <w:lang w:val="en-GB"/>
        </w:rPr>
      </w:pPr>
      <w:r>
        <w:rPr>
          <w:rFonts w:hint="default" w:ascii="Times New Roman" w:hAnsi="Times New Roman" w:cs="Times New Roman"/>
          <w:b/>
          <w:bCs/>
          <w:sz w:val="24"/>
          <w:lang w:val="en-GB"/>
        </w:rPr>
        <w:br w:type="page"/>
      </w:r>
    </w:p>
    <w:p>
      <w:pPr>
        <w:spacing w:after="120" w:line="360" w:lineRule="auto"/>
        <w:rPr>
          <w:rFonts w:ascii="Arial" w:hAnsi="Arial" w:cs="Arial"/>
        </w:rPr>
      </w:pPr>
    </w:p>
    <w:p>
      <w:pPr>
        <w:spacing w:after="120" w:line="360" w:lineRule="auto"/>
        <w:ind w:left="720"/>
        <w:rPr>
          <w:rFonts w:ascii="Arial" w:hAnsi="Arial" w:cs="Arial"/>
        </w:rPr>
      </w:pPr>
    </w:p>
    <w:p>
      <w:pPr>
        <w:spacing w:after="120" w:line="360" w:lineRule="auto"/>
        <w:ind w:left="720"/>
        <w:rPr>
          <w:rFonts w:ascii="Arial" w:hAnsi="Arial" w:cs="Arial"/>
        </w:rPr>
      </w:pPr>
      <w:r>
        <w:rPr>
          <w:rFonts w:ascii="Arial" w:hAnsi="Arial" w:cs="Arial"/>
        </w:rPr>
        <w:drawing>
          <wp:inline distT="0" distB="0" distL="0" distR="0">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857375" cy="762000"/>
                    </a:xfrm>
                    <a:prstGeom prst="rect">
                      <a:avLst/>
                    </a:prstGeom>
                    <a:noFill/>
                    <a:ln>
                      <a:noFill/>
                    </a:ln>
                  </pic:spPr>
                </pic:pic>
              </a:graphicData>
            </a:graphic>
          </wp:inline>
        </w:drawing>
      </w:r>
    </w:p>
    <w:p>
      <w:pPr>
        <w:pBdr>
          <w:top w:val="single" w:color="auto" w:sz="4" w:space="1"/>
          <w:left w:val="single" w:color="auto" w:sz="4" w:space="4"/>
          <w:bottom w:val="single" w:color="auto" w:sz="4" w:space="1"/>
          <w:right w:val="single" w:color="auto" w:sz="4" w:space="4"/>
        </w:pBdr>
        <w:spacing w:after="120" w:line="360" w:lineRule="auto"/>
        <w:jc w:val="center"/>
        <w:rPr>
          <w:rFonts w:ascii="Arial" w:hAnsi="Arial" w:cs="Arial"/>
        </w:rPr>
      </w:pPr>
      <w:r>
        <w:rPr>
          <w:rFonts w:ascii="Arial" w:hAnsi="Arial" w:cs="Arial"/>
          <w:b/>
        </w:rPr>
        <w:t>Master’s Degrees by Examination and Dissertation</w:t>
      </w:r>
    </w:p>
    <w:p>
      <w:pPr>
        <w:pBdr>
          <w:top w:val="single" w:color="auto" w:sz="4" w:space="1"/>
          <w:left w:val="single" w:color="auto" w:sz="4" w:space="4"/>
          <w:bottom w:val="single" w:color="auto" w:sz="4" w:space="1"/>
          <w:right w:val="single" w:color="auto" w:sz="4" w:space="4"/>
        </w:pBdr>
        <w:spacing w:after="120" w:line="360" w:lineRule="auto"/>
        <w:jc w:val="center"/>
        <w:rPr>
          <w:rFonts w:ascii="Arial" w:hAnsi="Arial" w:cs="Arial"/>
        </w:rPr>
      </w:pPr>
      <w:r>
        <w:rPr>
          <w:rFonts w:ascii="Arial" w:hAnsi="Arial" w:cs="Arial"/>
          <w:b/>
        </w:rPr>
        <w:t>Declaration Form</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1. This work has not previously been accepted in substance for any degree and is not being concurrently submitted in candidature for any degree.</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Name.</w:t>
      </w:r>
      <w:r>
        <w:rPr>
          <w:rFonts w:hint="default" w:ascii="Arial" w:hAnsi="Arial" w:cs="Arial"/>
          <w:lang w:val="en-GB"/>
        </w:rPr>
        <w:t>Deborah Jane Ashby</w:t>
      </w:r>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 xml:space="preserve">Date </w:t>
      </w:r>
      <w:r>
        <w:rPr>
          <w:rFonts w:hint="default" w:ascii="Arial" w:hAnsi="Arial" w:cs="Arial"/>
          <w:lang w:val="en-GB"/>
        </w:rPr>
        <w:t>22/09/2020</w:t>
      </w:r>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2. This dissertation is being submitted in partial fulfilment of the requirements for the degree of ……</w:t>
      </w:r>
      <w:r>
        <w:rPr>
          <w:rFonts w:hint="default" w:ascii="Arial" w:hAnsi="Arial" w:cs="Arial"/>
          <w:lang w:val="en-GB"/>
        </w:rPr>
        <w:t>M.A in Medieval Studies</w:t>
      </w:r>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Name…</w:t>
      </w:r>
      <w:r>
        <w:rPr>
          <w:rFonts w:hint="default" w:ascii="Arial" w:hAnsi="Arial" w:cs="Arial"/>
          <w:lang w:val="en-GB"/>
        </w:rPr>
        <w:t>Deborah Jane Ashby</w:t>
      </w: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  …</w:t>
      </w:r>
      <w:r>
        <w:rPr>
          <w:rFonts w:hint="default" w:ascii="Arial" w:hAnsi="Arial" w:cs="Arial"/>
          <w:lang w:val="en-GB"/>
        </w:rPr>
        <w:t>22/09/2020</w:t>
      </w:r>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3. This dissertation is the result of my own independent work/investigation, except where otherwise stated.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 xml:space="preserve">Other sources are acknowledged by footnotes giving explicit references.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A bibliography is appended.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Name…</w:t>
      </w:r>
      <w:r>
        <w:rPr>
          <w:rFonts w:hint="default" w:ascii="Arial" w:hAnsi="Arial" w:cs="Arial"/>
          <w:lang w:val="en-GB"/>
        </w:rPr>
        <w:t>Deborah Jane Ashby</w:t>
      </w:r>
      <w:r>
        <w:rPr>
          <w:rFonts w:ascii="Arial" w:hAnsi="Arial" w:cs="Arial"/>
        </w:rPr>
        <w:t>…………: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w:t>
      </w:r>
      <w:r>
        <w:rPr>
          <w:rFonts w:hint="default" w:ascii="Arial" w:hAnsi="Arial" w:cs="Arial"/>
          <w:lang w:val="en-GB"/>
        </w:rPr>
        <w:t>22/09/2020</w:t>
      </w: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 xml:space="preserve">4. I hereby give consent for my dissertation, if accepted, to be available for photocopying, inter- library loan, and for deposit in the University’s digital repository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Name</w:t>
      </w:r>
      <w:r>
        <w:rPr>
          <w:rFonts w:hint="default" w:ascii="Arial" w:hAnsi="Arial" w:cs="Arial"/>
          <w:lang w:val="en-GB"/>
        </w:rPr>
        <w:t xml:space="preserve"> Deborah Jane Ashby</w:t>
      </w:r>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Date………………………</w:t>
      </w:r>
      <w:r>
        <w:rPr>
          <w:rFonts w:hint="default" w:ascii="Arial" w:hAnsi="Arial" w:cs="Arial"/>
          <w:lang w:val="en-GB"/>
        </w:rPr>
        <w:t>22/09/2020</w:t>
      </w:r>
      <w:bookmarkStart w:id="0" w:name="_GoBack"/>
      <w:bookmarkEnd w:id="0"/>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b/>
        </w:rPr>
        <w:t>Supervisor’s Declaration</w:t>
      </w:r>
      <w:r>
        <w:rPr>
          <w:rFonts w:ascii="Arial" w:hAnsi="Arial" w:cs="Arial"/>
        </w:rPr>
        <w:t>.</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I am satisfied that this work is the result of the student’s own efforts.</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Signed:  …………………………………………………………………………...</w:t>
      </w:r>
    </w:p>
    <w:p>
      <w:pPr>
        <w:pBdr>
          <w:top w:val="single" w:color="auto" w:sz="4" w:space="1"/>
          <w:left w:val="single" w:color="auto" w:sz="4" w:space="4"/>
          <w:bottom w:val="single" w:color="auto" w:sz="4" w:space="1"/>
          <w:right w:val="single" w:color="auto" w:sz="4" w:space="4"/>
        </w:pBdr>
        <w:spacing w:after="120" w:line="360" w:lineRule="auto"/>
        <w:jc w:val="both"/>
        <w:rPr>
          <w:rFonts w:ascii="Arial" w:hAnsi="Arial" w:cs="Arial"/>
        </w:rPr>
      </w:pPr>
      <w:r>
        <w:rPr>
          <w:rFonts w:ascii="Arial" w:hAnsi="Arial" w:cs="Arial"/>
        </w:rPr>
        <w:t>Date: …………………………………………………………………………..</w:t>
      </w:r>
    </w:p>
    <w:p>
      <w:pPr>
        <w:spacing w:line="360" w:lineRule="auto"/>
        <w:rPr>
          <w:rFonts w:hint="default"/>
          <w:lang w:val="en-GB"/>
        </w:rPr>
      </w:pPr>
      <w:r>
        <w:rPr>
          <w:rFonts w:hint="default"/>
          <w:lang w:val="en-GB"/>
        </w:rPr>
        <w:br w:type="page"/>
      </w:r>
    </w:p>
    <w:p>
      <w:pPr>
        <w:spacing w:line="360" w:lineRule="auto"/>
        <w:rPr>
          <w:rFonts w:hint="default"/>
          <w:lang w:val="en-GB"/>
        </w:rPr>
      </w:pPr>
    </w:p>
    <w:p>
      <w:pPr>
        <w:spacing w:line="360" w:lineRule="auto"/>
        <w:rPr>
          <w:rFonts w:hint="default"/>
          <w:lang w:val="en-GB"/>
        </w:rPr>
      </w:pP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Table of Contents</w:t>
      </w:r>
    </w:p>
    <w:p>
      <w:pPr>
        <w:spacing w:line="360" w:lineRule="auto"/>
        <w:rPr>
          <w:rFonts w:hint="default" w:ascii="Times New Roman" w:hAnsi="Times New Roman" w:cs="Times New Roman"/>
          <w:sz w:val="36"/>
          <w:szCs w:val="36"/>
          <w:lang w:val="en-GB"/>
        </w:rPr>
      </w:pP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Abstract</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Introduction</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Purgatory and Prayers</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Good works and charity</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Pilgrimages and shrines</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Bequests to the mendicant orders</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 suitable priest</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Conclusion</w:t>
      </w:r>
    </w:p>
    <w:p>
      <w:pPr>
        <w:numPr>
          <w:ilvl w:val="0"/>
          <w:numId w:val="1"/>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Bibliography</w:t>
      </w:r>
    </w:p>
    <w:p>
      <w:pPr>
        <w:numPr>
          <w:ilvl w:val="0"/>
          <w:numId w:val="0"/>
        </w:num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r>
        <w:rPr>
          <w:rFonts w:hint="default" w:ascii="Times New Roman" w:hAnsi="Times New Roman" w:cs="Times New Roman"/>
          <w:b/>
          <w:bCs/>
          <w:sz w:val="36"/>
          <w:szCs w:val="36"/>
          <w:lang w:val="en-GB"/>
        </w:rPr>
        <w:t>Abstract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The aim of this dissertation is to discuss medieval belief in the soul and understanding of the afterlife by using the will as a historical source . The methodology used was to examine 772 wills from part two of the register ‘Baldwyne’ from the collection of wills of the Archdeaconry of Sudbury dated 1439-1474. Firstly applying the parameter that the wills mention the soul or make a strong link to the salvation of the soul gave 690 wills out of the 772. With reference to secondary sources and using the medieval church teachings of purgatory and what tools it promoted to aid the soul gave topics that could be applied to the wills. The findings suggested that there was a very strong belief in the soul and a clear understanding of purgatory and a knowledge of what actions constituted the means to ensure a reduction spent in purgatory . It also showed a preference in the majority looking to the mendicant orders to act as intercessors for their souls. </w:t>
      </w: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b/>
          <w:bCs/>
          <w:sz w:val="36"/>
          <w:szCs w:val="36"/>
          <w:lang w:val="en-GB"/>
        </w:rPr>
      </w:pPr>
    </w:p>
    <w:p>
      <w:pPr>
        <w:spacing w:line="360" w:lineRule="auto"/>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Introduction</w:t>
      </w: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This dissertation is a study into the medieval belief and understanding of the soul and the afterlife using the primary source of wills from the Archdeaconry of Sudbury contained in the Baldwyne register. The wills examined are dated from 1461-1474 and form part two of the register and contains 827 wills in total. Out of this number 55 are either duplicate entries, probate only or incomplete. Therefore the number of wills I was able to use in this study was 772.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 ‘Baldwyne’ register is so named after the first testator in part one of the register. It is part of the records of the Archdeaconry of Sudbury and is held by the Suffolk Record Office in Bury St Edmunds. Part one of the register, 1439-1461 was edited in 2000 and the second part used in this study 1461-1474 was finished by 2009.</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These wills were presented as ‘full abstracts’ </w:t>
      </w:r>
      <w:r>
        <w:rPr>
          <w:rStyle w:val="10"/>
          <w:rFonts w:hint="default" w:ascii="Times New Roman" w:hAnsi="Times New Roman" w:cs="Times New Roman"/>
          <w:sz w:val="36"/>
          <w:szCs w:val="36"/>
          <w:lang w:val="en-GB"/>
        </w:rPr>
        <w:footnoteReference w:id="0"/>
      </w:r>
      <w:r>
        <w:rPr>
          <w:rFonts w:hint="default" w:ascii="Times New Roman" w:hAnsi="Times New Roman" w:cs="Times New Roman"/>
          <w:sz w:val="36"/>
          <w:szCs w:val="36"/>
          <w:lang w:val="en-GB"/>
        </w:rPr>
        <w:t>and as such contain much of the details useful to this study into the bequests and instructions in medieval wills and how they give us insight into the medieval mindset on the afterlife.</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The medieval will consisted of three parts; testament, will proper and probate sentence. Whilst only a handful of the wills used in this study adhere to this separation and contain will proper and testament separately most of the wills are a mixture of testament and will proper. </w:t>
      </w: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 value of wills as a historical source has long been seen</w:t>
      </w:r>
      <w:r>
        <w:rPr>
          <w:rStyle w:val="10"/>
          <w:rFonts w:hint="default" w:ascii="Times New Roman" w:hAnsi="Times New Roman" w:cs="Times New Roman"/>
          <w:sz w:val="36"/>
          <w:szCs w:val="36"/>
          <w:lang w:val="en-GB"/>
        </w:rPr>
        <w:footnoteReference w:id="1"/>
      </w:r>
      <w:r>
        <w:rPr>
          <w:rFonts w:hint="default" w:ascii="Times New Roman" w:hAnsi="Times New Roman" w:cs="Times New Roman"/>
          <w:sz w:val="36"/>
          <w:szCs w:val="36"/>
          <w:lang w:val="en-GB"/>
        </w:rPr>
        <w:t xml:space="preserve"> and as they survive in larger amounts from the fourteenth century onwards</w:t>
      </w:r>
      <w:r>
        <w:rPr>
          <w:rStyle w:val="10"/>
          <w:rFonts w:hint="default" w:ascii="Times New Roman" w:hAnsi="Times New Roman" w:cs="Times New Roman"/>
          <w:sz w:val="36"/>
          <w:szCs w:val="36"/>
          <w:lang w:val="en-GB"/>
        </w:rPr>
        <w:footnoteReference w:id="2"/>
      </w:r>
      <w:r>
        <w:rPr>
          <w:rFonts w:hint="default" w:ascii="Times New Roman" w:hAnsi="Times New Roman" w:cs="Times New Roman"/>
          <w:sz w:val="36"/>
          <w:szCs w:val="36"/>
          <w:lang w:val="en-GB"/>
        </w:rPr>
        <w:t xml:space="preserve"> they can provide a ready and accessible historical source for later medieval study. However it has been noted that there needs to be a level of caution as the will is a declaration of intent rather than a document of action</w:t>
      </w:r>
      <w:r>
        <w:rPr>
          <w:rStyle w:val="10"/>
          <w:rFonts w:hint="default" w:ascii="Times New Roman" w:hAnsi="Times New Roman" w:cs="Times New Roman"/>
          <w:sz w:val="36"/>
          <w:szCs w:val="36"/>
          <w:lang w:val="en-GB"/>
        </w:rPr>
        <w:footnoteReference w:id="3"/>
      </w:r>
      <w:r>
        <w:rPr>
          <w:rFonts w:hint="default" w:ascii="Times New Roman" w:hAnsi="Times New Roman" w:cs="Times New Roman"/>
          <w:sz w:val="36"/>
          <w:szCs w:val="36"/>
          <w:lang w:val="en-GB"/>
        </w:rPr>
        <w:t>. They were also not accessible  to the poorest members of society. Nevertheless as for most other parts of society below the landed gentry they would have had their wills proved in courts such as the Archdeaconry of Sudbury</w:t>
      </w:r>
      <w:r>
        <w:rPr>
          <w:rStyle w:val="10"/>
          <w:rFonts w:hint="default" w:ascii="Times New Roman" w:hAnsi="Times New Roman" w:cs="Times New Roman"/>
          <w:sz w:val="36"/>
          <w:szCs w:val="36"/>
          <w:lang w:val="en-GB"/>
        </w:rPr>
        <w:footnoteReference w:id="4"/>
      </w:r>
      <w:r>
        <w:rPr>
          <w:rFonts w:hint="default" w:ascii="Times New Roman" w:hAnsi="Times New Roman" w:cs="Times New Roman"/>
          <w:sz w:val="36"/>
          <w:szCs w:val="36"/>
          <w:lang w:val="en-GB"/>
        </w:rPr>
        <w:t xml:space="preserve"> and so I see these particular wills as a worthwhile source.Furthermore for this study I would argue that it is precisely this declaration of intent that provides a good indication of belief and of knowledge into the concept of the afterlife. The will for the medieval testator was more than an document to settle property and assets it was primarily the final chance to ensure spiritual health before physical health was extinguished. Whilst the majority followed a standard formulaic structure as can be seen in the wills used in this study</w:t>
      </w:r>
      <w:r>
        <w:rPr>
          <w:rStyle w:val="10"/>
          <w:rFonts w:hint="default" w:ascii="Times New Roman" w:hAnsi="Times New Roman" w:cs="Times New Roman"/>
          <w:sz w:val="36"/>
          <w:szCs w:val="36"/>
          <w:lang w:val="en-GB"/>
        </w:rPr>
        <w:footnoteReference w:id="5"/>
      </w:r>
      <w:r>
        <w:rPr>
          <w:rFonts w:hint="default" w:ascii="Times New Roman" w:hAnsi="Times New Roman" w:cs="Times New Roman"/>
          <w:sz w:val="36"/>
          <w:szCs w:val="36"/>
          <w:lang w:val="en-GB"/>
        </w:rPr>
        <w:t xml:space="preserve"> the focus of this study is to examine the diverse tools employed to gain this spiritual health and what this may tell us about understanding of the souls and the afterlife. </w:t>
      </w:r>
    </w:p>
    <w:p>
      <w:pPr>
        <w:spacing w:line="360" w:lineRule="auto"/>
        <w:jc w:val="left"/>
        <w:rPr>
          <w:rFonts w:hint="default" w:ascii="Times New Roman" w:hAnsi="Times New Roman" w:eastAsia="sans-serif" w:cs="Times New Roman"/>
          <w:i w:val="0"/>
          <w:caps w:val="0"/>
          <w:color w:val="111111"/>
          <w:spacing w:val="0"/>
          <w:sz w:val="36"/>
          <w:szCs w:val="36"/>
          <w:shd w:val="clear" w:fill="FFFFFF"/>
          <w:lang w:val="en-GB"/>
        </w:rPr>
      </w:pPr>
      <w:r>
        <w:rPr>
          <w:rFonts w:hint="default" w:ascii="Times New Roman" w:hAnsi="Times New Roman" w:cs="Times New Roman"/>
          <w:sz w:val="36"/>
          <w:szCs w:val="36"/>
          <w:lang w:val="en-GB"/>
        </w:rPr>
        <w:t xml:space="preserve">The date of the wills is also relevant to the goal of this study as they provide a valuable historical source of a period of history in which the catastrophic effects of events such as the Black Death had changed the landscape throughout England. In Suffolk, the population like the rest of the country, had experienced </w:t>
      </w:r>
      <w:r>
        <w:rPr>
          <w:rFonts w:hint="default" w:ascii="Times New Roman" w:hAnsi="Times New Roman" w:eastAsia="sans-serif" w:cs="Times New Roman"/>
          <w:i w:val="0"/>
          <w:caps w:val="0"/>
          <w:color w:val="111111"/>
          <w:spacing w:val="0"/>
          <w:sz w:val="36"/>
          <w:szCs w:val="36"/>
          <w:shd w:val="clear" w:fill="FFFFFF"/>
        </w:rPr>
        <w:t xml:space="preserve">three of the most </w:t>
      </w:r>
      <w:r>
        <w:rPr>
          <w:rFonts w:hint="default" w:ascii="Times New Roman" w:hAnsi="Times New Roman" w:eastAsia="sans-serif" w:cs="Times New Roman"/>
          <w:i w:val="0"/>
          <w:caps w:val="0"/>
          <w:color w:val="111111"/>
          <w:spacing w:val="0"/>
          <w:sz w:val="36"/>
          <w:szCs w:val="36"/>
          <w:shd w:val="clear" w:fill="FFFFFF"/>
          <w:lang w:val="en-GB"/>
        </w:rPr>
        <w:t>turbulent</w:t>
      </w:r>
      <w:r>
        <w:rPr>
          <w:rFonts w:hint="default" w:ascii="Times New Roman" w:hAnsi="Times New Roman" w:eastAsia="sans-serif" w:cs="Times New Roman"/>
          <w:i w:val="0"/>
          <w:caps w:val="0"/>
          <w:color w:val="111111"/>
          <w:spacing w:val="0"/>
          <w:sz w:val="36"/>
          <w:szCs w:val="36"/>
          <w:shd w:val="clear" w:fill="FFFFFF"/>
        </w:rPr>
        <w:t xml:space="preserve"> events of the last millennium, the Great Famine (1315-22), the Black Death (1349) and the Peasants' Revolt (1381)</w:t>
      </w:r>
      <w:r>
        <w:rPr>
          <w:rStyle w:val="10"/>
          <w:rFonts w:hint="default" w:ascii="Times New Roman" w:hAnsi="Times New Roman" w:eastAsia="sans-serif" w:cs="Times New Roman"/>
          <w:i w:val="0"/>
          <w:caps w:val="0"/>
          <w:color w:val="111111"/>
          <w:spacing w:val="0"/>
          <w:sz w:val="36"/>
          <w:szCs w:val="36"/>
          <w:shd w:val="clear" w:fill="FFFFFF"/>
        </w:rPr>
        <w:footnoteReference w:id="6"/>
      </w:r>
      <w:r>
        <w:rPr>
          <w:rFonts w:hint="default" w:ascii="Times New Roman" w:hAnsi="Times New Roman" w:eastAsia="sans-serif" w:cs="Times New Roman"/>
          <w:i w:val="0"/>
          <w:caps w:val="0"/>
          <w:color w:val="111111"/>
          <w:spacing w:val="0"/>
          <w:sz w:val="36"/>
          <w:szCs w:val="36"/>
          <w:shd w:val="clear" w:fill="FFFFFF"/>
          <w:lang w:val="en-GB"/>
        </w:rPr>
        <w:t xml:space="preserve">. Religion had always been </w:t>
      </w:r>
      <w:r>
        <w:rPr>
          <w:rFonts w:hint="default" w:ascii="Times New Roman" w:hAnsi="Times New Roman" w:eastAsia="sans-serif" w:cs="Times New Roman"/>
          <w:i w:val="0"/>
          <w:color w:val="111111"/>
          <w:spacing w:val="0"/>
          <w:sz w:val="36"/>
          <w:szCs w:val="36"/>
          <w:shd w:val="clear" w:fill="FFFFFF"/>
          <w:lang w:val="en-GB"/>
        </w:rPr>
        <w:t xml:space="preserve">inseparable from other aspects of life but </w:t>
      </w:r>
      <w:r>
        <w:rPr>
          <w:rFonts w:hint="default" w:ascii="Times New Roman" w:hAnsi="Times New Roman" w:eastAsia="sans-serif" w:cs="Times New Roman"/>
          <w:i w:val="0"/>
          <w:caps w:val="0"/>
          <w:color w:val="111111"/>
          <w:spacing w:val="0"/>
          <w:sz w:val="36"/>
          <w:szCs w:val="36"/>
          <w:shd w:val="clear" w:fill="FFFFFF"/>
          <w:lang w:val="en-GB"/>
        </w:rPr>
        <w:t>there was now a real urgency to find comfort and help in religion. They were struggling with forces they could not understand other than as a supernatural power</w:t>
      </w:r>
      <w:r>
        <w:rPr>
          <w:rStyle w:val="10"/>
          <w:rFonts w:hint="default" w:ascii="Times New Roman" w:hAnsi="Times New Roman" w:eastAsia="sans-serif" w:cs="Times New Roman"/>
          <w:i w:val="0"/>
          <w:caps w:val="0"/>
          <w:color w:val="111111"/>
          <w:spacing w:val="0"/>
          <w:sz w:val="36"/>
          <w:szCs w:val="36"/>
          <w:shd w:val="clear" w:fill="FFFFFF"/>
          <w:lang w:val="en-GB"/>
        </w:rPr>
        <w:footnoteReference w:id="7"/>
      </w:r>
      <w:r>
        <w:rPr>
          <w:rFonts w:hint="default" w:ascii="Times New Roman" w:hAnsi="Times New Roman" w:eastAsia="sans-serif" w:cs="Times New Roman"/>
          <w:i w:val="0"/>
          <w:caps w:val="0"/>
          <w:color w:val="111111"/>
          <w:spacing w:val="0"/>
          <w:sz w:val="36"/>
          <w:szCs w:val="36"/>
          <w:shd w:val="clear" w:fill="FFFFFF"/>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The population had been severely diminished and whilst they were recovering </w:t>
      </w:r>
      <w:r>
        <w:rPr>
          <w:rStyle w:val="10"/>
          <w:rFonts w:hint="default" w:ascii="Times New Roman" w:hAnsi="Times New Roman" w:cs="Times New Roman"/>
          <w:sz w:val="36"/>
          <w:szCs w:val="36"/>
          <w:lang w:val="en-GB"/>
        </w:rPr>
        <w:footnoteReference w:id="8"/>
      </w:r>
      <w:r>
        <w:rPr>
          <w:rFonts w:hint="default" w:ascii="Times New Roman" w:hAnsi="Times New Roman" w:cs="Times New Roman"/>
          <w:sz w:val="36"/>
          <w:szCs w:val="36"/>
          <w:lang w:val="en-GB"/>
        </w:rPr>
        <w:t>the changes must have had an effect on medieval mindset into the interpretation of death and the prospects for the soul after death. The plague had also undoubtedly deeply affected the church especially given how many of the clergy had died both through general infection and in their duties to their parishioners</w:t>
      </w:r>
      <w:r>
        <w:rPr>
          <w:rStyle w:val="10"/>
          <w:rFonts w:hint="default" w:ascii="Times New Roman" w:hAnsi="Times New Roman" w:cs="Times New Roman"/>
          <w:sz w:val="36"/>
          <w:szCs w:val="36"/>
          <w:lang w:val="en-GB"/>
        </w:rPr>
        <w:footnoteReference w:id="9"/>
      </w:r>
      <w:r>
        <w:rPr>
          <w:rFonts w:hint="default" w:ascii="Times New Roman" w:hAnsi="Times New Roman" w:cs="Times New Roman"/>
          <w:sz w:val="36"/>
          <w:szCs w:val="36"/>
          <w:lang w:val="en-GB"/>
        </w:rPr>
        <w:t xml:space="preserve">. </w:t>
      </w: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This dissertation will therefore examine wills as a source to look for evidence of care for the soul and an awareness of the afterlife.</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Looking for wills that are blatant in mentioning the soul or strongly suggest the soul,  I will discuss them firstly in the context of  church teachings on the soul and afterlife. I will then examine what intercessory tools for the soul were utilised in the sources. I will then look at the bequests to the religious orders both secular and regular as a means of improving the afterlife for the deceased. I will finish my summarising my findings to conclude whether the wills show a medieval ethos of the soul that was concerned and knowledgeable on the afterlife.</w:t>
      </w:r>
    </w:p>
    <w:p>
      <w:pPr>
        <w:spacing w:line="360" w:lineRule="auto"/>
        <w:rPr>
          <w:rFonts w:hint="default" w:ascii="Times New Roman" w:hAnsi="Times New Roman" w:cs="Times New Roman"/>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Purgatory and Prayers</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Belief in a life after death was an essential tenet to Christian belief but was also a part of the human psyche long before the coming of Christ. What Christianity did was create a need for clarity in what happened to the soul following death as it waited for the last judgement</w:t>
      </w:r>
      <w:r>
        <w:rPr>
          <w:rStyle w:val="10"/>
          <w:rFonts w:hint="default" w:ascii="Times New Roman" w:hAnsi="Times New Roman" w:cs="Times New Roman"/>
          <w:sz w:val="36"/>
          <w:szCs w:val="36"/>
          <w:lang w:val="en-GB"/>
        </w:rPr>
        <w:footnoteReference w:id="10"/>
      </w:r>
      <w:r>
        <w:rPr>
          <w:rFonts w:hint="default" w:ascii="Times New Roman" w:hAnsi="Times New Roman" w:cs="Times New Roman"/>
          <w:sz w:val="36"/>
          <w:szCs w:val="36"/>
          <w:lang w:val="en-GB"/>
        </w:rPr>
        <w:t>. Development in church doctrine on purgatory formalised in the twelfth and thirteenth centuries when purgatory was deemed as a sphere that acted as a holding place for the soul whilst past sins that were not deemed mortal sins could be cleansed from the soul</w:t>
      </w:r>
      <w:r>
        <w:rPr>
          <w:rStyle w:val="10"/>
          <w:rFonts w:hint="default" w:ascii="Times New Roman" w:hAnsi="Times New Roman" w:cs="Times New Roman"/>
          <w:sz w:val="36"/>
          <w:szCs w:val="36"/>
          <w:lang w:val="en-GB"/>
        </w:rPr>
        <w:footnoteReference w:id="11"/>
      </w:r>
      <w:r>
        <w:rPr>
          <w:rFonts w:hint="default" w:ascii="Times New Roman" w:hAnsi="Times New Roman" w:cs="Times New Roman"/>
          <w:sz w:val="36"/>
          <w:szCs w:val="36"/>
          <w:lang w:val="en-GB"/>
        </w:rPr>
        <w:t>. In 1274 at a second council in Lyon purgatory was recognised as ‘ a place that the souls, by the purifying compensation, are purged after death’</w:t>
      </w:r>
      <w:r>
        <w:rPr>
          <w:rStyle w:val="10"/>
          <w:rFonts w:hint="default" w:ascii="Times New Roman" w:hAnsi="Times New Roman" w:cs="Times New Roman"/>
          <w:sz w:val="36"/>
          <w:szCs w:val="36"/>
          <w:lang w:val="en-GB"/>
        </w:rPr>
        <w:footnoteReference w:id="12"/>
      </w:r>
      <w:r>
        <w:rPr>
          <w:rFonts w:hint="default" w:ascii="Times New Roman" w:hAnsi="Times New Roman" w:cs="Times New Roman"/>
          <w:sz w:val="36"/>
          <w:szCs w:val="36"/>
          <w:lang w:val="en-GB"/>
        </w:rPr>
        <w:t>. Some have put forward the argument that the church started to take a closer interest in the laity and in those not immediately destined for Sainthood nor damned to hell and so this inevitably lead to a clearer understanding of purgatory</w:t>
      </w:r>
      <w:r>
        <w:rPr>
          <w:rStyle w:val="10"/>
          <w:rFonts w:hint="default" w:ascii="Times New Roman" w:hAnsi="Times New Roman" w:cs="Times New Roman"/>
          <w:sz w:val="36"/>
          <w:szCs w:val="36"/>
          <w:lang w:val="en-GB"/>
        </w:rPr>
        <w:footnoteReference w:id="13"/>
      </w:r>
      <w:r>
        <w:rPr>
          <w:rFonts w:hint="default" w:ascii="Times New Roman" w:hAnsi="Times New Roman" w:cs="Times New Roman"/>
          <w:sz w:val="36"/>
          <w:szCs w:val="36"/>
          <w:lang w:val="en-GB"/>
        </w:rPr>
        <w:t>. Not all accepted the concept of purgatory and groups such as Waldensians saw no evidence in the gospel to justify a belief in purgatory. The established church viewed beliefs such as this as heretical and dangerous given that purgatory was the root to many other practices by the clergy</w:t>
      </w:r>
      <w:r>
        <w:rPr>
          <w:rStyle w:val="10"/>
          <w:rFonts w:hint="default" w:ascii="Times New Roman" w:hAnsi="Times New Roman" w:cs="Times New Roman"/>
          <w:sz w:val="36"/>
          <w:szCs w:val="36"/>
          <w:lang w:val="en-GB"/>
        </w:rPr>
        <w:footnoteReference w:id="14"/>
      </w:r>
      <w:r>
        <w:rPr>
          <w:rFonts w:hint="default" w:ascii="Times New Roman" w:hAnsi="Times New Roman" w:cs="Times New Roman"/>
          <w:sz w:val="36"/>
          <w:szCs w:val="36"/>
          <w:lang w:val="en-GB"/>
        </w:rPr>
        <w:t xml:space="preserve">. Church teachings on purgatory were codified as an article of faith by the Council of Florence in 1439 </w:t>
      </w:r>
      <w:r>
        <w:rPr>
          <w:rStyle w:val="10"/>
          <w:rFonts w:hint="default" w:ascii="Times New Roman" w:hAnsi="Times New Roman" w:cs="Times New Roman"/>
          <w:sz w:val="36"/>
          <w:szCs w:val="36"/>
          <w:lang w:val="en-GB"/>
        </w:rPr>
        <w:footnoteReference w:id="15"/>
      </w:r>
      <w:r>
        <w:rPr>
          <w:rFonts w:hint="default" w:ascii="Times New Roman" w:hAnsi="Times New Roman" w:cs="Times New Roman"/>
          <w:sz w:val="36"/>
          <w:szCs w:val="36"/>
          <w:lang w:val="en-GB"/>
        </w:rPr>
        <w:t>. There was disagreement in what the features of purgatory were. For some it was mainly a waiting room where the soul was on probation but would be a temporary place before assured release to heaven. To others it was characterised by agony and punishment that could be endless</w:t>
      </w:r>
      <w:r>
        <w:rPr>
          <w:rStyle w:val="10"/>
          <w:rFonts w:hint="default" w:ascii="Times New Roman" w:hAnsi="Times New Roman" w:cs="Times New Roman"/>
          <w:sz w:val="36"/>
          <w:szCs w:val="36"/>
          <w:lang w:val="en-GB"/>
        </w:rPr>
        <w:footnoteReference w:id="16"/>
      </w:r>
      <w:r>
        <w:rPr>
          <w:rFonts w:hint="default" w:ascii="Times New Roman" w:hAnsi="Times New Roman" w:cs="Times New Roman"/>
          <w:sz w:val="36"/>
          <w:szCs w:val="36"/>
          <w:lang w:val="en-GB"/>
        </w:rPr>
        <w:t xml:space="preserve"> . However whilst the exact nature of the purgatory remained up for debate for the vast majority a stay of some length in purgatory was expected</w:t>
      </w:r>
      <w:r>
        <w:rPr>
          <w:rStyle w:val="10"/>
          <w:rFonts w:hint="default" w:ascii="Times New Roman" w:hAnsi="Times New Roman" w:cs="Times New Roman"/>
          <w:sz w:val="36"/>
          <w:szCs w:val="36"/>
          <w:lang w:val="en-GB"/>
        </w:rPr>
        <w:footnoteReference w:id="17"/>
      </w:r>
      <w:r>
        <w:rPr>
          <w:rFonts w:hint="default" w:ascii="Times New Roman" w:hAnsi="Times New Roman" w:cs="Times New Roman"/>
          <w:sz w:val="36"/>
          <w:szCs w:val="36"/>
          <w:lang w:val="en-GB"/>
        </w:rPr>
        <w:t>. As the word ‘purgatory’ suggested it was possible for sins to be cleansed and a passage in Maccabees in the bible seemed to give this concept some credence:</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‘He took up a collection , man by man, to the amount of two thousand drachmas of silver, and sent it to Jerusalem to provide a sin offering…..Therefore he made atonement for the dead, so they might be delivered from their sin’</w:t>
      </w:r>
      <w:r>
        <w:rPr>
          <w:rStyle w:val="10"/>
          <w:rFonts w:hint="default" w:ascii="Times New Roman" w:hAnsi="Times New Roman" w:cs="Times New Roman"/>
          <w:sz w:val="36"/>
          <w:szCs w:val="36"/>
          <w:lang w:val="en-GB"/>
        </w:rPr>
        <w:footnoteReference w:id="18"/>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Strategies also developed into tools to lessen the time the soul was in purgatory. An early figure pivotal to the doctrine of intercession was Pope Gregory the Great, who had an altar built over the tomb of St Peter in Rome thereby creating a connection to the act of the Eucharist and the holy relics of the saint. He is also credited with having introduced the trental which was 30 masses said in the 30 days following death</w:t>
      </w:r>
      <w:r>
        <w:rPr>
          <w:rStyle w:val="10"/>
          <w:rFonts w:hint="default" w:ascii="Times New Roman" w:hAnsi="Times New Roman" w:cs="Times New Roman"/>
          <w:sz w:val="36"/>
          <w:szCs w:val="36"/>
          <w:lang w:val="en-GB"/>
        </w:rPr>
        <w:footnoteReference w:id="19"/>
      </w:r>
      <w:r>
        <w:rPr>
          <w:rFonts w:hint="default" w:ascii="Times New Roman" w:hAnsi="Times New Roman" w:cs="Times New Roman"/>
          <w:sz w:val="36"/>
          <w:szCs w:val="36"/>
          <w:lang w:val="en-GB"/>
        </w:rPr>
        <w:t xml:space="preserve">.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One way that a testator could ensure regular and consistent aid  was to endow a chantry. This could provide a steady supply of prayers and unsurprisingly the foundation of chantries promptly rose following the Black Death</w:t>
      </w:r>
      <w:r>
        <w:rPr>
          <w:rStyle w:val="10"/>
          <w:rFonts w:hint="default" w:ascii="Times New Roman" w:hAnsi="Times New Roman" w:cs="Times New Roman"/>
          <w:sz w:val="36"/>
          <w:szCs w:val="36"/>
          <w:lang w:val="en-GB"/>
        </w:rPr>
        <w:footnoteReference w:id="20"/>
      </w:r>
      <w:r>
        <w:rPr>
          <w:rFonts w:hint="default" w:ascii="Times New Roman" w:hAnsi="Times New Roman" w:cs="Times New Roman"/>
          <w:sz w:val="36"/>
          <w:szCs w:val="36"/>
          <w:lang w:val="en-GB"/>
        </w:rPr>
        <w:t>. Basically a chantry offered a long term strategy where prayers were paid for in advance to aid souls in purgatory. The role of saints as helpers were also implied as part of the foundation</w:t>
      </w:r>
      <w:r>
        <w:rPr>
          <w:rStyle w:val="10"/>
          <w:rFonts w:hint="default" w:ascii="Times New Roman" w:hAnsi="Times New Roman" w:cs="Times New Roman"/>
          <w:sz w:val="36"/>
          <w:szCs w:val="36"/>
          <w:lang w:val="en-GB"/>
        </w:rPr>
        <w:footnoteReference w:id="21"/>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However whilst the foundation of a chantry offered a permanent means to having prayers said for the dead it was out of the reach for the majority unless through gild or fraternity membership </w:t>
      </w:r>
      <w:r>
        <w:rPr>
          <w:rStyle w:val="10"/>
          <w:rFonts w:hint="default" w:ascii="Times New Roman" w:hAnsi="Times New Roman" w:cs="Times New Roman"/>
          <w:sz w:val="36"/>
          <w:szCs w:val="36"/>
          <w:lang w:val="en-GB"/>
        </w:rPr>
        <w:footnoteReference w:id="22"/>
      </w:r>
      <w:r>
        <w:rPr>
          <w:rFonts w:hint="default" w:ascii="Times New Roman" w:hAnsi="Times New Roman" w:cs="Times New Roman"/>
          <w:sz w:val="36"/>
          <w:szCs w:val="36"/>
          <w:lang w:val="en-GB"/>
        </w:rPr>
        <w:t>. In that sense gilds have been see as ‘Poor men’s chantries’</w:t>
      </w:r>
      <w:r>
        <w:rPr>
          <w:rStyle w:val="10"/>
          <w:rFonts w:hint="default" w:ascii="Times New Roman" w:hAnsi="Times New Roman" w:cs="Times New Roman"/>
          <w:sz w:val="36"/>
          <w:szCs w:val="36"/>
          <w:lang w:val="en-GB"/>
        </w:rPr>
        <w:footnoteReference w:id="23"/>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When we look at bequests in our wills there are are 9 that are specific in their instructions to Gilds in the context of masses for the soul. Two make financial consideration such as William Schedde of Lavenham who left ‘ to the fraternity of the gild of the Holy Trinity of Lavenham £20’ </w:t>
      </w:r>
      <w:r>
        <w:rPr>
          <w:rStyle w:val="10"/>
          <w:rFonts w:hint="default" w:ascii="Times New Roman" w:hAnsi="Times New Roman" w:cs="Times New Roman"/>
          <w:sz w:val="36"/>
          <w:szCs w:val="36"/>
          <w:lang w:val="en-GB"/>
        </w:rPr>
        <w:footnoteReference w:id="24"/>
      </w:r>
      <w:r>
        <w:rPr>
          <w:rFonts w:hint="default" w:ascii="Times New Roman" w:hAnsi="Times New Roman" w:cs="Times New Roman"/>
          <w:sz w:val="36"/>
          <w:szCs w:val="36"/>
          <w:lang w:val="en-GB"/>
        </w:rPr>
        <w:t>. This was conditional on the money being used to buy land to support a priest to say prayers for all the members. John Harry of Lavenham in 1473 also left  10 marks to this gild with the same stipulation for ‘ as much livelihood as will provide a chaplain to celebrate divine service in Lavenham church for the souls of the said fraternity’</w:t>
      </w:r>
      <w:r>
        <w:rPr>
          <w:rStyle w:val="10"/>
          <w:rFonts w:hint="default" w:ascii="Times New Roman" w:hAnsi="Times New Roman" w:cs="Times New Roman"/>
          <w:sz w:val="36"/>
          <w:szCs w:val="36"/>
          <w:lang w:val="en-GB"/>
        </w:rPr>
        <w:footnoteReference w:id="25"/>
      </w:r>
      <w:r>
        <w:rPr>
          <w:rFonts w:hint="default" w:ascii="Times New Roman" w:hAnsi="Times New Roman" w:cs="Times New Roman"/>
          <w:sz w:val="36"/>
          <w:szCs w:val="36"/>
          <w:lang w:val="en-GB"/>
        </w:rPr>
        <w:t xml:space="preserve">.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Gild membership had responsibilities as well as benefits and there was an obligation on other members of the gild to attend the funeral of a fellow gild member and to make donations known as mass-pence</w:t>
      </w:r>
      <w:r>
        <w:rPr>
          <w:rStyle w:val="10"/>
          <w:rFonts w:hint="default" w:ascii="Times New Roman" w:hAnsi="Times New Roman" w:cs="Times New Roman"/>
          <w:sz w:val="36"/>
          <w:szCs w:val="36"/>
          <w:lang w:val="en-GB"/>
        </w:rPr>
        <w:footnoteReference w:id="26"/>
      </w:r>
      <w:r>
        <w:rPr>
          <w:rFonts w:hint="default" w:ascii="Times New Roman" w:hAnsi="Times New Roman" w:cs="Times New Roman"/>
          <w:sz w:val="36"/>
          <w:szCs w:val="36"/>
          <w:lang w:val="en-GB"/>
        </w:rPr>
        <w:t>.These wills make the connection between mass pence which was what was given by fellow gild members and using this to pay for further masses from the clergy.</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 first example is Peter Qwyntyn of Hitcham in May 1462 who requested that his ‘mass pence from the gild of All Saints of Hitcham to go to the said friars’.</w:t>
      </w:r>
      <w:r>
        <w:rPr>
          <w:rStyle w:val="10"/>
          <w:rFonts w:hint="default" w:ascii="Times New Roman" w:hAnsi="Times New Roman" w:cs="Times New Roman"/>
          <w:sz w:val="36"/>
          <w:szCs w:val="36"/>
          <w:lang w:val="en-GB"/>
        </w:rPr>
        <w:footnoteReference w:id="27"/>
      </w:r>
      <w:r>
        <w:rPr>
          <w:rFonts w:hint="default" w:ascii="Times New Roman" w:hAnsi="Times New Roman" w:cs="Times New Roman"/>
          <w:sz w:val="36"/>
          <w:szCs w:val="36"/>
          <w:lang w:val="en-GB"/>
        </w:rPr>
        <w:t xml:space="preserve"> Another will by John Swyftt of Walsham Le Willows bequeathed ‘all the mass- pence coming from the gilds of the Holy Trinity, St John the Baptist and St Katherine to (go to) the Friars Preachers and Augustinian of Thetford, to be disposed between them equally’</w:t>
      </w:r>
      <w:r>
        <w:rPr>
          <w:rStyle w:val="10"/>
          <w:rFonts w:hint="default" w:ascii="Times New Roman" w:hAnsi="Times New Roman" w:cs="Times New Roman"/>
          <w:sz w:val="36"/>
          <w:szCs w:val="36"/>
          <w:lang w:val="en-GB"/>
        </w:rPr>
        <w:footnoteReference w:id="28"/>
      </w:r>
      <w:r>
        <w:rPr>
          <w:rFonts w:hint="default" w:ascii="Times New Roman" w:hAnsi="Times New Roman" w:cs="Times New Roman"/>
          <w:sz w:val="36"/>
          <w:szCs w:val="36"/>
          <w:lang w:val="en-GB"/>
        </w:rPr>
        <w:t xml:space="preserve">.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 last will to make this type of request makes the connection between mass-pence, gilds and further masses for the soul after death very clear. William Wyburgh of Denston sought ‘ the Augustinian Friars to the house of Clare, to pray for (my) soul, half of all the mass pence coming from my brethren and sisters of the gild of St Mary the Virgin held in Stanningfield, to the Carmelite Friars of Cambridge to pray for my soul, the other half of the mass pence collected from the aforesaid brethren and sisters of the same gild’</w:t>
      </w:r>
      <w:r>
        <w:rPr>
          <w:rStyle w:val="10"/>
          <w:rFonts w:hint="default" w:ascii="Times New Roman" w:hAnsi="Times New Roman" w:cs="Times New Roman"/>
          <w:sz w:val="36"/>
          <w:szCs w:val="36"/>
          <w:lang w:val="en-GB"/>
        </w:rPr>
        <w:footnoteReference w:id="29"/>
      </w:r>
      <w:r>
        <w:rPr>
          <w:rFonts w:hint="default" w:ascii="Times New Roman" w:hAnsi="Times New Roman" w:cs="Times New Roman"/>
          <w:sz w:val="36"/>
          <w:szCs w:val="36"/>
          <w:lang w:val="en-GB"/>
        </w:rPr>
        <w:t>. Whilst we cannot be certain it is highly likely that other testators who were members of a gild would have made their preferences regarding mass pence know verbally instead</w:t>
      </w:r>
      <w:r>
        <w:rPr>
          <w:rStyle w:val="10"/>
          <w:rFonts w:hint="default" w:ascii="Times New Roman" w:hAnsi="Times New Roman" w:cs="Times New Roman"/>
          <w:sz w:val="36"/>
          <w:szCs w:val="36"/>
          <w:lang w:val="en-GB"/>
        </w:rPr>
        <w:footnoteReference w:id="30"/>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Gilds were also involved in giving and maintain candles for funerals as well as lights in front of religious images and altars</w:t>
      </w:r>
      <w:r>
        <w:rPr>
          <w:rStyle w:val="10"/>
          <w:rFonts w:hint="default" w:ascii="Times New Roman" w:hAnsi="Times New Roman" w:cs="Times New Roman"/>
          <w:sz w:val="36"/>
          <w:szCs w:val="36"/>
          <w:lang w:val="en-GB"/>
        </w:rPr>
        <w:footnoteReference w:id="31"/>
      </w:r>
      <w:r>
        <w:rPr>
          <w:rFonts w:hint="default" w:ascii="Times New Roman" w:hAnsi="Times New Roman" w:cs="Times New Roman"/>
          <w:sz w:val="36"/>
          <w:szCs w:val="36"/>
          <w:lang w:val="en-GB"/>
        </w:rPr>
        <w:t xml:space="preserve">. There were 98 wills in this study that made requests for various gilds often several in one will. Isabel Rawlyn of Chippenham left to four different gilds using just the name of the saint they were named after.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Whilst most of the wills that bequeathed to gilds did not specify that it was for the benefit of their souls, I believe the fact that gilds were so involved in many activities for their members after death</w:t>
      </w:r>
      <w:r>
        <w:rPr>
          <w:rStyle w:val="10"/>
          <w:rFonts w:hint="default" w:ascii="Times New Roman" w:hAnsi="Times New Roman" w:cs="Times New Roman"/>
          <w:sz w:val="36"/>
          <w:szCs w:val="36"/>
          <w:lang w:val="en-GB"/>
        </w:rPr>
        <w:footnoteReference w:id="32"/>
      </w:r>
      <w:r>
        <w:rPr>
          <w:rFonts w:hint="default" w:ascii="Times New Roman" w:hAnsi="Times New Roman" w:cs="Times New Roman"/>
          <w:sz w:val="36"/>
          <w:szCs w:val="36"/>
          <w:lang w:val="en-GB"/>
        </w:rPr>
        <w:t xml:space="preserve"> means we can take these high numbers as evidence again of a concern for the soul and for the afterlife. Also as many of the bequests were to several different gilds within a local area I would suggest that it indicates that gilds were numerous and popular.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Prayer was also viewed as an essential part of the act of dying well as can be seen in the didactic writings in The Book of the Craft of Dying believed to be the work of Richard Rolle in the fourteenth century. In the fifth chapter man is advised to prioritise the healing of his soul when preparing for death and sets out prayers to be said for the dying person</w:t>
      </w:r>
      <w:r>
        <w:rPr>
          <w:rStyle w:val="10"/>
          <w:rFonts w:hint="default" w:ascii="Times New Roman" w:hAnsi="Times New Roman" w:cs="Times New Roman"/>
          <w:sz w:val="36"/>
          <w:szCs w:val="36"/>
          <w:lang w:val="en-GB"/>
        </w:rPr>
        <w:footnoteReference w:id="33"/>
      </w:r>
      <w:r>
        <w:rPr>
          <w:rFonts w:hint="default" w:ascii="Times New Roman" w:hAnsi="Times New Roman" w:cs="Times New Roman"/>
          <w:sz w:val="36"/>
          <w:szCs w:val="36"/>
          <w:lang w:val="en-GB"/>
        </w:rPr>
        <w:t xml:space="preserve">. The power of the prayer was a ‘ chantress, who with heartfelt prayers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shall labour day and night. The holy man says what prayer is ….orison is an holy prayer to God, solace to angels, and torment to the devils’</w:t>
      </w:r>
      <w:r>
        <w:rPr>
          <w:rStyle w:val="10"/>
          <w:rFonts w:hint="default" w:ascii="Times New Roman" w:hAnsi="Times New Roman" w:cs="Times New Roman"/>
          <w:sz w:val="36"/>
          <w:szCs w:val="36"/>
          <w:lang w:val="en-GB"/>
        </w:rPr>
        <w:footnoteReference w:id="34"/>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As we have seen the mass was seen as the most powerful form of prayer, not only in its role as the central sacrament experienced by all of Christian community, but also in the value of accumulated goodness it could offer that could negate time spent in purgatory. The more masses that could be said or sung for a soul the sooner the soul could be released to heaven</w:t>
      </w:r>
      <w:r>
        <w:rPr>
          <w:rStyle w:val="10"/>
          <w:rFonts w:hint="default" w:ascii="Times New Roman" w:hAnsi="Times New Roman" w:cs="Times New Roman"/>
          <w:sz w:val="36"/>
          <w:szCs w:val="36"/>
          <w:lang w:val="en-GB"/>
        </w:rPr>
        <w:footnoteReference w:id="35"/>
      </w:r>
      <w:r>
        <w:rPr>
          <w:rFonts w:hint="default" w:ascii="Times New Roman" w:hAnsi="Times New Roman" w:cs="Times New Roman"/>
          <w:sz w:val="36"/>
          <w:szCs w:val="36"/>
          <w:lang w:val="en-GB"/>
        </w:rPr>
        <w:t>. Masses were available to all including those who were not a member of a gild or able to establish a chantry.</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This popularity for masses following death can be seen in the wills used in this study with a nearly a third at 204  wills that either mention a request for a trental, divine office or masses.The trental was a more affordable way to have multiple prayers with the average cost being 10s </w:t>
      </w:r>
      <w:r>
        <w:rPr>
          <w:rStyle w:val="10"/>
          <w:rFonts w:hint="default" w:ascii="Times New Roman" w:hAnsi="Times New Roman" w:cs="Times New Roman"/>
          <w:sz w:val="36"/>
          <w:szCs w:val="36"/>
          <w:lang w:val="en-GB"/>
        </w:rPr>
        <w:footnoteReference w:id="36"/>
      </w:r>
      <w:r>
        <w:rPr>
          <w:rFonts w:hint="default" w:ascii="Times New Roman" w:hAnsi="Times New Roman" w:cs="Times New Roman"/>
          <w:sz w:val="36"/>
          <w:szCs w:val="36"/>
          <w:lang w:val="en-GB"/>
        </w:rPr>
        <w:t xml:space="preserve"> and 167 of the 204 wills of our testators specified 10s for a trental.</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 trental was the most popular set of prayers possibly due to its intense nature of daily masses for the thirty days following death. The first example of this kind of mass being requested in the wills is William Noreys of Brockford in 1463 who simply states ‘ for a trental to be celebrated for my soul 10s’</w:t>
      </w:r>
      <w:r>
        <w:rPr>
          <w:rStyle w:val="10"/>
          <w:rFonts w:hint="default" w:ascii="Times New Roman" w:hAnsi="Times New Roman" w:cs="Times New Roman"/>
          <w:sz w:val="36"/>
          <w:szCs w:val="36"/>
          <w:lang w:val="en-GB"/>
        </w:rPr>
        <w:footnoteReference w:id="37"/>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John Tylkys of Glemsford in May 1962 sought ‘ a trental of masses to be said for my soul in the church of Glemsford by a friar of the order of the house of Clare, he having 10s’</w:t>
      </w:r>
      <w:r>
        <w:rPr>
          <w:rStyle w:val="10"/>
          <w:rFonts w:hint="default" w:ascii="Times New Roman" w:hAnsi="Times New Roman" w:cs="Times New Roman"/>
          <w:sz w:val="36"/>
          <w:szCs w:val="36"/>
          <w:lang w:val="en-GB"/>
        </w:rPr>
        <w:footnoteReference w:id="38"/>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For some testators 30 masses were not deemed sufficient as seen in the will of Andrew Grygges of Lavenham in 1462 who wanted ‘ the celebration of four hundred masses on one day, immediately after my death, for my soul and the souls for whom I am bound, 40s’</w:t>
      </w:r>
      <w:r>
        <w:rPr>
          <w:rStyle w:val="10"/>
          <w:rFonts w:hint="default" w:ascii="Times New Roman" w:hAnsi="Times New Roman" w:cs="Times New Roman"/>
          <w:sz w:val="36"/>
          <w:szCs w:val="36"/>
          <w:lang w:val="en-GB"/>
        </w:rPr>
        <w:footnoteReference w:id="39"/>
      </w:r>
      <w:r>
        <w:rPr>
          <w:rFonts w:hint="default" w:ascii="Times New Roman" w:hAnsi="Times New Roman" w:cs="Times New Roman"/>
          <w:sz w:val="36"/>
          <w:szCs w:val="36"/>
          <w:lang w:val="en-GB"/>
        </w:rPr>
        <w:t>. This request however may have proved far to difficult to actually make happen but as already noted it is the intention that is interesting for this study.</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What these three wills show is firstly the mass was seen as a tool to aid the soul after death, and secondly time was of the essence.</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There were however other kinds of service that are mentioned in these wills. There were 4 wills that requested a ‘sangred’ sometimes called a ‘certain’ which was to incorporate the name of the deceased in a weekly reading of the bede-roll and usually this took place in at the church’s pulpit</w:t>
      </w:r>
      <w:r>
        <w:rPr>
          <w:rStyle w:val="10"/>
          <w:rFonts w:hint="default" w:ascii="Times New Roman" w:hAnsi="Times New Roman" w:cs="Times New Roman"/>
          <w:sz w:val="36"/>
          <w:szCs w:val="36"/>
          <w:lang w:val="en-GB"/>
        </w:rPr>
        <w:footnoteReference w:id="40"/>
      </w:r>
      <w:r>
        <w:rPr>
          <w:rFonts w:hint="default" w:ascii="Times New Roman" w:hAnsi="Times New Roman" w:cs="Times New Roman"/>
          <w:sz w:val="36"/>
          <w:szCs w:val="36"/>
          <w:lang w:val="en-GB"/>
        </w:rPr>
        <w:t xml:space="preserve">. This would normally cost 4s 4d to be included in this reading for a year as seen in the will from William Scarpe of Felsham who requests a ‘ sangred for a year 4s 4d’ </w:t>
      </w:r>
      <w:r>
        <w:rPr>
          <w:rStyle w:val="10"/>
          <w:rFonts w:hint="default" w:ascii="Times New Roman" w:hAnsi="Times New Roman" w:cs="Times New Roman"/>
          <w:sz w:val="36"/>
          <w:szCs w:val="36"/>
          <w:lang w:val="en-GB"/>
        </w:rPr>
        <w:footnoteReference w:id="41"/>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Marion Hethe of Rattlesden in 1459 bequeathed a tenement to be sold to fund ‘ out of the proceeds a sangred to be celebrated in the same church for 4 years, for my soul and for the souls of the said John Cowpere and Katherine his wife. John Makemere and Emme his wife and for the souls of all our benefactors and all Christian departed’ </w:t>
      </w:r>
      <w:r>
        <w:rPr>
          <w:rStyle w:val="10"/>
          <w:rFonts w:hint="default" w:ascii="Times New Roman" w:hAnsi="Times New Roman" w:cs="Times New Roman"/>
          <w:sz w:val="36"/>
          <w:szCs w:val="36"/>
          <w:lang w:val="en-GB"/>
        </w:rPr>
        <w:footnoteReference w:id="42"/>
      </w:r>
      <w:r>
        <w:rPr>
          <w:rFonts w:hint="default" w:ascii="Times New Roman" w:hAnsi="Times New Roman" w:cs="Times New Roman"/>
          <w:sz w:val="36"/>
          <w:szCs w:val="36"/>
          <w:lang w:val="en-GB"/>
        </w:rPr>
        <w:t xml:space="preserve">. This will appears to hint of a responsibility to request salvation not just for one’s own soul but on the whole community. This one would assume would be to encourage reciprocation when others departed and so would hopefully request masses for you.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Alice Bray of Barnham left a similarly worded request for ‘ a certain celebrated for my soul and for the souls of all my benefactors for a whole year in the said church of St Martin, that is to say , every Sunday 1d’</w:t>
      </w:r>
      <w:r>
        <w:rPr>
          <w:rStyle w:val="10"/>
          <w:rFonts w:hint="default" w:ascii="Times New Roman" w:hAnsi="Times New Roman" w:cs="Times New Roman"/>
          <w:sz w:val="36"/>
          <w:szCs w:val="36"/>
          <w:lang w:val="en-GB"/>
        </w:rPr>
        <w:footnoteReference w:id="43"/>
      </w:r>
      <w:r>
        <w:rPr>
          <w:rFonts w:hint="default" w:ascii="Times New Roman" w:hAnsi="Times New Roman" w:cs="Times New Roman"/>
          <w:sz w:val="36"/>
          <w:szCs w:val="36"/>
          <w:lang w:val="en-GB"/>
        </w:rPr>
        <w:t xml:space="preserve">. As the other wills made plain there is a memorial quality to the repetitive use of masses such as the sangred in which the deceased soul is not only prayed for but also remembered.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Another kind that appears more than the sangred was the trental of St Gregory and was the saying of the thirty masses over a year instead of the thirty days. The masses had to be recited on certain days such as Easter, Pentecost and the Assumption of the Virgin</w:t>
      </w:r>
      <w:r>
        <w:rPr>
          <w:rStyle w:val="10"/>
          <w:rFonts w:hint="default" w:ascii="Times New Roman" w:hAnsi="Times New Roman" w:cs="Times New Roman"/>
          <w:sz w:val="36"/>
          <w:szCs w:val="36"/>
          <w:lang w:val="en-GB"/>
        </w:rPr>
        <w:footnoteReference w:id="44"/>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 first will in part II of the Baldwyne register makes a bequest for a trental of St Gregory. John Parmenter of Great Finborough in 1422 requested that four houses of mendicant orders be paid 10s each for this kind of mass to be said following his death:</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‘To the convent of friars of Babwell, for a trental of St Gregory to be celebrated there for the health of my soul, 10s, (similarly) to the convent of Carmelite Friars of Ipswich 10s to the convent of Friars Minor of the same town 10s and to the convent of Austin Friars of Clare 10s.’</w:t>
      </w:r>
      <w:r>
        <w:rPr>
          <w:rStyle w:val="10"/>
          <w:rFonts w:hint="default" w:ascii="Times New Roman" w:hAnsi="Times New Roman" w:cs="Times New Roman"/>
          <w:sz w:val="36"/>
          <w:szCs w:val="36"/>
          <w:lang w:val="en-GB"/>
        </w:rPr>
        <w:footnoteReference w:id="45"/>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William Coppyng of Somerton in March 1461 also made bequests to more than one mendicant order for a trental of St Gregory as he states ‘To the convent of Austin Friars of Clare, for a trental of St Gregory to be said among them for my soul, with all possible haste after my decease, 10s; to the convent of friars of Babwell, similarly, 10s’</w:t>
      </w:r>
      <w:r>
        <w:rPr>
          <w:rStyle w:val="10"/>
          <w:rFonts w:hint="default" w:ascii="Times New Roman" w:hAnsi="Times New Roman" w:cs="Times New Roman"/>
          <w:sz w:val="36"/>
          <w:szCs w:val="36"/>
          <w:lang w:val="en-GB"/>
        </w:rPr>
        <w:footnoteReference w:id="46"/>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We can again see the need for the masses to be said for the soul as soon as could be done as we saw in the will for William Grygges of Lavenham and his 400 masses.</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One type of mass that has very strong links to the belief that prayers assisted souls in purgatory was the Mass of the Five Wounds of Christ otherwise called the Mass of Jesus. Although Eamon Duffy in his highly influential book ‘The Stripping of the Altars’ states that this mass was one of the most popular votive masses of the late Middle Ages there was only six bequests in these wills that specified this mass</w:t>
      </w:r>
      <w:r>
        <w:rPr>
          <w:rStyle w:val="10"/>
          <w:rFonts w:hint="default" w:ascii="Times New Roman" w:hAnsi="Times New Roman" w:cs="Times New Roman"/>
          <w:sz w:val="36"/>
          <w:szCs w:val="36"/>
          <w:lang w:val="en-GB"/>
        </w:rPr>
        <w:footnoteReference w:id="47"/>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Thomas Brokhoole of Long Melford in his bequest in 1463 simply states ‘to the mass of Jesu celebrated in Melford church 40d’ </w:t>
      </w:r>
      <w:r>
        <w:rPr>
          <w:rStyle w:val="10"/>
          <w:rFonts w:hint="default" w:ascii="Times New Roman" w:hAnsi="Times New Roman" w:cs="Times New Roman"/>
          <w:sz w:val="36"/>
          <w:szCs w:val="36"/>
          <w:lang w:val="en-GB"/>
        </w:rPr>
        <w:footnoteReference w:id="48"/>
      </w:r>
      <w:r>
        <w:rPr>
          <w:rFonts w:hint="default" w:ascii="Times New Roman" w:hAnsi="Times New Roman" w:cs="Times New Roman"/>
          <w:sz w:val="36"/>
          <w:szCs w:val="36"/>
          <w:lang w:val="en-GB"/>
        </w:rPr>
        <w:t>.  John Makell of Long Melford  just requests ‘ to the Mass of Jesu 12d’</w:t>
      </w:r>
      <w:r>
        <w:rPr>
          <w:rStyle w:val="10"/>
          <w:rFonts w:hint="default" w:ascii="Times New Roman" w:hAnsi="Times New Roman" w:cs="Times New Roman"/>
          <w:sz w:val="36"/>
          <w:szCs w:val="36"/>
          <w:lang w:val="en-GB"/>
        </w:rPr>
        <w:footnoteReference w:id="49"/>
      </w:r>
      <w:r>
        <w:rPr>
          <w:rFonts w:hint="default" w:ascii="Times New Roman" w:hAnsi="Times New Roman" w:cs="Times New Roman"/>
          <w:sz w:val="36"/>
          <w:szCs w:val="36"/>
          <w:lang w:val="en-GB"/>
        </w:rPr>
        <w:t>.All of the requests for this type of mass are equally brief. One can only postulate why there is only six testators that requested this kind of mass perhaps it had yet to gain popularity in this part of the country.</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 This mass was introduced in a missal with a description of a vision to Pope Boniface in which the Archangel Raphael appears to him and promises salvation from purgatory for any soul that has five of this masses said for them</w:t>
      </w:r>
      <w:r>
        <w:rPr>
          <w:rStyle w:val="10"/>
          <w:rFonts w:hint="default" w:ascii="Times New Roman" w:hAnsi="Times New Roman" w:cs="Times New Roman"/>
          <w:sz w:val="36"/>
          <w:szCs w:val="36"/>
          <w:lang w:val="en-GB"/>
        </w:rPr>
        <w:footnoteReference w:id="50"/>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Another interesting point in Rolle’s writings is the need for not delaying preparation for death which mirrors the urgency already stated in some of the wills used for this study. Church teachings also emphasised that as soon as the person died the soul would begin its journey through the afterlife so speed was of the essence</w:t>
      </w:r>
      <w:r>
        <w:rPr>
          <w:rStyle w:val="10"/>
          <w:rFonts w:hint="default" w:ascii="Times New Roman" w:hAnsi="Times New Roman" w:cs="Times New Roman"/>
          <w:sz w:val="36"/>
          <w:szCs w:val="36"/>
          <w:lang w:val="en-GB"/>
        </w:rPr>
        <w:footnoteReference w:id="51"/>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Of the 690 wills setting out considerations for their souls 76 made a point of requesting that their wishes be carried out either immediately following burial or with all possible haste. William Olyvere  requested that ‘the friars of Babwell 10s , to celebrate a trental as quickly as possible for the health of my soul’</w:t>
      </w:r>
      <w:r>
        <w:rPr>
          <w:rStyle w:val="10"/>
          <w:rFonts w:hint="default" w:ascii="Times New Roman" w:hAnsi="Times New Roman" w:cs="Times New Roman"/>
          <w:sz w:val="36"/>
          <w:szCs w:val="36"/>
          <w:lang w:val="en-GB"/>
        </w:rPr>
        <w:footnoteReference w:id="52"/>
      </w:r>
      <w:r>
        <w:rPr>
          <w:rFonts w:hint="default" w:ascii="Times New Roman" w:hAnsi="Times New Roman" w:cs="Times New Roman"/>
          <w:sz w:val="36"/>
          <w:szCs w:val="36"/>
          <w:lang w:val="en-GB"/>
        </w:rPr>
        <w:t>. One will by Thomas Pypere of Thorpe Morieux written 1465/1466 states that the bequest be distributed on the day of his burial so ‘that they may the more quickly pray for my soul’</w:t>
      </w:r>
      <w:r>
        <w:rPr>
          <w:rStyle w:val="10"/>
          <w:rFonts w:hint="default" w:ascii="Times New Roman" w:hAnsi="Times New Roman" w:cs="Times New Roman"/>
          <w:sz w:val="36"/>
          <w:szCs w:val="36"/>
          <w:lang w:val="en-GB"/>
        </w:rPr>
        <w:footnoteReference w:id="53"/>
      </w:r>
      <w:r>
        <w:rPr>
          <w:rFonts w:hint="default" w:ascii="Times New Roman" w:hAnsi="Times New Roman" w:cs="Times New Roman"/>
          <w:sz w:val="36"/>
          <w:szCs w:val="36"/>
          <w:lang w:val="en-GB"/>
        </w:rPr>
        <w:t xml:space="preserve">.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Time and duration of prayers or masses seems also important. The most popular term was for a year and this was the request stated in 103 out of 690 wills. </w:t>
      </w:r>
    </w:p>
    <w:p>
      <w:pPr>
        <w:spacing w:line="360" w:lineRule="auto"/>
        <w:ind w:left="180" w:hanging="180" w:hangingChars="50"/>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John Glovyere of Cavendish in June 1459 requested a ‘suitable priest , to celebrate, for a whole year, for my soul and the souls of my benefactors for whom I am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most bound, in Cavendish church’</w:t>
      </w:r>
      <w:r>
        <w:rPr>
          <w:rStyle w:val="10"/>
          <w:rFonts w:hint="default" w:ascii="Times New Roman" w:hAnsi="Times New Roman" w:cs="Times New Roman"/>
          <w:sz w:val="36"/>
          <w:szCs w:val="36"/>
          <w:lang w:val="en-GB"/>
        </w:rPr>
        <w:footnoteReference w:id="54"/>
      </w:r>
      <w:r>
        <w:rPr>
          <w:rFonts w:hint="default" w:ascii="Times New Roman" w:hAnsi="Times New Roman" w:cs="Times New Roman"/>
          <w:sz w:val="36"/>
          <w:szCs w:val="36"/>
          <w:lang w:val="en-GB"/>
        </w:rPr>
        <w:t>. Matilda Chylderston of Mildenhall also left a bequest for ‘ a suitable priest to celebrate in Mildenhall church for my soul and for the soul of Richard (my) husband and for the souls of all my benefactors’</w:t>
      </w:r>
      <w:r>
        <w:rPr>
          <w:rStyle w:val="10"/>
          <w:rFonts w:hint="default" w:ascii="Times New Roman" w:hAnsi="Times New Roman" w:cs="Times New Roman"/>
          <w:sz w:val="36"/>
          <w:szCs w:val="36"/>
          <w:lang w:val="en-GB"/>
        </w:rPr>
        <w:footnoteReference w:id="55"/>
      </w:r>
      <w:r>
        <w:rPr>
          <w:rFonts w:hint="default" w:ascii="Times New Roman" w:hAnsi="Times New Roman" w:cs="Times New Roman"/>
          <w:sz w:val="36"/>
          <w:szCs w:val="36"/>
          <w:lang w:val="en-GB"/>
        </w:rPr>
        <w:t>.</w:t>
      </w:r>
    </w:p>
    <w:p>
      <w:pPr>
        <w:spacing w:line="360" w:lineRule="auto"/>
        <w:ind w:left="180" w:hanging="180" w:hangingChars="50"/>
        <w:rPr>
          <w:rFonts w:hint="default" w:ascii="Times New Roman" w:hAnsi="Times New Roman" w:cs="Times New Roman"/>
          <w:sz w:val="36"/>
          <w:szCs w:val="36"/>
          <w:lang w:val="en-GB"/>
        </w:rPr>
      </w:pPr>
      <w:r>
        <w:rPr>
          <w:rFonts w:hint="default" w:ascii="Times New Roman" w:hAnsi="Times New Roman" w:cs="Times New Roman"/>
          <w:sz w:val="36"/>
          <w:szCs w:val="36"/>
          <w:lang w:val="en-GB"/>
        </w:rPr>
        <w:t>John Newman of Lavenham left a request for ‘a suitable chaplain to celebrate for my soul and for the souls for whom I am bound ….for a period of 7 years after my death’ as well as making a bequest to ‘the poor of Lavenham , for a period of 7 years, 12d weekly, to pray for my soul and for the souls of all the faithful departed’</w:t>
      </w:r>
      <w:r>
        <w:rPr>
          <w:rStyle w:val="10"/>
          <w:rFonts w:hint="default" w:ascii="Times New Roman" w:hAnsi="Times New Roman" w:cs="Times New Roman"/>
          <w:sz w:val="36"/>
          <w:szCs w:val="36"/>
          <w:lang w:val="en-GB"/>
        </w:rPr>
        <w:footnoteReference w:id="56"/>
      </w:r>
    </w:p>
    <w:p>
      <w:pPr>
        <w:spacing w:line="360" w:lineRule="auto"/>
        <w:ind w:left="180" w:hanging="180" w:hangingChars="50"/>
        <w:rPr>
          <w:rFonts w:hint="default" w:ascii="Times New Roman" w:hAnsi="Times New Roman" w:cs="Times New Roman"/>
          <w:sz w:val="36"/>
          <w:szCs w:val="36"/>
          <w:lang w:val="en-GB"/>
        </w:rPr>
      </w:pPr>
      <w:r>
        <w:rPr>
          <w:rFonts w:hint="default" w:ascii="Times New Roman" w:hAnsi="Times New Roman" w:cs="Times New Roman"/>
          <w:sz w:val="36"/>
          <w:szCs w:val="36"/>
          <w:lang w:val="en-GB"/>
        </w:rPr>
        <w:t>Five wills chose their bequest to be perpetual regardless to how unlikely this would be to be fulfilled long term. John Clerk alias Webbe of Woodditton left ‘ a cow called a church cow to keep an obit and anniversary annually, and for ever, for me and my wives Margaret and Isabel and all my friends’</w:t>
      </w:r>
      <w:r>
        <w:rPr>
          <w:rStyle w:val="10"/>
          <w:rFonts w:hint="default" w:ascii="Times New Roman" w:hAnsi="Times New Roman" w:cs="Times New Roman"/>
          <w:sz w:val="36"/>
          <w:szCs w:val="36"/>
          <w:lang w:val="en-GB"/>
        </w:rPr>
        <w:footnoteReference w:id="57"/>
      </w:r>
      <w:r>
        <w:rPr>
          <w:rFonts w:hint="default" w:ascii="Times New Roman" w:hAnsi="Times New Roman" w:cs="Times New Roman"/>
          <w:sz w:val="36"/>
          <w:szCs w:val="36"/>
          <w:lang w:val="en-GB"/>
        </w:rPr>
        <w:t>. An obit is the re-enactment of the funeral service to remember the deceased and includes a requiem mass</w:t>
      </w:r>
      <w:r>
        <w:rPr>
          <w:rStyle w:val="10"/>
          <w:rFonts w:hint="default" w:ascii="Times New Roman" w:hAnsi="Times New Roman" w:cs="Times New Roman"/>
          <w:sz w:val="36"/>
          <w:szCs w:val="36"/>
          <w:lang w:val="en-GB"/>
        </w:rPr>
        <w:footnoteReference w:id="58"/>
      </w:r>
    </w:p>
    <w:p>
      <w:pPr>
        <w:spacing w:line="360" w:lineRule="auto"/>
        <w:rPr>
          <w:rFonts w:hint="default" w:ascii="Times New Roman" w:hAnsi="Times New Roman" w:cs="Times New Roman"/>
          <w:b/>
          <w:bCs/>
          <w:sz w:val="36"/>
          <w:szCs w:val="36"/>
          <w:lang w:val="en-GB"/>
        </w:rPr>
      </w:pPr>
      <w:r>
        <w:rPr>
          <w:rFonts w:hint="default" w:ascii="Times New Roman" w:hAnsi="Times New Roman" w:cs="Times New Roman"/>
          <w:sz w:val="36"/>
          <w:szCs w:val="36"/>
          <w:lang w:val="en-GB"/>
        </w:rPr>
        <w:t>Whilst there was no overt mention of purgatory given in the wills used, the fact that out of a possible 772 wills there are examples in 690 of clear concern for and consideration towards the soul it seems that the stage following death was a primary concern for most if not all.  I would conclude that this concern by the majority of the testators shows evidence of belief. We can perhaps safely assume that the church was clear on the doctrine of the afterlife and purgatory given we have seen a large number of bequests for masses to aid the soul. We turn now to the other intercessory tools that could be employed to the speedier release of the soul to heaven.</w:t>
      </w: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Good works and acts of charity</w:t>
      </w:r>
    </w:p>
    <w:p>
      <w:pPr>
        <w:numPr>
          <w:ilvl w:val="0"/>
          <w:numId w:val="0"/>
        </w:numPr>
        <w:spacing w:line="360" w:lineRule="auto"/>
        <w:rPr>
          <w:rFonts w:hint="default" w:ascii="Times New Roman" w:hAnsi="Times New Roman" w:cs="Times New Roman"/>
          <w:b/>
          <w:bCs/>
          <w:sz w:val="36"/>
          <w:szCs w:val="36"/>
          <w:lang w:val="en-GB"/>
        </w:rPr>
      </w:pP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Pastoral care extended further than just providing the sacraments during the lifetime of their laity. They also included ensuring that Christian souls had a good death. The goal was to die in faith, hope and charity. To die in charity meant that one had to ensure all financial obligations had been settled or risk being disturbed by those departed until the debts had been paid</w:t>
      </w:r>
      <w:r>
        <w:rPr>
          <w:rStyle w:val="10"/>
          <w:rFonts w:hint="default" w:ascii="Times New Roman" w:hAnsi="Times New Roman" w:cs="Times New Roman"/>
          <w:sz w:val="36"/>
          <w:szCs w:val="36"/>
          <w:lang w:val="en-GB"/>
        </w:rPr>
        <w:footnoteReference w:id="59"/>
      </w:r>
      <w:r>
        <w:rPr>
          <w:rFonts w:hint="default" w:ascii="Times New Roman" w:hAnsi="Times New Roman" w:cs="Times New Roman"/>
          <w:sz w:val="36"/>
          <w:szCs w:val="36"/>
          <w:lang w:val="en-GB"/>
        </w:rPr>
        <w:t xml:space="preserve">. The soul that was in arrears would find their time in purgatory increased and the wills in this study show this concern to make sure that they died with a clean balance sheet.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I would argue that we can see this concern in the wills used in this study. Firstly there was 303 wills that mentioned payments to be made to the high altar to clear any tithes that had been overlooked. This is nearly half of the wills that were examined and when we include those that make payments to the high altar alone this increases to 405. There are some wills that make the stipulation that the tithes are to be paid for the benefit of the soul.</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Simon Custe of Great Horringer in 1464 wanted to leave ‘ to the high altar of Great Horringer for my tithes and offerings forgotten or underpaid, and for the health of my soul, 3s 4d’</w:t>
      </w:r>
      <w:r>
        <w:rPr>
          <w:rStyle w:val="10"/>
          <w:rFonts w:hint="default" w:ascii="Times New Roman" w:hAnsi="Times New Roman" w:cs="Times New Roman"/>
          <w:sz w:val="36"/>
          <w:szCs w:val="36"/>
          <w:lang w:val="en-GB"/>
        </w:rPr>
        <w:footnoteReference w:id="60"/>
      </w:r>
      <w:r>
        <w:rPr>
          <w:rFonts w:hint="default" w:ascii="Times New Roman" w:hAnsi="Times New Roman" w:cs="Times New Roman"/>
          <w:sz w:val="36"/>
          <w:szCs w:val="36"/>
          <w:lang w:val="en-GB"/>
        </w:rPr>
        <w:t>. John Stalham the elder of Mildenhall in 1459 bequeathed ‘ to the high altar of the same church for my tithes and offerings forgotten and withheld, in exoneration of my soul, 6s 8d’</w:t>
      </w:r>
      <w:r>
        <w:rPr>
          <w:rStyle w:val="10"/>
          <w:rFonts w:hint="default" w:ascii="Times New Roman" w:hAnsi="Times New Roman" w:cs="Times New Roman"/>
          <w:sz w:val="36"/>
          <w:szCs w:val="36"/>
          <w:lang w:val="en-GB"/>
        </w:rPr>
        <w:footnoteReference w:id="61"/>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These bequests are not surprising given that the local clergy would probably been keen to stress the need to pay any tithes to the local parish church and would perhaps have visited the testator near or at the time that a will would be drafted. Also they would have preached to the laity to make sure to be clear of any financial obligations meant dying well.</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We can also see this with 76 wills that make a clear stipulation that any debts were to be paid as a priority following the death of the testator. William Curteys of Tostock in 1461 stated in the first sentence that ‘My debts to be paid before all else’</w:t>
      </w:r>
      <w:r>
        <w:rPr>
          <w:rStyle w:val="10"/>
          <w:rFonts w:hint="default" w:ascii="Times New Roman" w:hAnsi="Times New Roman" w:cs="Times New Roman"/>
          <w:sz w:val="36"/>
          <w:szCs w:val="36"/>
          <w:lang w:val="en-GB"/>
        </w:rPr>
        <w:footnoteReference w:id="62"/>
      </w:r>
      <w:r>
        <w:rPr>
          <w:rFonts w:hint="default" w:ascii="Times New Roman" w:hAnsi="Times New Roman" w:cs="Times New Roman"/>
          <w:sz w:val="36"/>
          <w:szCs w:val="36"/>
          <w:lang w:val="en-GB"/>
        </w:rPr>
        <w:t>. Robert Hubberd of Finningham commands his execs ‘ to pay my debts as quickly as possible, before fulfilling (my) legacies and bequests’</w:t>
      </w:r>
      <w:r>
        <w:rPr>
          <w:rStyle w:val="10"/>
          <w:rFonts w:hint="default" w:ascii="Times New Roman" w:hAnsi="Times New Roman" w:cs="Times New Roman"/>
          <w:sz w:val="36"/>
          <w:szCs w:val="36"/>
          <w:lang w:val="en-GB"/>
        </w:rPr>
        <w:footnoteReference w:id="63"/>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Richard Barbore of Clare, perhaps aware of the risk that his wishes relied on others, asserted that his executors of his will were to ‘ pay my debts and fulfil my will and testament, as they will answer before the High Judge on the Day of Judgement’</w:t>
      </w:r>
      <w:r>
        <w:rPr>
          <w:rStyle w:val="10"/>
          <w:rFonts w:hint="default" w:ascii="Times New Roman" w:hAnsi="Times New Roman" w:cs="Times New Roman"/>
          <w:sz w:val="36"/>
          <w:szCs w:val="36"/>
          <w:lang w:val="en-GB"/>
        </w:rPr>
        <w:footnoteReference w:id="64"/>
      </w:r>
      <w:r>
        <w:rPr>
          <w:rFonts w:hint="default" w:ascii="Times New Roman" w:hAnsi="Times New Roman" w:cs="Times New Roman"/>
          <w:sz w:val="36"/>
          <w:szCs w:val="36"/>
          <w:lang w:val="en-GB"/>
        </w:rPr>
        <w:t xml:space="preserve">.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William Wellys of Bardwell in June 1463 shows the connection between debts and the soul as he requests that ‘residue of all my goods to my execs, to see to my funeral, pay my debts and do other good things as they see best to please God and profit my soul’</w:t>
      </w:r>
      <w:r>
        <w:rPr>
          <w:rStyle w:val="10"/>
          <w:rFonts w:hint="default" w:ascii="Times New Roman" w:hAnsi="Times New Roman" w:cs="Times New Roman"/>
          <w:sz w:val="36"/>
          <w:szCs w:val="36"/>
          <w:lang w:val="en-GB"/>
        </w:rPr>
        <w:footnoteReference w:id="65"/>
      </w: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b/>
          <w:bCs/>
          <w:sz w:val="36"/>
          <w:szCs w:val="36"/>
          <w:lang w:val="en-GB"/>
        </w:rPr>
      </w:pPr>
      <w:r>
        <w:rPr>
          <w:rFonts w:hint="default" w:ascii="Times New Roman" w:hAnsi="Times New Roman" w:cs="Times New Roman"/>
          <w:sz w:val="36"/>
          <w:szCs w:val="36"/>
          <w:lang w:val="en-GB"/>
        </w:rPr>
        <w:t>There was an awareness that the fate of those who had passed would eventually befall all.</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16" w:afterAutospacing="0" w:line="360" w:lineRule="auto"/>
        <w:ind w:left="0" w:right="0"/>
        <w:jc w:val="left"/>
        <w:textAlignment w:val="baseline"/>
        <w:rPr>
          <w:rFonts w:hint="default" w:ascii="Times New Roman" w:hAnsi="Times New Roman" w:cs="Times New Roman"/>
          <w:sz w:val="36"/>
          <w:szCs w:val="36"/>
          <w:lang w:val="en-GB"/>
        </w:rPr>
      </w:pPr>
      <w:r>
        <w:rPr>
          <w:rFonts w:hint="default" w:ascii="Times New Roman" w:hAnsi="Times New Roman" w:cs="Times New Roman"/>
          <w:sz w:val="36"/>
          <w:szCs w:val="36"/>
          <w:lang w:val="en-GB"/>
        </w:rPr>
        <w:t>This concern for the soul in purgatory would not only have been kindled by the preaching of the clergy but also by the representations of the last judgement in paintings that would have adorned the walls of many of the churches. These acted as visual aids and guidance to the laity to the fate that awaited those judged unfit for heaven alongside depictions of good works</w:t>
      </w:r>
      <w:r>
        <w:rPr>
          <w:rStyle w:val="10"/>
          <w:rFonts w:hint="default" w:ascii="Times New Roman" w:hAnsi="Times New Roman" w:cs="Times New Roman"/>
          <w:sz w:val="36"/>
          <w:szCs w:val="36"/>
          <w:lang w:val="en-GB"/>
        </w:rPr>
        <w:footnoteReference w:id="66"/>
      </w:r>
      <w:r>
        <w:rPr>
          <w:rFonts w:hint="default" w:ascii="Times New Roman" w:hAnsi="Times New Roman" w:cs="Times New Roman"/>
          <w:sz w:val="36"/>
          <w:szCs w:val="36"/>
          <w:lang w:val="en-GB"/>
        </w:rPr>
        <w:t xml:space="preserve">. They portrayed the day that God would cast judgement and souls would either find eternal salvation in heaven or an eternity in hell.These doom paintings would often been composed and situated over the chancel where they were visible to most and acted as a warning of the outcome if they failed to live a good Christian life </w:t>
      </w:r>
      <w:r>
        <w:rPr>
          <w:rStyle w:val="10"/>
          <w:rFonts w:hint="default" w:ascii="Times New Roman" w:hAnsi="Times New Roman" w:cs="Times New Roman"/>
          <w:sz w:val="36"/>
          <w:szCs w:val="36"/>
          <w:lang w:val="en-GB"/>
        </w:rPr>
        <w:footnoteReference w:id="67"/>
      </w:r>
      <w:r>
        <w:rPr>
          <w:rFonts w:hint="default" w:ascii="Times New Roman" w:hAnsi="Times New Roman" w:cs="Times New Roman"/>
          <w:sz w:val="36"/>
          <w:szCs w:val="36"/>
          <w:lang w:val="en-GB"/>
        </w:rPr>
        <w:t>.</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One example is in St Swithun’s church in Swanbourne which dates to the period of the wills used in this study and shows a panel in which souls in purgatory are depicted calling on those living to aid them</w:t>
      </w:r>
      <w:r>
        <w:rPr>
          <w:rStyle w:val="10"/>
          <w:rFonts w:hint="default" w:ascii="Times New Roman" w:hAnsi="Times New Roman" w:cs="Times New Roman"/>
          <w:sz w:val="36"/>
          <w:szCs w:val="36"/>
          <w:lang w:val="en-GB"/>
        </w:rPr>
        <w:footnoteReference w:id="68"/>
      </w:r>
      <w:r>
        <w:rPr>
          <w:rFonts w:hint="default" w:ascii="Times New Roman" w:hAnsi="Times New Roman" w:cs="Times New Roman"/>
          <w:sz w:val="36"/>
          <w:szCs w:val="36"/>
          <w:lang w:val="en-GB"/>
        </w:rPr>
        <w:t>. Another doom painting has been restored is visible in St Thomas’s church in Salisbury and was composed in the later part of the fifteenth century and around the time of the wills in this study.</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There are also examples of these so called ‘doom paintings’ in the county of our wills such as St Peter’s church in Wenhaston in Suffolk which dates from just after the period of these wills.</w:t>
      </w:r>
    </w:p>
    <w:p>
      <w:pPr>
        <w:spacing w:line="360" w:lineRule="auto"/>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Wenhaston Doom painting in St Peter’s Church Wenhaston Suffolk.</w:t>
      </w:r>
    </w:p>
    <w:p>
      <w:pPr>
        <w:spacing w:line="360" w:lineRule="auto"/>
        <w:rPr>
          <w:rFonts w:hint="default" w:ascii="Times New Roman" w:hAnsi="Times New Roman" w:cs="Times New Roman"/>
          <w:sz w:val="36"/>
          <w:szCs w:val="36"/>
          <w:lang w:val="en-GB"/>
        </w:rPr>
      </w:pPr>
      <w:r>
        <w:rPr>
          <w:rFonts w:ascii="SimSun" w:hAnsi="SimSun" w:eastAsia="SimSun" w:cs="SimSun"/>
          <w:sz w:val="24"/>
          <w:szCs w:val="24"/>
        </w:rPr>
        <w:drawing>
          <wp:inline distT="0" distB="0" distL="114300" distR="114300">
            <wp:extent cx="5610225" cy="3382645"/>
            <wp:effectExtent l="0" t="0" r="9525" b="0"/>
            <wp:docPr id="3"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G_256"/>
                    <pic:cNvPicPr>
                      <a:picLocks noChangeAspect="1"/>
                    </pic:cNvPicPr>
                  </pic:nvPicPr>
                  <pic:blipFill>
                    <a:blip r:embed="rId7"/>
                    <a:srcRect l="168" t="4149" r="-850" b="-8666"/>
                    <a:stretch>
                      <a:fillRect/>
                    </a:stretch>
                  </pic:blipFill>
                  <pic:spPr>
                    <a:xfrm>
                      <a:off x="0" y="0"/>
                      <a:ext cx="5610225" cy="3382645"/>
                    </a:xfrm>
                    <a:prstGeom prst="rect">
                      <a:avLst/>
                    </a:prstGeom>
                    <a:noFill/>
                    <a:ln w="9525">
                      <a:noFill/>
                    </a:ln>
                  </pic:spPr>
                </pic:pic>
              </a:graphicData>
            </a:graphic>
          </wp:inline>
        </w:drawing>
      </w:r>
      <w:r>
        <w:rPr>
          <w:rStyle w:val="10"/>
          <w:rFonts w:ascii="SimSun" w:hAnsi="SimSun" w:eastAsia="SimSun" w:cs="SimSun"/>
          <w:sz w:val="24"/>
          <w:szCs w:val="24"/>
        </w:rPr>
        <w:footnoteReference w:id="69"/>
      </w:r>
    </w:p>
    <w:p>
      <w:pPr>
        <w:keepNext w:val="0"/>
        <w:keepLines w:val="0"/>
        <w:widowControl/>
        <w:suppressLineNumbers w:val="0"/>
        <w:shd w:val="clear" w:fill="FFFFFF"/>
        <w:spacing w:before="150" w:beforeAutospacing="0" w:after="150" w:afterAutospacing="0" w:line="360" w:lineRule="auto"/>
        <w:ind w:left="0" w:right="450" w:firstLine="0"/>
        <w:jc w:val="left"/>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  The Wenhaston Doom painting is a panel painting that also portrays the last judgement. Jesus is seated with arms outstretched in an action of giving blessings and has St John the baptist and the virgin mother next to him kneeling in reverence. Below the figure of Christ are the two fates that awaited souls that of redemption with St Peter or damnation with the demons of hell.</w:t>
      </w:r>
    </w:p>
    <w:p>
      <w:pPr>
        <w:keepNext w:val="0"/>
        <w:keepLines w:val="0"/>
        <w:widowControl/>
        <w:suppressLineNumbers w:val="0"/>
        <w:shd w:val="clear" w:fill="FFFFFF"/>
        <w:spacing w:before="150" w:beforeAutospacing="0" w:after="150" w:afterAutospacing="0" w:line="360" w:lineRule="auto"/>
        <w:ind w:left="0" w:right="450" w:firstLine="0"/>
        <w:jc w:val="left"/>
        <w:rPr>
          <w:rFonts w:hint="default" w:ascii="Times New Roman" w:hAnsi="Times New Roman" w:eastAsia="Trebuchet MS" w:cs="Times New Roman"/>
          <w:b w:val="0"/>
          <w:bCs w:val="0"/>
          <w:i w:val="0"/>
          <w:caps w:val="0"/>
          <w:color w:val="5F5E5E"/>
          <w:spacing w:val="0"/>
          <w:kern w:val="0"/>
          <w:sz w:val="36"/>
          <w:szCs w:val="36"/>
          <w:shd w:val="clear" w:fill="FFFFFF"/>
          <w:lang w:val="en-GB" w:eastAsia="zh-CN" w:bidi="ar"/>
        </w:rPr>
      </w:pPr>
    </w:p>
    <w:p>
      <w:pPr>
        <w:keepNext w:val="0"/>
        <w:keepLines w:val="0"/>
        <w:widowControl/>
        <w:suppressLineNumbers w:val="0"/>
        <w:shd w:val="clear" w:fill="FFFFFF"/>
        <w:spacing w:before="150" w:beforeAutospacing="0" w:after="150" w:afterAutospacing="0" w:line="360" w:lineRule="auto"/>
        <w:ind w:left="0" w:right="450" w:firstLine="0"/>
        <w:jc w:val="left"/>
        <w:rPr>
          <w:rFonts w:hint="default" w:ascii="Times New Roman" w:hAnsi="Times New Roman" w:eastAsia="Trebuchet MS" w:cs="Times New Roman"/>
          <w:b/>
          <w:bCs/>
          <w:i w:val="0"/>
          <w:caps w:val="0"/>
          <w:color w:val="5F5E5E"/>
          <w:spacing w:val="0"/>
          <w:kern w:val="0"/>
          <w:sz w:val="36"/>
          <w:szCs w:val="36"/>
          <w:shd w:val="clear" w:fill="FFFFFF"/>
          <w:lang w:val="en-GB" w:eastAsia="zh-CN" w:bidi="ar"/>
        </w:rPr>
      </w:pPr>
    </w:p>
    <w:p>
      <w:pPr>
        <w:keepNext w:val="0"/>
        <w:keepLines w:val="0"/>
        <w:widowControl/>
        <w:suppressLineNumbers w:val="0"/>
        <w:shd w:val="clear" w:fill="FFFFFF"/>
        <w:spacing w:before="150" w:beforeAutospacing="0" w:after="150" w:afterAutospacing="0" w:line="360" w:lineRule="auto"/>
        <w:ind w:left="0" w:right="450" w:firstLine="0"/>
        <w:jc w:val="left"/>
        <w:rPr>
          <w:rFonts w:hint="default" w:ascii="Times New Roman" w:hAnsi="Times New Roman" w:eastAsia="Trebuchet MS" w:cs="Times New Roman"/>
          <w:b/>
          <w:bCs/>
          <w:i w:val="0"/>
          <w:caps w:val="0"/>
          <w:color w:val="5F5E5E"/>
          <w:spacing w:val="0"/>
          <w:kern w:val="0"/>
          <w:sz w:val="36"/>
          <w:szCs w:val="36"/>
          <w:shd w:val="clear" w:fill="FFFFFF"/>
          <w:lang w:val="en-GB" w:eastAsia="zh-CN" w:bidi="ar"/>
        </w:rPr>
      </w:pPr>
    </w:p>
    <w:p>
      <w:pPr>
        <w:keepNext w:val="0"/>
        <w:keepLines w:val="0"/>
        <w:widowControl/>
        <w:suppressLineNumbers w:val="0"/>
        <w:shd w:val="clear" w:fill="FFFFFF"/>
        <w:spacing w:before="150" w:beforeAutospacing="0" w:after="150" w:afterAutospacing="0" w:line="360" w:lineRule="auto"/>
        <w:ind w:left="0" w:right="450" w:firstLine="0"/>
        <w:jc w:val="left"/>
        <w:rPr>
          <w:rFonts w:hint="default" w:ascii="Times New Roman" w:hAnsi="Times New Roman" w:cs="Times New Roman"/>
          <w:b/>
          <w:bCs/>
          <w:sz w:val="36"/>
          <w:szCs w:val="36"/>
          <w:u w:val="single"/>
          <w:lang w:val="en-GB"/>
        </w:rPr>
      </w:pPr>
      <w:r>
        <w:rPr>
          <w:rFonts w:hint="default" w:ascii="Times New Roman" w:hAnsi="Times New Roman" w:eastAsia="Trebuchet MS" w:cs="Times New Roman"/>
          <w:b/>
          <w:bCs/>
          <w:i w:val="0"/>
          <w:caps w:val="0"/>
          <w:color w:val="5F5E5E"/>
          <w:spacing w:val="0"/>
          <w:kern w:val="0"/>
          <w:sz w:val="36"/>
          <w:szCs w:val="36"/>
          <w:shd w:val="clear" w:fill="FFFFFF"/>
          <w:lang w:val="en-GB" w:eastAsia="zh-CN" w:bidi="ar"/>
        </w:rPr>
        <w:t>‘</w:t>
      </w:r>
      <w:r>
        <w:rPr>
          <w:rFonts w:hint="default" w:ascii="Times New Roman" w:hAnsi="Times New Roman" w:eastAsia="Trebuchet MS" w:cs="Times New Roman"/>
          <w:b/>
          <w:bCs/>
          <w:i w:val="0"/>
          <w:caps w:val="0"/>
          <w:color w:val="5F5E5E"/>
          <w:spacing w:val="0"/>
          <w:kern w:val="0"/>
          <w:sz w:val="36"/>
          <w:szCs w:val="36"/>
          <w:shd w:val="clear" w:fill="FFFFFF"/>
          <w:lang w:val="en-US" w:eastAsia="zh-CN" w:bidi="ar"/>
        </w:rPr>
        <w:t>Sinners being led into Hell</w:t>
      </w:r>
      <w:r>
        <w:rPr>
          <w:rFonts w:hint="default" w:ascii="Times New Roman" w:hAnsi="Times New Roman" w:eastAsia="Trebuchet MS" w:cs="Times New Roman"/>
          <w:b/>
          <w:bCs/>
          <w:i w:val="0"/>
          <w:caps w:val="0"/>
          <w:color w:val="5F5E5E"/>
          <w:spacing w:val="0"/>
          <w:kern w:val="0"/>
          <w:sz w:val="36"/>
          <w:szCs w:val="36"/>
          <w:shd w:val="clear" w:fill="FFFFFF"/>
          <w:lang w:val="en-GB" w:eastAsia="zh-CN" w:bidi="ar"/>
        </w:rPr>
        <w:t>’ wall painting in St Peter’s Church Wenhaston Suffolk.</w:t>
      </w:r>
    </w:p>
    <w:p>
      <w:pPr>
        <w:spacing w:line="360" w:lineRule="auto"/>
        <w:rPr>
          <w:rFonts w:hint="default" w:ascii="Times New Roman" w:hAnsi="Times New Roman" w:cs="Times New Roman"/>
          <w:sz w:val="36"/>
          <w:szCs w:val="36"/>
          <w:lang w:val="en-GB"/>
        </w:rPr>
      </w:pPr>
      <w:r>
        <w:rPr>
          <w:rFonts w:ascii="SimSun" w:hAnsi="SimSun" w:eastAsia="SimSun" w:cs="SimSun"/>
          <w:sz w:val="24"/>
          <w:szCs w:val="24"/>
        </w:rPr>
        <w:drawing>
          <wp:inline distT="0" distB="0" distL="114300" distR="114300">
            <wp:extent cx="3790950" cy="5181600"/>
            <wp:effectExtent l="0" t="0" r="0" b="0"/>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8"/>
                    <a:srcRect l="2764" t="-9500" r="-2764" b="9500"/>
                    <a:stretch>
                      <a:fillRect/>
                    </a:stretch>
                  </pic:blipFill>
                  <pic:spPr>
                    <a:xfrm>
                      <a:off x="0" y="0"/>
                      <a:ext cx="3790950" cy="5181600"/>
                    </a:xfrm>
                    <a:prstGeom prst="rect">
                      <a:avLst/>
                    </a:prstGeom>
                    <a:noFill/>
                    <a:ln w="9525">
                      <a:noFill/>
                    </a:ln>
                  </pic:spPr>
                </pic:pic>
              </a:graphicData>
            </a:graphic>
          </wp:inline>
        </w:drawing>
      </w:r>
    </w:p>
    <w:p>
      <w:pPr>
        <w:spacing w:line="360" w:lineRule="auto"/>
        <w:jc w:val="both"/>
        <w:rPr>
          <w:rFonts w:hint="default" w:ascii="Times New Roman" w:hAnsi="Times New Roman" w:cs="Times New Roman"/>
          <w:sz w:val="36"/>
          <w:szCs w:val="36"/>
          <w:u w:val="single"/>
          <w:lang w:val="en-GB"/>
        </w:rPr>
      </w:pPr>
      <w:r>
        <w:rPr>
          <w:rStyle w:val="10"/>
          <w:rFonts w:ascii="SimSun" w:hAnsi="SimSun" w:eastAsia="SimSun" w:cs="SimSun"/>
          <w:sz w:val="24"/>
          <w:szCs w:val="24"/>
        </w:rPr>
        <w:footnoteReference w:id="70"/>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 bottom right of the painting showed the demons of hell taking those who had not paid suitable penance for their sins. The day of judgement could come any time so there was an urgency to avoid this fate.</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Another popular subject matter in doom painting was the depiction of the seven corporal works of mercy.</w:t>
      </w:r>
      <w:r>
        <w:rPr>
          <w:rStyle w:val="10"/>
          <w:rFonts w:hint="default" w:ascii="Times New Roman" w:hAnsi="Times New Roman" w:cs="Times New Roman"/>
          <w:sz w:val="36"/>
          <w:szCs w:val="36"/>
          <w:u w:val="none"/>
          <w:lang w:val="en-GB"/>
        </w:rPr>
        <w:footnoteReference w:id="71"/>
      </w:r>
      <w:r>
        <w:rPr>
          <w:rFonts w:hint="default" w:ascii="Times New Roman" w:hAnsi="Times New Roman" w:cs="Times New Roman"/>
          <w:sz w:val="36"/>
          <w:szCs w:val="36"/>
          <w:u w:val="none"/>
          <w:lang w:val="en-GB"/>
        </w:rPr>
        <w:t>. They derive from a parable of the last judgement:</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‘For when I was hungry, and you gave me food</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I was thirsty and you gave me drink</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I was a stranger and you took me in </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Naked and you clothed me</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I was sick and you visited me</w:t>
      </w:r>
    </w:p>
    <w:p>
      <w:pPr>
        <w:spacing w:line="360" w:lineRule="auto"/>
        <w:jc w:val="both"/>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I was in prison and you come to me’</w:t>
      </w:r>
      <w:r>
        <w:rPr>
          <w:rStyle w:val="10"/>
          <w:rFonts w:hint="default" w:ascii="Times New Roman" w:hAnsi="Times New Roman" w:cs="Times New Roman"/>
          <w:sz w:val="36"/>
          <w:szCs w:val="36"/>
          <w:u w:val="none"/>
          <w:lang w:val="en-GB"/>
        </w:rPr>
        <w:footnoteReference w:id="72"/>
      </w:r>
      <w:r>
        <w:rPr>
          <w:rFonts w:hint="default" w:ascii="Times New Roman" w:hAnsi="Times New Roman" w:cs="Times New Roman"/>
          <w:sz w:val="36"/>
          <w:szCs w:val="36"/>
          <w:u w:val="none"/>
          <w:lang w:val="en-GB"/>
        </w:rPr>
        <w:t xml:space="preserve"> </w:t>
      </w:r>
    </w:p>
    <w:p>
      <w:pPr>
        <w:spacing w:line="360" w:lineRule="auto"/>
        <w:jc w:val="both"/>
        <w:rPr>
          <w:rFonts w:hint="default" w:ascii="Times New Roman" w:hAnsi="Times New Roman" w:cs="Times New Roman"/>
          <w:sz w:val="36"/>
          <w:szCs w:val="36"/>
          <w:u w:val="none"/>
          <w:lang w:val="en-GB"/>
        </w:rPr>
      </w:pP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We can see this influence in the bequests leaving funds for acts of charity in the wills in the Baldwyne register. There were 105 wills that specified bequests for acts of piety, giving of alms and masses for the benefit of the deceased soul. </w:t>
      </w:r>
      <w:r>
        <w:rPr>
          <w:rFonts w:hint="default" w:ascii="Times New Roman" w:hAnsi="Times New Roman" w:cs="Times New Roman"/>
          <w:sz w:val="36"/>
          <w:szCs w:val="36"/>
          <w:u w:val="none"/>
          <w:lang w:val="en-GB"/>
        </w:rPr>
        <w:t xml:space="preserve">Acts of charity such as giving alms were deemed commendable and had a historical precedence with tales of how saints would disguise themselves as beggars as a moral trial. To do good works even following death could aid the soul in purgatory </w:t>
      </w:r>
      <w:r>
        <w:rPr>
          <w:rStyle w:val="10"/>
          <w:rFonts w:hint="default" w:ascii="Times New Roman" w:hAnsi="Times New Roman" w:cs="Times New Roman"/>
          <w:sz w:val="36"/>
          <w:szCs w:val="36"/>
          <w:u w:val="none"/>
          <w:lang w:val="en-GB"/>
        </w:rPr>
        <w:footnoteReference w:id="73"/>
      </w:r>
      <w:r>
        <w:rPr>
          <w:rFonts w:hint="default" w:ascii="Times New Roman" w:hAnsi="Times New Roman" w:cs="Times New Roman"/>
          <w:sz w:val="36"/>
          <w:szCs w:val="36"/>
          <w:u w:val="none"/>
          <w:lang w:val="en-GB"/>
        </w:rPr>
        <w:t>.</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Turning first to the corporal works of mercy of food and drink and looking at the bequests in more detail we can see that 32 gave bequests to the needy poor. </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One will by William Boys of Tuddenham in 1465 asks that 12d is to be distributed among the poor each year on the anniversary of his and his late wife’s death</w:t>
      </w:r>
      <w:r>
        <w:rPr>
          <w:rStyle w:val="10"/>
          <w:rFonts w:hint="default" w:ascii="Times New Roman" w:hAnsi="Times New Roman" w:cs="Times New Roman"/>
          <w:sz w:val="36"/>
          <w:szCs w:val="36"/>
          <w:lang w:val="en-GB"/>
        </w:rPr>
        <w:footnoteReference w:id="74"/>
      </w:r>
      <w:r>
        <w:rPr>
          <w:rFonts w:hint="default" w:ascii="Times New Roman" w:hAnsi="Times New Roman" w:cs="Times New Roman"/>
          <w:sz w:val="36"/>
          <w:szCs w:val="36"/>
          <w:lang w:val="en-GB"/>
        </w:rPr>
        <w:t>. Thomas Jegnere of Undley wanted 8d to be distributed to the poor in Lakenham on Sundays for a whole year.</w:t>
      </w:r>
      <w:r>
        <w:rPr>
          <w:rStyle w:val="10"/>
          <w:rFonts w:hint="default" w:ascii="Times New Roman" w:hAnsi="Times New Roman" w:cs="Times New Roman"/>
          <w:sz w:val="36"/>
          <w:szCs w:val="36"/>
          <w:lang w:val="en-GB"/>
        </w:rPr>
        <w:footnoteReference w:id="75"/>
      </w:r>
      <w:r>
        <w:rPr>
          <w:rFonts w:hint="default" w:ascii="Times New Roman" w:hAnsi="Times New Roman" w:cs="Times New Roman"/>
          <w:sz w:val="36"/>
          <w:szCs w:val="36"/>
          <w:lang w:val="en-GB"/>
        </w:rPr>
        <w:t>. Another will of testator Margaret Noche of Bildeston specified two bequests to be given the poor on two different occasions, she left ‘ to the poor of Lavenham 20d to be distributed among them on my seven-day and similarly on my thirty-day 20d’</w:t>
      </w:r>
      <w:r>
        <w:rPr>
          <w:rStyle w:val="10"/>
          <w:rFonts w:hint="default" w:ascii="Times New Roman" w:hAnsi="Times New Roman" w:cs="Times New Roman"/>
          <w:sz w:val="36"/>
          <w:szCs w:val="36"/>
          <w:lang w:val="en-GB"/>
        </w:rPr>
        <w:footnoteReference w:id="76"/>
      </w:r>
      <w:r>
        <w:rPr>
          <w:rFonts w:hint="default" w:ascii="Times New Roman" w:hAnsi="Times New Roman" w:cs="Times New Roman"/>
          <w:sz w:val="36"/>
          <w:szCs w:val="36"/>
          <w:lang w:val="en-GB"/>
        </w:rPr>
        <w:t xml:space="preserve">.Thomas Alston of Sudbury also is very particular on the timing of the charity. He asks that his ‘execs to distribute, on the day of my death , among the poor in greatest need, 40d, and on my seven-day 100s, on my thirty day 100s, among the poor in greatest need, similarly </w:t>
      </w:r>
      <w:r>
        <w:rPr>
          <w:rStyle w:val="10"/>
          <w:rFonts w:hint="default" w:ascii="Times New Roman" w:hAnsi="Times New Roman" w:cs="Times New Roman"/>
          <w:sz w:val="36"/>
          <w:szCs w:val="36"/>
          <w:lang w:val="en-GB"/>
        </w:rPr>
        <w:footnoteReference w:id="77"/>
      </w:r>
      <w:r>
        <w:rPr>
          <w:rFonts w:hint="default" w:ascii="Times New Roman" w:hAnsi="Times New Roman" w:cs="Times New Roman"/>
          <w:sz w:val="36"/>
          <w:szCs w:val="36"/>
          <w:lang w:val="en-GB"/>
        </w:rPr>
        <w:t>.</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John Smyth of Clare in Jan 1462 left a bequest to ‘ 4 needy poor (folk) holding 4 torches around my body on that day’</w:t>
      </w:r>
      <w:r>
        <w:rPr>
          <w:rStyle w:val="10"/>
          <w:rFonts w:hint="default" w:ascii="Times New Roman" w:hAnsi="Times New Roman" w:cs="Times New Roman"/>
          <w:sz w:val="36"/>
          <w:szCs w:val="36"/>
          <w:lang w:val="en-GB"/>
        </w:rPr>
        <w:footnoteReference w:id="78"/>
      </w:r>
      <w:r>
        <w:rPr>
          <w:rFonts w:hint="default" w:ascii="Times New Roman" w:hAnsi="Times New Roman" w:cs="Times New Roman"/>
          <w:sz w:val="36"/>
          <w:szCs w:val="36"/>
          <w:lang w:val="en-GB"/>
        </w:rPr>
        <w:t>.</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There is an element to wills in which the acts of charity are needed to be given at the right time in order to be at its most effective. We see this in the will of Thomas Pypere of Thorpe Morieux in 1465 who bequeaths ‘ the poor on the day of my burial, 5s, that they may more quickly pray for my soul’</w:t>
      </w:r>
      <w:r>
        <w:rPr>
          <w:rStyle w:val="10"/>
          <w:rFonts w:hint="default" w:ascii="Times New Roman" w:hAnsi="Times New Roman" w:cs="Times New Roman"/>
          <w:sz w:val="36"/>
          <w:szCs w:val="36"/>
          <w:lang w:val="en-GB"/>
        </w:rPr>
        <w:footnoteReference w:id="79"/>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19 of the bequests explicitly make a connection of gifts to the needy poor and their soul. Ed Maynere of Great Thurlow in 1471 states that he requested that ‘10s to be distributed and given to the poor to pray for my soul’</w:t>
      </w:r>
      <w:r>
        <w:rPr>
          <w:rStyle w:val="10"/>
          <w:rFonts w:hint="default" w:ascii="Times New Roman" w:hAnsi="Times New Roman" w:cs="Times New Roman"/>
          <w:sz w:val="36"/>
          <w:szCs w:val="36"/>
          <w:lang w:val="en-GB"/>
        </w:rPr>
        <w:footnoteReference w:id="80"/>
      </w:r>
      <w:r>
        <w:rPr>
          <w:rFonts w:hint="default" w:ascii="Times New Roman" w:hAnsi="Times New Roman" w:cs="Times New Roman"/>
          <w:sz w:val="36"/>
          <w:szCs w:val="36"/>
          <w:lang w:val="en-GB"/>
        </w:rPr>
        <w:t>.In a will by Robert Sparowe of Melford in which he makes various bequests to those involved at his burial he also makes a gift ‘to each of the needy poor coming to the church on my burial day, taking alms and praying for my soul, 1d’</w:t>
      </w:r>
      <w:r>
        <w:rPr>
          <w:rStyle w:val="10"/>
          <w:rFonts w:hint="default" w:ascii="Times New Roman" w:hAnsi="Times New Roman" w:cs="Times New Roman"/>
          <w:sz w:val="36"/>
          <w:szCs w:val="36"/>
          <w:lang w:val="en-GB"/>
        </w:rPr>
        <w:footnoteReference w:id="81"/>
      </w:r>
      <w:r>
        <w:rPr>
          <w:rFonts w:hint="default" w:ascii="Times New Roman" w:hAnsi="Times New Roman" w:cs="Times New Roman"/>
          <w:sz w:val="36"/>
          <w:szCs w:val="36"/>
          <w:lang w:val="en-GB"/>
        </w:rPr>
        <w:t>.</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Five bequests also specified the number of poor to benefit from the bequests. Richard Howett of Edwardstone bequeathed 6d to 6 of the poor</w:t>
      </w:r>
      <w:r>
        <w:rPr>
          <w:rStyle w:val="10"/>
          <w:rFonts w:hint="default" w:ascii="Times New Roman" w:hAnsi="Times New Roman" w:cs="Times New Roman"/>
          <w:sz w:val="36"/>
          <w:szCs w:val="36"/>
          <w:lang w:val="en-GB"/>
        </w:rPr>
        <w:footnoteReference w:id="82"/>
      </w:r>
      <w:r>
        <w:rPr>
          <w:rFonts w:hint="default" w:ascii="Times New Roman" w:hAnsi="Times New Roman" w:cs="Times New Roman"/>
          <w:sz w:val="36"/>
          <w:szCs w:val="36"/>
          <w:lang w:val="en-GB"/>
        </w:rPr>
        <w:t>.Agnes Mey of Lavenham in 1462/63 left 26s to ‘ be distributed among 12 of the poor in the said church ( parish church of Lavenham), each week 6d, for the term of a year immediately after my death, that they may pray for me and for the souls for whom I am bound’</w:t>
      </w:r>
      <w:r>
        <w:rPr>
          <w:rStyle w:val="10"/>
          <w:rFonts w:hint="default" w:ascii="Times New Roman" w:hAnsi="Times New Roman" w:cs="Times New Roman"/>
          <w:sz w:val="36"/>
          <w:szCs w:val="36"/>
          <w:lang w:val="en-GB"/>
        </w:rPr>
        <w:footnoteReference w:id="83"/>
      </w:r>
      <w:r>
        <w:rPr>
          <w:rFonts w:hint="default" w:ascii="Times New Roman" w:hAnsi="Times New Roman" w:cs="Times New Roman"/>
          <w:sz w:val="36"/>
          <w:szCs w:val="36"/>
          <w:lang w:val="en-GB"/>
        </w:rPr>
        <w:t xml:space="preserve">. John Godyng of Withersfield in Sept 1468 left to ‘40 of Christ’s poor on the day of my burial, 3s 4d to be distributed among them’ </w:t>
      </w:r>
      <w:r>
        <w:rPr>
          <w:rStyle w:val="10"/>
          <w:rFonts w:hint="default" w:ascii="Times New Roman" w:hAnsi="Times New Roman" w:cs="Times New Roman"/>
          <w:sz w:val="36"/>
          <w:szCs w:val="36"/>
          <w:lang w:val="en-GB"/>
        </w:rPr>
        <w:footnoteReference w:id="84"/>
      </w:r>
      <w:r>
        <w:rPr>
          <w:rFonts w:hint="default" w:ascii="Times New Roman" w:hAnsi="Times New Roman" w:cs="Times New Roman"/>
          <w:sz w:val="36"/>
          <w:szCs w:val="36"/>
          <w:lang w:val="en-GB"/>
        </w:rPr>
        <w:t xml:space="preserve">. William Westbrome of Wetherden gave ‘13d to 13 of the poor’ </w:t>
      </w:r>
      <w:r>
        <w:rPr>
          <w:rStyle w:val="10"/>
          <w:rFonts w:hint="default" w:ascii="Times New Roman" w:hAnsi="Times New Roman" w:cs="Times New Roman"/>
          <w:sz w:val="36"/>
          <w:szCs w:val="36"/>
          <w:lang w:val="en-GB"/>
        </w:rPr>
        <w:footnoteReference w:id="85"/>
      </w:r>
      <w:r>
        <w:rPr>
          <w:rFonts w:hint="default" w:ascii="Times New Roman" w:hAnsi="Times New Roman" w:cs="Times New Roman"/>
          <w:sz w:val="36"/>
          <w:szCs w:val="36"/>
          <w:lang w:val="en-GB"/>
        </w:rPr>
        <w:t>.The bequests that stated that 12 or 13 of the poor were to receive donations were, I would debate, probably chosen to match the number of Christ’s disciples.</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Three other bequests left more lasting and substantial bequests to the needy in their parish. One bequest in 1463/1464 by John Newman the elder of Lavenham left a tenement to be ‘disposed of by my exec for an almshouse for my soul to be prayed for, and the souls of those for whom I am bound’</w:t>
      </w:r>
      <w:r>
        <w:rPr>
          <w:rStyle w:val="10"/>
          <w:rFonts w:hint="default" w:ascii="Times New Roman" w:hAnsi="Times New Roman" w:cs="Times New Roman"/>
          <w:sz w:val="36"/>
          <w:szCs w:val="36"/>
          <w:lang w:val="en-GB"/>
        </w:rPr>
        <w:footnoteReference w:id="86"/>
      </w:r>
      <w:r>
        <w:rPr>
          <w:rFonts w:hint="default" w:ascii="Times New Roman" w:hAnsi="Times New Roman" w:cs="Times New Roman"/>
          <w:sz w:val="36"/>
          <w:szCs w:val="36"/>
          <w:lang w:val="en-GB"/>
        </w:rPr>
        <w:t>. Another will by William Orderych of Hitcham 1471/1472 left a small house to act as an almshouse for the ‘use and accomodation of the poor,for ever, for interceding for my soul and the souls of my friends’</w:t>
      </w:r>
      <w:r>
        <w:rPr>
          <w:rStyle w:val="10"/>
          <w:rFonts w:hint="default" w:ascii="Times New Roman" w:hAnsi="Times New Roman" w:cs="Times New Roman"/>
          <w:sz w:val="36"/>
          <w:szCs w:val="36"/>
          <w:lang w:val="en-GB"/>
        </w:rPr>
        <w:footnoteReference w:id="87"/>
      </w:r>
      <w:r>
        <w:rPr>
          <w:rFonts w:hint="default" w:ascii="Times New Roman" w:hAnsi="Times New Roman" w:cs="Times New Roman"/>
          <w:sz w:val="36"/>
          <w:szCs w:val="36"/>
          <w:lang w:val="en-GB"/>
        </w:rPr>
        <w:t>. John Eryswell of Eriswell made the provision of ‘two beds in my house in which to provide hospitality for the vagrant poor for my soul and Alice my wife’s’ a condition for leaving a tenement and its contents to his son</w:t>
      </w:r>
      <w:r>
        <w:rPr>
          <w:rStyle w:val="10"/>
          <w:rFonts w:hint="default" w:ascii="Times New Roman" w:hAnsi="Times New Roman" w:cs="Times New Roman"/>
          <w:sz w:val="36"/>
          <w:szCs w:val="36"/>
          <w:lang w:val="en-GB"/>
        </w:rPr>
        <w:footnoteReference w:id="88"/>
      </w:r>
      <w:r>
        <w:rPr>
          <w:rFonts w:hint="default" w:ascii="Times New Roman" w:hAnsi="Times New Roman" w:cs="Times New Roman"/>
          <w:sz w:val="36"/>
          <w:szCs w:val="36"/>
          <w:lang w:val="en-GB"/>
        </w:rPr>
        <w:t>.</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There was also a small number of bequests to Hospitals that cared for the poor. One was John Alyesawndre of Rushbrooke who bequeathed ‘ To the indulgence of Maison Dieu 12d’or God’s House in French. This was probably for the hospital of St John in Bury St Edmunds and was also know as God’s House. The hospital which was founded between 1248-1256 by Abbot Edmund and aimed to give board and lodging to the poor</w:t>
      </w:r>
      <w:r>
        <w:rPr>
          <w:rStyle w:val="10"/>
          <w:rFonts w:hint="default" w:ascii="Times New Roman" w:hAnsi="Times New Roman" w:cs="Times New Roman"/>
          <w:sz w:val="36"/>
          <w:szCs w:val="36"/>
          <w:lang w:val="en-GB"/>
        </w:rPr>
        <w:footnoteReference w:id="89"/>
      </w:r>
      <w:r>
        <w:rPr>
          <w:rFonts w:hint="default" w:ascii="Times New Roman" w:hAnsi="Times New Roman" w:cs="Times New Roman"/>
          <w:sz w:val="36"/>
          <w:szCs w:val="36"/>
          <w:lang w:val="en-GB"/>
        </w:rPr>
        <w:t>. Another will by Robert Chapeleyn of Wangford left 4d to the College of St Anthony in London which housed not just twelve poor men but also priests and a schoolmaster. This suggests the hospital was to act as educator as well as caring for the poor housed there</w:t>
      </w:r>
      <w:r>
        <w:rPr>
          <w:rStyle w:val="10"/>
          <w:rFonts w:hint="default" w:ascii="Times New Roman" w:hAnsi="Times New Roman" w:cs="Times New Roman"/>
          <w:sz w:val="36"/>
          <w:szCs w:val="36"/>
          <w:lang w:val="en-GB"/>
        </w:rPr>
        <w:footnoteReference w:id="90"/>
      </w:r>
      <w:r>
        <w:rPr>
          <w:rFonts w:hint="default" w:ascii="Times New Roman" w:hAnsi="Times New Roman" w:cs="Times New Roman"/>
          <w:sz w:val="36"/>
          <w:szCs w:val="36"/>
          <w:lang w:val="en-GB"/>
        </w:rPr>
        <w:t>. There was however only one that left a bequest for the leper hospitals. John Taylour of Thorndon in 1463 left 40d to the leper- hospital in Norwich, 20d to the leper-hospital in Bury, 20d to the leper-hospital in Ipswich and 40d to the leper-hospital in Eye</w:t>
      </w:r>
      <w:r>
        <w:rPr>
          <w:rStyle w:val="10"/>
          <w:rFonts w:hint="default" w:ascii="Times New Roman" w:hAnsi="Times New Roman" w:cs="Times New Roman"/>
          <w:sz w:val="36"/>
          <w:szCs w:val="36"/>
          <w:lang w:val="en-GB"/>
        </w:rPr>
        <w:footnoteReference w:id="91"/>
      </w:r>
      <w:r>
        <w:rPr>
          <w:rFonts w:hint="default" w:ascii="Times New Roman" w:hAnsi="Times New Roman" w:cs="Times New Roman"/>
          <w:sz w:val="36"/>
          <w:szCs w:val="36"/>
          <w:lang w:val="en-GB"/>
        </w:rPr>
        <w:t>. This I found surprising given the historical precedence in the bible of caring and curing of lepers in the new testament by Jesus Christ.</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Purgatory also inspired acts of good works that included bequests to the ‘fabric’ of churches</w:t>
      </w:r>
      <w:r>
        <w:rPr>
          <w:rStyle w:val="10"/>
          <w:rFonts w:hint="default" w:ascii="Times New Roman" w:hAnsi="Times New Roman" w:cs="Times New Roman"/>
          <w:sz w:val="36"/>
          <w:szCs w:val="36"/>
          <w:lang w:val="en-GB"/>
        </w:rPr>
        <w:footnoteReference w:id="92"/>
      </w:r>
      <w:r>
        <w:rPr>
          <w:rFonts w:hint="default" w:ascii="Times New Roman" w:hAnsi="Times New Roman" w:cs="Times New Roman"/>
          <w:sz w:val="36"/>
          <w:szCs w:val="36"/>
          <w:lang w:val="en-GB"/>
        </w:rPr>
        <w:t xml:space="preserve"> There were 282 wills that left bequests towards the repairs or ornamentation of churches. </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William Goldyng of Eye in 1463 left ‘ to the reparation of the tower 6s 8d’</w:t>
      </w:r>
      <w:r>
        <w:rPr>
          <w:rStyle w:val="10"/>
          <w:rFonts w:hint="default" w:ascii="Times New Roman" w:hAnsi="Times New Roman" w:cs="Times New Roman"/>
          <w:sz w:val="36"/>
          <w:szCs w:val="36"/>
          <w:lang w:val="en-GB"/>
        </w:rPr>
        <w:footnoteReference w:id="93"/>
      </w:r>
      <w:r>
        <w:rPr>
          <w:rFonts w:hint="default" w:ascii="Times New Roman" w:hAnsi="Times New Roman" w:cs="Times New Roman"/>
          <w:sz w:val="36"/>
          <w:szCs w:val="36"/>
          <w:lang w:val="en-GB"/>
        </w:rPr>
        <w:t>. Another William bequeathed ‘ to the glazing of a window of the same church 6s 8d; to the rood-loft of the same church, when it is made, 5s’</w:t>
      </w:r>
      <w:r>
        <w:rPr>
          <w:rStyle w:val="10"/>
          <w:rFonts w:hint="default" w:ascii="Times New Roman" w:hAnsi="Times New Roman" w:cs="Times New Roman"/>
          <w:sz w:val="36"/>
          <w:szCs w:val="36"/>
          <w:lang w:val="en-GB"/>
        </w:rPr>
        <w:footnoteReference w:id="94"/>
      </w:r>
      <w:r>
        <w:rPr>
          <w:rFonts w:hint="default" w:ascii="Times New Roman" w:hAnsi="Times New Roman" w:cs="Times New Roman"/>
          <w:sz w:val="36"/>
          <w:szCs w:val="36"/>
          <w:lang w:val="en-GB"/>
        </w:rPr>
        <w:t>.John Grenhell of Lavham in 1463 left 3s 4d to ‘ the making of the new bell of the said church’</w:t>
      </w:r>
      <w:r>
        <w:rPr>
          <w:rStyle w:val="10"/>
          <w:rFonts w:hint="default" w:ascii="Times New Roman" w:hAnsi="Times New Roman" w:cs="Times New Roman"/>
          <w:sz w:val="36"/>
          <w:szCs w:val="36"/>
          <w:lang w:val="en-GB"/>
        </w:rPr>
        <w:footnoteReference w:id="95"/>
      </w:r>
      <w:r>
        <w:rPr>
          <w:rFonts w:hint="default" w:ascii="Times New Roman" w:hAnsi="Times New Roman" w:cs="Times New Roman"/>
          <w:sz w:val="36"/>
          <w:szCs w:val="36"/>
          <w:lang w:val="en-GB"/>
        </w:rPr>
        <w:t xml:space="preserve">. </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Of the 282 there were 12 wills that spelt out that the bequest was in order to do good for their souls.</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John Page of Worlington bequeathed 13s 4d to ‘the fabric of the church for my soul and my father’s soul’</w:t>
      </w:r>
      <w:r>
        <w:rPr>
          <w:rStyle w:val="10"/>
          <w:rFonts w:hint="default" w:ascii="Times New Roman" w:hAnsi="Times New Roman" w:cs="Times New Roman"/>
          <w:sz w:val="36"/>
          <w:szCs w:val="36"/>
          <w:lang w:val="en-GB"/>
        </w:rPr>
        <w:footnoteReference w:id="96"/>
      </w:r>
      <w:r>
        <w:rPr>
          <w:rFonts w:hint="default" w:ascii="Times New Roman" w:hAnsi="Times New Roman" w:cs="Times New Roman"/>
          <w:sz w:val="36"/>
          <w:szCs w:val="36"/>
          <w:lang w:val="en-GB"/>
        </w:rPr>
        <w:t>.Thomas Gybloue of Bures St Mary made a stipulation in his will that in the case of all his heirs dying then he gave permission for their shares to be used on ‘the reparation of Bures church for the souls of Thomas, Margaret, Christine and Margaret and all the faithful departed’</w:t>
      </w:r>
      <w:r>
        <w:rPr>
          <w:rStyle w:val="10"/>
          <w:rFonts w:hint="default" w:ascii="Times New Roman" w:hAnsi="Times New Roman" w:cs="Times New Roman"/>
          <w:sz w:val="36"/>
          <w:szCs w:val="36"/>
          <w:lang w:val="en-GB"/>
        </w:rPr>
        <w:footnoteReference w:id="97"/>
      </w:r>
      <w:r>
        <w:rPr>
          <w:rFonts w:hint="default" w:ascii="Times New Roman" w:hAnsi="Times New Roman" w:cs="Times New Roman"/>
          <w:sz w:val="36"/>
          <w:szCs w:val="36"/>
          <w:lang w:val="en-GB"/>
        </w:rPr>
        <w:t>. Joan Swanton of Depden ,a widow, in Jan 1471/72 gave ‘to the fabric of the parish church of Polstead in the county of Suffolk 3s 4d, especially to pray for my soul’</w:t>
      </w:r>
      <w:r>
        <w:rPr>
          <w:rStyle w:val="10"/>
          <w:rFonts w:hint="default" w:ascii="Times New Roman" w:hAnsi="Times New Roman" w:cs="Times New Roman"/>
          <w:sz w:val="36"/>
          <w:szCs w:val="36"/>
          <w:lang w:val="en-GB"/>
        </w:rPr>
        <w:footnoteReference w:id="98"/>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Bequests could also include literally fabric as in the will by Alice Huntt of Withersfield in 1463 who bequeathed 10 marks for ‘a complete vestment of one suit to serve in Withersfield church on principal days and greater feasts… as soon as it can be done, to the honour of God, the blessed Mary and all the saints, and for the health of my soul and the souls of my parents and husbands’</w:t>
      </w:r>
      <w:r>
        <w:rPr>
          <w:rStyle w:val="10"/>
          <w:rFonts w:hint="default" w:ascii="Times New Roman" w:hAnsi="Times New Roman" w:cs="Times New Roman"/>
          <w:sz w:val="36"/>
          <w:szCs w:val="36"/>
          <w:lang w:val="en-GB"/>
        </w:rPr>
        <w:footnoteReference w:id="99"/>
      </w:r>
      <w:r>
        <w:rPr>
          <w:rFonts w:hint="default" w:ascii="Times New Roman" w:hAnsi="Times New Roman" w:cs="Times New Roman"/>
          <w:sz w:val="36"/>
          <w:szCs w:val="36"/>
          <w:lang w:val="en-GB"/>
        </w:rPr>
        <w:t xml:space="preserve">. </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It wasn’t just churches that received bequests for repairs, there is an example of this in the will of Thomas Alston of Sudbury. He left 40s to the convent of Dominican friars of Sudbury towards repairs to a wall there. Thomas also left 40d to ‘the reparation of the church of Belchamp Otten, that the parishioners pray for my soul’</w:t>
      </w:r>
      <w:r>
        <w:rPr>
          <w:rStyle w:val="10"/>
          <w:rFonts w:hint="default" w:ascii="Times New Roman" w:hAnsi="Times New Roman" w:cs="Times New Roman"/>
          <w:sz w:val="36"/>
          <w:szCs w:val="36"/>
          <w:lang w:val="en-GB"/>
        </w:rPr>
        <w:footnoteReference w:id="100"/>
      </w:r>
      <w:r>
        <w:rPr>
          <w:rFonts w:hint="default" w:ascii="Times New Roman" w:hAnsi="Times New Roman" w:cs="Times New Roman"/>
          <w:sz w:val="36"/>
          <w:szCs w:val="36"/>
          <w:lang w:val="en-GB"/>
        </w:rPr>
        <w:t xml:space="preserve"> and to the church of Great Cornard the same request that they prayed for his soul.</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Overall though the vast majority of wills, some 438 wills out of the 772, left the finer details to the judgement of the executors. The usual wording was similar to the will of Simon Calle of Little Waldingfield in 1461 </w:t>
      </w:r>
      <w:r>
        <w:rPr>
          <w:rStyle w:val="10"/>
          <w:rFonts w:hint="default" w:ascii="Times New Roman" w:hAnsi="Times New Roman" w:cs="Times New Roman"/>
          <w:sz w:val="36"/>
          <w:szCs w:val="36"/>
          <w:lang w:val="en-GB"/>
        </w:rPr>
        <w:footnoteReference w:id="101"/>
      </w:r>
      <w:r>
        <w:rPr>
          <w:rFonts w:hint="default" w:ascii="Times New Roman" w:hAnsi="Times New Roman" w:cs="Times New Roman"/>
          <w:sz w:val="36"/>
          <w:szCs w:val="36"/>
          <w:lang w:val="en-GB"/>
        </w:rPr>
        <w:t xml:space="preserve">who asked that ‘ residue of his goods to his exec…. dispose in deeds of charity for the health of his soul and his benefactors as he seems best to please God’. </w:t>
      </w:r>
    </w:p>
    <w:p>
      <w:pPr>
        <w:spacing w:line="360" w:lineRule="auto"/>
        <w:jc w:val="both"/>
        <w:rPr>
          <w:rFonts w:hint="default" w:ascii="Times New Roman" w:hAnsi="Times New Roman" w:cs="Times New Roman"/>
          <w:sz w:val="36"/>
          <w:szCs w:val="36"/>
          <w:lang w:val="en-GB"/>
        </w:rPr>
      </w:pPr>
      <w:r>
        <w:rPr>
          <w:rFonts w:hint="default" w:ascii="Times New Roman" w:hAnsi="Times New Roman" w:cs="Times New Roman"/>
          <w:sz w:val="36"/>
          <w:szCs w:val="36"/>
          <w:lang w:val="en-GB"/>
        </w:rPr>
        <w:t>I would conclude from the wills therefore that there was a clear understanding of what purgatory meant to the soul and that there was a balance to be paid to clean the soul of sin. This could be paid by the act of good works and piety seen in the many wills that left bequests to do just that.</w:t>
      </w:r>
    </w:p>
    <w:p>
      <w:pPr>
        <w:spacing w:line="360" w:lineRule="auto"/>
        <w:jc w:val="both"/>
        <w:rPr>
          <w:rFonts w:hint="default" w:ascii="Times New Roman" w:hAnsi="Times New Roman" w:cs="Times New Roman"/>
          <w:sz w:val="36"/>
          <w:szCs w:val="36"/>
          <w:u w:val="single"/>
          <w:lang w:val="en-GB"/>
        </w:rPr>
      </w:pPr>
      <w:r>
        <w:rPr>
          <w:rFonts w:hint="default" w:ascii="Times New Roman" w:hAnsi="Times New Roman" w:cs="Times New Roman"/>
          <w:sz w:val="36"/>
          <w:szCs w:val="36"/>
          <w:lang w:val="en-GB"/>
        </w:rPr>
        <w:t>It was not just acts of good work and charity that were promoted as a means to aid the soul through purgatory.It also included acts of piety and importantly the spectre of purgatory also led to a realisation that acts such as pilgrimage could also be a form of insurance for the soul</w:t>
      </w:r>
      <w:r>
        <w:rPr>
          <w:rStyle w:val="10"/>
          <w:rFonts w:hint="default" w:ascii="Times New Roman" w:hAnsi="Times New Roman" w:cs="Times New Roman"/>
          <w:sz w:val="36"/>
          <w:szCs w:val="36"/>
          <w:lang w:val="en-GB"/>
        </w:rPr>
        <w:footnoteReference w:id="102"/>
      </w:r>
      <w:r>
        <w:rPr>
          <w:rFonts w:hint="default" w:ascii="Times New Roman" w:hAnsi="Times New Roman" w:cs="Times New Roman"/>
          <w:sz w:val="36"/>
          <w:szCs w:val="36"/>
          <w:lang w:val="en-GB"/>
        </w:rPr>
        <w:t>.Pilgrimage whilst primarily took place during one’s lifetime it could also be done as a pledge fulfilled by others even after death. Pilgrimage or the bequest that a pilgrimage took place on the behalf of the deceased could be another intercessory tool in the battle to release the soul to heaven.</w:t>
      </w:r>
    </w:p>
    <w:p>
      <w:pPr>
        <w:spacing w:line="360" w:lineRule="auto"/>
        <w:rPr>
          <w:rFonts w:ascii="Trebuchet MS" w:hAnsi="Trebuchet MS" w:eastAsia="Trebuchet MS" w:cs="Trebuchet MS"/>
          <w:i w:val="0"/>
          <w:caps w:val="0"/>
          <w:color w:val="5F5E5E"/>
          <w:spacing w:val="0"/>
          <w:sz w:val="30"/>
          <w:szCs w:val="30"/>
          <w:shd w:val="clear" w:fill="FFFFFF"/>
        </w:rPr>
      </w:pPr>
    </w:p>
    <w:p>
      <w:pPr>
        <w:spacing w:line="360" w:lineRule="auto"/>
        <w:rPr>
          <w:rFonts w:hint="default" w:ascii="Times New Roman" w:hAnsi="Times New Roman" w:cs="Times New Roman"/>
          <w:b/>
          <w:bCs/>
          <w:sz w:val="36"/>
          <w:szCs w:val="36"/>
          <w:u w:val="none"/>
          <w:lang w:val="en-GB"/>
        </w:rPr>
      </w:pPr>
    </w:p>
    <w:p>
      <w:pPr>
        <w:spacing w:line="360" w:lineRule="auto"/>
        <w:rPr>
          <w:rFonts w:hint="default" w:ascii="Times New Roman" w:hAnsi="Times New Roman" w:cs="Times New Roman"/>
          <w:b/>
          <w:bCs/>
          <w:sz w:val="36"/>
          <w:szCs w:val="36"/>
          <w:u w:val="none"/>
          <w:lang w:val="en-GB"/>
        </w:rPr>
      </w:pPr>
    </w:p>
    <w:p>
      <w:pPr>
        <w:spacing w:line="360" w:lineRule="auto"/>
        <w:rPr>
          <w:rFonts w:hint="default" w:ascii="Times New Roman" w:hAnsi="Times New Roman" w:cs="Times New Roman"/>
          <w:b/>
          <w:bCs/>
          <w:sz w:val="36"/>
          <w:szCs w:val="36"/>
          <w:u w:val="none"/>
          <w:lang w:val="en-GB"/>
        </w:rPr>
      </w:pPr>
    </w:p>
    <w:p>
      <w:pPr>
        <w:spacing w:line="360" w:lineRule="auto"/>
        <w:rPr>
          <w:rFonts w:hint="default" w:ascii="Times New Roman" w:hAnsi="Times New Roman" w:cs="Times New Roman"/>
          <w:sz w:val="36"/>
          <w:szCs w:val="36"/>
          <w:u w:val="single"/>
          <w:lang w:val="en-GB"/>
        </w:rPr>
      </w:pPr>
      <w:r>
        <w:rPr>
          <w:rFonts w:hint="default" w:ascii="Times New Roman" w:hAnsi="Times New Roman" w:cs="Times New Roman"/>
          <w:b/>
          <w:bCs/>
          <w:sz w:val="36"/>
          <w:szCs w:val="36"/>
          <w:u w:val="none"/>
          <w:lang w:val="en-GB"/>
        </w:rPr>
        <w:t>Pilgrimages and Shrines</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 standard image of pilgrimage is one that involves a journey taken during one’s life often enduring hardship. The goal was both to reach a holy site that offered the pilgrim the opportunity to ask for help from the saints as well as show the commitment to the Christian ethos. For those who attempted the long distant pilgrimage to the holy lands it was also a wish to follow in the steps of Jesus Christ</w:t>
      </w:r>
      <w:r>
        <w:rPr>
          <w:rStyle w:val="10"/>
          <w:rFonts w:hint="default" w:ascii="Times New Roman" w:hAnsi="Times New Roman" w:cs="Times New Roman"/>
          <w:sz w:val="36"/>
          <w:szCs w:val="36"/>
          <w:u w:val="none"/>
          <w:lang w:val="en-GB"/>
        </w:rPr>
        <w:footnoteReference w:id="103"/>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During the centuries prior to these wills there was a growing interest in the human nature of Christ and so a growing popularity for pilgrimages to sites such as Jerusalem</w:t>
      </w:r>
      <w:r>
        <w:rPr>
          <w:rStyle w:val="10"/>
          <w:rFonts w:hint="default" w:ascii="Times New Roman" w:hAnsi="Times New Roman" w:cs="Times New Roman"/>
          <w:sz w:val="36"/>
          <w:szCs w:val="36"/>
          <w:u w:val="none"/>
          <w:lang w:val="en-GB"/>
        </w:rPr>
        <w:footnoteReference w:id="104"/>
      </w:r>
      <w:r>
        <w:rPr>
          <w:rFonts w:hint="default" w:ascii="Times New Roman" w:hAnsi="Times New Roman" w:cs="Times New Roman"/>
          <w:sz w:val="36"/>
          <w:szCs w:val="36"/>
          <w:u w:val="none"/>
          <w:lang w:val="en-GB"/>
        </w:rPr>
        <w:t xml:space="preserve">. This popularity is not however seen in the wills of this study where out of the 23 bequests for pilgrimages or visits to shrines to be undertaken none specified the destination to be the holy lands.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Rome on the other had long been an important pilgrimage site given that it held not only the remains of St Paul but also St Peter, one of the apostle’s of Jesus and keeper of the keys to heaven</w:t>
      </w:r>
      <w:r>
        <w:rPr>
          <w:rStyle w:val="10"/>
          <w:rFonts w:hint="default" w:ascii="Times New Roman" w:hAnsi="Times New Roman" w:cs="Times New Roman"/>
          <w:sz w:val="36"/>
          <w:szCs w:val="36"/>
          <w:u w:val="none"/>
          <w:lang w:val="en-GB"/>
        </w:rPr>
        <w:footnoteReference w:id="105"/>
      </w:r>
      <w:r>
        <w:rPr>
          <w:rFonts w:hint="default" w:ascii="Times New Roman" w:hAnsi="Times New Roman" w:cs="Times New Roman"/>
          <w:sz w:val="36"/>
          <w:szCs w:val="36"/>
          <w:u w:val="none"/>
          <w:lang w:val="en-GB"/>
        </w:rPr>
        <w:t xml:space="preserve">.Rome was also the most popular destination for bequests in the wills in the Baldwyne register. 13 out of the 23 bequests for pilgrimage specified Rome as seen in the example of William Grene of Creeting who requested ‘ A suitable priest to go to Rome immediately after my death, and to stay there until he has well and truly completed the stations’ </w:t>
      </w:r>
      <w:r>
        <w:rPr>
          <w:rStyle w:val="10"/>
          <w:rFonts w:hint="default" w:ascii="Times New Roman" w:hAnsi="Times New Roman" w:cs="Times New Roman"/>
          <w:sz w:val="36"/>
          <w:szCs w:val="36"/>
          <w:u w:val="none"/>
          <w:lang w:val="en-GB"/>
        </w:rPr>
        <w:footnoteReference w:id="106"/>
      </w:r>
      <w:r>
        <w:rPr>
          <w:rFonts w:hint="default" w:ascii="Times New Roman" w:hAnsi="Times New Roman" w:cs="Times New Roman"/>
          <w:sz w:val="36"/>
          <w:szCs w:val="36"/>
          <w:u w:val="none"/>
          <w:lang w:val="en-GB"/>
        </w:rPr>
        <w:t xml:space="preserve">. The stations were religious sites located throughout Rome which were visited for spiritual succour </w:t>
      </w:r>
      <w:r>
        <w:rPr>
          <w:rStyle w:val="10"/>
          <w:rFonts w:hint="default" w:ascii="Times New Roman" w:hAnsi="Times New Roman" w:cs="Times New Roman"/>
          <w:sz w:val="36"/>
          <w:szCs w:val="36"/>
          <w:u w:val="none"/>
          <w:lang w:val="en-GB"/>
        </w:rPr>
        <w:footnoteReference w:id="107"/>
      </w:r>
      <w:r>
        <w:rPr>
          <w:rFonts w:hint="default" w:ascii="Times New Roman" w:hAnsi="Times New Roman" w:cs="Times New Roman"/>
          <w:sz w:val="36"/>
          <w:szCs w:val="36"/>
          <w:u w:val="none"/>
          <w:lang w:val="en-GB"/>
        </w:rPr>
        <w:t>. Another bequest by Peter Kyng of Sapiston in 1471 wanted a priest to go on pilgrimage to Rome for the whole of Lent and completing all the stations</w:t>
      </w:r>
      <w:r>
        <w:rPr>
          <w:rStyle w:val="10"/>
          <w:rFonts w:hint="default" w:ascii="Times New Roman" w:hAnsi="Times New Roman" w:cs="Times New Roman"/>
          <w:sz w:val="36"/>
          <w:szCs w:val="36"/>
          <w:u w:val="none"/>
          <w:lang w:val="en-GB"/>
        </w:rPr>
        <w:footnoteReference w:id="108"/>
      </w:r>
      <w:r>
        <w:rPr>
          <w:rFonts w:hint="default" w:ascii="Times New Roman" w:hAnsi="Times New Roman" w:cs="Times New Roman"/>
          <w:sz w:val="36"/>
          <w:szCs w:val="36"/>
          <w:u w:val="none"/>
          <w:lang w:val="en-GB"/>
        </w:rPr>
        <w:t>.By the time of these wills virtually all churches in Rome were offering an indulgence for souls in purgatory</w:t>
      </w:r>
      <w:r>
        <w:rPr>
          <w:rStyle w:val="10"/>
          <w:rFonts w:hint="default" w:ascii="Times New Roman" w:hAnsi="Times New Roman" w:cs="Times New Roman"/>
          <w:sz w:val="36"/>
          <w:szCs w:val="36"/>
          <w:u w:val="none"/>
          <w:lang w:val="en-GB"/>
        </w:rPr>
        <w:footnoteReference w:id="109"/>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Indulgences were offered by the church as credit towards time in purgatory as it acted as remittance from the penance imposed for sin. During the time of the crusades those who travelled to Jerusalem were offered by Urban II a plenary indulgence which gave remission of the entire temporal sin and so the soul would spend no time in purgatory</w:t>
      </w:r>
      <w:r>
        <w:rPr>
          <w:rStyle w:val="10"/>
          <w:rFonts w:hint="default" w:ascii="Times New Roman" w:hAnsi="Times New Roman" w:cs="Times New Roman"/>
          <w:sz w:val="36"/>
          <w:szCs w:val="36"/>
          <w:u w:val="none"/>
          <w:lang w:val="en-GB"/>
        </w:rPr>
        <w:footnoteReference w:id="110"/>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 second most popular pilgrimage site in the bequests from the wills used was Santiago de Compostela. The site of Santiago de Compostela had become a site of pilgrimage in the ninth century when bones of St James were found and by the twelfth century was attracting thousands of pilgrims</w:t>
      </w:r>
      <w:r>
        <w:rPr>
          <w:rStyle w:val="10"/>
          <w:rFonts w:hint="default" w:ascii="Times New Roman" w:hAnsi="Times New Roman" w:cs="Times New Roman"/>
          <w:sz w:val="36"/>
          <w:szCs w:val="36"/>
          <w:u w:val="none"/>
          <w:lang w:val="en-GB"/>
        </w:rPr>
        <w:footnoteReference w:id="111"/>
      </w:r>
      <w:r>
        <w:rPr>
          <w:rFonts w:hint="default" w:ascii="Times New Roman" w:hAnsi="Times New Roman" w:cs="Times New Roman"/>
          <w:sz w:val="36"/>
          <w:szCs w:val="36"/>
          <w:u w:val="none"/>
          <w:lang w:val="en-GB"/>
        </w:rPr>
        <w:t>. There were 3 bequests including the same William Grene of Creeting who wanted ‘ a pilgrim to go to the tomb of St James of Compostela’</w:t>
      </w:r>
      <w:r>
        <w:rPr>
          <w:rStyle w:val="10"/>
          <w:rFonts w:hint="default" w:ascii="Times New Roman" w:hAnsi="Times New Roman" w:cs="Times New Roman"/>
          <w:sz w:val="36"/>
          <w:szCs w:val="36"/>
          <w:u w:val="none"/>
          <w:lang w:val="en-GB"/>
        </w:rPr>
        <w:footnoteReference w:id="112"/>
      </w:r>
      <w:r>
        <w:rPr>
          <w:rFonts w:hint="default" w:ascii="Times New Roman" w:hAnsi="Times New Roman" w:cs="Times New Roman"/>
          <w:sz w:val="36"/>
          <w:szCs w:val="36"/>
          <w:u w:val="none"/>
          <w:lang w:val="en-GB"/>
        </w:rPr>
        <w:t xml:space="preserve">.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Another will by William Horsman of Wetheringsett in 1462-63 had a bequest for ‘ a man to go on pilgrimage to St James in jubilee year’</w:t>
      </w:r>
      <w:r>
        <w:rPr>
          <w:rStyle w:val="10"/>
          <w:rFonts w:hint="default" w:ascii="Times New Roman" w:hAnsi="Times New Roman" w:cs="Times New Roman"/>
          <w:sz w:val="36"/>
          <w:szCs w:val="36"/>
          <w:u w:val="none"/>
          <w:lang w:val="en-GB"/>
        </w:rPr>
        <w:footnoteReference w:id="113"/>
      </w:r>
      <w:r>
        <w:rPr>
          <w:rFonts w:hint="default" w:ascii="Times New Roman" w:hAnsi="Times New Roman" w:cs="Times New Roman"/>
          <w:sz w:val="36"/>
          <w:szCs w:val="36"/>
          <w:u w:val="none"/>
          <w:lang w:val="en-GB"/>
        </w:rPr>
        <w:t>. The jubilee year was deemed a holy year by the pope and attracted special indulgences. The jubilee year was due in 1475 and so would have been the ideal time to go on pilgrimage and gain the maximum credit for William’s soul in purgatory.</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 next pilgrimage site was from the twelfth century the most important shrine in England</w:t>
      </w:r>
      <w:r>
        <w:rPr>
          <w:rStyle w:val="10"/>
          <w:rFonts w:hint="default" w:ascii="Times New Roman" w:hAnsi="Times New Roman" w:cs="Times New Roman"/>
          <w:sz w:val="36"/>
          <w:szCs w:val="36"/>
          <w:u w:val="none"/>
          <w:lang w:val="en-GB"/>
        </w:rPr>
        <w:footnoteReference w:id="114"/>
      </w:r>
      <w:r>
        <w:rPr>
          <w:rFonts w:hint="default" w:ascii="Times New Roman" w:hAnsi="Times New Roman" w:cs="Times New Roman"/>
          <w:sz w:val="36"/>
          <w:szCs w:val="36"/>
          <w:u w:val="none"/>
          <w:lang w:val="en-GB"/>
        </w:rPr>
        <w:t>. The cult of St Thomas is an example of a figure that had been canonised by the church which was a relatively recent development</w:t>
      </w:r>
      <w:r>
        <w:rPr>
          <w:rStyle w:val="10"/>
          <w:rFonts w:hint="default" w:ascii="Times New Roman" w:hAnsi="Times New Roman" w:cs="Times New Roman"/>
          <w:sz w:val="36"/>
          <w:szCs w:val="36"/>
          <w:u w:val="none"/>
          <w:lang w:val="en-GB"/>
        </w:rPr>
        <w:footnoteReference w:id="115"/>
      </w:r>
      <w:r>
        <w:rPr>
          <w:rFonts w:hint="default" w:ascii="Times New Roman" w:hAnsi="Times New Roman" w:cs="Times New Roman"/>
          <w:sz w:val="36"/>
          <w:szCs w:val="36"/>
          <w:u w:val="none"/>
          <w:lang w:val="en-GB"/>
        </w:rPr>
        <w:t>. The shrine of St Thomas the Martyr in Canterbury was mentioned as a request for pilgrimage in only 2 of the wills of this study. John Aylmer of Thelnetham in1469/70 wished for ‘ a suitable man to go on pilgrimage to Canterbury to St Thomas the Martyr’</w:t>
      </w:r>
      <w:r>
        <w:rPr>
          <w:rStyle w:val="10"/>
          <w:rFonts w:hint="default" w:ascii="Times New Roman" w:hAnsi="Times New Roman" w:cs="Times New Roman"/>
          <w:sz w:val="36"/>
          <w:szCs w:val="36"/>
          <w:u w:val="none"/>
          <w:lang w:val="en-GB"/>
        </w:rPr>
        <w:footnoteReference w:id="116"/>
      </w:r>
      <w:r>
        <w:rPr>
          <w:rFonts w:hint="default" w:ascii="Times New Roman" w:hAnsi="Times New Roman" w:cs="Times New Roman"/>
          <w:sz w:val="36"/>
          <w:szCs w:val="36"/>
          <w:u w:val="none"/>
          <w:lang w:val="en-GB"/>
        </w:rPr>
        <w:t xml:space="preserve">.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Thomas Roote of Glemsford in 1471 made the request to his brother John ‘for fulfilling certain vows made by me in going to the chapel of the Blessed Mary of Walsingham and St Thomas of Canterbury, a reasonable stipend for his labour and expenses, if he is willing, and if not then to some other man of good disposition’</w:t>
      </w:r>
      <w:r>
        <w:rPr>
          <w:rStyle w:val="10"/>
          <w:rFonts w:hint="default" w:ascii="Times New Roman" w:hAnsi="Times New Roman" w:cs="Times New Roman"/>
          <w:sz w:val="36"/>
          <w:szCs w:val="36"/>
          <w:u w:val="none"/>
          <w:lang w:val="en-GB"/>
        </w:rPr>
        <w:footnoteReference w:id="117"/>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Only two requests seems unusual given the popularity of this shrine but perhaps those who wished to gain the benefit of proximity to the holy relics saw local shrines as being of greater value and more accessible. Another interesting point though is that both wills mention the suitability or character of the pilgrim as being important.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The Church not only encouraged pilgrimages with the inducement of indulgences to the larger pilgrim sites but also to local shrines by the stipulation that images of the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virgin and the patron saint would be placed by the high altar</w:t>
      </w:r>
      <w:r>
        <w:rPr>
          <w:rStyle w:val="10"/>
          <w:rFonts w:hint="default" w:ascii="Times New Roman" w:hAnsi="Times New Roman" w:cs="Times New Roman"/>
          <w:sz w:val="36"/>
          <w:szCs w:val="36"/>
          <w:u w:val="none"/>
          <w:lang w:val="en-GB"/>
        </w:rPr>
        <w:footnoteReference w:id="118"/>
      </w:r>
      <w:r>
        <w:rPr>
          <w:rFonts w:hint="default" w:ascii="Times New Roman" w:hAnsi="Times New Roman" w:cs="Times New Roman"/>
          <w:sz w:val="36"/>
          <w:szCs w:val="36"/>
          <w:u w:val="none"/>
          <w:lang w:val="en-GB"/>
        </w:rPr>
        <w:t>. Shrines that centred on the virgin were a central feature of late medieval piety</w:t>
      </w:r>
      <w:r>
        <w:rPr>
          <w:rStyle w:val="10"/>
          <w:rFonts w:hint="default" w:ascii="Times New Roman" w:hAnsi="Times New Roman" w:cs="Times New Roman"/>
          <w:sz w:val="36"/>
          <w:szCs w:val="36"/>
          <w:u w:val="none"/>
          <w:lang w:val="en-GB"/>
        </w:rPr>
        <w:footnoteReference w:id="119"/>
      </w:r>
      <w:r>
        <w:rPr>
          <w:rFonts w:hint="default" w:ascii="Times New Roman" w:hAnsi="Times New Roman" w:cs="Times New Roman"/>
          <w:sz w:val="36"/>
          <w:szCs w:val="36"/>
          <w:u w:val="none"/>
          <w:lang w:val="en-GB"/>
        </w:rPr>
        <w:t xml:space="preserve"> and this popularity can be seen in the bequests to Marian shrines. Of the 14 bequests in our wills  that leave money for shrines 9 left money to Marian shrines.</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The most popular shrine overall was the Chapel of Woolpit which was a Marian shrine located in the Church of Woolpit in Suffolk. It had 5 bequests in the wills and seemed popular with both man and women.It belonged to the monks at Bury St Edmunds and was able to be restored around 1450 because of a large number of donations. Donations seemed to be of a more personal nature including many pieces of jewellery.Isabel Smyth of Great Finborough in 1462 bequested ‘ to the image of St Mary in the chapel of Woolpit , a pair of amber beads, with two rings and a silver brooch’ </w:t>
      </w:r>
      <w:r>
        <w:rPr>
          <w:rStyle w:val="10"/>
          <w:rFonts w:hint="default" w:ascii="Times New Roman" w:hAnsi="Times New Roman" w:cs="Times New Roman"/>
          <w:sz w:val="36"/>
          <w:szCs w:val="36"/>
          <w:u w:val="none"/>
          <w:lang w:val="en-GB"/>
        </w:rPr>
        <w:footnoteReference w:id="120"/>
      </w:r>
      <w:r>
        <w:rPr>
          <w:rFonts w:hint="default" w:ascii="Times New Roman" w:hAnsi="Times New Roman" w:cs="Times New Roman"/>
          <w:sz w:val="36"/>
          <w:szCs w:val="36"/>
          <w:u w:val="none"/>
          <w:lang w:val="en-GB"/>
        </w:rPr>
        <w:t>. William Hert of Elmswell in 1471 left ‘ to the Blessed Mary in the Chapel of Woolpit my silver girdle’</w:t>
      </w:r>
      <w:r>
        <w:rPr>
          <w:rStyle w:val="10"/>
          <w:rFonts w:hint="default" w:ascii="Times New Roman" w:hAnsi="Times New Roman" w:cs="Times New Roman"/>
          <w:sz w:val="36"/>
          <w:szCs w:val="36"/>
          <w:u w:val="none"/>
          <w:lang w:val="en-GB"/>
        </w:rPr>
        <w:footnoteReference w:id="121"/>
      </w:r>
      <w:r>
        <w:rPr>
          <w:rFonts w:hint="default" w:ascii="Times New Roman" w:hAnsi="Times New Roman" w:cs="Times New Roman"/>
          <w:sz w:val="36"/>
          <w:szCs w:val="36"/>
          <w:u w:val="none"/>
          <w:lang w:val="en-GB"/>
        </w:rPr>
        <w:t>.Margaret Tye of Sudbury All Saints requested a pilgrimage ‘once for me to Woolpit with due offering being made…… in oats, as much as a sleeve will hold’</w:t>
      </w:r>
      <w:r>
        <w:rPr>
          <w:rStyle w:val="10"/>
          <w:rFonts w:hint="default" w:ascii="Times New Roman" w:hAnsi="Times New Roman" w:cs="Times New Roman"/>
          <w:sz w:val="36"/>
          <w:szCs w:val="36"/>
          <w:u w:val="none"/>
          <w:lang w:val="en-GB"/>
        </w:rPr>
        <w:footnoteReference w:id="122"/>
      </w:r>
      <w:r>
        <w:rPr>
          <w:rFonts w:hint="default" w:ascii="Times New Roman" w:hAnsi="Times New Roman" w:cs="Times New Roman"/>
          <w:sz w:val="36"/>
          <w:szCs w:val="36"/>
          <w:u w:val="none"/>
          <w:lang w:val="en-GB"/>
        </w:rPr>
        <w:t>. Perhaps interestingly the other two bequests to the shrine at The Chapel of Woolpit do not mention sums or items and are both by male testators.</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One was Robert Agas of Thurston in 1469 who requested that his son Adam perform seven pilgrimages for him ‘one to the Trinity at Norwich, another to St Leonard there, another to St Nicholas at Tibenham, another to Our Lady Of Woolpit , another to Our Lady of Sudbury, another to St Theobald at Newmarket, which pilgrimages have long been owing’</w:t>
      </w:r>
      <w:r>
        <w:rPr>
          <w:rStyle w:val="10"/>
          <w:rFonts w:hint="default" w:ascii="Times New Roman" w:hAnsi="Times New Roman" w:cs="Times New Roman"/>
          <w:sz w:val="36"/>
          <w:szCs w:val="36"/>
          <w:u w:val="none"/>
          <w:lang w:val="en-GB"/>
        </w:rPr>
        <w:footnoteReference w:id="123"/>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 other was John Shukford of Thelnetham 1472 who wished ‘to have a suitable pilgrim to go on pilgrimage to the Blessed Mary of Woolpit’</w:t>
      </w:r>
      <w:r>
        <w:rPr>
          <w:rStyle w:val="10"/>
          <w:rFonts w:hint="default" w:ascii="Times New Roman" w:hAnsi="Times New Roman" w:cs="Times New Roman"/>
          <w:sz w:val="36"/>
          <w:szCs w:val="36"/>
          <w:u w:val="none"/>
          <w:lang w:val="en-GB"/>
        </w:rPr>
        <w:footnoteReference w:id="124"/>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We have a similar result when we look at the bequests to the second most popular shrine for our testators which was another Marian shrine at Our Lady at Walsingham in Norfolk. This was another Marian site and rivalled the shrine of St Thomas the Martyr in Canterbury in demand</w:t>
      </w:r>
      <w:r>
        <w:rPr>
          <w:rStyle w:val="10"/>
          <w:rFonts w:hint="default" w:ascii="Times New Roman" w:hAnsi="Times New Roman" w:cs="Times New Roman"/>
          <w:sz w:val="36"/>
          <w:szCs w:val="36"/>
          <w:u w:val="none"/>
          <w:lang w:val="en-GB"/>
        </w:rPr>
        <w:footnoteReference w:id="125"/>
      </w:r>
      <w:r>
        <w:rPr>
          <w:rFonts w:hint="default" w:ascii="Times New Roman" w:hAnsi="Times New Roman" w:cs="Times New Roman"/>
          <w:sz w:val="36"/>
          <w:szCs w:val="36"/>
          <w:u w:val="none"/>
          <w:lang w:val="en-GB"/>
        </w:rPr>
        <w:t>. This shrine contained a chapel that was patterned on the Holy House of Nazareth and introduced to Norfolk in 1061 by a local noblewoman after visiting Jerusalem</w:t>
      </w:r>
      <w:r>
        <w:rPr>
          <w:rStyle w:val="10"/>
          <w:rFonts w:hint="default" w:ascii="Times New Roman" w:hAnsi="Times New Roman" w:cs="Times New Roman"/>
          <w:sz w:val="36"/>
          <w:szCs w:val="36"/>
          <w:u w:val="none"/>
          <w:lang w:val="en-GB"/>
        </w:rPr>
        <w:footnoteReference w:id="126"/>
      </w:r>
      <w:r>
        <w:rPr>
          <w:rFonts w:hint="default" w:ascii="Times New Roman" w:hAnsi="Times New Roman" w:cs="Times New Roman"/>
          <w:sz w:val="36"/>
          <w:szCs w:val="36"/>
          <w:u w:val="none"/>
          <w:lang w:val="en-GB"/>
        </w:rPr>
        <w:t xml:space="preserve">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There were 3 bequests to this shrine with it split with two being female and one male. One was another bequest by Margaret Tye of Sudbury for a pilgrimage ‘twice to Walsingham and make offering there for me, in honour of the blessed Mary, both times, as I should have done’ </w:t>
      </w:r>
      <w:r>
        <w:rPr>
          <w:rStyle w:val="10"/>
          <w:rFonts w:hint="default" w:ascii="Times New Roman" w:hAnsi="Times New Roman" w:cs="Times New Roman"/>
          <w:sz w:val="36"/>
          <w:szCs w:val="36"/>
          <w:u w:val="none"/>
          <w:lang w:val="en-GB"/>
        </w:rPr>
        <w:footnoteReference w:id="127"/>
      </w:r>
      <w:r>
        <w:rPr>
          <w:rFonts w:hint="default" w:ascii="Times New Roman" w:hAnsi="Times New Roman" w:cs="Times New Roman"/>
          <w:sz w:val="36"/>
          <w:szCs w:val="36"/>
          <w:u w:val="none"/>
          <w:lang w:val="en-GB"/>
        </w:rPr>
        <w:t>with a offering of oats as she had bequested for the shrine at the chapel of Woolpit previously.</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 other female testator Agnes Dyke of Stoke by Clare in 1477 left her ‘best pair of beads with my ring with which I was married , to be placed about the image in her honour’</w:t>
      </w:r>
      <w:r>
        <w:rPr>
          <w:rStyle w:val="10"/>
          <w:rFonts w:hint="default" w:ascii="Times New Roman" w:hAnsi="Times New Roman" w:cs="Times New Roman"/>
          <w:sz w:val="36"/>
          <w:szCs w:val="36"/>
          <w:u w:val="none"/>
          <w:lang w:val="en-GB"/>
        </w:rPr>
        <w:footnoteReference w:id="128"/>
      </w:r>
      <w:r>
        <w:rPr>
          <w:rFonts w:hint="default" w:ascii="Times New Roman" w:hAnsi="Times New Roman" w:cs="Times New Roman"/>
          <w:sz w:val="36"/>
          <w:szCs w:val="36"/>
          <w:u w:val="none"/>
          <w:lang w:val="en-GB"/>
        </w:rPr>
        <w:t xml:space="preserve">. It could be argued that as a woman she lacked the finances to leave a monetary sum but as a widow she also left 10s as a  bequest for a trental to Friar James Exsale and whilst she also left many varied items to different people the rest of her bequests for other offerings were all in monetary terms. She leaves her ‘best cow’ but this is again to maintain a light before the image of blessed Virgin Mary in her local parish church. I would argue that the reason that the testators such as Agnes left such personal physical items to be left at shrines dedicated to the virgin Mary was to create a physical link to the mother of Jesus, much like pilgrims would use cloths in the tomb to absorb holy spirit from shrines such as Canterbury.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There was only a single bequest bequest to Manston Church near Shaftesbury in Dorset which housed an image known as the Maid of Manston. This was by Margaret Tye again who also left payment in oats once more.</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Another shrine that received only a single bequest was at the Image of St Remigus of Roydon. This image was of the Bishop of Rheims who was made a saint following a long career in the church and was said to have performed many miracles</w:t>
      </w:r>
      <w:r>
        <w:rPr>
          <w:rStyle w:val="10"/>
          <w:rFonts w:hint="default" w:ascii="Times New Roman" w:hAnsi="Times New Roman" w:cs="Times New Roman"/>
          <w:sz w:val="36"/>
          <w:szCs w:val="36"/>
          <w:u w:val="none"/>
          <w:lang w:val="en-GB"/>
        </w:rPr>
        <w:footnoteReference w:id="129"/>
      </w:r>
      <w:r>
        <w:rPr>
          <w:rFonts w:hint="default" w:ascii="Times New Roman" w:hAnsi="Times New Roman" w:cs="Times New Roman"/>
          <w:sz w:val="36"/>
          <w:szCs w:val="36"/>
          <w:u w:val="none"/>
          <w:lang w:val="en-GB"/>
        </w:rPr>
        <w:t xml:space="preserve">. The testator that left a request for a ‘suitable pilgrim to go on pilgrimage to the image of St Remigius of Royden’ </w:t>
      </w:r>
      <w:r>
        <w:rPr>
          <w:rStyle w:val="10"/>
          <w:rFonts w:hint="default" w:ascii="Times New Roman" w:hAnsi="Times New Roman" w:cs="Times New Roman"/>
          <w:sz w:val="36"/>
          <w:szCs w:val="36"/>
          <w:u w:val="none"/>
          <w:lang w:val="en-GB"/>
        </w:rPr>
        <w:footnoteReference w:id="130"/>
      </w:r>
      <w:r>
        <w:rPr>
          <w:rFonts w:hint="default" w:ascii="Times New Roman" w:hAnsi="Times New Roman" w:cs="Times New Roman"/>
          <w:sz w:val="36"/>
          <w:szCs w:val="36"/>
          <w:u w:val="none"/>
          <w:lang w:val="en-GB"/>
        </w:rPr>
        <w:t xml:space="preserve">was the same John Shukford who had also left a request for a suitable pilgrim to go to the Chapel of Woolpit.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The other two shrines that received bequests were the Image of St Leonard’s cell in Norwich which was part of </w:t>
      </w:r>
    </w:p>
    <w:p>
      <w:pPr>
        <w:spacing w:line="360" w:lineRule="auto"/>
        <w:jc w:val="left"/>
        <w:rPr>
          <w:rFonts w:hint="default" w:ascii="Times New Roman" w:hAnsi="Times New Roman" w:cs="Times New Roman"/>
          <w:sz w:val="36"/>
          <w:szCs w:val="36"/>
          <w:u w:val="none"/>
          <w:lang w:val="en-GB"/>
        </w:rPr>
      </w:pP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Benedictine monastery which also held an image of the Holy Trinity in the cathedral. Robert Agas again was the testator as these two shrines were part of the seven pilgrimages he had requested. He is also the single testator for the shrine at a statue of Our Lady which was situated in the west wall of St Gregory’s Church in Sudbury </w:t>
      </w:r>
      <w:r>
        <w:rPr>
          <w:rStyle w:val="10"/>
          <w:rFonts w:hint="default" w:ascii="Times New Roman" w:hAnsi="Times New Roman" w:cs="Times New Roman"/>
          <w:sz w:val="36"/>
          <w:szCs w:val="36"/>
          <w:u w:val="none"/>
          <w:lang w:val="en-GB"/>
        </w:rPr>
        <w:footnoteReference w:id="131"/>
      </w:r>
      <w:r>
        <w:rPr>
          <w:rFonts w:hint="default" w:ascii="Times New Roman" w:hAnsi="Times New Roman" w:cs="Times New Roman"/>
          <w:sz w:val="36"/>
          <w:szCs w:val="36"/>
          <w:u w:val="none"/>
          <w:lang w:val="en-GB"/>
        </w:rPr>
        <w:t xml:space="preserve"> along with a pilgrimage to St Theobald at Newmarket as previously mentioned.</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Finally we have a single will that left a bequest to the Image of St Petronella at Wattisham. St Petronella was an Christian martyr and her remains lie under a specially erected altar in St Peter’s in Rome</w:t>
      </w:r>
      <w:r>
        <w:rPr>
          <w:rStyle w:val="10"/>
          <w:rFonts w:hint="default" w:ascii="Times New Roman" w:hAnsi="Times New Roman" w:cs="Times New Roman"/>
          <w:sz w:val="36"/>
          <w:szCs w:val="36"/>
          <w:u w:val="none"/>
          <w:lang w:val="en-GB"/>
        </w:rPr>
        <w:footnoteReference w:id="132"/>
      </w:r>
      <w:r>
        <w:rPr>
          <w:rFonts w:hint="default" w:ascii="Times New Roman" w:hAnsi="Times New Roman" w:cs="Times New Roman"/>
          <w:sz w:val="36"/>
          <w:szCs w:val="36"/>
          <w:u w:val="none"/>
          <w:lang w:val="en-GB"/>
        </w:rPr>
        <w:t>. Just like the will of Agnes the testator bequests ‘ a cow, from which to be provided two lights burning perpetually at the due times…. one before the image of the crucifix in the said church and the other before the image of St Petronilla the virgin there’</w:t>
      </w:r>
      <w:r>
        <w:rPr>
          <w:rStyle w:val="10"/>
          <w:rFonts w:hint="default" w:ascii="Times New Roman" w:hAnsi="Times New Roman" w:cs="Times New Roman"/>
          <w:sz w:val="36"/>
          <w:szCs w:val="36"/>
          <w:u w:val="none"/>
          <w:lang w:val="en-GB"/>
        </w:rPr>
        <w:footnoteReference w:id="133"/>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There were 41 wills that also made bequests to pay for the upkeep of candles and lights at images which I would argue given that they are in the wills were to ensure both a memorial and a show of piety by the deceased.  as Duffy makes the point lights were the most favoured way to show piety in late medieval wills</w:t>
      </w:r>
      <w:r>
        <w:rPr>
          <w:rStyle w:val="10"/>
          <w:rFonts w:hint="default" w:ascii="Times New Roman" w:hAnsi="Times New Roman" w:cs="Times New Roman"/>
          <w:sz w:val="36"/>
          <w:szCs w:val="36"/>
          <w:u w:val="none"/>
          <w:lang w:val="en-GB"/>
        </w:rPr>
        <w:footnoteReference w:id="134"/>
      </w:r>
      <w:r>
        <w:rPr>
          <w:rFonts w:hint="default" w:ascii="Times New Roman" w:hAnsi="Times New Roman" w:cs="Times New Roman"/>
          <w:sz w:val="36"/>
          <w:szCs w:val="36"/>
          <w:u w:val="none"/>
          <w:lang w:val="en-GB"/>
        </w:rPr>
        <w:t>. Similar to the bequests to the shrines discussed we see in the will of Baldewin Coksedge of Felsham that he leaves ‘ a cow sufficient for 2 candles burning for ever before the image of the Blessed Mary in the chancel of St Peter’s church of Felsham’</w:t>
      </w:r>
      <w:r>
        <w:rPr>
          <w:rStyle w:val="10"/>
          <w:rFonts w:hint="default" w:ascii="Times New Roman" w:hAnsi="Times New Roman" w:cs="Times New Roman"/>
          <w:sz w:val="36"/>
          <w:szCs w:val="36"/>
          <w:u w:val="none"/>
          <w:lang w:val="en-GB"/>
        </w:rPr>
        <w:footnoteReference w:id="135"/>
      </w:r>
      <w:r>
        <w:rPr>
          <w:rFonts w:hint="default" w:ascii="Times New Roman" w:hAnsi="Times New Roman" w:cs="Times New Roman"/>
          <w:sz w:val="36"/>
          <w:szCs w:val="36"/>
          <w:u w:val="none"/>
          <w:lang w:val="en-GB"/>
        </w:rPr>
        <w:t>. Thomas Coke of Withersfield also bequeaths ‘ a cow of price 8s, or the value of it, to find and sustain a light before the rood on the rood solar in the said church for ever’</w:t>
      </w:r>
      <w:r>
        <w:rPr>
          <w:rStyle w:val="10"/>
          <w:rFonts w:hint="default" w:ascii="Times New Roman" w:hAnsi="Times New Roman" w:cs="Times New Roman"/>
          <w:sz w:val="36"/>
          <w:szCs w:val="36"/>
          <w:u w:val="none"/>
          <w:lang w:val="en-GB"/>
        </w:rPr>
        <w:footnoteReference w:id="136"/>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To sum up the wills that leave bequests for pilgrimages and shrines make a couple of important points. Firstly the value of the pilgrimage to the testator relies on the pilgrim being of good moral character and as stated ‘ suitable’. Also there was a personal nature to visiting a shrine that meant for some leaving items not just of monetary value but also a link to the deceased. This link created a bond with the holy being or saint in which perhaps the prayers would prove more powerful and the intercessory more effective.</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This leads us to another powerful intercessor of purgatorial souls with prayers and the role of the religious orders in the bequests of our wills.</w:t>
      </w:r>
    </w:p>
    <w:p>
      <w:pPr>
        <w:spacing w:line="360" w:lineRule="auto"/>
        <w:jc w:val="center"/>
        <w:rPr>
          <w:rFonts w:hint="default" w:ascii="Times New Roman" w:hAnsi="Times New Roman" w:cs="Times New Roman"/>
          <w:sz w:val="36"/>
          <w:szCs w:val="36"/>
          <w:u w:val="single"/>
          <w:lang w:val="en-GB"/>
        </w:rPr>
      </w:pPr>
    </w:p>
    <w:p>
      <w:pPr>
        <w:numPr>
          <w:ilvl w:val="0"/>
          <w:numId w:val="0"/>
        </w:numPr>
        <w:spacing w:line="360" w:lineRule="auto"/>
        <w:rPr>
          <w:rFonts w:hint="default" w:ascii="Times New Roman" w:hAnsi="Times New Roman" w:cs="Times New Roman"/>
          <w:b/>
          <w:bCs/>
          <w:sz w:val="36"/>
          <w:szCs w:val="36"/>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r>
        <w:rPr>
          <w:rFonts w:hint="default" w:ascii="Times New Roman" w:hAnsi="Times New Roman" w:cs="Times New Roman"/>
          <w:b/>
          <w:bCs/>
          <w:sz w:val="36"/>
          <w:szCs w:val="36"/>
          <w:u w:val="none"/>
          <w:lang w:val="en-GB"/>
        </w:rPr>
        <w:t>Bequests to the mendicant orders</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All who passed on received a prayer that pleaded for their souls at the requiem mass at their funeral but for the majority they also wanted to have further prayers said. In the early middle ages priests were able to say an almost unlimited amount of masses and as most monks were also priests monasteries were a primary source for masses</w:t>
      </w:r>
      <w:r>
        <w:rPr>
          <w:rStyle w:val="10"/>
          <w:rFonts w:hint="default" w:ascii="Times New Roman" w:hAnsi="Times New Roman" w:cs="Times New Roman"/>
          <w:b w:val="0"/>
          <w:bCs w:val="0"/>
          <w:sz w:val="36"/>
          <w:szCs w:val="36"/>
          <w:u w:val="none"/>
          <w:lang w:val="en-GB"/>
        </w:rPr>
        <w:footnoteReference w:id="137"/>
      </w:r>
      <w:r>
        <w:rPr>
          <w:rFonts w:hint="default" w:ascii="Times New Roman" w:hAnsi="Times New Roman" w:cs="Times New Roman"/>
          <w:b w:val="0"/>
          <w:bCs w:val="0"/>
          <w:sz w:val="36"/>
          <w:szCs w:val="36"/>
          <w:u w:val="none"/>
          <w:lang w:val="en-GB"/>
        </w:rPr>
        <w:t>. Canon law however changed in the thirteenth century when priests were restricted to only one solemn mass a day</w:t>
      </w:r>
      <w:r>
        <w:rPr>
          <w:rStyle w:val="10"/>
          <w:rFonts w:hint="default" w:ascii="Times New Roman" w:hAnsi="Times New Roman" w:cs="Times New Roman"/>
          <w:b w:val="0"/>
          <w:bCs w:val="0"/>
          <w:sz w:val="36"/>
          <w:szCs w:val="36"/>
          <w:u w:val="none"/>
          <w:lang w:val="en-GB"/>
        </w:rPr>
        <w:footnoteReference w:id="138"/>
      </w:r>
      <w:r>
        <w:rPr>
          <w:rFonts w:hint="default" w:ascii="Times New Roman" w:hAnsi="Times New Roman" w:cs="Times New Roman"/>
          <w:b w:val="0"/>
          <w:bCs w:val="0"/>
          <w:sz w:val="36"/>
          <w:szCs w:val="36"/>
          <w:u w:val="none"/>
          <w:lang w:val="en-GB"/>
        </w:rPr>
        <w:t>. Monastic foundation had also reached its pinnacle however by 1250 and patronage had moved broadly to the mendicant orders</w:t>
      </w:r>
      <w:r>
        <w:rPr>
          <w:rStyle w:val="10"/>
          <w:rFonts w:hint="default" w:ascii="Times New Roman" w:hAnsi="Times New Roman" w:cs="Times New Roman"/>
          <w:b w:val="0"/>
          <w:bCs w:val="0"/>
          <w:sz w:val="36"/>
          <w:szCs w:val="36"/>
          <w:u w:val="none"/>
          <w:lang w:val="en-GB"/>
        </w:rPr>
        <w:footnoteReference w:id="139"/>
      </w:r>
      <w:r>
        <w:rPr>
          <w:rFonts w:hint="default" w:ascii="Times New Roman" w:hAnsi="Times New Roman" w:cs="Times New Roman"/>
          <w:b w:val="0"/>
          <w:bCs w:val="0"/>
          <w:sz w:val="36"/>
          <w:szCs w:val="36"/>
          <w:u w:val="none"/>
          <w:lang w:val="en-GB"/>
        </w:rPr>
        <w:t>. This popularity can be clearly seen in the fact that 502  out of the total 772 wills made bequests to the mendicant orders.</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There were several factors that led to the growth in mendicant orders. The military orders such as the Knights Templars had given a structure to the crusading ethos of western Europe</w:t>
      </w:r>
      <w:r>
        <w:rPr>
          <w:rStyle w:val="10"/>
          <w:rFonts w:hint="default" w:ascii="Times New Roman" w:hAnsi="Times New Roman" w:cs="Times New Roman"/>
          <w:b w:val="0"/>
          <w:bCs w:val="0"/>
          <w:sz w:val="36"/>
          <w:szCs w:val="36"/>
          <w:u w:val="none"/>
          <w:lang w:val="en-GB"/>
        </w:rPr>
        <w:footnoteReference w:id="140"/>
      </w:r>
      <w:r>
        <w:rPr>
          <w:rFonts w:hint="default" w:ascii="Times New Roman" w:hAnsi="Times New Roman" w:cs="Times New Roman"/>
          <w:b w:val="0"/>
          <w:bCs w:val="0"/>
          <w:sz w:val="36"/>
          <w:szCs w:val="36"/>
          <w:u w:val="none"/>
          <w:lang w:val="en-GB"/>
        </w:rPr>
        <w:t xml:space="preserve">.  There was also the spread of urbanisation alongside a call for  spiritual reform that had lead to flare ups of groups that the established church deemed heretical. Pope Innocent III could see that the preaching mendicant orders with their emphasis on poverty and humility could be a successful tool in the battle with heresy.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This spiritual crisis was in part a result of the deep changes of the twelfth century</w:t>
      </w:r>
      <w:r>
        <w:rPr>
          <w:rStyle w:val="10"/>
          <w:rFonts w:hint="default" w:ascii="Times New Roman" w:hAnsi="Times New Roman" w:cs="Times New Roman"/>
          <w:b w:val="0"/>
          <w:bCs w:val="0"/>
          <w:sz w:val="36"/>
          <w:szCs w:val="36"/>
          <w:u w:val="none"/>
          <w:lang w:val="en-GB"/>
        </w:rPr>
        <w:footnoteReference w:id="141"/>
      </w:r>
      <w:r>
        <w:rPr>
          <w:rFonts w:hint="default" w:ascii="Times New Roman" w:hAnsi="Times New Roman" w:cs="Times New Roman"/>
          <w:b w:val="0"/>
          <w:bCs w:val="0"/>
          <w:sz w:val="36"/>
          <w:szCs w:val="36"/>
          <w:u w:val="none"/>
          <w:lang w:val="en-GB"/>
        </w:rPr>
        <w:t>. The mendicant orders with their call to the ‘vita apostolica’ offered an acceptable alternative that modelled itself on the early Christian fervour of the desert fathers</w:t>
      </w:r>
      <w:r>
        <w:rPr>
          <w:rStyle w:val="10"/>
          <w:rFonts w:hint="default" w:ascii="Times New Roman" w:hAnsi="Times New Roman" w:cs="Times New Roman"/>
          <w:b w:val="0"/>
          <w:bCs w:val="0"/>
          <w:sz w:val="36"/>
          <w:szCs w:val="36"/>
          <w:u w:val="none"/>
          <w:lang w:val="en-GB"/>
        </w:rPr>
        <w:footnoteReference w:id="142"/>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Whilst the monasteries still welded great influence on the agrarian population in their role as powerful landlords on their great estates the mendicant orders were mainly in the urban parishes</w:t>
      </w:r>
      <w:r>
        <w:rPr>
          <w:rStyle w:val="10"/>
          <w:rFonts w:hint="default" w:ascii="Times New Roman" w:hAnsi="Times New Roman" w:cs="Times New Roman"/>
          <w:b w:val="0"/>
          <w:bCs w:val="0"/>
          <w:sz w:val="36"/>
          <w:szCs w:val="36"/>
          <w:u w:val="none"/>
          <w:lang w:val="en-GB"/>
        </w:rPr>
        <w:footnoteReference w:id="143"/>
      </w:r>
      <w:r>
        <w:rPr>
          <w:rFonts w:hint="default" w:ascii="Times New Roman" w:hAnsi="Times New Roman" w:cs="Times New Roman"/>
          <w:b w:val="0"/>
          <w:bCs w:val="0"/>
          <w:sz w:val="36"/>
          <w:szCs w:val="36"/>
          <w:u w:val="none"/>
          <w:lang w:val="en-GB"/>
        </w:rPr>
        <w:t xml:space="preserve">. The county of Suffolk in these wills had by the start of the eleventh century evolved into a highly developed and affluent urbanised area </w:t>
      </w:r>
      <w:r>
        <w:rPr>
          <w:rStyle w:val="10"/>
          <w:rFonts w:hint="default" w:ascii="Times New Roman" w:hAnsi="Times New Roman" w:cs="Times New Roman"/>
          <w:b w:val="0"/>
          <w:bCs w:val="0"/>
          <w:sz w:val="36"/>
          <w:szCs w:val="36"/>
          <w:u w:val="none"/>
          <w:lang w:val="en-GB"/>
        </w:rPr>
        <w:footnoteReference w:id="144"/>
      </w:r>
      <w:r>
        <w:rPr>
          <w:rFonts w:hint="default" w:ascii="Times New Roman" w:hAnsi="Times New Roman" w:cs="Times New Roman"/>
          <w:b w:val="0"/>
          <w:bCs w:val="0"/>
          <w:sz w:val="36"/>
          <w:szCs w:val="36"/>
          <w:u w:val="none"/>
          <w:lang w:val="en-GB"/>
        </w:rPr>
        <w:t xml:space="preserve">. The mendicant orders were well represented in this part of the country with thirty two different religious groups mentioned in the wills used in this study.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overwhelming majority of bequests for masses in the wills used for this study were for the Friars of Babwell at 136 bequests out of total of 502 bequests to the religious orders. The Friars of Babwell were Franciscans or grey friars and after battling opposition from the great Monastery at Bury managed to negotiate a site just outside the town’s boundaries and beyond the north gate. The house in Babwell was established in 1262 and remained until the dissolution</w:t>
      </w:r>
      <w:r>
        <w:rPr>
          <w:rStyle w:val="10"/>
          <w:rFonts w:hint="default" w:ascii="Times New Roman" w:hAnsi="Times New Roman" w:cs="Times New Roman"/>
          <w:b w:val="0"/>
          <w:bCs w:val="0"/>
          <w:sz w:val="36"/>
          <w:szCs w:val="36"/>
          <w:u w:val="none"/>
          <w:lang w:val="en-GB"/>
        </w:rPr>
        <w:footnoteReference w:id="145"/>
      </w:r>
      <w:r>
        <w:rPr>
          <w:rFonts w:hint="default" w:ascii="Times New Roman" w:hAnsi="Times New Roman" w:cs="Times New Roman"/>
          <w:b w:val="0"/>
          <w:bCs w:val="0"/>
          <w:sz w:val="36"/>
          <w:szCs w:val="36"/>
          <w:u w:val="none"/>
          <w:lang w:val="en-GB"/>
        </w:rPr>
        <w:t>. It is hard to find reasons why they were so popular in the bequests in the wills of this study. There may have been by 1250 nearly twice as many Franciscans houses than Dominicans established in England in our bequests there are the same amount of different sites mentioned. One possible reason could be the popularity of friars as confessors as opposed to confessing to their local priest . The mendicant orders especially the Dominicans were well versed in the theology of penance and in the practise of hearing confession</w:t>
      </w:r>
      <w:r>
        <w:rPr>
          <w:rStyle w:val="10"/>
          <w:rFonts w:hint="default" w:ascii="Times New Roman" w:hAnsi="Times New Roman" w:cs="Times New Roman"/>
          <w:b w:val="0"/>
          <w:bCs w:val="0"/>
          <w:sz w:val="36"/>
          <w:szCs w:val="36"/>
          <w:u w:val="none"/>
          <w:lang w:val="en-GB"/>
        </w:rPr>
        <w:footnoteReference w:id="146"/>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The second most popular mendicant order was to the Dominican friars or friars preachers of Sudbury. Their site was founded some time previous to 1247 and increased in size several times </w:t>
      </w:r>
      <w:r>
        <w:rPr>
          <w:rStyle w:val="10"/>
          <w:rFonts w:hint="default" w:ascii="Times New Roman" w:hAnsi="Times New Roman" w:cs="Times New Roman"/>
          <w:b w:val="0"/>
          <w:bCs w:val="0"/>
          <w:sz w:val="36"/>
          <w:szCs w:val="36"/>
          <w:u w:val="none"/>
          <w:lang w:val="en-GB"/>
        </w:rPr>
        <w:footnoteReference w:id="147"/>
      </w:r>
      <w:r>
        <w:rPr>
          <w:rFonts w:hint="default" w:ascii="Times New Roman" w:hAnsi="Times New Roman" w:cs="Times New Roman"/>
          <w:b w:val="0"/>
          <w:bCs w:val="0"/>
          <w:sz w:val="36"/>
          <w:szCs w:val="36"/>
          <w:u w:val="none"/>
          <w:lang w:val="en-GB"/>
        </w:rPr>
        <w:t xml:space="preserve">. There was 63 bequests to this order most for trentals to be said on behalf of the deceased one and family.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Third most popular was to the Dominican friars at Thetford with a total of 60 bequests. This order was established nearly 100 years after the house at Sudbury in 1335 when they were endowed the unused location of the Church of St Mary the Great.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Perhaps this is to be expected due to the high number of Dominicans that were also ordained as priests and so were able to hold masses and were reliant on donations for their upkeep</w:t>
      </w:r>
      <w:r>
        <w:rPr>
          <w:rStyle w:val="10"/>
          <w:rFonts w:hint="default" w:ascii="Times New Roman" w:hAnsi="Times New Roman" w:cs="Times New Roman"/>
          <w:b w:val="0"/>
          <w:bCs w:val="0"/>
          <w:sz w:val="36"/>
          <w:szCs w:val="36"/>
          <w:u w:val="none"/>
          <w:lang w:val="en-GB"/>
        </w:rPr>
        <w:footnoteReference w:id="148"/>
      </w:r>
      <w:r>
        <w:rPr>
          <w:rFonts w:hint="default" w:ascii="Times New Roman" w:hAnsi="Times New Roman" w:cs="Times New Roman"/>
          <w:b w:val="0"/>
          <w:bCs w:val="0"/>
          <w:sz w:val="36"/>
          <w:szCs w:val="36"/>
          <w:u w:val="none"/>
          <w:lang w:val="en-GB"/>
        </w:rPr>
        <w:t>. They were therefore well placed to provide masses for the deceased souls and would be keen to gain donations for their order.</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Next with 53 bequests was the Austin friars of Clare introduced by Richard De Clare the Earl of Gloucester in  1248 . This site in Clare is believed to be the first site of the Austin Friars to be settled in England and due to its aristocratic patronage was a favourite residence of royalty in the thirteenth and fourteenth century</w:t>
      </w:r>
      <w:r>
        <w:rPr>
          <w:rStyle w:val="10"/>
          <w:rFonts w:hint="default" w:ascii="Times New Roman" w:hAnsi="Times New Roman" w:cs="Times New Roman"/>
          <w:b w:val="0"/>
          <w:bCs w:val="0"/>
          <w:sz w:val="36"/>
          <w:szCs w:val="36"/>
          <w:u w:val="none"/>
          <w:lang w:val="en-GB"/>
        </w:rPr>
        <w:footnoteReference w:id="149"/>
      </w:r>
      <w:r>
        <w:rPr>
          <w:rFonts w:hint="default" w:ascii="Times New Roman" w:hAnsi="Times New Roman" w:cs="Times New Roman"/>
          <w:b w:val="0"/>
          <w:bCs w:val="0"/>
          <w:sz w:val="36"/>
          <w:szCs w:val="36"/>
          <w:u w:val="none"/>
          <w:lang w:val="en-GB"/>
        </w:rPr>
        <w:t>. The religious order of Austin which followed the rule of St Augustine grew out of a network of hermits in Italy and over time their communities were organised in a similar way to the Dominicans</w:t>
      </w:r>
      <w:r>
        <w:rPr>
          <w:rStyle w:val="10"/>
          <w:rFonts w:hint="default" w:ascii="Times New Roman" w:hAnsi="Times New Roman" w:cs="Times New Roman"/>
          <w:b w:val="0"/>
          <w:bCs w:val="0"/>
          <w:sz w:val="36"/>
          <w:szCs w:val="36"/>
          <w:u w:val="none"/>
          <w:lang w:val="en-GB"/>
        </w:rPr>
        <w:footnoteReference w:id="150"/>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Overall the favoured religious order in the wills of this study were the Franciscans with 171 bequests in total but we must bear in mind that 136 of these were for the one particular house in Babwell. Bequests are mentioned to six Franciscans and Dominicans sites each but the donations to the Dominicans are spread more evenly over 138 wills. There are five main houses specified in the wills in the order of frequency ; Franciscans, Dominicans, Austin, Carmelites and Benedictions.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Founded by St Francis at the start of the thirteenth century the Franciscans developed alongside the Dominicans who also grew from the movement to return to a more biblical life. The Dominicans however were a clerical order and retained aspects of the canons regular.</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A difference can be seen in their approach to the salvation of their fellow man, for the Franciscans it was through servility and charity within the teachings of the bible that would win souls. The Dominicans as previously discussed were used by the Pope in the battle against heresy as they concentrated on the study and teaching of the gospel in order to also lead people to their redemption</w:t>
      </w:r>
      <w:r>
        <w:rPr>
          <w:rStyle w:val="10"/>
          <w:rFonts w:hint="default" w:ascii="Times New Roman" w:hAnsi="Times New Roman" w:cs="Times New Roman"/>
          <w:b w:val="0"/>
          <w:bCs w:val="0"/>
          <w:sz w:val="36"/>
          <w:szCs w:val="36"/>
          <w:u w:val="none"/>
          <w:lang w:val="en-GB"/>
        </w:rPr>
        <w:footnoteReference w:id="151"/>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One mendicant order that does not seem to be as well supported in the bequests of these wills are those run by nuns. Given the context of this study perhaps the answer is simply because nuns could not be priests and therefore they could not say masses. There were over three times as many Benedictine monasteries as nunneries in the eleventh century and would also suffer later from accusations of dissent and lewd behaviour </w:t>
      </w:r>
      <w:r>
        <w:rPr>
          <w:rStyle w:val="10"/>
          <w:rFonts w:hint="default" w:ascii="Times New Roman" w:hAnsi="Times New Roman" w:cs="Times New Roman"/>
          <w:b w:val="0"/>
          <w:bCs w:val="0"/>
          <w:sz w:val="36"/>
          <w:szCs w:val="36"/>
          <w:u w:val="none"/>
          <w:lang w:val="en-GB"/>
        </w:rPr>
        <w:footnoteReference w:id="152"/>
      </w:r>
      <w:r>
        <w:rPr>
          <w:rFonts w:hint="default" w:ascii="Times New Roman" w:hAnsi="Times New Roman" w:cs="Times New Roman"/>
          <w:b w:val="0"/>
          <w:bCs w:val="0"/>
          <w:sz w:val="36"/>
          <w:szCs w:val="36"/>
          <w:u w:val="none"/>
          <w:lang w:val="en-GB"/>
        </w:rPr>
        <w:t>. There was however 10 bequests to the Benedictine nunnery of St George in Thetford. This nunnery was settled in around 1160 and enjoyed the support of the abbey at Bury</w:t>
      </w:r>
      <w:r>
        <w:rPr>
          <w:rStyle w:val="10"/>
          <w:rFonts w:hint="default" w:ascii="Times New Roman" w:hAnsi="Times New Roman" w:cs="Times New Roman"/>
          <w:b w:val="0"/>
          <w:bCs w:val="0"/>
          <w:sz w:val="36"/>
          <w:szCs w:val="36"/>
          <w:u w:val="none"/>
          <w:lang w:val="en-GB"/>
        </w:rPr>
        <w:footnoteReference w:id="153"/>
      </w:r>
      <w:r>
        <w:rPr>
          <w:rFonts w:hint="default" w:ascii="Times New Roman" w:hAnsi="Times New Roman" w:cs="Times New Roman"/>
          <w:b w:val="0"/>
          <w:bCs w:val="0"/>
          <w:sz w:val="36"/>
          <w:szCs w:val="36"/>
          <w:u w:val="none"/>
          <w:lang w:val="en-GB"/>
        </w:rPr>
        <w:t xml:space="preserve">.The abbey at Bury St Edmunds was unrivalled in its role as landlord of power and holdings in the county of Suffolk </w:t>
      </w:r>
      <w:r>
        <w:rPr>
          <w:rStyle w:val="10"/>
          <w:rFonts w:hint="default" w:ascii="Times New Roman" w:hAnsi="Times New Roman" w:cs="Times New Roman"/>
          <w:b w:val="0"/>
          <w:bCs w:val="0"/>
          <w:sz w:val="36"/>
          <w:szCs w:val="36"/>
          <w:u w:val="none"/>
          <w:lang w:val="en-GB"/>
        </w:rPr>
        <w:footnoteReference w:id="154"/>
      </w:r>
      <w:r>
        <w:rPr>
          <w:rFonts w:hint="default" w:ascii="Times New Roman" w:hAnsi="Times New Roman" w:cs="Times New Roman"/>
          <w:b w:val="0"/>
          <w:bCs w:val="0"/>
          <w:sz w:val="36"/>
          <w:szCs w:val="36"/>
          <w:u w:val="none"/>
          <w:lang w:val="en-GB"/>
        </w:rPr>
        <w:t>. The abbey provided weekly supplies from its foundation in the twelfth century which became annual grants in 1369</w:t>
      </w:r>
      <w:r>
        <w:rPr>
          <w:rStyle w:val="10"/>
          <w:rFonts w:hint="default" w:ascii="Times New Roman" w:hAnsi="Times New Roman" w:cs="Times New Roman"/>
          <w:b w:val="0"/>
          <w:bCs w:val="0"/>
          <w:sz w:val="36"/>
          <w:szCs w:val="36"/>
          <w:u w:val="none"/>
          <w:lang w:val="en-GB"/>
        </w:rPr>
        <w:footnoteReference w:id="155"/>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There was only 5 bequests to this priory of Benedictine nuns at Redlingfield. This priory was initially founded in 1120 and was also generously granted the manor of Redlingfield with the parish church and all the members this entailed</w:t>
      </w:r>
      <w:r>
        <w:rPr>
          <w:rStyle w:val="10"/>
          <w:rFonts w:hint="default" w:ascii="Times New Roman" w:hAnsi="Times New Roman" w:cs="Times New Roman"/>
          <w:b w:val="0"/>
          <w:bCs w:val="0"/>
          <w:sz w:val="36"/>
          <w:szCs w:val="36"/>
          <w:u w:val="none"/>
          <w:lang w:val="en-GB"/>
        </w:rPr>
        <w:footnoteReference w:id="156"/>
      </w:r>
      <w:r>
        <w:rPr>
          <w:rFonts w:hint="default" w:ascii="Times New Roman" w:hAnsi="Times New Roman" w:cs="Times New Roman"/>
          <w:b w:val="0"/>
          <w:bCs w:val="0"/>
          <w:sz w:val="36"/>
          <w:szCs w:val="36"/>
          <w:u w:val="none"/>
          <w:lang w:val="en-GB"/>
        </w:rPr>
        <w:t xml:space="preserve">.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There was only two other bequests that left any funds for nunneries with one being William Grene of Creeting St Peter in 1462 who bequeathed 20s to the convent at Bruisyard which was a community of Sisters of Clare</w:t>
      </w:r>
      <w:r>
        <w:rPr>
          <w:rStyle w:val="10"/>
          <w:rFonts w:hint="default" w:ascii="Times New Roman" w:hAnsi="Times New Roman" w:cs="Times New Roman"/>
          <w:b w:val="0"/>
          <w:bCs w:val="0"/>
          <w:sz w:val="36"/>
          <w:szCs w:val="36"/>
          <w:u w:val="none"/>
          <w:lang w:val="en-GB"/>
        </w:rPr>
        <w:footnoteReference w:id="157"/>
      </w:r>
      <w:r>
        <w:rPr>
          <w:rFonts w:hint="default" w:ascii="Times New Roman" w:hAnsi="Times New Roman" w:cs="Times New Roman"/>
          <w:b w:val="0"/>
          <w:bCs w:val="0"/>
          <w:sz w:val="36"/>
          <w:szCs w:val="36"/>
          <w:u w:val="none"/>
          <w:lang w:val="en-GB"/>
        </w:rPr>
        <w:t>. He also left 13s 14d to both the priory at Redlingfield as well as 13s 14d to a convent at Flixton. This nunnery was established in 1258 in honour of the virgin mother and St Katherine</w:t>
      </w:r>
      <w:r>
        <w:rPr>
          <w:rStyle w:val="10"/>
          <w:rFonts w:hint="default" w:ascii="Times New Roman" w:hAnsi="Times New Roman" w:cs="Times New Roman"/>
          <w:b w:val="0"/>
          <w:bCs w:val="0"/>
          <w:sz w:val="36"/>
          <w:szCs w:val="36"/>
          <w:u w:val="none"/>
          <w:lang w:val="en-GB"/>
        </w:rPr>
        <w:footnoteReference w:id="158"/>
      </w:r>
      <w:r>
        <w:rPr>
          <w:rFonts w:hint="default" w:ascii="Times New Roman" w:hAnsi="Times New Roman" w:cs="Times New Roman"/>
          <w:b w:val="0"/>
          <w:bCs w:val="0"/>
          <w:sz w:val="36"/>
          <w:szCs w:val="36"/>
          <w:u w:val="none"/>
          <w:lang w:val="en-GB"/>
        </w:rPr>
        <w:t xml:space="preserve">.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other bequest was by Alice Turnour of Sudbury in 1456 bequeathed 6s 8d to the nuns of Hedingham. This nunnery was set up by a nobleman like the Augustian friary at Clare. Founded in the second half of the twelfth century by the first Earl of Oxford and was devoted to St James, St Mary and the Holy Cross. Interestingly this testator also bequeathed 2s to Margery Qwyntyn whom she describes her as a holy woman</w:t>
      </w:r>
      <w:r>
        <w:rPr>
          <w:rStyle w:val="10"/>
          <w:rFonts w:hint="default" w:ascii="Times New Roman" w:hAnsi="Times New Roman" w:cs="Times New Roman"/>
          <w:b w:val="0"/>
          <w:bCs w:val="0"/>
          <w:sz w:val="36"/>
          <w:szCs w:val="36"/>
          <w:u w:val="none"/>
          <w:lang w:val="en-GB"/>
        </w:rPr>
        <w:footnoteReference w:id="159"/>
      </w:r>
      <w:r>
        <w:rPr>
          <w:rFonts w:hint="default" w:ascii="Times New Roman" w:hAnsi="Times New Roman" w:cs="Times New Roman"/>
          <w:b w:val="0"/>
          <w:bCs w:val="0"/>
          <w:sz w:val="36"/>
          <w:szCs w:val="36"/>
          <w:u w:val="none"/>
          <w:lang w:val="en-GB"/>
        </w:rPr>
        <w:t xml:space="preserve">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other mendicant order that received a large proportion of bequests was to the Carmelites or white friars. The most popular house was to the Carmelite friars of Cambridge which was at this time located in a church in the parish of St John in Milne Street Cambridge. They had first arrived in 1249 and after changes of location acquired land and gradually extended to almost to the wall of King’s College chapel. They received 25 bequests which was almost half of the 49 total to the Carmelite order. Like the eremite beginning of the Augustinian friars they too formed from a reclusive beginning</w:t>
      </w:r>
      <w:r>
        <w:rPr>
          <w:rStyle w:val="10"/>
          <w:rFonts w:hint="default" w:ascii="Times New Roman" w:hAnsi="Times New Roman" w:cs="Times New Roman"/>
          <w:b w:val="0"/>
          <w:bCs w:val="0"/>
          <w:sz w:val="36"/>
          <w:szCs w:val="36"/>
          <w:u w:val="none"/>
          <w:lang w:val="en-GB"/>
        </w:rPr>
        <w:footnoteReference w:id="160"/>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mendicant orders were not without their critics and condemnation had started with the university of Paris in the first decades of the thirteenth century. William of St Amour a secular clergy and teacher had written a tract accusing the friars of being the false apostles that Paul had warned of in the bible</w:t>
      </w:r>
      <w:r>
        <w:rPr>
          <w:rStyle w:val="10"/>
          <w:rFonts w:hint="default" w:ascii="Times New Roman" w:hAnsi="Times New Roman" w:cs="Times New Roman"/>
          <w:b w:val="0"/>
          <w:bCs w:val="0"/>
          <w:sz w:val="36"/>
          <w:szCs w:val="36"/>
          <w:u w:val="none"/>
          <w:lang w:val="en-GB"/>
        </w:rPr>
        <w:footnoteReference w:id="161"/>
      </w:r>
      <w:r>
        <w:rPr>
          <w:rFonts w:hint="default" w:ascii="Times New Roman" w:hAnsi="Times New Roman" w:cs="Times New Roman"/>
          <w:b w:val="0"/>
          <w:bCs w:val="0"/>
          <w:sz w:val="36"/>
          <w:szCs w:val="36"/>
          <w:u w:val="none"/>
          <w:lang w:val="en-GB"/>
        </w:rPr>
        <w:t xml:space="preserve"> . There was also conflict between the orders as the exact meaning of apostolic poverty with some in the Franciscan order insisting on the most extreme form of the Rule of St Francis. This would give later give credence to the criticism of the mendicant orders by William Langland in his character Friar Flatterer in Piers Plowman and Wyclif</w:t>
      </w:r>
      <w:r>
        <w:rPr>
          <w:rStyle w:val="10"/>
          <w:rFonts w:hint="default" w:ascii="Times New Roman" w:hAnsi="Times New Roman" w:cs="Times New Roman"/>
          <w:b w:val="0"/>
          <w:bCs w:val="0"/>
          <w:sz w:val="36"/>
          <w:szCs w:val="36"/>
          <w:u w:val="none"/>
          <w:lang w:val="en-GB"/>
        </w:rPr>
        <w:footnoteReference w:id="162"/>
      </w:r>
      <w:r>
        <w:rPr>
          <w:rFonts w:hint="default" w:ascii="Times New Roman" w:hAnsi="Times New Roman" w:cs="Times New Roman"/>
          <w:b w:val="0"/>
          <w:bCs w:val="0"/>
          <w:sz w:val="36"/>
          <w:szCs w:val="36"/>
          <w:u w:val="none"/>
          <w:lang w:val="en-GB"/>
        </w:rPr>
        <w:t>. In 1350 a previous chancellor of  Oxford and theologian wrote up four sermons in a document known as ‘Defensio curatorum’ which in essence argued against the mendicant orders taking over of lucrative sacraments such as penance from the secular clergy</w:t>
      </w:r>
      <w:r>
        <w:rPr>
          <w:rStyle w:val="10"/>
          <w:rFonts w:hint="default" w:ascii="Times New Roman" w:hAnsi="Times New Roman" w:cs="Times New Roman"/>
          <w:b w:val="0"/>
          <w:bCs w:val="0"/>
          <w:sz w:val="36"/>
          <w:szCs w:val="36"/>
          <w:u w:val="none"/>
          <w:lang w:val="en-GB"/>
        </w:rPr>
        <w:footnoteReference w:id="163"/>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Chaucer famously in his Canterbury Tales has his pilgrim the summoner accuse the friar of being false in his promises to pray for those who gave him alms, the friar writes down the names on a ivory table but once he leaves:</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‘No sooner than he’d got outside the door</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friar would smooth out every name’</w:t>
      </w:r>
      <w:r>
        <w:rPr>
          <w:rStyle w:val="10"/>
          <w:rFonts w:hint="default" w:ascii="Times New Roman" w:hAnsi="Times New Roman" w:cs="Times New Roman"/>
          <w:b w:val="0"/>
          <w:bCs w:val="0"/>
          <w:sz w:val="36"/>
          <w:szCs w:val="36"/>
          <w:u w:val="none"/>
          <w:lang w:val="en-GB"/>
        </w:rPr>
        <w:footnoteReference w:id="164"/>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It is perhaps telling that Chaucer uses the summoner’s tale to give the view that friars viewed their prayers as being more effective than those said by the secular clergy:</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purity and fasting of us friars</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ensures that Jesus Christ accepts our prayers’</w:t>
      </w:r>
      <w:r>
        <w:rPr>
          <w:rStyle w:val="10"/>
          <w:rFonts w:hint="default" w:ascii="Times New Roman" w:hAnsi="Times New Roman" w:cs="Times New Roman"/>
          <w:b w:val="0"/>
          <w:bCs w:val="0"/>
          <w:sz w:val="36"/>
          <w:szCs w:val="36"/>
          <w:u w:val="none"/>
          <w:lang w:val="en-GB"/>
        </w:rPr>
        <w:footnoteReference w:id="165"/>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Using the summoner Chaucer could put forward the arrogance of the friars and shape it like a debate. The criticism that was often levelled at the friars and mendicant orders was that their lifestyle did not match the ideal that was being held up and as previously touched upon had left to a split in the Franciscan movement.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However for the wills that I have studied in this dissertation there does seem to show a great deal of support for the mendicant orders especially for the orders of the Franciscans and Dominicans. We also see 38 bequests for individuals in the wills to perform masses for the testator such as Ralph Trapett of Hepworth who along with leaving half a quarter of barley to several mendicant orders also left 10s for a Friar Laurence Wykyngham of Norwich for a trental </w:t>
      </w:r>
      <w:r>
        <w:rPr>
          <w:rStyle w:val="10"/>
          <w:rFonts w:hint="default" w:ascii="Times New Roman" w:hAnsi="Times New Roman" w:cs="Times New Roman"/>
          <w:b w:val="0"/>
          <w:bCs w:val="0"/>
          <w:sz w:val="36"/>
          <w:szCs w:val="36"/>
          <w:u w:val="none"/>
          <w:lang w:val="en-GB"/>
        </w:rPr>
        <w:footnoteReference w:id="166"/>
      </w:r>
      <w:r>
        <w:rPr>
          <w:rFonts w:hint="default" w:ascii="Times New Roman" w:hAnsi="Times New Roman" w:cs="Times New Roman"/>
          <w:b w:val="0"/>
          <w:bCs w:val="0"/>
          <w:sz w:val="36"/>
          <w:szCs w:val="36"/>
          <w:u w:val="none"/>
          <w:lang w:val="en-GB"/>
        </w:rPr>
        <w:t xml:space="preserve">.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There are also several wills that leave bequests for family members who are also members of the clergy. There is a sense throughout the wills of a reliance on all to pray for each other. There are many with requests for prayers from family, neighbours and servants alongside the formal trentals from the clergy.</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 xml:space="preserve">Of the requests to individuals for traditional masses the vast majority for the mendicant orders 28 being for friars and just 7 being to secular clergy. Two are not identified as being part of the clergy of either secular or of the mendicant orders. As touched on earlier there is one bequest for the holy woman Margery Qwyntyn who was </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believed to be an anchorite</w:t>
      </w:r>
      <w:r>
        <w:rPr>
          <w:rStyle w:val="10"/>
          <w:rFonts w:hint="default" w:ascii="Times New Roman" w:hAnsi="Times New Roman" w:cs="Times New Roman"/>
          <w:b w:val="0"/>
          <w:bCs w:val="0"/>
          <w:sz w:val="36"/>
          <w:szCs w:val="36"/>
          <w:u w:val="none"/>
          <w:lang w:val="en-GB"/>
        </w:rPr>
        <w:footnoteReference w:id="167"/>
      </w:r>
      <w:r>
        <w:rPr>
          <w:rFonts w:hint="default" w:ascii="Times New Roman" w:hAnsi="Times New Roman" w:cs="Times New Roman"/>
          <w:b w:val="0"/>
          <w:bCs w:val="0"/>
          <w:sz w:val="36"/>
          <w:szCs w:val="36"/>
          <w:u w:val="none"/>
          <w:lang w:val="en-GB"/>
        </w:rPr>
        <w:t>but this will does not state why , perhaps just because of her holy status.</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These wills all seem to point to an understanding of the value of prayers especially those of the calibre performed by the mendicant orders and a demand for the services they could offer after death. However there was also the established kudos of secular clergy that testators also turned too.</w:t>
      </w:r>
    </w:p>
    <w:p>
      <w:pPr>
        <w:spacing w:line="360" w:lineRule="auto"/>
        <w:jc w:val="left"/>
        <w:rPr>
          <w:rFonts w:hint="default" w:ascii="Times New Roman" w:hAnsi="Times New Roman" w:cs="Times New Roman"/>
          <w:b w:val="0"/>
          <w:bCs w:val="0"/>
          <w:sz w:val="36"/>
          <w:szCs w:val="36"/>
          <w:u w:val="none"/>
          <w:lang w:val="en-GB"/>
        </w:rPr>
      </w:pPr>
    </w:p>
    <w:p>
      <w:pPr>
        <w:spacing w:line="360" w:lineRule="auto"/>
        <w:jc w:val="left"/>
        <w:rPr>
          <w:rFonts w:hint="default" w:ascii="Times New Roman" w:hAnsi="Times New Roman" w:cs="Times New Roman"/>
          <w:b w:val="0"/>
          <w:bCs w:val="0"/>
          <w:sz w:val="36"/>
          <w:szCs w:val="36"/>
          <w:u w:val="none"/>
          <w:lang w:val="en-GB"/>
        </w:rPr>
      </w:pPr>
    </w:p>
    <w:p>
      <w:pPr>
        <w:spacing w:line="360" w:lineRule="auto"/>
        <w:jc w:val="left"/>
        <w:rPr>
          <w:rFonts w:hint="default" w:ascii="Times New Roman" w:hAnsi="Times New Roman" w:cs="Times New Roman"/>
          <w:b w:val="0"/>
          <w:bCs w:val="0"/>
          <w:sz w:val="36"/>
          <w:szCs w:val="36"/>
          <w:u w:val="none"/>
          <w:lang w:val="en-GB"/>
        </w:rPr>
      </w:pPr>
    </w:p>
    <w:p>
      <w:pPr>
        <w:spacing w:line="360" w:lineRule="auto"/>
        <w:jc w:val="left"/>
        <w:rPr>
          <w:rFonts w:hint="default" w:ascii="Times New Roman" w:hAnsi="Times New Roman" w:cs="Times New Roman"/>
          <w:b w:val="0"/>
          <w:bCs w:val="0"/>
          <w:sz w:val="36"/>
          <w:szCs w:val="36"/>
          <w:u w:val="none"/>
          <w:lang w:val="en-GB"/>
        </w:rPr>
      </w:pPr>
    </w:p>
    <w:p>
      <w:pPr>
        <w:spacing w:line="360" w:lineRule="auto"/>
        <w:jc w:val="left"/>
        <w:rPr>
          <w:rFonts w:hint="default" w:ascii="Times New Roman" w:hAnsi="Times New Roman" w:cs="Times New Roman"/>
          <w:b w:val="0"/>
          <w:bCs w:val="0"/>
          <w:sz w:val="36"/>
          <w:szCs w:val="36"/>
          <w:u w:val="none"/>
          <w:lang w:val="en-GB"/>
        </w:rPr>
      </w:pPr>
    </w:p>
    <w:p>
      <w:pPr>
        <w:spacing w:line="360" w:lineRule="auto"/>
        <w:jc w:val="left"/>
        <w:rPr>
          <w:rFonts w:hint="default" w:ascii="Times New Roman" w:hAnsi="Times New Roman" w:cs="Times New Roman"/>
          <w:b w:val="0"/>
          <w:bCs w:val="0"/>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p>
    <w:p>
      <w:pPr>
        <w:spacing w:line="360" w:lineRule="auto"/>
        <w:jc w:val="left"/>
        <w:rPr>
          <w:rFonts w:hint="default" w:ascii="Times New Roman" w:hAnsi="Times New Roman" w:cs="Times New Roman"/>
          <w:b/>
          <w:bCs/>
          <w:sz w:val="36"/>
          <w:szCs w:val="36"/>
          <w:u w:val="none"/>
          <w:lang w:val="en-GB"/>
        </w:rPr>
      </w:pPr>
      <w:r>
        <w:rPr>
          <w:rFonts w:hint="default" w:ascii="Times New Roman" w:hAnsi="Times New Roman" w:cs="Times New Roman"/>
          <w:b/>
          <w:bCs/>
          <w:sz w:val="36"/>
          <w:szCs w:val="36"/>
          <w:u w:val="none"/>
          <w:lang w:val="en-GB"/>
        </w:rPr>
        <w:t>A Suitable priest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intense demand from the lay community for masses was not just aimed at the mendicant orders as the secular clergy were also those who had the great deal of contact with the laity. The Lateran council in 1215 had strengthened this interdependence by making confession to the parish clergy at least an annual requirement. The establishment of churches  were historically a private memorial outlay by local lay lords but acting later as also meeting the spiritual needs of the local people. This combination of memorialising and a place for prayers for the departed can be seen earlier when King Cnut in 1020 had a church in Ashingdon erected for the souls of those lost in battle</w:t>
      </w:r>
      <w:r>
        <w:rPr>
          <w:rStyle w:val="10"/>
          <w:rFonts w:hint="default" w:ascii="Times New Roman" w:hAnsi="Times New Roman" w:cs="Times New Roman"/>
          <w:b w:val="0"/>
          <w:bCs w:val="0"/>
          <w:sz w:val="36"/>
          <w:szCs w:val="36"/>
          <w:u w:val="none"/>
          <w:lang w:val="en-GB"/>
        </w:rPr>
        <w:footnoteReference w:id="168"/>
      </w:r>
      <w:r>
        <w:rPr>
          <w:rFonts w:hint="default" w:ascii="Times New Roman" w:hAnsi="Times New Roman" w:cs="Times New Roman"/>
          <w:b w:val="0"/>
          <w:bCs w:val="0"/>
          <w:sz w:val="36"/>
          <w:szCs w:val="36"/>
          <w:u w:val="none"/>
          <w:lang w:val="en-GB"/>
        </w:rPr>
        <w:t>.The layman so had to make confession to his parish priest and those without a benefice were prohibited from hearing confession. The only exceptions were those close to death or not local and genuinely travelling through</w:t>
      </w:r>
      <w:r>
        <w:rPr>
          <w:rStyle w:val="10"/>
          <w:rFonts w:hint="default" w:ascii="Times New Roman" w:hAnsi="Times New Roman" w:cs="Times New Roman"/>
          <w:b w:val="0"/>
          <w:bCs w:val="0"/>
          <w:sz w:val="36"/>
          <w:szCs w:val="36"/>
          <w:u w:val="none"/>
          <w:lang w:val="en-GB"/>
        </w:rPr>
        <w:footnoteReference w:id="169"/>
      </w:r>
      <w:r>
        <w:rPr>
          <w:rFonts w:hint="default" w:ascii="Times New Roman" w:hAnsi="Times New Roman" w:cs="Times New Roman"/>
          <w:b w:val="0"/>
          <w:bCs w:val="0"/>
          <w:sz w:val="36"/>
          <w:szCs w:val="36"/>
          <w:u w:val="none"/>
          <w:lang w:val="en-GB"/>
        </w:rPr>
        <w:t>. There was an uncertainty of the relationship between the secular clergy and the mendicant orders</w:t>
      </w:r>
      <w:r>
        <w:rPr>
          <w:rStyle w:val="10"/>
          <w:rFonts w:hint="default" w:ascii="Times New Roman" w:hAnsi="Times New Roman" w:cs="Times New Roman"/>
          <w:b w:val="0"/>
          <w:bCs w:val="0"/>
          <w:sz w:val="36"/>
          <w:szCs w:val="36"/>
          <w:u w:val="none"/>
          <w:lang w:val="en-GB"/>
        </w:rPr>
        <w:footnoteReference w:id="170"/>
      </w:r>
      <w:r>
        <w:rPr>
          <w:rFonts w:hint="default" w:ascii="Times New Roman" w:hAnsi="Times New Roman" w:cs="Times New Roman"/>
          <w:b w:val="0"/>
          <w:bCs w:val="0"/>
          <w:sz w:val="36"/>
          <w:szCs w:val="36"/>
          <w:u w:val="none"/>
          <w:lang w:val="en-GB"/>
        </w:rPr>
        <w:t>. The mendicant orders had been satirised in the popular and well distributed poem ‘Roman de la Rose’</w:t>
      </w:r>
      <w:r>
        <w:rPr>
          <w:rStyle w:val="10"/>
          <w:rFonts w:hint="default" w:ascii="Times New Roman" w:hAnsi="Times New Roman" w:cs="Times New Roman"/>
          <w:b w:val="0"/>
          <w:bCs w:val="0"/>
          <w:sz w:val="36"/>
          <w:szCs w:val="36"/>
          <w:u w:val="none"/>
          <w:lang w:val="en-GB"/>
        </w:rPr>
        <w:footnoteReference w:id="171"/>
      </w:r>
      <w:r>
        <w:rPr>
          <w:rFonts w:hint="default" w:ascii="Times New Roman" w:hAnsi="Times New Roman" w:cs="Times New Roman"/>
          <w:b w:val="0"/>
          <w:bCs w:val="0"/>
          <w:sz w:val="36"/>
          <w:szCs w:val="36"/>
          <w:u w:val="none"/>
          <w:lang w:val="en-GB"/>
        </w:rPr>
        <w:t>. There was a struggle with the established clergy at many locations when there was new settlement of orders of friars</w:t>
      </w:r>
      <w:r>
        <w:rPr>
          <w:rStyle w:val="10"/>
          <w:rFonts w:hint="default" w:ascii="Times New Roman" w:hAnsi="Times New Roman" w:cs="Times New Roman"/>
          <w:b w:val="0"/>
          <w:bCs w:val="0"/>
          <w:sz w:val="36"/>
          <w:szCs w:val="36"/>
          <w:u w:val="none"/>
          <w:lang w:val="en-GB"/>
        </w:rPr>
        <w:footnoteReference w:id="172"/>
      </w:r>
      <w:r>
        <w:rPr>
          <w:rFonts w:hint="default" w:ascii="Times New Roman" w:hAnsi="Times New Roman" w:cs="Times New Roman"/>
          <w:b w:val="0"/>
          <w:bCs w:val="0"/>
          <w:sz w:val="36"/>
          <w:szCs w:val="36"/>
          <w:u w:val="none"/>
          <w:lang w:val="en-GB"/>
        </w:rPr>
        <w:t>.</w:t>
      </w:r>
    </w:p>
    <w:p>
      <w:pPr>
        <w:spacing w:line="360" w:lineRule="auto"/>
        <w:jc w:val="left"/>
        <w:rPr>
          <w:rFonts w:hint="default" w:ascii="Times New Roman" w:hAnsi="Times New Roman" w:cs="Times New Roman"/>
          <w:b w:val="0"/>
          <w:bCs w:val="0"/>
          <w:sz w:val="36"/>
          <w:szCs w:val="36"/>
          <w:u w:val="none"/>
          <w:lang w:val="en-GB"/>
        </w:rPr>
      </w:pPr>
      <w:r>
        <w:rPr>
          <w:rFonts w:hint="default" w:ascii="Times New Roman" w:hAnsi="Times New Roman" w:cs="Times New Roman"/>
          <w:b w:val="0"/>
          <w:bCs w:val="0"/>
          <w:sz w:val="36"/>
          <w:szCs w:val="36"/>
          <w:u w:val="none"/>
          <w:lang w:val="en-GB"/>
        </w:rPr>
        <w:t>The friars proved popular in many towns because they were learned and had developed their ministerial skills alongside the attractive new religious fervour for the apostolic life</w:t>
      </w:r>
      <w:r>
        <w:rPr>
          <w:rStyle w:val="10"/>
          <w:rFonts w:hint="default" w:ascii="Times New Roman" w:hAnsi="Times New Roman" w:cs="Times New Roman"/>
          <w:b w:val="0"/>
          <w:bCs w:val="0"/>
          <w:sz w:val="36"/>
          <w:szCs w:val="36"/>
          <w:u w:val="none"/>
          <w:lang w:val="en-GB"/>
        </w:rPr>
        <w:footnoteReference w:id="173"/>
      </w:r>
      <w:r>
        <w:rPr>
          <w:rFonts w:hint="default" w:ascii="Times New Roman" w:hAnsi="Times New Roman" w:cs="Times New Roman"/>
          <w:b w:val="0"/>
          <w:bCs w:val="0"/>
          <w:sz w:val="36"/>
          <w:szCs w:val="36"/>
          <w:u w:val="none"/>
          <w:lang w:val="en-GB"/>
        </w:rPr>
        <w:t>.</w:t>
      </w:r>
    </w:p>
    <w:p>
      <w:pPr>
        <w:spacing w:line="360" w:lineRule="auto"/>
        <w:jc w:val="left"/>
        <w:rPr>
          <w:rFonts w:hint="default" w:ascii="serif" w:hAnsi="serif" w:eastAsia="serif" w:cs="serif"/>
          <w:i w:val="0"/>
          <w:caps w:val="0"/>
          <w:color w:val="000000"/>
          <w:spacing w:val="0"/>
          <w:sz w:val="28"/>
          <w:szCs w:val="28"/>
          <w:lang w:val="en-GB"/>
        </w:rPr>
      </w:pPr>
      <w:r>
        <w:rPr>
          <w:rFonts w:hint="default" w:ascii="Times New Roman" w:hAnsi="Times New Roman" w:cs="Times New Roman"/>
          <w:b w:val="0"/>
          <w:bCs w:val="0"/>
          <w:sz w:val="36"/>
          <w:szCs w:val="36"/>
          <w:u w:val="none"/>
          <w:lang w:val="en-GB"/>
        </w:rPr>
        <w:t>However they proved to be competition for clergy that were without a benefice and were already precariously employed supplying masses as a chantry priest and often working for several benefactors at once</w:t>
      </w:r>
      <w:r>
        <w:rPr>
          <w:rStyle w:val="10"/>
          <w:rFonts w:hint="default" w:ascii="Times New Roman" w:hAnsi="Times New Roman" w:cs="Times New Roman"/>
          <w:b w:val="0"/>
          <w:bCs w:val="0"/>
          <w:sz w:val="36"/>
          <w:szCs w:val="36"/>
          <w:u w:val="none"/>
          <w:lang w:val="en-GB"/>
        </w:rPr>
        <w:footnoteReference w:id="174"/>
      </w:r>
      <w:r>
        <w:rPr>
          <w:rFonts w:hint="default" w:ascii="Times New Roman" w:hAnsi="Times New Roman" w:cs="Times New Roman"/>
          <w:b w:val="0"/>
          <w:bCs w:val="0"/>
          <w:sz w:val="36"/>
          <w:szCs w:val="36"/>
          <w:u w:val="none"/>
          <w:lang w:val="en-GB"/>
        </w:rPr>
        <w:t>. William Langland as a needy clerk in minor orders was in an ideal position to understand the complaints aimed at the friars as well as resenting their success and conceit</w:t>
      </w:r>
      <w:r>
        <w:rPr>
          <w:rStyle w:val="10"/>
          <w:rFonts w:hint="default" w:ascii="Times New Roman" w:hAnsi="Times New Roman" w:cs="Times New Roman"/>
          <w:b w:val="0"/>
          <w:bCs w:val="0"/>
          <w:sz w:val="36"/>
          <w:szCs w:val="36"/>
          <w:u w:val="none"/>
          <w:lang w:val="en-GB"/>
        </w:rPr>
        <w:footnoteReference w:id="175"/>
      </w:r>
      <w:r>
        <w:rPr>
          <w:rFonts w:hint="default" w:ascii="Times New Roman" w:hAnsi="Times New Roman" w:cs="Times New Roman"/>
          <w:b w:val="0"/>
          <w:bCs w:val="0"/>
          <w:sz w:val="36"/>
          <w:szCs w:val="36"/>
          <w:u w:val="none"/>
          <w:lang w:val="en-GB"/>
        </w:rPr>
        <w:t>. Wyclif condemned them because he viewed them as failing to live up to the early ideals of the founders</w:t>
      </w:r>
      <w:r>
        <w:rPr>
          <w:rStyle w:val="10"/>
          <w:rFonts w:hint="default" w:ascii="Times New Roman" w:hAnsi="Times New Roman" w:cs="Times New Roman"/>
          <w:b w:val="0"/>
          <w:bCs w:val="0"/>
          <w:sz w:val="36"/>
          <w:szCs w:val="36"/>
          <w:u w:val="none"/>
          <w:lang w:val="en-GB"/>
        </w:rPr>
        <w:footnoteReference w:id="176"/>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The friars also proved to be intellectual competition due to the lack of organised training for the secular clergy. There would not be any formal structure until after the reformation. Secular clergy relied on textbooks such as ‘Instructions for Parish priests’ in order to keep up with the call from the laity for better educated clergy. For the majority they lacked the finances in order to improve their theological knowledge at universities such as Cambridge and Oxford</w:t>
      </w:r>
      <w:r>
        <w:rPr>
          <w:rStyle w:val="10"/>
          <w:rFonts w:hint="default" w:ascii="Times New Roman" w:hAnsi="Times New Roman" w:cs="Times New Roman"/>
          <w:b w:val="0"/>
          <w:bCs w:val="0"/>
          <w:sz w:val="36"/>
          <w:szCs w:val="36"/>
          <w:lang w:val="en-GB"/>
        </w:rPr>
        <w:footnoteReference w:id="177"/>
      </w:r>
      <w:r>
        <w:rPr>
          <w:rFonts w:hint="default" w:ascii="Times New Roman" w:hAnsi="Times New Roman" w:cs="Times New Roman"/>
          <w:b w:val="0"/>
          <w:bCs w:val="0"/>
          <w:sz w:val="36"/>
          <w:szCs w:val="36"/>
          <w:lang w:val="en-GB"/>
        </w:rPr>
        <w:t>. There was also a resentment felt by the laity of double standards being employed where priests committed serious crimes. Whilst serious crimes would be dealt with harshly in the King’s court whereas the clergy were dealt with in the church courts and faced only the threat of being defrocked.</w:t>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 xml:space="preserve">This call for learned clergy of good character seems to be echoed in the wills used in this study. Perhaps not surprisingly it was as important who were to aid the recently departed with their prayers as it was the amount or type of intercessory prayers. There was 291 wills out of a possible 690 that specifically asked for priests to say or sing prayers to benefit the souls of the departed and their loved ones. Out of these 291 there were only 61 that did not specify what kind of priest. </w:t>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William Wellys of Bardwell specified that he wanted ‘ a suitable chaplain to be found out of my goods and chattels to celebrate for me and my friends at Rome’</w:t>
      </w:r>
      <w:r>
        <w:rPr>
          <w:rStyle w:val="10"/>
          <w:rFonts w:hint="default" w:ascii="Times New Roman" w:hAnsi="Times New Roman" w:cs="Times New Roman"/>
          <w:b w:val="0"/>
          <w:bCs w:val="0"/>
          <w:sz w:val="36"/>
          <w:szCs w:val="36"/>
          <w:lang w:val="en-GB"/>
        </w:rPr>
        <w:footnoteReference w:id="178"/>
      </w:r>
      <w:r>
        <w:rPr>
          <w:rFonts w:hint="default" w:ascii="Times New Roman" w:hAnsi="Times New Roman" w:cs="Times New Roman"/>
          <w:b w:val="0"/>
          <w:bCs w:val="0"/>
          <w:sz w:val="36"/>
          <w:szCs w:val="36"/>
          <w:lang w:val="en-GB"/>
        </w:rPr>
        <w:t>. John Dolett of Westhorpe in 1468 requested ‘ a suitable priest, to celebrate in Westhorpe church for a whole year, for my soul and my parents (souls), 8 marks’</w:t>
      </w:r>
      <w:r>
        <w:rPr>
          <w:rStyle w:val="10"/>
          <w:rFonts w:hint="default" w:ascii="Times New Roman" w:hAnsi="Times New Roman" w:cs="Times New Roman"/>
          <w:b w:val="0"/>
          <w:bCs w:val="0"/>
          <w:sz w:val="36"/>
          <w:szCs w:val="36"/>
          <w:lang w:val="en-GB"/>
        </w:rPr>
        <w:footnoteReference w:id="179"/>
      </w:r>
      <w:r>
        <w:rPr>
          <w:rFonts w:hint="default" w:ascii="Times New Roman" w:hAnsi="Times New Roman" w:cs="Times New Roman"/>
          <w:b w:val="0"/>
          <w:bCs w:val="0"/>
          <w:sz w:val="36"/>
          <w:szCs w:val="36"/>
          <w:lang w:val="en-GB"/>
        </w:rPr>
        <w:t xml:space="preserve">. </w:t>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John Regnold of Woolpit desired to ‘have a suitable and honest chaplain to celebrate divine service in the said church for a whole year for my soul and the souls of my parents and benefactors and all those at rest in Christ’</w:t>
      </w:r>
      <w:r>
        <w:rPr>
          <w:rStyle w:val="10"/>
          <w:rFonts w:hint="default" w:ascii="Times New Roman" w:hAnsi="Times New Roman" w:cs="Times New Roman"/>
          <w:b w:val="0"/>
          <w:bCs w:val="0"/>
          <w:sz w:val="36"/>
          <w:szCs w:val="36"/>
          <w:lang w:val="en-GB"/>
        </w:rPr>
        <w:footnoteReference w:id="180"/>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An interesting bequest in the will of Richard Mody of Newton in July 1467 has the stipulation that he wishes to have ‘ a secular priest, honest and discreet, to celebrate in Newton church for a whole year, for my soul and all my parents’ souls, 9 marks for his stipend’</w:t>
      </w:r>
      <w:r>
        <w:rPr>
          <w:rStyle w:val="10"/>
          <w:rFonts w:hint="default" w:ascii="Times New Roman" w:hAnsi="Times New Roman" w:cs="Times New Roman"/>
          <w:b w:val="0"/>
          <w:bCs w:val="0"/>
          <w:sz w:val="36"/>
          <w:szCs w:val="36"/>
          <w:lang w:val="en-GB"/>
        </w:rPr>
        <w:footnoteReference w:id="181"/>
      </w:r>
      <w:r>
        <w:rPr>
          <w:rFonts w:hint="default" w:ascii="Times New Roman" w:hAnsi="Times New Roman" w:cs="Times New Roman"/>
          <w:b w:val="0"/>
          <w:bCs w:val="0"/>
          <w:sz w:val="36"/>
          <w:szCs w:val="36"/>
          <w:lang w:val="en-GB"/>
        </w:rPr>
        <w:t>.</w:t>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 xml:space="preserve">The vast majority made the stipulation that the priest that was found or paid to say the masses on the behalf of the testator should be suitable and many that they should also be honest. </w:t>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The wording of ‘suitable’ I would argue is the evidence that the laity was aware and conscious that not all priests were equal. It is telling that the same distinction was not made for the bequests to the mendicant orders even though the bequests were for the same spiritual service. I would conclude that this is an indication that the laity had greater faith in the mendicant orders being more versed in masses.  I would also conclude that this shows a belief that the grade of the mass was incumbent on the moral character of the priest that delivered it. For Katherine Hunte of Rushbrooke in 1470 this meant ‘ a secular priest of good conversation’</w:t>
      </w:r>
      <w:r>
        <w:rPr>
          <w:rStyle w:val="10"/>
          <w:rFonts w:hint="default" w:ascii="Times New Roman" w:hAnsi="Times New Roman" w:cs="Times New Roman"/>
          <w:b w:val="0"/>
          <w:bCs w:val="0"/>
          <w:sz w:val="36"/>
          <w:szCs w:val="36"/>
          <w:lang w:val="en-GB"/>
        </w:rPr>
        <w:footnoteReference w:id="182"/>
      </w:r>
      <w:r>
        <w:rPr>
          <w:rFonts w:hint="default" w:ascii="Times New Roman" w:hAnsi="Times New Roman" w:cs="Times New Roman"/>
          <w:b w:val="0"/>
          <w:bCs w:val="0"/>
          <w:sz w:val="36"/>
          <w:szCs w:val="36"/>
          <w:lang w:val="en-GB"/>
        </w:rPr>
        <w:t>. John Tebawde of Fordham in his bequest was even more specific :</w:t>
      </w:r>
    </w:p>
    <w:p>
      <w:pPr>
        <w:numPr>
          <w:ilvl w:val="0"/>
          <w:numId w:val="0"/>
        </w:numPr>
        <w:spacing w:line="360" w:lineRule="auto"/>
        <w:rPr>
          <w:rFonts w:hint="default" w:ascii="Times New Roman" w:hAnsi="Times New Roman" w:cs="Times New Roman"/>
          <w:sz w:val="36"/>
          <w:szCs w:val="36"/>
          <w:u w:val="single"/>
          <w:lang w:val="en-GB"/>
        </w:rPr>
      </w:pPr>
      <w:r>
        <w:rPr>
          <w:rFonts w:hint="default" w:ascii="Times New Roman" w:hAnsi="Times New Roman" w:cs="Times New Roman"/>
          <w:b w:val="0"/>
          <w:bCs w:val="0"/>
          <w:sz w:val="36"/>
          <w:szCs w:val="36"/>
          <w:lang w:val="en-GB"/>
        </w:rPr>
        <w:t>‘A suitable chaplain to celebrate for a whole year, for my soul and for the souls of my parents and all my benefactors, he taking for his salary 100s, and being a scholar of Cambridge’</w:t>
      </w:r>
      <w:r>
        <w:rPr>
          <w:rStyle w:val="10"/>
          <w:rFonts w:hint="default" w:ascii="Times New Roman" w:hAnsi="Times New Roman" w:cs="Times New Roman"/>
          <w:b w:val="0"/>
          <w:bCs w:val="0"/>
          <w:sz w:val="36"/>
          <w:szCs w:val="36"/>
          <w:lang w:val="en-GB"/>
        </w:rPr>
        <w:footnoteReference w:id="183"/>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Only one will specified similarly for the mendicant orders, William Neel of Fordham in 1471 requested ‘a friar chaplain of Cambridge to celebrate divine service in the said church for my soul and the souls of my benefactors and of all the faithful departed’</w:t>
      </w:r>
      <w:r>
        <w:rPr>
          <w:rStyle w:val="10"/>
          <w:rFonts w:hint="default" w:ascii="Times New Roman" w:hAnsi="Times New Roman" w:cs="Times New Roman"/>
          <w:sz w:val="36"/>
          <w:szCs w:val="36"/>
          <w:u w:val="none"/>
          <w:lang w:val="en-GB"/>
        </w:rPr>
        <w:footnoteReference w:id="184"/>
      </w:r>
      <w:r>
        <w:rPr>
          <w:rFonts w:hint="default" w:ascii="Times New Roman" w:hAnsi="Times New Roman" w:cs="Times New Roman"/>
          <w:sz w:val="36"/>
          <w:szCs w:val="36"/>
          <w:u w:val="none"/>
          <w:lang w:val="en-GB"/>
        </w:rPr>
        <w:t>.</w:t>
      </w:r>
    </w:p>
    <w:p>
      <w:pPr>
        <w:spacing w:line="360" w:lineRule="auto"/>
        <w:jc w:val="left"/>
        <w:rPr>
          <w:rFonts w:hint="default" w:ascii="Times New Roman" w:hAnsi="Times New Roman" w:cs="Times New Roman"/>
          <w:b/>
          <w:bCs/>
          <w:sz w:val="36"/>
          <w:szCs w:val="36"/>
          <w:lang w:val="en-GB"/>
        </w:rPr>
      </w:pPr>
      <w:r>
        <w:rPr>
          <w:rFonts w:hint="default" w:ascii="Times New Roman" w:hAnsi="Times New Roman" w:cs="Times New Roman"/>
          <w:sz w:val="36"/>
          <w:szCs w:val="36"/>
          <w:u w:val="none"/>
          <w:lang w:val="en-GB"/>
        </w:rPr>
        <w:t>Another will makes a curious stipulation giving the previous point that for many clergy they would have to have several benefactors. Thomas Mylde of Clare in his will of 1463 makes the request of ‘ a good and honest secular chaplain to celebrate for my soul and the souls of my father and mother, in Clare church and nowhere else, for a whole year’</w:t>
      </w:r>
      <w:r>
        <w:rPr>
          <w:rStyle w:val="10"/>
          <w:rFonts w:hint="default" w:ascii="Times New Roman" w:hAnsi="Times New Roman" w:cs="Times New Roman"/>
          <w:sz w:val="36"/>
          <w:szCs w:val="36"/>
          <w:u w:val="none"/>
          <w:lang w:val="en-GB"/>
        </w:rPr>
        <w:footnoteReference w:id="185"/>
      </w:r>
      <w:r>
        <w:rPr>
          <w:rFonts w:hint="default" w:ascii="Times New Roman" w:hAnsi="Times New Roman" w:cs="Times New Roman"/>
          <w:sz w:val="36"/>
          <w:szCs w:val="36"/>
          <w:u w:val="none"/>
          <w:lang w:val="en-GB"/>
        </w:rPr>
        <w:t>.</w:t>
      </w: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p>
    <w:p>
      <w:pPr>
        <w:numPr>
          <w:ilvl w:val="0"/>
          <w:numId w:val="0"/>
        </w:numPr>
        <w:spacing w:line="360" w:lineRule="auto"/>
        <w:rPr>
          <w:rFonts w:hint="default" w:ascii="Times New Roman" w:hAnsi="Times New Roman" w:cs="Times New Roman"/>
          <w:b/>
          <w:bCs/>
          <w:sz w:val="36"/>
          <w:szCs w:val="36"/>
          <w:lang w:val="en-GB"/>
        </w:rPr>
      </w:pPr>
      <w:r>
        <w:rPr>
          <w:rFonts w:hint="default" w:ascii="Times New Roman" w:hAnsi="Times New Roman" w:cs="Times New Roman"/>
          <w:b/>
          <w:bCs/>
          <w:sz w:val="36"/>
          <w:szCs w:val="36"/>
          <w:lang w:val="en-GB"/>
        </w:rPr>
        <w:t>Conclusion</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What these wills seem to show therefore is an clear concern in the souls and widespread belief and understanding of the afterlife.The time period covered by these wills was as previously discussed a time that had followed seismic changes and gave a need for urgency in ensuring your soul’s salvation. For most Hell was real, life was fragile and the world was full of malevolent forces.As the parson in Chaucer noted:</w:t>
      </w:r>
    </w:p>
    <w:p>
      <w:pPr>
        <w:spacing w:line="360" w:lineRule="auto"/>
        <w:jc w:val="left"/>
        <w:rPr>
          <w:rFonts w:hint="default" w:ascii="Times New Roman" w:hAnsi="Times New Roman" w:cs="Times New Roman"/>
          <w:b/>
          <w:bCs/>
          <w:sz w:val="36"/>
          <w:szCs w:val="36"/>
          <w:lang w:val="en-GB"/>
        </w:rPr>
      </w:pPr>
      <w:r>
        <w:rPr>
          <w:rFonts w:hint="default" w:ascii="Times New Roman" w:hAnsi="Times New Roman" w:cs="Times New Roman"/>
          <w:sz w:val="36"/>
          <w:szCs w:val="36"/>
          <w:u w:val="none"/>
          <w:lang w:val="en-GB"/>
        </w:rPr>
        <w:t>‘the ….cause that oghte moeve a man to contrition is drede of the daye of dome and of the horrible peynes of hell’</w:t>
      </w:r>
      <w:r>
        <w:rPr>
          <w:rStyle w:val="10"/>
          <w:rFonts w:hint="default" w:ascii="Times New Roman" w:hAnsi="Times New Roman" w:cs="Times New Roman"/>
          <w:sz w:val="36"/>
          <w:szCs w:val="36"/>
          <w:u w:val="none"/>
          <w:lang w:val="en-GB"/>
        </w:rPr>
        <w:footnoteReference w:id="186"/>
      </w:r>
      <w:r>
        <w:rPr>
          <w:rFonts w:hint="default" w:ascii="Times New Roman" w:hAnsi="Times New Roman" w:cs="Times New Roman"/>
          <w:sz w:val="36"/>
          <w:szCs w:val="36"/>
          <w:u w:val="none"/>
          <w:lang w:val="en-GB"/>
        </w:rPr>
        <w:t xml:space="preserve"> </w:t>
      </w:r>
    </w:p>
    <w:p>
      <w:pPr>
        <w:numPr>
          <w:ilvl w:val="0"/>
          <w:numId w:val="0"/>
        </w:numPr>
        <w:spacing w:line="360" w:lineRule="auto"/>
        <w:rPr>
          <w:rFonts w:hint="default" w:ascii="Times New Roman" w:hAnsi="Times New Roman" w:cs="Times New Roman"/>
          <w:b w:val="0"/>
          <w:bCs w:val="0"/>
          <w:sz w:val="36"/>
          <w:szCs w:val="36"/>
          <w:lang w:val="en-GB"/>
        </w:rPr>
      </w:pPr>
      <w:r>
        <w:rPr>
          <w:rFonts w:hint="default" w:ascii="Times New Roman" w:hAnsi="Times New Roman" w:cs="Times New Roman"/>
          <w:b w:val="0"/>
          <w:bCs w:val="0"/>
          <w:sz w:val="36"/>
          <w:szCs w:val="36"/>
          <w:lang w:val="en-GB"/>
        </w:rPr>
        <w:t>So to conclude the aim of this dissertation was to use the medieval wills of the Baldwyne register as a source to discuss medieval belief and understanding of the soul and its afterlife. In order to achieve this I firstly looked at the church’s teachings on the soul and primarily the concept of purgatory. This is important because the doctrine of purgatory was disseminated through preaching by both the priests and the mendicant orders as well as more tangible means such as doom paintings.</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b w:val="0"/>
          <w:bCs w:val="0"/>
          <w:sz w:val="36"/>
          <w:szCs w:val="36"/>
          <w:lang w:val="en-GB"/>
        </w:rPr>
        <w:t xml:space="preserve">I would argue that evidence of medieval belief in the afterlife or existence of purgatory can first be seen in these wills with the sheer number that made bequests concerning the soul. </w:t>
      </w:r>
      <w:r>
        <w:rPr>
          <w:rFonts w:hint="default" w:ascii="Times New Roman" w:hAnsi="Times New Roman" w:cs="Times New Roman"/>
          <w:sz w:val="36"/>
          <w:szCs w:val="36"/>
          <w:u w:val="none"/>
          <w:lang w:val="en-GB"/>
        </w:rPr>
        <w:t>Of the 772 wills that I was able to study almost all , some 690, made either clear arrangements which they stated were for the soul or strong evidence that the fate of the soul was the reason for the bequest.</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Next in order to look at medieval understanding of the afterlife I discussed the tools that church teachings instructed could be employed to aid the soul’s journey from the afterlife to heaven. Confession when death was close was the first stage but the wills as a source provide a record of what the testator hoped would be the next stages. </w:t>
      </w:r>
    </w:p>
    <w:p>
      <w:pPr>
        <w:spacing w:line="360" w:lineRule="auto"/>
        <w:jc w:val="left"/>
        <w:rPr>
          <w:rFonts w:hint="default" w:ascii="Times New Roman" w:hAnsi="Times New Roman" w:cs="Times New Roman"/>
          <w:b/>
          <w:bCs/>
          <w:sz w:val="36"/>
          <w:szCs w:val="36"/>
          <w:lang w:val="en-GB"/>
        </w:rPr>
      </w:pPr>
      <w:r>
        <w:rPr>
          <w:rFonts w:hint="default" w:ascii="Times New Roman" w:hAnsi="Times New Roman" w:cs="Times New Roman"/>
          <w:sz w:val="36"/>
          <w:szCs w:val="36"/>
          <w:u w:val="none"/>
          <w:lang w:val="en-GB"/>
        </w:rPr>
        <w:t>Firstly the soul had to die in charity ie be clear of all financial obligations and debts which an understanding of this is shown in the wills. Nearly ten per cent specified that the payment of debts were to be treated as a priority. A larger number at 303, so almost half of the total wills, made arrangements for any tithes that were owed to be paid. The non-payment or overlooking tithes to the church was seen as debt and was the obligation that most concerned the testators.</w:t>
      </w:r>
    </w:p>
    <w:p>
      <w:pPr>
        <w:numPr>
          <w:ilvl w:val="0"/>
          <w:numId w:val="0"/>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 xml:space="preserve">Secondly church teachings advocated that acts of charity earned the soul time off from purgatory and this could take several different forms. If we use the seven works of mercy there were various actions promoted by Christian teachings. Providing for the poor and housing the sick was an act of charity and are set out in detail in bequests in 32 of the wills. Acts of good works could also aid the soul and good works also included bequests to churches for repairs and items that could be used in the services. 282 wills out of 772 made arrangements for various items and repairs to mainly churches but there was also a couple to the mendicant orders too. Church doctrine also taught of the importance of faith and piety for your soul.  There was also 41 wills that made bequests for lights and candles to be funded which I would debate shows the need for leaving behind a reminder of those who have departed. This would encourage the continuation of the masses for the souls of the deceased as well as showing that they were pious. </w:t>
      </w:r>
    </w:p>
    <w:p>
      <w:pPr>
        <w:numPr>
          <w:ilvl w:val="0"/>
          <w:numId w:val="0"/>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A large number of wills some 98 made bequests for gilds and importantly for this study gilds were a means in which the laity could arrange to have candles and masses for them once they had passed. that would also arrange for candles and masses for the deceased.Even when we look at the wills that did not specify obvious intercessory tools such as masses there were still 438 Wills out of the 772 that requested that any residue in their estate be used in ways that were to profit the soul.</w:t>
      </w:r>
    </w:p>
    <w:p>
      <w:pPr>
        <w:numPr>
          <w:ilvl w:val="0"/>
          <w:numId w:val="0"/>
        </w:numPr>
        <w:spacing w:line="360" w:lineRule="auto"/>
        <w:rPr>
          <w:rFonts w:hint="default" w:ascii="Times New Roman" w:hAnsi="Times New Roman" w:cs="Times New Roman"/>
          <w:sz w:val="36"/>
          <w:szCs w:val="36"/>
          <w:lang w:val="en-GB"/>
        </w:rPr>
      </w:pPr>
      <w:r>
        <w:rPr>
          <w:rFonts w:hint="default" w:ascii="Times New Roman" w:hAnsi="Times New Roman" w:cs="Times New Roman"/>
          <w:sz w:val="36"/>
          <w:szCs w:val="36"/>
          <w:lang w:val="en-GB"/>
        </w:rPr>
        <w:t>Pilgrimage was another means to benefit the soul given that there were so many pilgrim sites and shrines that would offer indulgences for sparing the soul some time off in purgatory. We have 19 wills in total that set out clear instructions for a pilgrimage to be made for them.</w:t>
      </w:r>
    </w:p>
    <w:p>
      <w:pPr>
        <w:numPr>
          <w:ilvl w:val="0"/>
          <w:numId w:val="0"/>
        </w:numPr>
        <w:spacing w:line="360" w:lineRule="auto"/>
        <w:rPr>
          <w:rFonts w:hint="default" w:ascii="Times New Roman" w:hAnsi="Times New Roman" w:cs="Times New Roman"/>
          <w:sz w:val="36"/>
          <w:szCs w:val="36"/>
          <w:u w:val="none"/>
          <w:lang w:val="en-GB"/>
        </w:rPr>
      </w:pPr>
      <w:r>
        <w:rPr>
          <w:rFonts w:hint="default" w:ascii="Times New Roman" w:hAnsi="Times New Roman" w:cs="Times New Roman"/>
          <w:sz w:val="36"/>
          <w:szCs w:val="36"/>
          <w:lang w:val="en-GB"/>
        </w:rPr>
        <w:t>When we looked at the wills that made bequests for the most popular way to help those departed which was masses we still the most clear sign of an understanding of the afterlife. This understanding through e</w:t>
      </w:r>
      <w:r>
        <w:rPr>
          <w:rFonts w:hint="default" w:ascii="Times New Roman" w:hAnsi="Times New Roman" w:cs="Times New Roman"/>
          <w:sz w:val="36"/>
          <w:szCs w:val="36"/>
          <w:u w:val="none"/>
          <w:lang w:val="en-GB"/>
        </w:rPr>
        <w:t>xposure to the preaching on the soul and the threat of purgatory can also be seen in the number of wills that left a bequest for masses from secular clergy and the mendicant orders. In total there were 427 wills out of the 772 that made arrangements for masses to be said or sung on the behalf of the testators soul.</w:t>
      </w:r>
    </w:p>
    <w:p>
      <w:pPr>
        <w:numPr>
          <w:ilvl w:val="0"/>
          <w:numId w:val="0"/>
        </w:numPr>
        <w:spacing w:line="360" w:lineRule="auto"/>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 xml:space="preserve"> I would argue that the arrangements requested in many of these wills such as acts of good work, charity and piety demonstrate the the influence of church doctrine and that there was a widespread understanding of the soul and the afterlife. There was also a sense that the salvation of the soul was felt to be a communal responsibility with many requests including others in the prayers. This generosity would also hopefully lead to a return gesture for the testator in the future. </w:t>
      </w:r>
    </w:p>
    <w:p>
      <w:pPr>
        <w:numPr>
          <w:ilvl w:val="0"/>
          <w:numId w:val="0"/>
        </w:numPr>
        <w:spacing w:line="360" w:lineRule="auto"/>
        <w:rPr>
          <w:rFonts w:hint="default" w:ascii="Times New Roman" w:hAnsi="Times New Roman" w:cs="Times New Roman"/>
          <w:b/>
          <w:bCs/>
          <w:sz w:val="36"/>
          <w:szCs w:val="36"/>
          <w:lang w:val="en-GB"/>
        </w:rPr>
      </w:pPr>
      <w:r>
        <w:rPr>
          <w:rFonts w:hint="default" w:ascii="Times New Roman" w:hAnsi="Times New Roman" w:cs="Times New Roman"/>
          <w:sz w:val="36"/>
          <w:szCs w:val="36"/>
          <w:u w:val="none"/>
          <w:lang w:val="en-GB"/>
        </w:rPr>
        <w:t xml:space="preserve">There was also a definite preference for the services of the mendicant orders when it came to masses and especially the trental. There was 502 bequests for the orders of friars compared to 291 for the secular clergy which I would surmise that it lends further weight to an understanding of the soul and the afterlife. The importance of the mass for the salvation of the soul has has been discussed in this study  and so meant that the laity on the main chose the provider that was better trained and so that was the mendicant orders. There was though still a loyalty to the local churches when it came to the act of good works and many more bequests for fabric, repair and ornaments to them rather than to the various orders of friars. </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Whilst as previously discussed in the introduction there needs to be an element of care when using wills as a source for religious belief I conclude and agree with the viewpoint as set out by Duffy in his book that the will could provide a final record set down of one’s spiritual faith. It was a means of not just making future arrangements for one’s physical assets but also for one’s spiritual assets.</w:t>
      </w:r>
    </w:p>
    <w:p>
      <w:pPr>
        <w:spacing w:line="360" w:lineRule="auto"/>
        <w:jc w:val="left"/>
        <w:rPr>
          <w:rFonts w:hint="default" w:ascii="Times New Roman" w:hAnsi="Times New Roman" w:cs="Times New Roman"/>
          <w:sz w:val="36"/>
          <w:szCs w:val="36"/>
          <w:u w:val="none"/>
          <w:lang w:val="en-GB"/>
        </w:rPr>
      </w:pPr>
      <w:r>
        <w:rPr>
          <w:rFonts w:hint="default" w:ascii="Times New Roman" w:hAnsi="Times New Roman" w:cs="Times New Roman"/>
          <w:sz w:val="36"/>
          <w:szCs w:val="36"/>
          <w:u w:val="none"/>
          <w:lang w:val="en-GB"/>
        </w:rPr>
        <w:t>As the will of one testator stated ‘ nothing is more certain than death and nothing is more uncertain than the hour of death’.</w:t>
      </w:r>
    </w:p>
    <w:p>
      <w:pPr>
        <w:spacing w:line="360" w:lineRule="auto"/>
        <w:jc w:val="left"/>
        <w:rPr>
          <w:rFonts w:hint="default" w:ascii="Times New Roman" w:hAnsi="Times New Roman" w:cs="Times New Roman"/>
          <w:sz w:val="36"/>
          <w:szCs w:val="36"/>
          <w:u w:val="none"/>
          <w:lang w:val="en-GB"/>
        </w:rPr>
      </w:pPr>
    </w:p>
    <w:p>
      <w:pPr>
        <w:spacing w:line="360" w:lineRule="auto"/>
        <w:jc w:val="left"/>
        <w:rPr>
          <w:rFonts w:hint="default" w:ascii="Times New Roman" w:hAnsi="Times New Roman" w:cs="Times New Roman"/>
          <w:sz w:val="36"/>
          <w:szCs w:val="36"/>
          <w:u w:val="none"/>
          <w:lang w:val="en-GB"/>
        </w:rPr>
      </w:pPr>
    </w:p>
    <w:p>
      <w:pPr>
        <w:spacing w:line="360" w:lineRule="auto"/>
        <w:jc w:val="center"/>
        <w:rPr>
          <w:rFonts w:hint="default" w:ascii="Times New Roman" w:hAnsi="Times New Roman" w:cs="Times New Roman"/>
          <w:sz w:val="36"/>
          <w:szCs w:val="36"/>
          <w:u w:val="none"/>
          <w:lang w:val="en-GB"/>
        </w:rPr>
      </w:pPr>
    </w:p>
    <w:p>
      <w:pPr>
        <w:spacing w:line="360" w:lineRule="auto"/>
        <w:jc w:val="center"/>
        <w:rPr>
          <w:rFonts w:hint="default" w:ascii="Times New Roman" w:hAnsi="Times New Roman" w:cs="Times New Roman"/>
          <w:sz w:val="36"/>
          <w:szCs w:val="36"/>
          <w:u w:val="single"/>
          <w:lang w:val="en-GB"/>
        </w:rPr>
      </w:pPr>
    </w:p>
    <w:p>
      <w:pPr>
        <w:spacing w:line="360" w:lineRule="auto"/>
        <w:jc w:val="center"/>
        <w:rPr>
          <w:rFonts w:hint="default" w:ascii="Times New Roman" w:hAnsi="Times New Roman" w:cs="Times New Roman"/>
          <w:sz w:val="36"/>
          <w:szCs w:val="36"/>
          <w:u w:val="single"/>
          <w:lang w:val="en-GB"/>
        </w:rPr>
      </w:pPr>
    </w:p>
    <w:p>
      <w:pPr>
        <w:spacing w:line="360" w:lineRule="auto"/>
        <w:jc w:val="both"/>
        <w:rPr>
          <w:rFonts w:hint="default" w:ascii="Times New Roman" w:hAnsi="Times New Roman" w:cs="Times New Roman"/>
          <w:sz w:val="36"/>
          <w:szCs w:val="36"/>
          <w:u w:val="single"/>
          <w:lang w:val="en-GB"/>
        </w:rPr>
      </w:pPr>
    </w:p>
    <w:p>
      <w:pPr>
        <w:spacing w:line="360" w:lineRule="auto"/>
        <w:jc w:val="center"/>
        <w:rPr>
          <w:rFonts w:hint="default" w:ascii="Times New Roman" w:hAnsi="Times New Roman" w:cs="Times New Roman"/>
          <w:sz w:val="36"/>
          <w:szCs w:val="36"/>
          <w:lang w:val="en-GB"/>
        </w:rPr>
      </w:pPr>
      <w:r>
        <w:rPr>
          <w:rFonts w:hint="default" w:ascii="Times New Roman" w:hAnsi="Times New Roman" w:cs="Times New Roman"/>
          <w:sz w:val="36"/>
          <w:szCs w:val="36"/>
          <w:u w:val="single"/>
          <w:lang w:val="en-GB"/>
        </w:rPr>
        <w:t>Bibliography</w:t>
      </w:r>
    </w:p>
    <w:p>
      <w:pPr>
        <w:spacing w:line="360" w:lineRule="auto"/>
        <w:rPr>
          <w:rFonts w:hint="default" w:ascii="Times New Roman" w:hAnsi="Times New Roman" w:cs="Times New Roman"/>
          <w:sz w:val="36"/>
          <w:szCs w:val="36"/>
          <w:u w:val="single"/>
          <w:lang w:val="en-GB"/>
        </w:rPr>
      </w:pPr>
      <w:r>
        <w:rPr>
          <w:rFonts w:hint="default" w:ascii="Times New Roman" w:hAnsi="Times New Roman" w:cs="Times New Roman"/>
          <w:sz w:val="36"/>
          <w:szCs w:val="36"/>
          <w:u w:val="single"/>
          <w:lang w:val="en-GB"/>
        </w:rPr>
        <w:t>Secondary Sources</w:t>
      </w:r>
    </w:p>
    <w:p>
      <w:pPr>
        <w:spacing w:line="360" w:lineRule="auto"/>
        <w:rPr>
          <w:rFonts w:hint="default" w:ascii="Times New Roman" w:hAnsi="Times New Roman" w:cs="Times New Roman"/>
          <w:sz w:val="36"/>
          <w:szCs w:val="36"/>
          <w:u w:val="single"/>
          <w:lang w:val="en-GB"/>
        </w:rPr>
      </w:pPr>
    </w:p>
    <w:p>
      <w:pPr>
        <w:spacing w:line="48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Anderson,R and Bellenger, D(2007) (editors) </w:t>
      </w:r>
      <w:r>
        <w:rPr>
          <w:rFonts w:hint="default" w:ascii="Times New Roman" w:hAnsi="Times New Roman" w:cs="Times New Roman"/>
          <w:i/>
          <w:iCs/>
          <w:sz w:val="24"/>
          <w:szCs w:val="24"/>
          <w:lang w:val="en-GB"/>
        </w:rPr>
        <w:t>Medieval Religion: A Sourcebook</w:t>
      </w:r>
      <w:r>
        <w:rPr>
          <w:rFonts w:hint="default" w:ascii="Times New Roman" w:hAnsi="Times New Roman" w:cs="Times New Roman"/>
          <w:sz w:val="24"/>
          <w:szCs w:val="24"/>
          <w:lang w:val="en-GB"/>
        </w:rPr>
        <w:t>. Abingdon.Routledge.</w:t>
      </w:r>
    </w:p>
    <w:p>
      <w:pPr>
        <w:spacing w:line="48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Bailey,M (2010) </w:t>
      </w:r>
      <w:r>
        <w:rPr>
          <w:rFonts w:hint="default" w:ascii="Times New Roman" w:hAnsi="Times New Roman" w:cs="Times New Roman"/>
          <w:i/>
          <w:iCs/>
          <w:sz w:val="24"/>
          <w:szCs w:val="24"/>
          <w:lang w:val="en-GB"/>
        </w:rPr>
        <w:t>Medieval Suffolk: An Economic and Social History, 1200-1500</w:t>
      </w:r>
      <w:r>
        <w:rPr>
          <w:rFonts w:hint="default" w:ascii="Times New Roman" w:hAnsi="Times New Roman" w:cs="Times New Roman"/>
          <w:sz w:val="24"/>
          <w:szCs w:val="24"/>
          <w:lang w:val="en-GB"/>
        </w:rPr>
        <w:t>. Woodbridge.Boydell Press.</w:t>
      </w:r>
    </w:p>
    <w:p>
      <w:pPr>
        <w:spacing w:line="48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Brown, P (2015) </w:t>
      </w:r>
      <w:r>
        <w:rPr>
          <w:rFonts w:hint="default" w:ascii="Times New Roman" w:hAnsi="Times New Roman" w:cs="Times New Roman"/>
          <w:i/>
          <w:iCs/>
          <w:sz w:val="24"/>
          <w:szCs w:val="24"/>
          <w:lang w:val="en-GB"/>
        </w:rPr>
        <w:t>The Cult of the Saints</w:t>
      </w:r>
      <w:r>
        <w:rPr>
          <w:rFonts w:hint="default" w:ascii="Times New Roman" w:hAnsi="Times New Roman" w:cs="Times New Roman"/>
          <w:sz w:val="24"/>
          <w:szCs w:val="24"/>
          <w:lang w:val="en-GB"/>
        </w:rPr>
        <w:t>. 2</w:t>
      </w:r>
      <w:r>
        <w:rPr>
          <w:rFonts w:hint="default" w:ascii="Times New Roman" w:hAnsi="Times New Roman" w:cs="Times New Roman"/>
          <w:sz w:val="24"/>
          <w:szCs w:val="24"/>
          <w:vertAlign w:val="superscript"/>
          <w:lang w:val="en-GB"/>
        </w:rPr>
        <w:t>nd</w:t>
      </w:r>
      <w:r>
        <w:rPr>
          <w:rFonts w:hint="default" w:ascii="Times New Roman" w:hAnsi="Times New Roman" w:cs="Times New Roman"/>
          <w:sz w:val="24"/>
          <w:szCs w:val="24"/>
          <w:lang w:val="en-GB"/>
        </w:rPr>
        <w:t xml:space="preserve"> Edition. Chicago. The University of Chicago Press.</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sz w:val="24"/>
          <w:szCs w:val="24"/>
          <w:lang w:val="en-GB"/>
        </w:rPr>
        <w:t xml:space="preserve">Cook, G.H (1963) </w:t>
      </w:r>
      <w:r>
        <w:rPr>
          <w:rFonts w:hint="default" w:ascii="Times New Roman" w:hAnsi="Times New Roman" w:cs="Times New Roman"/>
          <w:i/>
          <w:iCs/>
          <w:sz w:val="24"/>
          <w:szCs w:val="24"/>
          <w:lang w:val="en-GB"/>
        </w:rPr>
        <w:t>Medieval Chantries and Chantry Chapels.</w:t>
      </w:r>
      <w:r>
        <w:rPr>
          <w:rFonts w:hint="default" w:ascii="Times New Roman" w:hAnsi="Times New Roman" w:cs="Times New Roman"/>
          <w:i w:val="0"/>
          <w:iCs w:val="0"/>
          <w:sz w:val="24"/>
          <w:szCs w:val="24"/>
          <w:lang w:val="en-GB"/>
        </w:rPr>
        <w:t>London: Phoenix House Ltd.</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Evans, G.R (2007) </w:t>
      </w:r>
      <w:r>
        <w:rPr>
          <w:rFonts w:hint="default" w:ascii="Times New Roman" w:hAnsi="Times New Roman" w:cs="Times New Roman"/>
          <w:i/>
          <w:iCs/>
          <w:sz w:val="24"/>
          <w:szCs w:val="24"/>
          <w:lang w:val="en-GB"/>
        </w:rPr>
        <w:t>The Church in the Early Middle Ages</w:t>
      </w:r>
      <w:r>
        <w:rPr>
          <w:rFonts w:hint="default" w:ascii="Times New Roman" w:hAnsi="Times New Roman" w:cs="Times New Roman"/>
          <w:i w:val="0"/>
          <w:iCs w:val="0"/>
          <w:sz w:val="24"/>
          <w:szCs w:val="24"/>
          <w:lang w:val="en-GB"/>
        </w:rPr>
        <w:t xml:space="preserve">. London:I.B Tauris &amp; Co Ltd. </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Goldberg, P.J.P (2004) </w:t>
      </w:r>
      <w:r>
        <w:rPr>
          <w:rFonts w:hint="default" w:ascii="Times New Roman" w:hAnsi="Times New Roman" w:cs="Times New Roman"/>
          <w:i/>
          <w:iCs/>
          <w:sz w:val="24"/>
          <w:szCs w:val="24"/>
          <w:lang w:val="en-GB"/>
        </w:rPr>
        <w:t>Medieval England: A Social History 1250-1550</w:t>
      </w:r>
      <w:r>
        <w:rPr>
          <w:rFonts w:hint="default" w:ascii="Times New Roman" w:hAnsi="Times New Roman" w:cs="Times New Roman"/>
          <w:i w:val="0"/>
          <w:iCs w:val="0"/>
          <w:sz w:val="24"/>
          <w:szCs w:val="24"/>
          <w:lang w:val="en-GB"/>
        </w:rPr>
        <w:t>. London: Holder Arnold.</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w:t>
      </w:r>
    </w:p>
    <w:p>
      <w:pPr>
        <w:spacing w:line="480" w:lineRule="auto"/>
        <w:rPr>
          <w:rFonts w:hint="default" w:ascii="Times New Roman" w:hAnsi="Times New Roman" w:cs="Times New Roman"/>
          <w:i w:val="0"/>
          <w:iCs w:val="0"/>
          <w:sz w:val="24"/>
          <w:szCs w:val="24"/>
          <w:lang w:val="en-GB"/>
        </w:rPr>
      </w:pP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Le Goff, J (1984) </w:t>
      </w:r>
      <w:r>
        <w:rPr>
          <w:rFonts w:hint="default" w:ascii="Times New Roman" w:hAnsi="Times New Roman" w:cs="Times New Roman"/>
          <w:i/>
          <w:iCs/>
          <w:sz w:val="24"/>
          <w:szCs w:val="24"/>
          <w:lang w:val="en-GB"/>
        </w:rPr>
        <w:t>The Birth of Purgatory</w:t>
      </w:r>
      <w:r>
        <w:rPr>
          <w:rFonts w:hint="default" w:ascii="Times New Roman" w:hAnsi="Times New Roman" w:cs="Times New Roman"/>
          <w:i w:val="0"/>
          <w:iCs w:val="0"/>
          <w:sz w:val="24"/>
          <w:szCs w:val="24"/>
          <w:lang w:val="en-GB"/>
        </w:rPr>
        <w:t xml:space="preserve">. Translated by A. Goldhammer. Chicago: </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University of Chicago Press.</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Logan, F.D (2002) </w:t>
      </w:r>
      <w:r>
        <w:rPr>
          <w:rFonts w:hint="default" w:ascii="Times New Roman" w:hAnsi="Times New Roman" w:cs="Times New Roman"/>
          <w:i/>
          <w:iCs/>
          <w:sz w:val="24"/>
          <w:szCs w:val="24"/>
          <w:lang w:val="en-GB"/>
        </w:rPr>
        <w:t>A History of the church in the Middle Ages</w:t>
      </w:r>
      <w:r>
        <w:rPr>
          <w:rFonts w:hint="default" w:ascii="Times New Roman" w:hAnsi="Times New Roman" w:cs="Times New Roman"/>
          <w:i w:val="0"/>
          <w:iCs w:val="0"/>
          <w:sz w:val="24"/>
          <w:szCs w:val="24"/>
          <w:lang w:val="en-GB"/>
        </w:rPr>
        <w:t>. London: Routledge.</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Rosewell, R (2012) </w:t>
      </w:r>
      <w:r>
        <w:rPr>
          <w:rFonts w:hint="default" w:ascii="Times New Roman" w:hAnsi="Times New Roman" w:cs="Times New Roman"/>
          <w:i/>
          <w:iCs/>
          <w:sz w:val="24"/>
          <w:szCs w:val="24"/>
          <w:lang w:val="en-GB"/>
        </w:rPr>
        <w:t>The Medieval Monastery</w:t>
      </w:r>
      <w:r>
        <w:rPr>
          <w:rFonts w:hint="default" w:ascii="Times New Roman" w:hAnsi="Times New Roman" w:cs="Times New Roman"/>
          <w:i w:val="0"/>
          <w:iCs w:val="0"/>
          <w:sz w:val="24"/>
          <w:szCs w:val="24"/>
          <w:lang w:val="en-GB"/>
        </w:rPr>
        <w:t xml:space="preserve">. Oxford. Bloomsbury Publishing Plc. </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Sumption, J (2003) </w:t>
      </w:r>
      <w:r>
        <w:rPr>
          <w:rFonts w:hint="default" w:ascii="Times New Roman" w:hAnsi="Times New Roman" w:cs="Times New Roman"/>
          <w:i/>
          <w:iCs/>
          <w:sz w:val="24"/>
          <w:szCs w:val="24"/>
          <w:lang w:val="en-GB"/>
        </w:rPr>
        <w:t>The Age of Pilgrimage</w:t>
      </w:r>
      <w:r>
        <w:rPr>
          <w:rFonts w:hint="default" w:ascii="Times New Roman" w:hAnsi="Times New Roman" w:cs="Times New Roman"/>
          <w:i w:val="0"/>
          <w:iCs w:val="0"/>
          <w:sz w:val="24"/>
          <w:szCs w:val="24"/>
          <w:lang w:val="en-GB"/>
        </w:rPr>
        <w:t>. New Jersey. Hiddensprings.</w:t>
      </w:r>
    </w:p>
    <w:p>
      <w:pPr>
        <w:spacing w:line="480" w:lineRule="auto"/>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Webb, D (2000) </w:t>
      </w:r>
      <w:r>
        <w:rPr>
          <w:rFonts w:hint="default" w:ascii="Times New Roman" w:hAnsi="Times New Roman" w:cs="Times New Roman"/>
          <w:i/>
          <w:iCs/>
          <w:sz w:val="24"/>
          <w:szCs w:val="24"/>
          <w:lang w:val="en-GB"/>
        </w:rPr>
        <w:t>Pilgrimage in Medieval England. London</w:t>
      </w:r>
      <w:r>
        <w:rPr>
          <w:rFonts w:hint="default" w:ascii="Times New Roman" w:hAnsi="Times New Roman" w:cs="Times New Roman"/>
          <w:i w:val="0"/>
          <w:iCs w:val="0"/>
          <w:sz w:val="24"/>
          <w:szCs w:val="24"/>
          <w:lang w:val="en-GB"/>
        </w:rPr>
        <w:t>. Hambledon &amp; London.</w:t>
      </w:r>
    </w:p>
    <w:p>
      <w:pPr>
        <w:spacing w:line="480" w:lineRule="auto"/>
        <w:rPr>
          <w:rFonts w:hint="default" w:ascii="Times New Roman" w:hAnsi="Times New Roman" w:cs="Times New Roman"/>
          <w:sz w:val="24"/>
          <w:szCs w:val="24"/>
          <w:u w:val="single"/>
          <w:lang w:val="en-GB"/>
        </w:rPr>
      </w:pPr>
      <w:r>
        <w:rPr>
          <w:rFonts w:hint="default" w:ascii="Times New Roman" w:hAnsi="Times New Roman" w:eastAsia="SimSun" w:cs="Times New Roman"/>
          <w:i w:val="0"/>
          <w:caps w:val="0"/>
          <w:color w:val="333333"/>
          <w:spacing w:val="0"/>
          <w:sz w:val="24"/>
          <w:szCs w:val="24"/>
          <w:shd w:val="clear" w:fill="FFFFFF"/>
        </w:rPr>
        <w:t>Williams, Arnold. “Chaucer and the Friars.” </w:t>
      </w:r>
      <w:r>
        <w:rPr>
          <w:rFonts w:hint="default" w:ascii="Times New Roman" w:hAnsi="Times New Roman" w:eastAsia="SimSun" w:cs="Times New Roman"/>
          <w:i/>
          <w:caps w:val="0"/>
          <w:color w:val="333333"/>
          <w:spacing w:val="0"/>
          <w:sz w:val="24"/>
          <w:szCs w:val="24"/>
          <w:shd w:val="clear" w:fill="FFFFFF"/>
        </w:rPr>
        <w:t>Speculum</w:t>
      </w:r>
      <w:r>
        <w:rPr>
          <w:rFonts w:hint="default" w:ascii="Times New Roman" w:hAnsi="Times New Roman" w:eastAsia="SimSun" w:cs="Times New Roman"/>
          <w:i w:val="0"/>
          <w:caps w:val="0"/>
          <w:color w:val="333333"/>
          <w:spacing w:val="0"/>
          <w:sz w:val="24"/>
          <w:szCs w:val="24"/>
          <w:shd w:val="clear" w:fill="FFFFFF"/>
        </w:rPr>
        <w:t>, vol. 28, no. 3, 1953, pp. 499–513. </w:t>
      </w:r>
      <w:r>
        <w:rPr>
          <w:rFonts w:hint="default" w:ascii="Times New Roman" w:hAnsi="Times New Roman" w:eastAsia="SimSun" w:cs="Times New Roman"/>
          <w:i/>
          <w:caps w:val="0"/>
          <w:color w:val="333333"/>
          <w:spacing w:val="0"/>
          <w:sz w:val="24"/>
          <w:szCs w:val="24"/>
          <w:shd w:val="clear" w:fill="FFFFFF"/>
        </w:rPr>
        <w:t>JSTOR</w:t>
      </w:r>
      <w:r>
        <w:rPr>
          <w:rFonts w:hint="default" w:ascii="Times New Roman" w:hAnsi="Times New Roman" w:eastAsia="SimSun" w:cs="Times New Roman"/>
          <w:i w:val="0"/>
          <w:caps w:val="0"/>
          <w:color w:val="333333"/>
          <w:spacing w:val="0"/>
          <w:sz w:val="24"/>
          <w:szCs w:val="24"/>
          <w:shd w:val="clear" w:fill="FFFFFF"/>
        </w:rPr>
        <w:t>, www.jstor.org/stable/2847024. Accessed 12 Sept. 2020.</w:t>
      </w: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24"/>
          <w:szCs w:val="24"/>
          <w:lang w:val="en-GB"/>
        </w:rPr>
      </w:pPr>
    </w:p>
    <w:p>
      <w:pPr>
        <w:spacing w:line="360" w:lineRule="auto"/>
        <w:rPr>
          <w:rFonts w:hint="default" w:ascii="Times New Roman" w:hAnsi="Times New Roman" w:cs="Times New Roman"/>
          <w:i w:val="0"/>
          <w:iCs w:val="0"/>
          <w:sz w:val="36"/>
          <w:szCs w:val="36"/>
          <w:u w:val="single"/>
          <w:lang w:val="en-GB"/>
        </w:rPr>
      </w:pPr>
    </w:p>
    <w:p>
      <w:pPr>
        <w:spacing w:line="360" w:lineRule="auto"/>
        <w:rPr>
          <w:rFonts w:hint="default" w:ascii="Times New Roman" w:hAnsi="Times New Roman" w:cs="Times New Roman"/>
          <w:i w:val="0"/>
          <w:iCs w:val="0"/>
          <w:sz w:val="36"/>
          <w:szCs w:val="36"/>
          <w:u w:val="single"/>
          <w:lang w:val="en-GB"/>
        </w:rPr>
      </w:pPr>
      <w:r>
        <w:rPr>
          <w:rFonts w:hint="default" w:ascii="Times New Roman" w:hAnsi="Times New Roman" w:cs="Times New Roman"/>
          <w:i w:val="0"/>
          <w:iCs w:val="0"/>
          <w:sz w:val="36"/>
          <w:szCs w:val="36"/>
          <w:u w:val="single"/>
          <w:lang w:val="en-GB"/>
        </w:rPr>
        <w:t>Primary Sources</w:t>
      </w:r>
    </w:p>
    <w:p>
      <w:pPr>
        <w:spacing w:line="360" w:lineRule="auto"/>
        <w:rPr>
          <w:rFonts w:hint="default" w:ascii="Times New Roman" w:hAnsi="Times New Roman" w:cs="Times New Roman"/>
          <w:i w:val="0"/>
          <w:iCs w:val="0"/>
          <w:sz w:val="36"/>
          <w:szCs w:val="36"/>
          <w:u w:val="single"/>
          <w:lang w:val="en-GB"/>
        </w:rPr>
      </w:pPr>
    </w:p>
    <w:p>
      <w:pPr>
        <w:spacing w:line="360" w:lineRule="auto"/>
        <w:rPr>
          <w:rFonts w:hint="default" w:ascii="Times New Roman" w:hAnsi="Times New Roman" w:cs="Times New Roman"/>
          <w:i w:val="0"/>
          <w:iCs w:val="0"/>
          <w:sz w:val="24"/>
          <w:szCs w:val="24"/>
          <w:u w:val="none"/>
          <w:lang w:val="en-GB"/>
        </w:rPr>
      </w:pPr>
      <w:r>
        <w:rPr>
          <w:rFonts w:hint="default" w:ascii="Times New Roman" w:hAnsi="Times New Roman" w:cs="Times New Roman"/>
          <w:i/>
          <w:iCs/>
          <w:sz w:val="24"/>
          <w:szCs w:val="24"/>
          <w:u w:val="none"/>
          <w:lang w:val="en-GB"/>
        </w:rP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i w:val="0"/>
          <w:iCs w:val="0"/>
          <w:sz w:val="24"/>
          <w:szCs w:val="24"/>
          <w:u w:val="none"/>
          <w:lang w:val="en-GB"/>
        </w:rPr>
        <w:t>Chaucer, G.</w:t>
      </w:r>
      <w:r>
        <w:rPr>
          <w:rFonts w:hint="default" w:ascii="Times New Roman" w:hAnsi="Times New Roman" w:cs="Times New Roman"/>
          <w:i/>
          <w:iCs/>
          <w:sz w:val="24"/>
          <w:szCs w:val="24"/>
          <w:u w:val="none"/>
          <w:lang w:val="en-GB"/>
        </w:rPr>
        <w:t xml:space="preserve"> </w:t>
      </w:r>
      <w:r>
        <w:rPr>
          <w:rFonts w:hint="default" w:ascii="Times New Roman" w:hAnsi="Times New Roman" w:cs="Times New Roman"/>
          <w:i w:val="0"/>
          <w:iCs w:val="0"/>
          <w:sz w:val="24"/>
          <w:szCs w:val="24"/>
          <w:u w:val="none"/>
          <w:lang w:val="en-GB"/>
        </w:rPr>
        <w:t>(2008)</w:t>
      </w:r>
      <w:r>
        <w:rPr>
          <w:rFonts w:hint="default" w:ascii="Times New Roman" w:hAnsi="Times New Roman" w:cs="Times New Roman"/>
          <w:i/>
          <w:iCs/>
          <w:sz w:val="24"/>
          <w:szCs w:val="24"/>
          <w:u w:val="none"/>
          <w:lang w:val="en-GB"/>
        </w:rPr>
        <w:t>The Canterbury Tales</w:t>
      </w:r>
      <w:r>
        <w:rPr>
          <w:rFonts w:hint="default" w:ascii="Times New Roman" w:hAnsi="Times New Roman" w:cs="Times New Roman"/>
          <w:i w:val="0"/>
          <w:iCs w:val="0"/>
          <w:sz w:val="24"/>
          <w:szCs w:val="24"/>
          <w:u w:val="none"/>
          <w:lang w:val="en-GB"/>
        </w:rPr>
        <w:t xml:space="preserve">. A verse translation by David Wright.Oxford. Oxford University Press. </w:t>
      </w:r>
    </w:p>
    <w:p>
      <w:pPr>
        <w:spacing w:line="360" w:lineRule="auto"/>
        <w:rPr>
          <w:rFonts w:hint="default" w:ascii="Times New Roman" w:hAnsi="Times New Roman" w:cs="Times New Roman"/>
          <w:sz w:val="36"/>
          <w:szCs w:val="36"/>
          <w:lang w:val="en-GB"/>
        </w:rPr>
      </w:pPr>
      <w:r>
        <w:rPr>
          <w:rFonts w:hint="default" w:ascii="Times New Roman" w:hAnsi="Times New Roman" w:cs="Times New Roman"/>
          <w:sz w:val="24"/>
          <w:szCs w:val="24"/>
          <w:lang w:val="en-GB"/>
        </w:rPr>
        <w:t>Dante. (2009)</w:t>
      </w:r>
      <w:r>
        <w:rPr>
          <w:rFonts w:hint="default" w:ascii="Times New Roman" w:hAnsi="Times New Roman" w:cs="Times New Roman"/>
          <w:i/>
          <w:iCs/>
          <w:sz w:val="24"/>
          <w:szCs w:val="24"/>
          <w:lang w:val="en-GB"/>
        </w:rPr>
        <w:t>The Divine Comedy</w:t>
      </w:r>
      <w:r>
        <w:rPr>
          <w:rFonts w:hint="default" w:ascii="Times New Roman" w:hAnsi="Times New Roman" w:cs="Times New Roman"/>
          <w:sz w:val="24"/>
          <w:szCs w:val="24"/>
          <w:lang w:val="en-GB"/>
        </w:rPr>
        <w:t>. Translated with notes by Henry Francis Cary.Ware. Wordsworth Editions Limited.</w:t>
      </w:r>
    </w:p>
    <w:p>
      <w:pPr>
        <w:spacing w:line="360" w:lineRule="auto"/>
        <w:rPr>
          <w:rFonts w:hint="default" w:ascii="Times New Roman" w:hAnsi="Times New Roman" w:cs="Times New Roman"/>
          <w:i w:val="0"/>
          <w:iCs w:val="0"/>
          <w:sz w:val="24"/>
          <w:szCs w:val="24"/>
          <w:u w:val="none"/>
          <w:lang w:val="en-GB"/>
        </w:rPr>
      </w:pPr>
      <w:r>
        <w:rPr>
          <w:rFonts w:hint="default" w:ascii="Times New Roman" w:hAnsi="Times New Roman" w:cs="Times New Roman"/>
          <w:i w:val="0"/>
          <w:iCs w:val="0"/>
          <w:sz w:val="24"/>
          <w:szCs w:val="24"/>
          <w:u w:val="none"/>
          <w:lang w:val="en-GB"/>
        </w:rPr>
        <w:t xml:space="preserve">Swanson, R.N. (1993).Manchester medieval sources series. </w:t>
      </w:r>
      <w:r>
        <w:rPr>
          <w:rFonts w:hint="default" w:ascii="Times New Roman" w:hAnsi="Times New Roman" w:cs="Times New Roman"/>
          <w:i/>
          <w:iCs/>
          <w:sz w:val="24"/>
          <w:szCs w:val="24"/>
          <w:u w:val="none"/>
          <w:lang w:val="en-GB"/>
        </w:rPr>
        <w:t>Catholic England : Faith, Religion and observance before the reformation</w:t>
      </w:r>
      <w:r>
        <w:rPr>
          <w:rFonts w:hint="default" w:ascii="Times New Roman" w:hAnsi="Times New Roman" w:cs="Times New Roman"/>
          <w:i w:val="0"/>
          <w:iCs w:val="0"/>
          <w:sz w:val="24"/>
          <w:szCs w:val="24"/>
          <w:u w:val="none"/>
          <w:lang w:val="en-GB"/>
        </w:rPr>
        <w:t>.Manchester.Manchester University Press.</w:t>
      </w: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lang w:val="en-GB"/>
        </w:rPr>
      </w:pPr>
    </w:p>
    <w:p>
      <w:pPr>
        <w:spacing w:line="360" w:lineRule="auto"/>
        <w:rPr>
          <w:rFonts w:hint="default" w:ascii="Times New Roman" w:hAnsi="Times New Roman" w:cs="Times New Roman"/>
          <w:sz w:val="36"/>
          <w:szCs w:val="36"/>
          <w:u w:val="single"/>
          <w:lang w:val="en-GB"/>
        </w:rPr>
      </w:pPr>
    </w:p>
    <w:p>
      <w:pPr>
        <w:spacing w:line="360" w:lineRule="auto"/>
        <w:rPr>
          <w:rFonts w:hint="default" w:ascii="Times New Roman" w:hAnsi="Times New Roman" w:cs="Times New Roman"/>
          <w:sz w:val="36"/>
          <w:szCs w:val="36"/>
          <w:u w:val="single"/>
          <w:lang w:val="en-GB"/>
        </w:rPr>
      </w:pPr>
      <w:r>
        <w:rPr>
          <w:rFonts w:hint="default" w:ascii="Times New Roman" w:hAnsi="Times New Roman" w:cs="Times New Roman"/>
          <w:sz w:val="36"/>
          <w:szCs w:val="36"/>
          <w:u w:val="single"/>
          <w:lang w:val="en-GB"/>
        </w:rPr>
        <w:t>Online Sources</w:t>
      </w:r>
    </w:p>
    <w:p>
      <w:pPr>
        <w:spacing w:line="360" w:lineRule="auto"/>
        <w:rPr>
          <w:rFonts w:hint="default" w:ascii="Times New Roman" w:hAnsi="Times New Roman" w:cs="Times New Roman"/>
          <w:sz w:val="36"/>
          <w:szCs w:val="36"/>
          <w:u w:val="single"/>
          <w:lang w:val="en-GB"/>
        </w:rPr>
      </w:pPr>
    </w:p>
    <w:p>
      <w:pPr>
        <w:spacing w:line="360" w:lineRule="auto"/>
        <w:rPr>
          <w:rFonts w:hint="default" w:ascii="Times New Roman" w:hAnsi="Times New Roman" w:cs="Times New Roman"/>
          <w:sz w:val="22"/>
          <w:szCs w:val="22"/>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"https://www.britainexpress.com/counties/suffolk/churches/wenhaston.htm" </w:instrText>
      </w:r>
      <w:r>
        <w:rPr>
          <w:rFonts w:ascii="SimSun" w:hAnsi="SimSun" w:eastAsia="SimSun" w:cs="SimSun"/>
          <w:sz w:val="24"/>
          <w:szCs w:val="24"/>
        </w:rPr>
        <w:fldChar w:fldCharType="separate"/>
      </w:r>
      <w:r>
        <w:rPr>
          <w:rStyle w:val="11"/>
          <w:rFonts w:ascii="SimSun" w:hAnsi="SimSun" w:eastAsia="SimSun" w:cs="SimSun"/>
          <w:sz w:val="24"/>
          <w:szCs w:val="24"/>
        </w:rPr>
        <w:t>https://www.britainexpress.com/counties/suffolk/churches/wenhaston.htm</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10/09/2020.</w:t>
      </w:r>
    </w:p>
    <w:p>
      <w:pPr>
        <w:spacing w:line="360" w:lineRule="auto"/>
        <w:rPr>
          <w:rFonts w:hint="default" w:ascii="Times New Roman" w:hAnsi="Times New Roman" w:cs="Times New Roman"/>
          <w:sz w:val="36"/>
          <w:szCs w:val="36"/>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"https://www.britainexpress.com/contact-images.htm" </w:instrText>
      </w:r>
      <w:r>
        <w:rPr>
          <w:rFonts w:ascii="SimSun" w:hAnsi="SimSun" w:eastAsia="SimSun" w:cs="SimSun"/>
          <w:sz w:val="24"/>
          <w:szCs w:val="24"/>
        </w:rPr>
        <w:fldChar w:fldCharType="separate"/>
      </w:r>
      <w:r>
        <w:rPr>
          <w:rStyle w:val="11"/>
          <w:rFonts w:ascii="SimSun" w:hAnsi="SimSun" w:eastAsia="SimSun" w:cs="SimSun"/>
          <w:sz w:val="24"/>
          <w:szCs w:val="24"/>
        </w:rPr>
        <w:t>https://www.britainexpress.com/contact-images.htm</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10/09/2020.</w:t>
      </w:r>
    </w:p>
    <w:p>
      <w:pPr>
        <w:spacing w:line="360" w:lineRule="auto"/>
        <w:rPr>
          <w:rStyle w:val="11"/>
          <w:rFonts w:hint="default" w:ascii="SimSun" w:hAnsi="SimSun" w:eastAsia="SimSun" w:cs="SimSun"/>
          <w:sz w:val="24"/>
          <w:szCs w:val="24"/>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"https://www.visitchurches.org.uk/visit/church-listing/st-peter-sudbury.html" </w:instrText>
      </w:r>
      <w:r>
        <w:rPr>
          <w:rFonts w:ascii="SimSun" w:hAnsi="SimSun" w:eastAsia="SimSun" w:cs="SimSun"/>
          <w:sz w:val="24"/>
          <w:szCs w:val="24"/>
        </w:rPr>
        <w:fldChar w:fldCharType="separate"/>
      </w:r>
      <w:r>
        <w:rPr>
          <w:rStyle w:val="11"/>
          <w:rFonts w:ascii="SimSun" w:hAnsi="SimSun" w:eastAsia="SimSun" w:cs="SimSun"/>
          <w:sz w:val="24"/>
          <w:szCs w:val="24"/>
        </w:rPr>
        <w:t>https://www.visitchurches.org.uk/visit/church-listing/st-peter-sudbury.htm</w:t>
      </w:r>
      <w:r>
        <w:rPr>
          <w:rStyle w:val="11"/>
          <w:rFonts w:hint="default" w:ascii="SimSun" w:hAnsi="SimSun" w:eastAsia="SimSun" w:cs="SimSun"/>
          <w:sz w:val="24"/>
          <w:szCs w:val="24"/>
          <w:lang w:val="en-GB"/>
        </w:rPr>
        <w:t xml:space="preserve">  </w:t>
      </w:r>
      <w:r>
        <w:rPr>
          <w:rFonts w:hint="default" w:ascii="Times New Roman" w:hAnsi="Times New Roman" w:cs="Times New Roman"/>
          <w:lang w:val="en-GB"/>
        </w:rPr>
        <w:t>accessed 10/09/2020.</w:t>
      </w:r>
    </w:p>
    <w:p>
      <w:pPr>
        <w:spacing w:line="360" w:lineRule="auto"/>
        <w:rPr>
          <w:rStyle w:val="11"/>
          <w:rFonts w:hint="default" w:ascii="SimSun" w:hAnsi="SimSun" w:eastAsia="SimSun" w:cs="SimSun"/>
          <w:sz w:val="24"/>
          <w:szCs w:val="24"/>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"https://www.blythvalleychurches.org.uk/st-peters-church-wenhaston" </w:instrText>
      </w:r>
      <w:r>
        <w:rPr>
          <w:rFonts w:ascii="SimSun" w:hAnsi="SimSun" w:eastAsia="SimSun" w:cs="SimSun"/>
          <w:sz w:val="24"/>
          <w:szCs w:val="24"/>
        </w:rPr>
        <w:fldChar w:fldCharType="separate"/>
      </w:r>
      <w:r>
        <w:rPr>
          <w:rStyle w:val="11"/>
          <w:rFonts w:ascii="SimSun" w:hAnsi="SimSun" w:eastAsia="SimSun" w:cs="SimSun"/>
          <w:sz w:val="24"/>
          <w:szCs w:val="24"/>
        </w:rPr>
        <w:t>https://www.blythvalleychurches.org.uk/st-peters-church-wenhaston</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10/09/2020.</w:t>
      </w:r>
    </w:p>
    <w:p>
      <w:pPr>
        <w:spacing w:line="360" w:lineRule="auto"/>
        <w:rPr>
          <w:rStyle w:val="11"/>
          <w:rFonts w:ascii="SimSun" w:hAnsi="SimSun" w:eastAsia="SimSun" w:cs="SimSun"/>
          <w:sz w:val="24"/>
          <w:szCs w:val="24"/>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"https://www.walsingham.org.uk/history/" </w:instrText>
      </w:r>
      <w:r>
        <w:rPr>
          <w:rFonts w:ascii="SimSun" w:hAnsi="SimSun" w:eastAsia="SimSun" w:cs="SimSun"/>
          <w:sz w:val="24"/>
          <w:szCs w:val="24"/>
        </w:rPr>
        <w:fldChar w:fldCharType="separate"/>
      </w:r>
      <w:r>
        <w:rPr>
          <w:rStyle w:val="11"/>
          <w:rFonts w:ascii="SimSun" w:hAnsi="SimSun" w:eastAsia="SimSun" w:cs="SimSun"/>
          <w:sz w:val="24"/>
          <w:szCs w:val="24"/>
        </w:rPr>
        <w:t>https://www.walsingham.org.uk/history/</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03/09/2020.</w:t>
      </w:r>
    </w:p>
    <w:p>
      <w:pPr>
        <w:spacing w:line="360" w:lineRule="auto"/>
        <w:rPr>
          <w:rStyle w:val="11"/>
          <w:rFonts w:hint="default" w:ascii="SimSun" w:hAnsi="SimSun" w:eastAsia="SimSun" w:cs="SimSun"/>
          <w:sz w:val="24"/>
          <w:szCs w:val="24"/>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"https://thecatholicmanshow.com/franciscans-and-dominicans/" </w:instrText>
      </w:r>
      <w:r>
        <w:rPr>
          <w:rFonts w:ascii="SimSun" w:hAnsi="SimSun" w:eastAsia="SimSun" w:cs="SimSun"/>
          <w:sz w:val="24"/>
          <w:szCs w:val="24"/>
        </w:rPr>
        <w:fldChar w:fldCharType="separate"/>
      </w:r>
      <w:r>
        <w:rPr>
          <w:rStyle w:val="11"/>
          <w:rFonts w:ascii="SimSun" w:hAnsi="SimSun" w:eastAsia="SimSun" w:cs="SimSun"/>
          <w:sz w:val="24"/>
          <w:szCs w:val="24"/>
        </w:rPr>
        <w:t>https://thecatholicmanshow.com/franciscans-and-dominicans/</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03/09/2020.</w:t>
      </w:r>
    </w:p>
    <w:p>
      <w:pPr>
        <w:spacing w:line="360" w:lineRule="auto"/>
        <w:rPr>
          <w:rStyle w:val="11"/>
          <w:rFonts w:hint="default" w:ascii="SimSun" w:hAnsi="SimSun" w:eastAsia="SimSun" w:cs="SimSun"/>
          <w:sz w:val="24"/>
          <w:szCs w:val="24"/>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"https://archaeology-travel.com/england/doom-painting-st-thomas-church-salisbury/" </w:instrText>
      </w:r>
      <w:r>
        <w:rPr>
          <w:rFonts w:ascii="SimSun" w:hAnsi="SimSun" w:eastAsia="SimSun" w:cs="SimSun"/>
          <w:sz w:val="24"/>
          <w:szCs w:val="24"/>
        </w:rPr>
        <w:fldChar w:fldCharType="separate"/>
      </w:r>
      <w:r>
        <w:rPr>
          <w:rStyle w:val="11"/>
          <w:rFonts w:ascii="SimSun" w:hAnsi="SimSun" w:eastAsia="SimSun" w:cs="SimSun"/>
          <w:sz w:val="24"/>
          <w:szCs w:val="24"/>
        </w:rPr>
        <w:t>https://archaeology-travel.com/england/doom-painting-st-thomas-church-salisbury/</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03/09/2020.</w:t>
      </w:r>
    </w:p>
    <w:p>
      <w:pPr>
        <w:spacing w:line="360" w:lineRule="auto"/>
        <w:rPr>
          <w:rStyle w:val="11"/>
          <w:rFonts w:hint="default" w:ascii="SimSun" w:hAnsi="SimSun" w:eastAsia="SimSun" w:cs="SimSun"/>
          <w:sz w:val="24"/>
          <w:szCs w:val="24"/>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"http://www.bbc.co.uk/suffolk/content/articles/2007/01/26/divine_art_wenhaston_doom_feature.shtml" </w:instrText>
      </w:r>
      <w:r>
        <w:rPr>
          <w:rFonts w:ascii="SimSun" w:hAnsi="SimSun" w:eastAsia="SimSun" w:cs="SimSun"/>
          <w:sz w:val="24"/>
          <w:szCs w:val="24"/>
        </w:rPr>
        <w:fldChar w:fldCharType="separate"/>
      </w:r>
      <w:r>
        <w:rPr>
          <w:rStyle w:val="11"/>
          <w:rFonts w:ascii="SimSun" w:hAnsi="SimSun" w:eastAsia="SimSun" w:cs="SimSun"/>
          <w:sz w:val="24"/>
          <w:szCs w:val="24"/>
        </w:rPr>
        <w:t>http://www.bbc.co.uk/suffolk/content/articles/2007/01/26/divine_art_wenhaston_doom_feature.shtml</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01/09/2020.</w:t>
      </w:r>
    </w:p>
    <w:p>
      <w:pPr>
        <w:spacing w:line="360" w:lineRule="auto"/>
        <w:rPr>
          <w:rStyle w:val="11"/>
          <w:rFonts w:ascii="SimSun" w:hAnsi="SimSun" w:eastAsia="SimSun" w:cs="SimSun"/>
          <w:sz w:val="24"/>
          <w:szCs w:val="24"/>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"https://www.historytoday.com/miscellanies/medieval-gig-economy" </w:instrText>
      </w:r>
      <w:r>
        <w:rPr>
          <w:rFonts w:ascii="SimSun" w:hAnsi="SimSun" w:eastAsia="SimSun" w:cs="SimSun"/>
          <w:sz w:val="24"/>
          <w:szCs w:val="24"/>
        </w:rPr>
        <w:fldChar w:fldCharType="separate"/>
      </w:r>
      <w:r>
        <w:rPr>
          <w:rStyle w:val="11"/>
          <w:rFonts w:ascii="SimSun" w:hAnsi="SimSun" w:eastAsia="SimSun" w:cs="SimSun"/>
          <w:sz w:val="24"/>
          <w:szCs w:val="24"/>
        </w:rPr>
        <w:t>https://www.historytoday.com/miscellanies/medieval-gig-economy</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13/09/2020.</w:t>
      </w:r>
    </w:p>
    <w:p>
      <w:pPr>
        <w:spacing w:line="360" w:lineRule="auto"/>
        <w:rPr>
          <w:rStyle w:val="11"/>
          <w:rFonts w:ascii="SimSun" w:hAnsi="SimSun" w:eastAsia="SimSun" w:cs="SimSun"/>
          <w:sz w:val="24"/>
          <w:szCs w:val="24"/>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"https://www.british-history.ac.uk/vch/norf/vol2/p329" </w:instrText>
      </w:r>
      <w:r>
        <w:rPr>
          <w:rFonts w:ascii="SimSun" w:hAnsi="SimSun" w:eastAsia="SimSun" w:cs="SimSun"/>
          <w:sz w:val="24"/>
          <w:szCs w:val="24"/>
        </w:rPr>
        <w:fldChar w:fldCharType="separate"/>
      </w:r>
      <w:r>
        <w:rPr>
          <w:rStyle w:val="11"/>
          <w:rFonts w:ascii="SimSun" w:hAnsi="SimSun" w:eastAsia="SimSun" w:cs="SimSun"/>
          <w:sz w:val="24"/>
          <w:szCs w:val="24"/>
        </w:rPr>
        <w:t>https://www.british-history.ac.uk/vch/norf/vol2/p329</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19/09/2020.</w:t>
      </w:r>
    </w:p>
    <w:p>
      <w:pPr>
        <w:spacing w:line="360" w:lineRule="auto"/>
        <w:rPr>
          <w:rStyle w:val="11"/>
          <w:rFonts w:ascii="SimSun" w:hAnsi="SimSun" w:eastAsia="SimSun" w:cs="SimSun"/>
          <w:sz w:val="24"/>
          <w:szCs w:val="24"/>
        </w:rPr>
      </w:pPr>
      <w:r>
        <w:rPr>
          <w:rFonts w:ascii="SimSun" w:hAnsi="SimSun" w:eastAsia="SimSun" w:cs="SimSun"/>
          <w:sz w:val="24"/>
          <w:szCs w:val="24"/>
        </w:rPr>
        <w:fldChar w:fldCharType="begin"/>
      </w:r>
      <w:r>
        <w:rPr>
          <w:rFonts w:ascii="SimSun" w:hAnsi="SimSun" w:eastAsia="SimSun" w:cs="SimSun"/>
          <w:sz w:val="24"/>
          <w:szCs w:val="24"/>
        </w:rPr>
        <w:instrText xml:space="preserve"> HYPERLINK "http://www.suffolkchurches.co.uk/sudburyrc.htm" </w:instrText>
      </w:r>
      <w:r>
        <w:rPr>
          <w:rFonts w:ascii="SimSun" w:hAnsi="SimSun" w:eastAsia="SimSun" w:cs="SimSun"/>
          <w:sz w:val="24"/>
          <w:szCs w:val="24"/>
        </w:rPr>
        <w:fldChar w:fldCharType="separate"/>
      </w:r>
      <w:r>
        <w:rPr>
          <w:rStyle w:val="11"/>
          <w:rFonts w:ascii="SimSun" w:hAnsi="SimSun" w:eastAsia="SimSun" w:cs="SimSun"/>
          <w:sz w:val="24"/>
          <w:szCs w:val="24"/>
        </w:rPr>
        <w:t>http://www.suffolkchurches.co.uk/sudburyrc.htm</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19/09/2020</w:t>
      </w:r>
      <w:r>
        <w:rPr>
          <w:rFonts w:hint="default" w:ascii="SimSun" w:hAnsi="SimSun" w:eastAsia="SimSun" w:cs="SimSun"/>
          <w:sz w:val="24"/>
          <w:szCs w:val="24"/>
          <w:lang w:val="en-GB"/>
        </w:rPr>
        <w:t>.</w:t>
      </w:r>
    </w:p>
    <w:p>
      <w:pPr>
        <w:spacing w:line="360" w:lineRule="auto"/>
        <w:rPr>
          <w:rStyle w:val="11"/>
          <w:rFonts w:hint="default" w:ascii="SimSun" w:hAnsi="SimSun" w:eastAsia="SimSun" w:cs="SimSun"/>
          <w:sz w:val="24"/>
          <w:szCs w:val="24"/>
          <w:lang w:val="en-GB"/>
        </w:rPr>
      </w:pPr>
      <w:r>
        <w:rPr>
          <w:rFonts w:ascii="SimSun" w:hAnsi="SimSun" w:eastAsia="SimSun" w:cs="SimSun"/>
          <w:sz w:val="24"/>
          <w:szCs w:val="24"/>
        </w:rPr>
        <w:fldChar w:fldCharType="begin"/>
      </w:r>
      <w:r>
        <w:rPr>
          <w:rFonts w:ascii="SimSun" w:hAnsi="SimSun" w:eastAsia="SimSun" w:cs="SimSun"/>
          <w:sz w:val="24"/>
          <w:szCs w:val="24"/>
        </w:rPr>
        <w:instrText xml:space="preserve"> HYPERLINK "https://www.newadvent.org/cathen/11781b.htm" </w:instrText>
      </w:r>
      <w:r>
        <w:rPr>
          <w:rFonts w:ascii="SimSun" w:hAnsi="SimSun" w:eastAsia="SimSun" w:cs="SimSun"/>
          <w:sz w:val="24"/>
          <w:szCs w:val="24"/>
        </w:rPr>
        <w:fldChar w:fldCharType="separate"/>
      </w:r>
      <w:r>
        <w:rPr>
          <w:rStyle w:val="11"/>
          <w:rFonts w:ascii="SimSun" w:hAnsi="SimSun" w:eastAsia="SimSun" w:cs="SimSun"/>
          <w:sz w:val="24"/>
          <w:szCs w:val="24"/>
        </w:rPr>
        <w:t>https://www.newadvent.org/cathen/11781b.htm</w:t>
      </w:r>
      <w:r>
        <w:rPr>
          <w:rFonts w:ascii="SimSun" w:hAnsi="SimSun" w:eastAsia="SimSun" w:cs="SimSun"/>
          <w:sz w:val="24"/>
          <w:szCs w:val="24"/>
        </w:rPr>
        <w:fldChar w:fldCharType="end"/>
      </w:r>
      <w:r>
        <w:rPr>
          <w:rFonts w:hint="default" w:ascii="SimSun" w:hAnsi="SimSun" w:eastAsia="SimSun" w:cs="SimSun"/>
          <w:sz w:val="24"/>
          <w:szCs w:val="24"/>
          <w:lang w:val="en-GB"/>
        </w:rPr>
        <w:t xml:space="preserve"> </w:t>
      </w:r>
      <w:r>
        <w:rPr>
          <w:rFonts w:hint="default" w:ascii="Times New Roman" w:hAnsi="Times New Roman" w:eastAsia="SimSun" w:cs="Times New Roman"/>
          <w:sz w:val="22"/>
          <w:szCs w:val="22"/>
          <w:lang w:val="en-GB"/>
        </w:rPr>
        <w:t>accessed 19/09/2020</w:t>
      </w:r>
      <w:r>
        <w:rPr>
          <w:rFonts w:hint="default" w:ascii="SimSun" w:hAnsi="SimSun" w:eastAsia="SimSun" w:cs="SimSun"/>
          <w:sz w:val="24"/>
          <w:szCs w:val="24"/>
          <w:lang w:val="en-GB"/>
        </w:rPr>
        <w:t>.</w:t>
      </w: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Style w:val="11"/>
          <w:rFonts w:ascii="SimSun" w:hAnsi="SimSun" w:eastAsia="SimSun" w:cs="SimSun"/>
          <w:sz w:val="24"/>
          <w:szCs w:val="24"/>
        </w:rPr>
      </w:pPr>
    </w:p>
    <w:p>
      <w:pPr>
        <w:spacing w:line="360" w:lineRule="auto"/>
        <w:rPr>
          <w:rFonts w:hint="default" w:ascii="Times New Roman" w:hAnsi="Times New Roman" w:cs="Times New Roman"/>
          <w:sz w:val="36"/>
          <w:szCs w:val="36"/>
          <w:lang w:val="en-GB"/>
        </w:rPr>
      </w:pPr>
      <w:r>
        <w:rPr>
          <w:rStyle w:val="11"/>
          <w:rFonts w:ascii="SimSun" w:hAnsi="SimSun" w:eastAsia="SimSun" w:cs="SimSun"/>
          <w:sz w:val="24"/>
          <w:szCs w:val="24"/>
        </w:rPr>
        <w:t>l</w:t>
      </w:r>
      <w:r>
        <w:rPr>
          <w:rFonts w:ascii="SimSun" w:hAnsi="SimSun" w:eastAsia="SimSun" w:cs="SimSun"/>
          <w:sz w:val="24"/>
          <w:szCs w:val="24"/>
        </w:rPr>
        <w:fldChar w:fldCharType="end"/>
      </w:r>
    </w:p>
    <w:sectPr>
      <w:pgSz w:w="11906" w:h="16838"/>
      <w:pgMar w:top="1440" w:right="1800" w:bottom="1440" w:left="180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Georgia">
    <w:panose1 w:val="02040502050405020303"/>
    <w:charset w:val="00"/>
    <w:family w:val="roman"/>
    <w:pitch w:val="default"/>
    <w:sig w:usb0="00000287" w:usb1="00000000" w:usb2="00000000" w:usb3="00000000" w:csb0="2000009F" w:csb1="00000000"/>
  </w:font>
  <w:font w:name="sans-serif">
    <w:altName w:val="Liberation Mono"/>
    <w:panose1 w:val="00000000000000000000"/>
    <w:charset w:val="00"/>
    <w:family w:val="auto"/>
    <w:pitch w:val="default"/>
    <w:sig w:usb0="00000000" w:usb1="00000000" w:usb2="00000000" w:usb3="00000000" w:csb0="00000000" w:csb1="00000000"/>
  </w:font>
  <w:font w:name="Trebuchet MS">
    <w:panose1 w:val="020B0603020202020204"/>
    <w:charset w:val="00"/>
    <w:family w:val="auto"/>
    <w:pitch w:val="default"/>
    <w:sig w:usb0="00000687" w:usb1="00000000" w:usb2="00000000" w:usb3="00000000" w:csb0="2000009F" w:csb1="00000000"/>
  </w:font>
  <w:font w:name="serif">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374">
    <w:p/>
  </w:footnote>
  <w:footnote w:type="continuationSeparator" w:id="375">
    <w:p>
      <w:r>
        <w:continuationSeparator/>
      </w:r>
    </w:p>
  </w:footnote>
  <w:footnote w:id="0">
    <w:p>
      <w:pPr>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i/>
          <w:iCs/>
          <w:sz w:val="24"/>
          <w:szCs w:val="24"/>
          <w:u w:val="none"/>
          <w:lang w:val="en-GB"/>
        </w:rP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pxliii</w:t>
      </w:r>
    </w:p>
    <w:p>
      <w:pPr>
        <w:pStyle w:val="5"/>
        <w:snapToGrid w:val="0"/>
      </w:pPr>
    </w:p>
  </w:footnote>
  <w:footnote w:id="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lang w:val="en-GB"/>
        </w:rPr>
        <w:t xml:space="preserve"> P xliii</w:t>
      </w:r>
    </w:p>
  </w:footnote>
  <w:footnote w:id="2">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Goldberg, P.J.P (2004) </w:t>
      </w:r>
      <w:r>
        <w:rPr>
          <w:rFonts w:hint="default" w:ascii="Times New Roman" w:hAnsi="Times New Roman" w:cs="Times New Roman"/>
          <w:i/>
          <w:iCs/>
          <w:sz w:val="24"/>
          <w:szCs w:val="24"/>
          <w:lang w:val="en-GB"/>
        </w:rPr>
        <w:t>Medieval England: A Social History 1250-1550</w:t>
      </w:r>
      <w:r>
        <w:rPr>
          <w:rFonts w:hint="default" w:ascii="Times New Roman" w:hAnsi="Times New Roman" w:cs="Times New Roman"/>
          <w:i w:val="0"/>
          <w:iCs w:val="0"/>
          <w:sz w:val="24"/>
          <w:szCs w:val="24"/>
          <w:lang w:val="en-GB"/>
        </w:rPr>
        <w:t>. London: Holder Arnold. P221.</w:t>
      </w:r>
    </w:p>
    <w:p>
      <w:pPr>
        <w:pStyle w:val="5"/>
        <w:snapToGrid w:val="0"/>
      </w:pPr>
    </w:p>
  </w:footnote>
  <w:footnote w:id="3">
    <w:p>
      <w:r>
        <w:rPr>
          <w:rStyle w:val="10"/>
        </w:rPr>
        <w:footnoteRef/>
      </w:r>
      <w:r>
        <w:t xml:space="preserve"> </w:t>
      </w:r>
      <w:r>
        <w:rPr>
          <w:rFonts w:hint="default" w:ascii="Times New Roman" w:hAnsi="Times New Roman" w:cs="Times New Roman"/>
          <w:sz w:val="24"/>
          <w:szCs w:val="24"/>
          <w:lang w:val="en-GB"/>
        </w:rPr>
        <w:t xml:space="preserve">Cook, G.H (1963) </w:t>
      </w:r>
      <w:r>
        <w:rPr>
          <w:rFonts w:hint="default" w:ascii="Times New Roman" w:hAnsi="Times New Roman" w:cs="Times New Roman"/>
          <w:i/>
          <w:iCs/>
          <w:sz w:val="24"/>
          <w:szCs w:val="24"/>
          <w:lang w:val="en-GB"/>
        </w:rPr>
        <w:t>Medieval Chantries and Chantry Chapels.</w:t>
      </w:r>
      <w:r>
        <w:rPr>
          <w:rFonts w:hint="default" w:ascii="Times New Roman" w:hAnsi="Times New Roman" w:cs="Times New Roman"/>
          <w:i w:val="0"/>
          <w:iCs w:val="0"/>
          <w:sz w:val="24"/>
          <w:szCs w:val="24"/>
          <w:lang w:val="en-GB"/>
        </w:rPr>
        <w:t>London: Phoenix House Ltd. P25.</w:t>
      </w:r>
    </w:p>
  </w:footnote>
  <w:footnote w:id="4">
    <w:p>
      <w:pPr>
        <w:pStyle w:val="5"/>
        <w:snapToGrid w:val="0"/>
      </w:pPr>
      <w:r>
        <w:rPr>
          <w:rStyle w:val="10"/>
        </w:rPr>
        <w:footnoteRef/>
      </w:r>
      <w:r>
        <w:t xml:space="preserve">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.Northeast , P &amp; Falvey, H (eds) pxliii</w:t>
      </w:r>
    </w:p>
  </w:footnote>
  <w:footnote w:id="5">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Press.P355.</w:t>
      </w:r>
    </w:p>
  </w:footnote>
  <w:footnote w:id="6">
    <w:p>
      <w:pPr>
        <w:pStyle w:val="5"/>
        <w:snapToGrid w:val="0"/>
        <w:rPr>
          <w:rFonts w:hint="default"/>
          <w:lang w:val="en-GB"/>
        </w:rPr>
      </w:pPr>
      <w:r>
        <w:rPr>
          <w:rStyle w:val="10"/>
        </w:rPr>
        <w:footnoteRef/>
      </w:r>
      <w:r>
        <w:t xml:space="preserve"> </w:t>
      </w:r>
      <w:r>
        <w:rPr>
          <w:rFonts w:hint="default" w:ascii="Times New Roman" w:hAnsi="Times New Roman" w:cs="Times New Roman"/>
          <w:sz w:val="24"/>
          <w:szCs w:val="24"/>
          <w:lang w:val="en-GB"/>
        </w:rPr>
        <w:t xml:space="preserve">Bailey,M (2010) </w:t>
      </w:r>
      <w:r>
        <w:rPr>
          <w:rFonts w:hint="default" w:ascii="Times New Roman" w:hAnsi="Times New Roman" w:cs="Times New Roman"/>
          <w:i/>
          <w:iCs/>
          <w:sz w:val="24"/>
          <w:szCs w:val="24"/>
          <w:lang w:val="en-GB"/>
        </w:rPr>
        <w:t>Medieval Suffolk: An Economic and Social History, 1200-1500</w:t>
      </w:r>
      <w:r>
        <w:rPr>
          <w:rFonts w:hint="default" w:ascii="Times New Roman" w:hAnsi="Times New Roman" w:cs="Times New Roman"/>
          <w:sz w:val="24"/>
          <w:szCs w:val="24"/>
          <w:lang w:val="en-GB"/>
        </w:rPr>
        <w:t>. Woodbridge.Boydell Press.p329.</w:t>
      </w:r>
    </w:p>
  </w:footnote>
  <w:footnote w:id="7">
    <w:p>
      <w:r>
        <w:rPr>
          <w:rStyle w:val="10"/>
        </w:rPr>
        <w:footnoteRef/>
      </w:r>
      <w:r>
        <w:t xml:space="preserve"> </w:t>
      </w:r>
      <w:r>
        <w:rPr>
          <w:rFonts w:hint="default" w:ascii="Times New Roman" w:hAnsi="Times New Roman" w:cs="Times New Roman"/>
          <w:i w:val="0"/>
          <w:iCs w:val="0"/>
          <w:sz w:val="24"/>
          <w:szCs w:val="24"/>
          <w:lang w:val="en-GB"/>
        </w:rPr>
        <w:t xml:space="preserve">Sumption, J (2003) </w:t>
      </w:r>
      <w:r>
        <w:rPr>
          <w:rFonts w:hint="default" w:ascii="Times New Roman" w:hAnsi="Times New Roman" w:cs="Times New Roman"/>
          <w:i/>
          <w:iCs/>
          <w:sz w:val="24"/>
          <w:szCs w:val="24"/>
          <w:lang w:val="en-GB"/>
        </w:rPr>
        <w:t>The Age of Pilgrimage</w:t>
      </w:r>
      <w:r>
        <w:rPr>
          <w:rFonts w:hint="default" w:ascii="Times New Roman" w:hAnsi="Times New Roman" w:cs="Times New Roman"/>
          <w:i w:val="0"/>
          <w:iCs w:val="0"/>
          <w:sz w:val="24"/>
          <w:szCs w:val="24"/>
          <w:lang w:val="en-GB"/>
        </w:rPr>
        <w:t>. New Jersey. Hiddensprings. P11.</w:t>
      </w:r>
    </w:p>
  </w:footnote>
  <w:footnote w:id="8">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Goldberg, P.J.P (2004) </w:t>
      </w:r>
      <w:r>
        <w:rPr>
          <w:rFonts w:hint="default" w:ascii="Times New Roman" w:hAnsi="Times New Roman" w:cs="Times New Roman"/>
          <w:i/>
          <w:iCs/>
          <w:sz w:val="24"/>
          <w:szCs w:val="24"/>
          <w:lang w:val="en-GB"/>
        </w:rPr>
        <w:t>Medieval England: A Social History 1250-1550</w:t>
      </w:r>
      <w:r>
        <w:rPr>
          <w:rFonts w:hint="default" w:ascii="Times New Roman" w:hAnsi="Times New Roman" w:cs="Times New Roman"/>
          <w:i w:val="0"/>
          <w:iCs w:val="0"/>
          <w:sz w:val="24"/>
          <w:szCs w:val="24"/>
          <w:lang w:val="en-GB"/>
        </w:rPr>
        <w:t>. London: Holder Arnold. P36.</w:t>
      </w:r>
    </w:p>
    <w:p>
      <w:pPr>
        <w:pStyle w:val="5"/>
        <w:snapToGrid w:val="0"/>
      </w:pPr>
    </w:p>
  </w:footnote>
  <w:footnote w:id="9">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Logan, F.D (2002) </w:t>
      </w:r>
      <w:r>
        <w:rPr>
          <w:rFonts w:hint="default" w:ascii="Times New Roman" w:hAnsi="Times New Roman" w:cs="Times New Roman"/>
          <w:i/>
          <w:iCs/>
          <w:sz w:val="24"/>
          <w:szCs w:val="24"/>
          <w:lang w:val="en-GB"/>
        </w:rPr>
        <w:t>A History of the church in the Middle Ages</w:t>
      </w:r>
      <w:r>
        <w:rPr>
          <w:rFonts w:hint="default" w:ascii="Times New Roman" w:hAnsi="Times New Roman" w:cs="Times New Roman"/>
          <w:i w:val="0"/>
          <w:iCs w:val="0"/>
          <w:sz w:val="24"/>
          <w:szCs w:val="24"/>
          <w:lang w:val="en-GB"/>
        </w:rPr>
        <w:t>. London: Routledge. P283.</w:t>
      </w:r>
    </w:p>
    <w:p>
      <w:pPr>
        <w:pStyle w:val="5"/>
        <w:snapToGrid w:val="0"/>
      </w:pPr>
    </w:p>
  </w:footnote>
  <w:footnote w:id="10">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Logan, F.D (2002) </w:t>
      </w:r>
      <w:r>
        <w:rPr>
          <w:rFonts w:hint="default" w:ascii="Times New Roman" w:hAnsi="Times New Roman" w:cs="Times New Roman"/>
          <w:i/>
          <w:iCs/>
          <w:sz w:val="24"/>
          <w:szCs w:val="24"/>
          <w:lang w:val="en-GB"/>
        </w:rPr>
        <w:t>A History of the church in the Middle Ages</w:t>
      </w:r>
      <w:r>
        <w:rPr>
          <w:rFonts w:hint="default" w:ascii="Times New Roman" w:hAnsi="Times New Roman" w:cs="Times New Roman"/>
          <w:i w:val="0"/>
          <w:iCs w:val="0"/>
          <w:sz w:val="24"/>
          <w:szCs w:val="24"/>
          <w:lang w:val="en-GB"/>
        </w:rPr>
        <w:t>. London: Routledge. P141.</w:t>
      </w:r>
    </w:p>
  </w:footnote>
  <w:footnote w:id="11">
    <w:p>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Press.p32</w:t>
      </w:r>
    </w:p>
  </w:footnote>
  <w:footnote w:id="12">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.p51.</w:t>
      </w:r>
    </w:p>
  </w:footnote>
  <w:footnote w:id="13">
    <w:p>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 P309.</w:t>
      </w:r>
    </w:p>
  </w:footnote>
  <w:footnote w:id="14">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 xml:space="preserve"> P188.</w:t>
      </w:r>
    </w:p>
  </w:footnote>
  <w:footnote w:id="15">
    <w:p>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w:t>
      </w:r>
    </w:p>
  </w:footnote>
  <w:footnote w:id="1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Press.p16.</w:t>
      </w:r>
    </w:p>
  </w:footnote>
  <w:footnote w:id="17">
    <w:p>
      <w:r>
        <w:rPr>
          <w:rStyle w:val="10"/>
        </w:rPr>
        <w:footnoteRef/>
      </w:r>
      <w:r>
        <w:t xml:space="preserve"> </w:t>
      </w:r>
      <w:r>
        <w:rPr>
          <w:rFonts w:hint="default" w:ascii="Times New Roman" w:hAnsi="Times New Roman" w:cs="Times New Roman"/>
          <w:lang w:val="en-GB"/>
        </w:rPr>
        <w:t>Ibid P</w:t>
      </w:r>
      <w:r>
        <w:rPr>
          <w:rFonts w:hint="default" w:ascii="Times New Roman" w:hAnsi="Times New Roman" w:cs="Times New Roman"/>
          <w:i w:val="0"/>
          <w:iCs w:val="0"/>
          <w:sz w:val="24"/>
          <w:szCs w:val="24"/>
          <w:lang w:val="en-GB"/>
        </w:rPr>
        <w:t>16.</w:t>
      </w:r>
    </w:p>
  </w:footnote>
  <w:footnote w:id="18">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 P431.</w:t>
      </w:r>
    </w:p>
  </w:footnote>
  <w:footnote w:id="19">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Press.p34.</w:t>
      </w:r>
    </w:p>
  </w:footnote>
  <w:footnote w:id="20">
    <w:p>
      <w:pPr>
        <w:pStyle w:val="5"/>
        <w:snapToGrid w:val="0"/>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sz w:val="24"/>
          <w:szCs w:val="24"/>
          <w:lang w:val="en-GB"/>
        </w:rPr>
        <w:t xml:space="preserve">Cook, G.H (1963) </w:t>
      </w:r>
      <w:r>
        <w:rPr>
          <w:rFonts w:hint="default" w:ascii="Times New Roman" w:hAnsi="Times New Roman" w:cs="Times New Roman"/>
          <w:i/>
          <w:iCs/>
          <w:sz w:val="24"/>
          <w:szCs w:val="24"/>
          <w:lang w:val="en-GB"/>
        </w:rPr>
        <w:t>Medieval Chantries and Chantry Chapels.</w:t>
      </w:r>
      <w:r>
        <w:rPr>
          <w:rFonts w:hint="default" w:ascii="Times New Roman" w:hAnsi="Times New Roman" w:cs="Times New Roman"/>
          <w:i w:val="0"/>
          <w:iCs w:val="0"/>
          <w:sz w:val="24"/>
          <w:szCs w:val="24"/>
          <w:lang w:val="en-GB"/>
        </w:rPr>
        <w:t>London: Phoenix House Ltd. P21.</w:t>
      </w:r>
    </w:p>
  </w:footnote>
  <w:footnote w:id="21">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Press.p15.</w:t>
      </w:r>
    </w:p>
  </w:footnote>
  <w:footnote w:id="22">
    <w:p>
      <w:pPr>
        <w:pStyle w:val="5"/>
        <w:snapToGrid w:val="0"/>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Press.p16.</w:t>
      </w:r>
    </w:p>
  </w:footnote>
  <w:footnote w:id="23">
    <w:p>
      <w:r>
        <w:rPr>
          <w:rStyle w:val="10"/>
        </w:rPr>
        <w:footnoteRef/>
      </w:r>
      <w:r>
        <w:t xml:space="preserve"> </w:t>
      </w:r>
      <w:r>
        <w:rPr>
          <w:rFonts w:hint="default" w:ascii="Times New Roman" w:hAnsi="Times New Roman" w:cs="Times New Roman"/>
          <w:i w:val="0"/>
          <w:iCs w:val="0"/>
          <w:sz w:val="24"/>
          <w:szCs w:val="24"/>
          <w:lang w:val="en-GB"/>
        </w:rPr>
        <w:t xml:space="preserve">Goldberg, P.J.P (2004) </w:t>
      </w:r>
      <w:r>
        <w:rPr>
          <w:rFonts w:hint="default" w:ascii="Times New Roman" w:hAnsi="Times New Roman" w:cs="Times New Roman"/>
          <w:i/>
          <w:iCs/>
          <w:sz w:val="24"/>
          <w:szCs w:val="24"/>
          <w:lang w:val="en-GB"/>
        </w:rPr>
        <w:t>Medieval England: A Social History 1250-1550</w:t>
      </w:r>
      <w:r>
        <w:rPr>
          <w:rFonts w:hint="default" w:ascii="Times New Roman" w:hAnsi="Times New Roman" w:cs="Times New Roman"/>
          <w:i w:val="0"/>
          <w:iCs w:val="0"/>
          <w:sz w:val="24"/>
          <w:szCs w:val="24"/>
          <w:lang w:val="en-GB"/>
        </w:rPr>
        <w:t>. London: Holder Arnold. P61.</w:t>
      </w:r>
    </w:p>
  </w:footnote>
  <w:footnote w:id="24">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P199.</w:t>
      </w:r>
    </w:p>
  </w:footnote>
  <w:footnote w:id="2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P407.</w:t>
      </w:r>
    </w:p>
  </w:footnote>
  <w:footnote w:id="26">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Pxli.</w:t>
      </w:r>
    </w:p>
  </w:footnote>
  <w:footnote w:id="27">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P23.</w:t>
      </w:r>
    </w:p>
  </w:footnote>
  <w:footnote w:id="28">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P153.</w:t>
      </w:r>
    </w:p>
  </w:footnote>
  <w:footnote w:id="29">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P478.</w:t>
      </w:r>
    </w:p>
  </w:footnote>
  <w:footnote w:id="30">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Plxii.</w:t>
      </w:r>
    </w:p>
  </w:footnote>
  <w:footnote w:id="31">
    <w:p>
      <w:pPr>
        <w:pStyle w:val="5"/>
        <w:snapToGrid w:val="0"/>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Plxii.</w:t>
      </w:r>
    </w:p>
  </w:footnote>
  <w:footnote w:id="32">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Press.p313.</w:t>
      </w:r>
    </w:p>
    <w:p>
      <w:pPr>
        <w:pStyle w:val="5"/>
        <w:snapToGrid w:val="0"/>
      </w:pPr>
    </w:p>
  </w:footnote>
  <w:footnote w:id="33">
    <w:p>
      <w:r>
        <w:rPr>
          <w:rStyle w:val="10"/>
        </w:rPr>
        <w:footnoteRef/>
      </w:r>
      <w:r>
        <w:t xml:space="preserve"> </w:t>
      </w:r>
      <w:r>
        <w:rPr>
          <w:rFonts w:hint="default" w:ascii="Times New Roman" w:hAnsi="Times New Roman" w:cs="Times New Roman"/>
          <w:i w:val="0"/>
          <w:iCs w:val="0"/>
          <w:sz w:val="24"/>
          <w:szCs w:val="24"/>
          <w:u w:val="none"/>
          <w:lang w:val="en-GB"/>
        </w:rPr>
        <w:t xml:space="preserve">Swanson, R.N. ( 1993) Manchester medieval sources series. </w:t>
      </w:r>
      <w:r>
        <w:rPr>
          <w:rFonts w:hint="default" w:ascii="Times New Roman" w:hAnsi="Times New Roman" w:cs="Times New Roman"/>
          <w:i/>
          <w:iCs/>
          <w:sz w:val="24"/>
          <w:szCs w:val="24"/>
          <w:u w:val="none"/>
          <w:lang w:val="en-GB"/>
        </w:rPr>
        <w:t>Catholic England : Faith, Religion and observance before the reformation</w:t>
      </w:r>
      <w:r>
        <w:rPr>
          <w:rFonts w:hint="default" w:ascii="Times New Roman" w:hAnsi="Times New Roman" w:cs="Times New Roman"/>
          <w:i w:val="0"/>
          <w:iCs w:val="0"/>
          <w:sz w:val="24"/>
          <w:szCs w:val="24"/>
          <w:u w:val="none"/>
          <w:lang w:val="en-GB"/>
        </w:rPr>
        <w:t>.Manchester. Manchester University Press.p139.</w:t>
      </w:r>
    </w:p>
  </w:footnote>
  <w:footnote w:id="34">
    <w:p>
      <w:r>
        <w:rPr>
          <w:rStyle w:val="10"/>
        </w:rPr>
        <w:footnoteRef/>
      </w:r>
      <w:r>
        <w:t xml:space="preserve">  </w:t>
      </w:r>
      <w:r>
        <w:rPr>
          <w:rFonts w:hint="default" w:ascii="Times New Roman" w:hAnsi="Times New Roman" w:cs="Times New Roman"/>
          <w:lang w:val="en-GB"/>
        </w:rPr>
        <w:t xml:space="preserve">Ibid </w:t>
      </w:r>
      <w:r>
        <w:rPr>
          <w:rFonts w:hint="default" w:ascii="Times New Roman" w:hAnsi="Times New Roman" w:cs="Times New Roman"/>
          <w:i w:val="0"/>
          <w:iCs w:val="0"/>
          <w:sz w:val="24"/>
          <w:szCs w:val="24"/>
          <w:u w:val="none"/>
          <w:lang w:val="en-GB"/>
        </w:rPr>
        <w:t>p99.</w:t>
      </w:r>
    </w:p>
  </w:footnote>
  <w:footnote w:id="35">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Press.p19.</w:t>
      </w:r>
    </w:p>
  </w:footnote>
  <w:footnote w:id="36">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p1x</w:t>
      </w:r>
    </w:p>
  </w:footnote>
  <w:footnote w:id="37">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P5.</w:t>
      </w:r>
    </w:p>
  </w:footnote>
  <w:footnote w:id="38">
    <w:p>
      <w:pPr>
        <w:pStyle w:val="5"/>
        <w:snapToGrid w:val="0"/>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P12.</w:t>
      </w:r>
    </w:p>
  </w:footnote>
  <w:footnote w:id="39">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P8.</w:t>
      </w:r>
    </w:p>
    <w:p>
      <w:pPr>
        <w:pStyle w:val="5"/>
        <w:snapToGrid w:val="0"/>
      </w:pPr>
    </w:p>
  </w:footnote>
  <w:footnote w:id="40">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Pxxii.</w:t>
      </w:r>
    </w:p>
  </w:footnote>
  <w:footnote w:id="4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 P315</w:t>
      </w:r>
      <w:r>
        <w:rPr>
          <w:rFonts w:hint="default" w:ascii="Times New Roman" w:hAnsi="Times New Roman" w:cs="Times New Roman"/>
          <w:i w:val="0"/>
          <w:iCs w:val="0"/>
          <w:sz w:val="24"/>
          <w:szCs w:val="24"/>
          <w:u w:val="none"/>
          <w:lang w:val="en-GB"/>
        </w:rPr>
        <w:t>.</w:t>
      </w:r>
    </w:p>
  </w:footnote>
  <w:footnote w:id="42">
    <w:p>
      <w:pPr>
        <w:pStyle w:val="5"/>
        <w:snapToGrid w:val="0"/>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P32.</w:t>
      </w:r>
    </w:p>
  </w:footnote>
  <w:footnote w:id="43">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P421.</w:t>
      </w:r>
    </w:p>
    <w:p>
      <w:pPr>
        <w:pStyle w:val="5"/>
        <w:snapToGrid w:val="0"/>
      </w:pPr>
    </w:p>
  </w:footnote>
  <w:footnote w:id="44">
    <w:p>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 P293.</w:t>
      </w:r>
    </w:p>
  </w:footnote>
  <w:footnote w:id="45">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w:t>
      </w:r>
    </w:p>
  </w:footnote>
  <w:footnote w:id="46">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P72.</w:t>
      </w:r>
    </w:p>
  </w:footnote>
  <w:footnote w:id="47">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 P243.</w:t>
      </w:r>
    </w:p>
  </w:footnote>
  <w:footnote w:id="48">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P24.</w:t>
      </w:r>
    </w:p>
  </w:footnote>
  <w:footnote w:id="49">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P92.</w:t>
      </w:r>
    </w:p>
  </w:footnote>
  <w:footnote w:id="50">
    <w:p>
      <w:pPr>
        <w:pStyle w:val="5"/>
        <w:snapToGrid w:val="0"/>
      </w:pPr>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 P243.</w:t>
      </w:r>
    </w:p>
  </w:footnote>
  <w:footnote w:id="51">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.Suffolk.The Boydell Press. Pliii.</w:t>
      </w:r>
    </w:p>
  </w:footnote>
  <w:footnote w:id="52">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P179.</w:t>
      </w:r>
    </w:p>
  </w:footnote>
  <w:footnote w:id="53">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p139.</w:t>
      </w:r>
    </w:p>
  </w:footnote>
  <w:footnote w:id="54">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P78.</w:t>
      </w:r>
    </w:p>
  </w:footnote>
  <w:footnote w:id="5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P140.</w:t>
      </w:r>
    </w:p>
  </w:footnote>
  <w:footnote w:id="5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P51.</w:t>
      </w:r>
    </w:p>
  </w:footnote>
  <w:footnote w:id="57">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P382.</w:t>
      </w:r>
    </w:p>
  </w:footnote>
  <w:footnote w:id="58">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Pxix.</w:t>
      </w:r>
    </w:p>
  </w:footnote>
  <w:footnote w:id="59">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Press.P354.</w:t>
      </w:r>
    </w:p>
  </w:footnote>
  <w:footnote w:id="60">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P52.</w:t>
      </w:r>
    </w:p>
  </w:footnote>
  <w:footnote w:id="6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P62.</w:t>
      </w:r>
    </w:p>
  </w:footnote>
  <w:footnote w:id="62">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P15.</w:t>
      </w:r>
    </w:p>
  </w:footnote>
  <w:footnote w:id="63">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P35.</w:t>
      </w:r>
    </w:p>
  </w:footnote>
  <w:footnote w:id="64">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P25.</w:t>
      </w:r>
    </w:p>
  </w:footnote>
  <w:footnote w:id="6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P10.</w:t>
      </w:r>
    </w:p>
  </w:footnote>
  <w:footnote w:id="66">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 P85.</w:t>
      </w:r>
    </w:p>
    <w:p>
      <w:pPr>
        <w:pStyle w:val="5"/>
        <w:snapToGrid w:val="0"/>
      </w:pPr>
    </w:p>
  </w:footnote>
  <w:footnote w:id="67">
    <w:p>
      <w:pPr>
        <w:pStyle w:val="5"/>
        <w:snapToGrid w:val="0"/>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"https://archaeology-travel.com/england/doom-painting-st-thomas-church-salisbury/" </w:instrText>
      </w:r>
      <w:r>
        <w:rPr>
          <w:rFonts w:ascii="SimSun" w:hAnsi="SimSun" w:eastAsia="SimSun" w:cs="SimSun"/>
          <w:sz w:val="24"/>
          <w:szCs w:val="24"/>
        </w:rPr>
        <w:fldChar w:fldCharType="separate"/>
      </w:r>
      <w:r>
        <w:rPr>
          <w:rStyle w:val="11"/>
          <w:rFonts w:ascii="SimSun" w:hAnsi="SimSun" w:eastAsia="SimSun" w:cs="SimSun"/>
          <w:sz w:val="24"/>
          <w:szCs w:val="24"/>
        </w:rPr>
        <w:t>https://archaeology-travel.com/england/doom-painting-st-thomas-church-salisbury/</w:t>
      </w:r>
      <w:r>
        <w:rPr>
          <w:rFonts w:ascii="SimSun" w:hAnsi="SimSun" w:eastAsia="SimSun" w:cs="SimSun"/>
          <w:sz w:val="24"/>
          <w:szCs w:val="24"/>
        </w:rPr>
        <w:fldChar w:fldCharType="end"/>
      </w:r>
    </w:p>
  </w:footnote>
  <w:footnote w:id="68">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 P55</w:t>
      </w:r>
    </w:p>
    <w:p>
      <w:pPr>
        <w:pStyle w:val="5"/>
        <w:snapToGrid w:val="0"/>
      </w:pPr>
    </w:p>
  </w:footnote>
  <w:footnote w:id="69">
    <w:p>
      <w:pPr>
        <w:pStyle w:val="5"/>
        <w:snapToGrid w:val="0"/>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"https://www.britainexpress.com/counties/suffolk/churches/wenhaston.htm" </w:instrText>
      </w:r>
      <w:r>
        <w:rPr>
          <w:rFonts w:ascii="SimSun" w:hAnsi="SimSun" w:eastAsia="SimSun" w:cs="SimSun"/>
          <w:sz w:val="24"/>
          <w:szCs w:val="24"/>
        </w:rPr>
        <w:fldChar w:fldCharType="separate"/>
      </w:r>
      <w:r>
        <w:rPr>
          <w:rStyle w:val="11"/>
          <w:rFonts w:ascii="SimSun" w:hAnsi="SimSun" w:eastAsia="SimSun" w:cs="SimSun"/>
          <w:sz w:val="24"/>
          <w:szCs w:val="24"/>
        </w:rPr>
        <w:t>https://www.britainexpress.com/counties/suffolk/churches/wenhaston.htm</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07/09/2020.</w:t>
      </w:r>
    </w:p>
  </w:footnote>
  <w:footnote w:id="70">
    <w:p>
      <w:pPr>
        <w:rPr>
          <w:rFonts w:hint="default" w:ascii="Times New Roman" w:hAnsi="Times New Roman" w:cs="Times New Roman"/>
          <w:sz w:val="36"/>
          <w:szCs w:val="36"/>
          <w:lang w:val="en-GB"/>
        </w:rPr>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"https://www.britainexpress.com/counties/suffolk/churches/wenhaston.htm" </w:instrText>
      </w:r>
      <w:r>
        <w:rPr>
          <w:rFonts w:ascii="SimSun" w:hAnsi="SimSun" w:eastAsia="SimSun" w:cs="SimSun"/>
          <w:sz w:val="24"/>
          <w:szCs w:val="24"/>
        </w:rPr>
        <w:fldChar w:fldCharType="separate"/>
      </w:r>
      <w:r>
        <w:rPr>
          <w:rStyle w:val="11"/>
          <w:rFonts w:ascii="SimSun" w:hAnsi="SimSun" w:eastAsia="SimSun" w:cs="SimSun"/>
          <w:sz w:val="24"/>
          <w:szCs w:val="24"/>
        </w:rPr>
        <w:t>https://www.britainexpress.com/counties/suffolk/churches/wenhaston.htm</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07/09/2020.</w:t>
      </w:r>
    </w:p>
    <w:p>
      <w:pPr>
        <w:pStyle w:val="5"/>
        <w:snapToGrid w:val="0"/>
      </w:pPr>
    </w:p>
  </w:footnote>
  <w:footnote w:id="71">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 P57.</w:t>
      </w:r>
    </w:p>
  </w:footnote>
  <w:footnote w:id="72">
    <w:p>
      <w:r>
        <w:rPr>
          <w:rStyle w:val="10"/>
        </w:rPr>
        <w:footnoteRef/>
      </w:r>
      <w:r>
        <w:t xml:space="preserve"> </w:t>
      </w:r>
      <w:r>
        <w:rPr>
          <w:rFonts w:hint="default" w:ascii="Times New Roman" w:hAnsi="Times New Roman" w:cs="Times New Roman"/>
          <w:i w:val="0"/>
          <w:iCs w:val="0"/>
          <w:sz w:val="24"/>
          <w:szCs w:val="24"/>
          <w:lang w:val="en-GB"/>
        </w:rPr>
        <w:t xml:space="preserve">Goldberg, P.J.P (2004) </w:t>
      </w:r>
      <w:r>
        <w:rPr>
          <w:rFonts w:hint="default" w:ascii="Times New Roman" w:hAnsi="Times New Roman" w:cs="Times New Roman"/>
          <w:i/>
          <w:iCs/>
          <w:sz w:val="24"/>
          <w:szCs w:val="24"/>
          <w:lang w:val="en-GB"/>
        </w:rPr>
        <w:t>Medieval England: A Social History 1250-1550</w:t>
      </w:r>
      <w:r>
        <w:rPr>
          <w:rFonts w:hint="default" w:ascii="Times New Roman" w:hAnsi="Times New Roman" w:cs="Times New Roman"/>
          <w:i w:val="0"/>
          <w:iCs w:val="0"/>
          <w:sz w:val="24"/>
          <w:szCs w:val="24"/>
          <w:lang w:val="en-GB"/>
        </w:rPr>
        <w:t>. London: Holder Arnold. P230.</w:t>
      </w:r>
    </w:p>
  </w:footnote>
  <w:footnote w:id="73">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 P66.</w:t>
      </w:r>
    </w:p>
    <w:p>
      <w:pPr>
        <w:pStyle w:val="5"/>
        <w:snapToGrid w:val="0"/>
      </w:pPr>
    </w:p>
  </w:footnote>
  <w:footnote w:id="74">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P144.</w:t>
      </w:r>
    </w:p>
  </w:footnote>
  <w:footnote w:id="7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P146.</w:t>
      </w:r>
    </w:p>
  </w:footnote>
  <w:footnote w:id="7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P256.</w:t>
      </w:r>
    </w:p>
  </w:footnote>
  <w:footnote w:id="77">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 xml:space="preserve"> P172.</w:t>
      </w:r>
    </w:p>
  </w:footnote>
  <w:footnote w:id="78">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P498.</w:t>
      </w:r>
    </w:p>
  </w:footnote>
  <w:footnote w:id="79">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P139.</w:t>
      </w:r>
    </w:p>
  </w:footnote>
  <w:footnote w:id="80">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P351.</w:t>
      </w:r>
    </w:p>
  </w:footnote>
  <w:footnote w:id="8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P475.</w:t>
      </w:r>
    </w:p>
  </w:footnote>
  <w:footnote w:id="82">
    <w:p>
      <w:pPr>
        <w:pStyle w:val="5"/>
        <w:snapToGrid w:val="0"/>
      </w:pPr>
      <w:r>
        <w:rPr>
          <w:rStyle w:val="10"/>
        </w:rPr>
        <w:footnoteRef/>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 xml:space="preserve"> P209.</w:t>
      </w:r>
      <w:r>
        <w:t xml:space="preserve"> </w:t>
      </w:r>
    </w:p>
  </w:footnote>
  <w:footnote w:id="83">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P70.</w:t>
      </w:r>
    </w:p>
    <w:p>
      <w:pPr>
        <w:pStyle w:val="5"/>
        <w:snapToGrid w:val="0"/>
      </w:pPr>
    </w:p>
  </w:footnote>
  <w:footnote w:id="84">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P210.</w:t>
      </w:r>
    </w:p>
  </w:footnote>
  <w:footnote w:id="8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P195.</w:t>
      </w:r>
    </w:p>
  </w:footnote>
  <w:footnote w:id="86">
    <w:p>
      <w:pPr>
        <w:pStyle w:val="5"/>
        <w:snapToGrid w:val="0"/>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P51.</w:t>
      </w:r>
    </w:p>
  </w:footnote>
  <w:footnote w:id="87">
    <w:p>
      <w:pPr>
        <w:pStyle w:val="5"/>
        <w:snapToGrid w:val="0"/>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P343.</w:t>
      </w:r>
    </w:p>
  </w:footnote>
  <w:footnote w:id="88">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P201.</w:t>
      </w:r>
    </w:p>
  </w:footnote>
  <w:footnote w:id="89">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P328.</w:t>
      </w:r>
    </w:p>
  </w:footnote>
  <w:footnote w:id="90">
    <w:p>
      <w:pPr>
        <w:pStyle w:val="5"/>
        <w:snapToGrid w:val="0"/>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P187.</w:t>
      </w:r>
    </w:p>
  </w:footnote>
  <w:footnote w:id="91">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P73.</w:t>
      </w:r>
    </w:p>
  </w:footnote>
  <w:footnote w:id="92">
    <w:p>
      <w:pPr>
        <w:pStyle w:val="5"/>
        <w:snapToGrid w:val="0"/>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 P57.</w:t>
      </w:r>
    </w:p>
  </w:footnote>
  <w:footnote w:id="93">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 P4.</w:t>
      </w:r>
    </w:p>
  </w:footnote>
  <w:footnote w:id="94">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 xml:space="preserve"> P9.</w:t>
      </w:r>
    </w:p>
  </w:footnote>
  <w:footnote w:id="9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 xml:space="preserve"> P30.</w:t>
      </w:r>
    </w:p>
  </w:footnote>
  <w:footnote w:id="9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P357.</w:t>
      </w:r>
    </w:p>
  </w:footnote>
  <w:footnote w:id="97">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P28.</w:t>
      </w:r>
    </w:p>
  </w:footnote>
  <w:footnote w:id="98">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Press.P411.</w:t>
      </w:r>
    </w:p>
  </w:footnote>
  <w:footnote w:id="99">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(2010)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P96.</w:t>
      </w:r>
    </w:p>
  </w:footnote>
  <w:footnote w:id="100">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P172.</w:t>
      </w:r>
    </w:p>
  </w:footnote>
  <w:footnote w:id="10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P16.</w:t>
      </w:r>
    </w:p>
  </w:footnote>
  <w:footnote w:id="102">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 P55.</w:t>
      </w:r>
    </w:p>
  </w:footnote>
  <w:footnote w:id="103">
    <w:p>
      <w:pPr>
        <w:rPr>
          <w:rFonts w:hint="default" w:ascii="Times New Roman" w:hAnsi="Times New Roman" w:cs="Times New Roman"/>
          <w:sz w:val="24"/>
          <w:szCs w:val="24"/>
          <w:lang w:val="en-GB"/>
        </w:rPr>
      </w:pPr>
      <w:r>
        <w:rPr>
          <w:rStyle w:val="10"/>
        </w:rPr>
        <w:footnoteRef/>
      </w:r>
      <w:r>
        <w:t xml:space="preserve"> </w:t>
      </w:r>
      <w:r>
        <w:rPr>
          <w:rFonts w:hint="default" w:ascii="Times New Roman" w:hAnsi="Times New Roman" w:cs="Times New Roman"/>
          <w:sz w:val="24"/>
          <w:szCs w:val="24"/>
          <w:lang w:val="en-GB"/>
        </w:rPr>
        <w:t xml:space="preserve">Anderson,R and Bellenger, D(2007) (editors) </w:t>
      </w:r>
      <w:r>
        <w:rPr>
          <w:rFonts w:hint="default" w:ascii="Times New Roman" w:hAnsi="Times New Roman" w:cs="Times New Roman"/>
          <w:i/>
          <w:iCs/>
          <w:sz w:val="24"/>
          <w:szCs w:val="24"/>
          <w:lang w:val="en-GB"/>
        </w:rPr>
        <w:t>Medieval Religion: A Sourcebook</w:t>
      </w:r>
      <w:r>
        <w:rPr>
          <w:rFonts w:hint="default" w:ascii="Times New Roman" w:hAnsi="Times New Roman" w:cs="Times New Roman"/>
          <w:sz w:val="24"/>
          <w:szCs w:val="24"/>
          <w:lang w:val="en-GB"/>
        </w:rPr>
        <w:t>. Abingdon.Routledge. P93.</w:t>
      </w:r>
    </w:p>
    <w:p>
      <w:pPr>
        <w:pStyle w:val="5"/>
        <w:snapToGrid w:val="0"/>
      </w:pPr>
    </w:p>
  </w:footnote>
  <w:footnote w:id="104">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Press.p332.</w:t>
      </w:r>
    </w:p>
    <w:p>
      <w:pPr>
        <w:pStyle w:val="5"/>
        <w:snapToGrid w:val="0"/>
      </w:pPr>
    </w:p>
  </w:footnote>
  <w:footnote w:id="105">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Press.p332.</w:t>
      </w:r>
    </w:p>
    <w:p>
      <w:pPr>
        <w:pStyle w:val="5"/>
        <w:snapToGrid w:val="0"/>
      </w:pPr>
    </w:p>
  </w:footnote>
  <w:footnote w:id="106">
    <w:p>
      <w:r>
        <w:rPr>
          <w:rStyle w:val="10"/>
        </w:rPr>
        <w:footnoteRef/>
      </w:r>
      <w:r>
        <w:t xml:space="preserve"> </w:t>
      </w:r>
      <w:r>
        <w:rPr>
          <w:rFonts w:hint="default" w:ascii="Times New Roman" w:hAnsi="Times New Roman" w:cs="Times New Roman"/>
          <w:i/>
          <w:iCs/>
          <w:sz w:val="24"/>
          <w:szCs w:val="24"/>
          <w:u w:val="none"/>
          <w:lang w:val="en-GB"/>
        </w:rP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P53.</w:t>
      </w:r>
    </w:p>
  </w:footnote>
  <w:footnote w:id="107">
    <w:p>
      <w:r>
        <w:rPr>
          <w:rStyle w:val="10"/>
        </w:rPr>
        <w:footnoteRef/>
      </w:r>
      <w:r>
        <w:t xml:space="preserve"> </w:t>
      </w:r>
      <w:r>
        <w:rPr>
          <w:rFonts w:hint="default" w:ascii="Times New Roman" w:hAnsi="Times New Roman" w:cs="Times New Roman"/>
          <w:lang w:val="en-GB"/>
        </w:rPr>
        <w:t>Ibid</w:t>
      </w:r>
      <w:r>
        <w:rPr>
          <w:rFonts w:hint="default" w:ascii="Times New Roman" w:hAnsi="Times New Roman" w:cs="Times New Roman"/>
          <w:i w:val="0"/>
          <w:iCs w:val="0"/>
          <w:sz w:val="24"/>
          <w:szCs w:val="24"/>
          <w:u w:val="none"/>
          <w:lang w:val="en-GB"/>
        </w:rPr>
        <w:t xml:space="preserve"> P54.</w:t>
      </w:r>
    </w:p>
  </w:footnote>
  <w:footnote w:id="108">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P321.</w:t>
      </w:r>
    </w:p>
  </w:footnote>
  <w:footnote w:id="109">
    <w:p>
      <w:r>
        <w:rPr>
          <w:rStyle w:val="10"/>
        </w:rPr>
        <w:footnoteRef/>
      </w:r>
      <w:r>
        <w:t xml:space="preserve"> </w:t>
      </w:r>
      <w:r>
        <w:rPr>
          <w:rFonts w:hint="default" w:ascii="Times New Roman" w:hAnsi="Times New Roman" w:cs="Times New Roman"/>
          <w:i w:val="0"/>
          <w:iCs w:val="0"/>
          <w:sz w:val="24"/>
          <w:szCs w:val="24"/>
          <w:lang w:val="en-GB"/>
        </w:rPr>
        <w:t xml:space="preserve">Sumption, J (2003) </w:t>
      </w:r>
      <w:r>
        <w:rPr>
          <w:rFonts w:hint="default" w:ascii="Times New Roman" w:hAnsi="Times New Roman" w:cs="Times New Roman"/>
          <w:i/>
          <w:iCs/>
          <w:sz w:val="24"/>
          <w:szCs w:val="24"/>
          <w:lang w:val="en-GB"/>
        </w:rPr>
        <w:t>The Age of Pilgrimage</w:t>
      </w:r>
      <w:r>
        <w:rPr>
          <w:rFonts w:hint="default" w:ascii="Times New Roman" w:hAnsi="Times New Roman" w:cs="Times New Roman"/>
          <w:i w:val="0"/>
          <w:iCs w:val="0"/>
          <w:sz w:val="24"/>
          <w:szCs w:val="24"/>
          <w:lang w:val="en-GB"/>
        </w:rPr>
        <w:t>. New Jersey. Hiddensprings. P430.</w:t>
      </w:r>
    </w:p>
  </w:footnote>
  <w:footnote w:id="110">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 Ibid P200.</w:t>
      </w:r>
    </w:p>
  </w:footnote>
  <w:footnote w:id="111">
    <w:p>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Press.p333.</w:t>
      </w:r>
    </w:p>
  </w:footnote>
  <w:footnote w:id="112">
    <w:p>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P53.</w:t>
      </w:r>
    </w:p>
  </w:footnote>
  <w:footnote w:id="113">
    <w:p>
      <w:r>
        <w:rPr>
          <w:rStyle w:val="10"/>
        </w:rPr>
        <w:footnoteRef/>
      </w:r>
      <w:r>
        <w:t xml:space="preserve">  </w:t>
      </w:r>
      <w:r>
        <w:rPr>
          <w:rFonts w:hint="default" w:ascii="Times New Roman" w:hAnsi="Times New Roman" w:cs="Times New Roman"/>
          <w:lang w:val="en-GB"/>
        </w:rPr>
        <w:t>Ibid</w:t>
      </w:r>
      <w:r>
        <w:rPr>
          <w:rFonts w:hint="default" w:ascii="Times New Roman" w:hAnsi="Times New Roman" w:cs="Times New Roman"/>
          <w:i w:val="0"/>
          <w:iCs w:val="0"/>
          <w:sz w:val="24"/>
          <w:szCs w:val="24"/>
          <w:u w:val="none"/>
          <w:lang w:val="en-GB"/>
        </w:rPr>
        <w:t xml:space="preserve"> P167.</w:t>
      </w:r>
    </w:p>
  </w:footnote>
  <w:footnote w:id="114">
    <w:p>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Press.p338.</w:t>
      </w:r>
    </w:p>
  </w:footnote>
  <w:footnote w:id="115">
    <w:p>
      <w:r>
        <w:rPr>
          <w:rStyle w:val="10"/>
        </w:rPr>
        <w:footnoteRef/>
      </w:r>
      <w:r>
        <w:t xml:space="preserve"> </w:t>
      </w:r>
      <w:r>
        <w:rPr>
          <w:rFonts w:hint="default" w:ascii="Times New Roman" w:hAnsi="Times New Roman" w:cs="Times New Roman"/>
          <w:i w:val="0"/>
          <w:iCs w:val="0"/>
          <w:sz w:val="24"/>
          <w:szCs w:val="24"/>
          <w:lang w:val="en-GB"/>
        </w:rPr>
        <w:t xml:space="preserve">Webb, D (2000) </w:t>
      </w:r>
      <w:r>
        <w:rPr>
          <w:rFonts w:hint="default" w:ascii="Times New Roman" w:hAnsi="Times New Roman" w:cs="Times New Roman"/>
          <w:i/>
          <w:iCs/>
          <w:sz w:val="24"/>
          <w:szCs w:val="24"/>
          <w:lang w:val="en-GB"/>
        </w:rPr>
        <w:t>Pilgrimage in Medieval England. London</w:t>
      </w:r>
      <w:r>
        <w:rPr>
          <w:rFonts w:hint="default" w:ascii="Times New Roman" w:hAnsi="Times New Roman" w:cs="Times New Roman"/>
          <w:i w:val="0"/>
          <w:iCs w:val="0"/>
          <w:sz w:val="24"/>
          <w:szCs w:val="24"/>
          <w:lang w:val="en-GB"/>
        </w:rPr>
        <w:t>. Hambledon &amp; London. P60.</w:t>
      </w:r>
    </w:p>
  </w:footnote>
  <w:footnote w:id="11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P261.</w:t>
      </w:r>
    </w:p>
  </w:footnote>
  <w:footnote w:id="117">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P305.</w:t>
      </w:r>
    </w:p>
    <w:p>
      <w:pPr>
        <w:pStyle w:val="5"/>
        <w:snapToGrid w:val="0"/>
      </w:pPr>
    </w:p>
  </w:footnote>
  <w:footnote w:id="118">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Goldberg, P.J.P (2004) </w:t>
      </w:r>
      <w:r>
        <w:rPr>
          <w:rFonts w:hint="default" w:ascii="Times New Roman" w:hAnsi="Times New Roman" w:cs="Times New Roman"/>
          <w:i/>
          <w:iCs/>
          <w:sz w:val="24"/>
          <w:szCs w:val="24"/>
          <w:lang w:val="en-GB"/>
        </w:rPr>
        <w:t>Medieval England: A Social History 1250-1550</w:t>
      </w:r>
      <w:r>
        <w:rPr>
          <w:rFonts w:hint="default" w:ascii="Times New Roman" w:hAnsi="Times New Roman" w:cs="Times New Roman"/>
          <w:i w:val="0"/>
          <w:iCs w:val="0"/>
          <w:sz w:val="24"/>
          <w:szCs w:val="24"/>
          <w:lang w:val="en-GB"/>
        </w:rPr>
        <w:t>. London: Holder Arnold. P225.</w:t>
      </w:r>
    </w:p>
    <w:p>
      <w:pPr>
        <w:pStyle w:val="5"/>
        <w:snapToGrid w:val="0"/>
      </w:pPr>
    </w:p>
  </w:footnote>
  <w:footnote w:id="119">
    <w:p>
      <w:pPr>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Swanson, R.N. (1993).Manchester medieval sources series. </w:t>
      </w:r>
      <w:r>
        <w:rPr>
          <w:rFonts w:hint="default" w:ascii="Times New Roman" w:hAnsi="Times New Roman" w:cs="Times New Roman"/>
          <w:i/>
          <w:iCs/>
          <w:sz w:val="24"/>
          <w:szCs w:val="24"/>
          <w:u w:val="none"/>
          <w:lang w:val="en-GB"/>
        </w:rPr>
        <w:t>Catholic England : Faith, Religion and observance before the reformation</w:t>
      </w:r>
      <w:r>
        <w:rPr>
          <w:rFonts w:hint="default" w:ascii="Times New Roman" w:hAnsi="Times New Roman" w:cs="Times New Roman"/>
          <w:i w:val="0"/>
          <w:iCs w:val="0"/>
          <w:sz w:val="24"/>
          <w:szCs w:val="24"/>
          <w:u w:val="none"/>
          <w:lang w:val="en-GB"/>
        </w:rPr>
        <w:t>.Manchester.Manchester University Press.p176.</w:t>
      </w:r>
    </w:p>
    <w:p>
      <w:pPr>
        <w:pStyle w:val="5"/>
        <w:snapToGrid w:val="0"/>
      </w:pPr>
    </w:p>
  </w:footnote>
  <w:footnote w:id="120">
    <w:p>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P82.</w:t>
      </w:r>
    </w:p>
  </w:footnote>
  <w:footnote w:id="12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P308.</w:t>
      </w:r>
    </w:p>
  </w:footnote>
  <w:footnote w:id="122">
    <w:p>
      <w:r>
        <w:rPr>
          <w:rStyle w:val="10"/>
        </w:rPr>
        <w:footnoteRef/>
      </w:r>
      <w:r>
        <w:t xml:space="preserve"> </w:t>
      </w:r>
      <w:r>
        <w:rPr>
          <w:rFonts w:hint="default" w:ascii="Times New Roman" w:hAnsi="Times New Roman" w:cs="Times New Roman"/>
          <w:lang w:val="en-GB"/>
        </w:rPr>
        <w:t>Ibid</w:t>
      </w:r>
      <w:r>
        <w:rPr>
          <w:rFonts w:hint="default" w:ascii="Times New Roman" w:hAnsi="Times New Roman" w:cs="Times New Roman"/>
          <w:i w:val="0"/>
          <w:iCs w:val="0"/>
          <w:sz w:val="24"/>
          <w:szCs w:val="24"/>
          <w:u w:val="none"/>
          <w:lang w:val="en-GB"/>
        </w:rPr>
        <w:t xml:space="preserve"> P94.</w:t>
      </w:r>
    </w:p>
  </w:footnote>
  <w:footnote w:id="123">
    <w:p>
      <w:pPr>
        <w:pStyle w:val="5"/>
        <w:snapToGrid w:val="0"/>
        <w:rPr>
          <w:rFonts w:hint="default"/>
          <w:lang w:val="en-GB"/>
        </w:rPr>
      </w:pPr>
      <w:r>
        <w:rPr>
          <w:rStyle w:val="10"/>
        </w:rPr>
        <w:footnoteRef/>
      </w:r>
      <w:r>
        <w:rPr>
          <w:rFonts w:hint="default"/>
          <w:lang w:val="en-GB"/>
        </w:rP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P244.</w:t>
      </w:r>
    </w:p>
  </w:footnote>
  <w:footnote w:id="124">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P466.</w:t>
      </w:r>
    </w:p>
  </w:footnote>
  <w:footnote w:id="125">
    <w:p>
      <w:r>
        <w:rPr>
          <w:rStyle w:val="10"/>
        </w:rPr>
        <w:footnoteRef/>
      </w:r>
      <w:r>
        <w:t xml:space="preserve"> </w:t>
      </w:r>
      <w:r>
        <w:rPr>
          <w:rFonts w:hint="default" w:ascii="Times New Roman" w:hAnsi="Times New Roman" w:cs="Times New Roman"/>
          <w:i w:val="0"/>
          <w:iCs w:val="0"/>
          <w:sz w:val="24"/>
          <w:szCs w:val="24"/>
          <w:lang w:val="en-GB"/>
        </w:rPr>
        <w:t xml:space="preserve">Webb, D (2000) </w:t>
      </w:r>
      <w:r>
        <w:rPr>
          <w:rFonts w:hint="default" w:ascii="Times New Roman" w:hAnsi="Times New Roman" w:cs="Times New Roman"/>
          <w:i/>
          <w:iCs/>
          <w:sz w:val="24"/>
          <w:szCs w:val="24"/>
          <w:lang w:val="en-GB"/>
        </w:rPr>
        <w:t>Pilgrimage in Medieval England. London</w:t>
      </w:r>
      <w:r>
        <w:rPr>
          <w:rFonts w:hint="default" w:ascii="Times New Roman" w:hAnsi="Times New Roman" w:cs="Times New Roman"/>
          <w:i w:val="0"/>
          <w:iCs w:val="0"/>
          <w:sz w:val="24"/>
          <w:szCs w:val="24"/>
          <w:lang w:val="en-GB"/>
        </w:rPr>
        <w:t>. Hambledon &amp; London. P99.</w:t>
      </w:r>
    </w:p>
  </w:footnote>
  <w:footnote w:id="126">
    <w:p>
      <w:pPr>
        <w:pStyle w:val="5"/>
        <w:snapToGrid w:val="0"/>
        <w:rPr>
          <w:rFonts w:hint="default"/>
          <w:lang w:val="en-GB"/>
        </w:rPr>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"https://www.walsingham.org.uk/history/" </w:instrText>
      </w:r>
      <w:r>
        <w:rPr>
          <w:rFonts w:ascii="SimSun" w:hAnsi="SimSun" w:eastAsia="SimSun" w:cs="SimSun"/>
          <w:sz w:val="24"/>
          <w:szCs w:val="24"/>
        </w:rPr>
        <w:fldChar w:fldCharType="separate"/>
      </w:r>
      <w:r>
        <w:rPr>
          <w:rStyle w:val="11"/>
          <w:rFonts w:ascii="SimSun" w:hAnsi="SimSun" w:eastAsia="SimSun" w:cs="SimSun"/>
          <w:sz w:val="24"/>
          <w:szCs w:val="24"/>
        </w:rPr>
        <w:t>https://www.walsingham.org.uk/history/</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10/09/2020.</w:t>
      </w:r>
    </w:p>
  </w:footnote>
  <w:footnote w:id="127">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P94.</w:t>
      </w:r>
    </w:p>
  </w:footnote>
  <w:footnote w:id="128">
    <w:p>
      <w:pPr>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lang w:val="en-GB"/>
        </w:rPr>
        <w:t>Ibid</w:t>
      </w:r>
      <w:r>
        <w:rPr>
          <w:rFonts w:hint="default" w:ascii="Times New Roman" w:hAnsi="Times New Roman" w:cs="Times New Roman"/>
          <w:i w:val="0"/>
          <w:iCs w:val="0"/>
          <w:sz w:val="24"/>
          <w:szCs w:val="24"/>
          <w:u w:val="none"/>
          <w:lang w:val="en-GB"/>
        </w:rPr>
        <w:t xml:space="preserve"> P491.</w:t>
      </w:r>
    </w:p>
    <w:p>
      <w:pPr>
        <w:pStyle w:val="5"/>
        <w:snapToGrid w:val="0"/>
      </w:pPr>
    </w:p>
  </w:footnote>
  <w:footnote w:id="129">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P466.</w:t>
      </w:r>
    </w:p>
  </w:footnote>
  <w:footnote w:id="130">
    <w:p>
      <w:pPr>
        <w:pStyle w:val="5"/>
        <w:snapToGrid w:val="0"/>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P466.</w:t>
      </w:r>
    </w:p>
  </w:footnote>
  <w:footnote w:id="131">
    <w:p>
      <w:pPr>
        <w:pStyle w:val="5"/>
        <w:snapToGrid w:val="0"/>
        <w:rPr>
          <w:rFonts w:hint="default"/>
          <w:lang w:val="en-GB"/>
        </w:rPr>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"http://www.suffolkchurches.co.uk/sudburyrc.htm" </w:instrText>
      </w:r>
      <w:r>
        <w:rPr>
          <w:rFonts w:ascii="SimSun" w:hAnsi="SimSun" w:eastAsia="SimSun" w:cs="SimSun"/>
          <w:sz w:val="24"/>
          <w:szCs w:val="24"/>
        </w:rPr>
        <w:fldChar w:fldCharType="separate"/>
      </w:r>
      <w:r>
        <w:rPr>
          <w:rStyle w:val="11"/>
          <w:rFonts w:ascii="SimSun" w:hAnsi="SimSun" w:eastAsia="SimSun" w:cs="SimSun"/>
          <w:sz w:val="24"/>
          <w:szCs w:val="24"/>
        </w:rPr>
        <w:t>http://www.suffolkchurches.co.uk/sudburyrc.htm</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19/09/2020.</w:t>
      </w:r>
    </w:p>
  </w:footnote>
  <w:footnote w:id="132">
    <w:p>
      <w:pPr>
        <w:pStyle w:val="5"/>
        <w:snapToGrid w:val="0"/>
        <w:rPr>
          <w:rFonts w:hint="default"/>
          <w:lang w:val="en-GB"/>
        </w:rPr>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"https://www.newadvent.org/cathen/11781b.htm" </w:instrText>
      </w:r>
      <w:r>
        <w:rPr>
          <w:rFonts w:ascii="SimSun" w:hAnsi="SimSun" w:eastAsia="SimSun" w:cs="SimSun"/>
          <w:sz w:val="24"/>
          <w:szCs w:val="24"/>
        </w:rPr>
        <w:fldChar w:fldCharType="separate"/>
      </w:r>
      <w:r>
        <w:rPr>
          <w:rStyle w:val="11"/>
          <w:rFonts w:ascii="SimSun" w:hAnsi="SimSun" w:eastAsia="SimSun" w:cs="SimSun"/>
          <w:sz w:val="24"/>
          <w:szCs w:val="24"/>
        </w:rPr>
        <w:t>https://www.newadvent.org/cathen/11781b.htm</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19/09/2020.</w:t>
      </w:r>
    </w:p>
  </w:footnote>
  <w:footnote w:id="133">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P65.</w:t>
      </w:r>
    </w:p>
  </w:footnote>
  <w:footnote w:id="134">
    <w:p>
      <w:r>
        <w:rPr>
          <w:rStyle w:val="10"/>
        </w:rPr>
        <w:footnoteRef/>
      </w:r>
      <w:r>
        <w:t xml:space="preserve"> </w:t>
      </w:r>
      <w:r>
        <w:rPr>
          <w:rFonts w:hint="default" w:ascii="Times New Roman" w:hAnsi="Times New Roman" w:cs="Times New Roman"/>
          <w:i w:val="0"/>
          <w:iCs w:val="0"/>
          <w:sz w:val="24"/>
          <w:szCs w:val="24"/>
          <w:lang w:val="en-GB"/>
        </w:rPr>
        <w:t xml:space="preserve">Duffy, E (1992) </w:t>
      </w:r>
      <w:r>
        <w:rPr>
          <w:rFonts w:hint="default" w:ascii="Times New Roman" w:hAnsi="Times New Roman" w:cs="Times New Roman"/>
          <w:i/>
          <w:iCs/>
          <w:sz w:val="24"/>
          <w:szCs w:val="24"/>
          <w:lang w:val="en-GB"/>
        </w:rPr>
        <w:t>The stripping of the altars: Traditional Religion in England c.1400-c.1580</w:t>
      </w:r>
      <w:r>
        <w:rPr>
          <w:rFonts w:hint="default" w:ascii="Times New Roman" w:hAnsi="Times New Roman" w:cs="Times New Roman"/>
          <w:i w:val="0"/>
          <w:iCs w:val="0"/>
          <w:sz w:val="24"/>
          <w:szCs w:val="24"/>
          <w:lang w:val="en-GB"/>
        </w:rPr>
        <w:t>.New Haven.Yale University Press. P134.</w:t>
      </w:r>
    </w:p>
  </w:footnote>
  <w:footnote w:id="135">
    <w:p>
      <w:pPr>
        <w:pStyle w:val="5"/>
        <w:snapToGrid w:val="0"/>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P246.</w:t>
      </w:r>
    </w:p>
  </w:footnote>
  <w:footnote w:id="136">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P250.</w:t>
      </w:r>
    </w:p>
  </w:footnote>
  <w:footnote w:id="137">
    <w:p>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 P97.</w:t>
      </w:r>
    </w:p>
  </w:footnote>
  <w:footnote w:id="138">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lang w:val="en-GB"/>
        </w:rPr>
        <w:t>P98.</w:t>
      </w:r>
    </w:p>
  </w:footnote>
  <w:footnote w:id="139">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 P131.</w:t>
      </w:r>
    </w:p>
    <w:p>
      <w:pPr>
        <w:pStyle w:val="5"/>
        <w:snapToGrid w:val="0"/>
        <w:rPr>
          <w:rFonts w:hint="default"/>
          <w:lang w:val="en-GB"/>
        </w:rPr>
      </w:pPr>
      <w:r>
        <w:rPr>
          <w:rFonts w:hint="default" w:ascii="Times New Roman" w:hAnsi="Times New Roman" w:cs="Times New Roman"/>
          <w:i w:val="0"/>
          <w:iCs w:val="0"/>
          <w:sz w:val="24"/>
          <w:szCs w:val="24"/>
          <w:lang w:val="en-GB"/>
        </w:rPr>
        <w:t>.</w:t>
      </w:r>
    </w:p>
  </w:footnote>
  <w:footnote w:id="140">
    <w:p>
      <w:pPr>
        <w:pStyle w:val="5"/>
        <w:snapToGrid w:val="0"/>
      </w:pPr>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 P47</w:t>
      </w:r>
    </w:p>
  </w:footnote>
  <w:footnote w:id="141">
    <w:p>
      <w:r>
        <w:rPr>
          <w:rStyle w:val="10"/>
        </w:rPr>
        <w:footnoteRef/>
      </w:r>
      <w:r>
        <w:t xml:space="preserve"> </w:t>
      </w: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 P1.</w:t>
      </w:r>
    </w:p>
  </w:footnote>
  <w:footnote w:id="142">
    <w:p>
      <w:r>
        <w:rPr>
          <w:rStyle w:val="10"/>
        </w:rPr>
        <w:footnoteRef/>
      </w:r>
      <w:r>
        <w:t xml:space="preserve"> </w:t>
      </w:r>
      <w:r>
        <w:rPr>
          <w:rFonts w:hint="default" w:ascii="Times New Roman" w:hAnsi="Times New Roman" w:cs="Times New Roman"/>
          <w:lang w:val="en-GB"/>
        </w:rPr>
        <w:t>Ibid</w:t>
      </w:r>
      <w:r>
        <w:rPr>
          <w:rFonts w:hint="default" w:ascii="Times New Roman" w:hAnsi="Times New Roman" w:cs="Times New Roman"/>
          <w:i w:val="0"/>
          <w:iCs w:val="0"/>
          <w:sz w:val="24"/>
          <w:szCs w:val="24"/>
          <w:lang w:val="en-GB"/>
        </w:rPr>
        <w:t xml:space="preserve"> P15.</w:t>
      </w:r>
    </w:p>
  </w:footnote>
  <w:footnote w:id="143">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 P50.</w:t>
      </w:r>
    </w:p>
    <w:p>
      <w:pPr>
        <w:pStyle w:val="5"/>
        <w:snapToGrid w:val="0"/>
      </w:pPr>
    </w:p>
  </w:footnote>
  <w:footnote w:id="144">
    <w:p>
      <w:pPr>
        <w:pStyle w:val="5"/>
        <w:snapToGrid w:val="0"/>
        <w:rPr>
          <w:rFonts w:hint="default"/>
          <w:lang w:val="en-GB"/>
        </w:rPr>
      </w:pPr>
      <w:r>
        <w:rPr>
          <w:rStyle w:val="10"/>
        </w:rPr>
        <w:footnoteRef/>
      </w:r>
      <w:r>
        <w:t xml:space="preserve"> </w:t>
      </w:r>
      <w:r>
        <w:rPr>
          <w:rFonts w:hint="default" w:ascii="Times New Roman" w:hAnsi="Times New Roman" w:cs="Times New Roman"/>
          <w:sz w:val="24"/>
          <w:szCs w:val="24"/>
          <w:lang w:val="en-GB"/>
        </w:rPr>
        <w:t xml:space="preserve">Bailey,M (2010) </w:t>
      </w:r>
      <w:r>
        <w:rPr>
          <w:rFonts w:hint="default" w:ascii="Times New Roman" w:hAnsi="Times New Roman" w:cs="Times New Roman"/>
          <w:i/>
          <w:iCs/>
          <w:sz w:val="24"/>
          <w:szCs w:val="24"/>
          <w:lang w:val="en-GB"/>
        </w:rPr>
        <w:t>Medieval Suffolk: An Economic and Social History, 1200-1500</w:t>
      </w:r>
      <w:r>
        <w:rPr>
          <w:rFonts w:hint="default" w:ascii="Times New Roman" w:hAnsi="Times New Roman" w:cs="Times New Roman"/>
          <w:sz w:val="24"/>
          <w:szCs w:val="24"/>
          <w:lang w:val="en-GB"/>
        </w:rPr>
        <w:t>. Woodbridge.Boydell Press.p329.</w:t>
      </w:r>
    </w:p>
    <w:p>
      <w:pPr>
        <w:pStyle w:val="5"/>
        <w:snapToGrid w:val="0"/>
      </w:pPr>
    </w:p>
  </w:footnote>
  <w:footnote w:id="145">
    <w:p>
      <w:pPr>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w:t>
      </w:r>
    </w:p>
    <w:p>
      <w:pPr>
        <w:pStyle w:val="5"/>
        <w:snapToGrid w:val="0"/>
      </w:pPr>
    </w:p>
  </w:footnote>
  <w:footnote w:id="146">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 P125.</w:t>
      </w:r>
    </w:p>
  </w:footnote>
  <w:footnote w:id="147">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P8.</w:t>
      </w:r>
    </w:p>
  </w:footnote>
  <w:footnote w:id="148">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Hamilton, B (2003) </w:t>
      </w:r>
      <w:r>
        <w:rPr>
          <w:rFonts w:hint="default" w:ascii="Times New Roman" w:hAnsi="Times New Roman" w:cs="Times New Roman"/>
          <w:i/>
          <w:iCs/>
          <w:sz w:val="24"/>
          <w:szCs w:val="24"/>
          <w:lang w:val="en-GB"/>
        </w:rPr>
        <w:t>Religion in the Medieval West</w:t>
      </w:r>
      <w:r>
        <w:rPr>
          <w:rFonts w:hint="default" w:ascii="Times New Roman" w:hAnsi="Times New Roman" w:cs="Times New Roman"/>
          <w:i w:val="0"/>
          <w:iCs w:val="0"/>
          <w:sz w:val="24"/>
          <w:szCs w:val="24"/>
          <w:lang w:val="en-GB"/>
        </w:rPr>
        <w:t>. London: Holder Arnold. P48.</w:t>
      </w:r>
    </w:p>
    <w:p>
      <w:pPr>
        <w:pStyle w:val="5"/>
        <w:snapToGrid w:val="0"/>
      </w:pPr>
    </w:p>
  </w:footnote>
  <w:footnote w:id="149">
    <w:p>
      <w:pPr>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w:t>
      </w:r>
    </w:p>
    <w:p>
      <w:pPr>
        <w:pStyle w:val="5"/>
        <w:snapToGrid w:val="0"/>
      </w:pPr>
    </w:p>
  </w:footnote>
  <w:footnote w:id="150">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 P98.</w:t>
      </w:r>
    </w:p>
    <w:p>
      <w:pPr>
        <w:pStyle w:val="5"/>
        <w:snapToGrid w:val="0"/>
      </w:pPr>
    </w:p>
  </w:footnote>
  <w:footnote w:id="151">
    <w:p>
      <w:pPr>
        <w:pStyle w:val="5"/>
        <w:snapToGrid w:val="0"/>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"https://thecatholicmanshow.com/franciscans-and-dominicans/" </w:instrText>
      </w:r>
      <w:r>
        <w:rPr>
          <w:rFonts w:ascii="SimSun" w:hAnsi="SimSun" w:eastAsia="SimSun" w:cs="SimSun"/>
          <w:sz w:val="24"/>
          <w:szCs w:val="24"/>
        </w:rPr>
        <w:fldChar w:fldCharType="separate"/>
      </w:r>
      <w:r>
        <w:rPr>
          <w:rStyle w:val="11"/>
          <w:rFonts w:ascii="SimSun" w:hAnsi="SimSun" w:eastAsia="SimSun" w:cs="SimSun"/>
          <w:sz w:val="24"/>
          <w:szCs w:val="24"/>
        </w:rPr>
        <w:t>https://thecatholicmanshow.com/franciscans-and-dominicans/</w:t>
      </w:r>
      <w:r>
        <w:rPr>
          <w:rFonts w:ascii="SimSun" w:hAnsi="SimSun" w:eastAsia="SimSun" w:cs="SimSun"/>
          <w:sz w:val="24"/>
          <w:szCs w:val="24"/>
        </w:rPr>
        <w:fldChar w:fldCharType="end"/>
      </w:r>
    </w:p>
  </w:footnote>
  <w:footnote w:id="152">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 P164.</w:t>
      </w:r>
    </w:p>
    <w:p>
      <w:pPr>
        <w:pStyle w:val="5"/>
        <w:snapToGrid w:val="0"/>
      </w:pPr>
    </w:p>
  </w:footnote>
  <w:footnote w:id="153">
    <w:p>
      <w:pPr>
        <w:rPr>
          <w:rFonts w:hint="default" w:ascii="Times New Roman" w:hAnsi="Times New Roman" w:cs="Times New Roman"/>
          <w:i w:val="0"/>
          <w:iCs w:val="0"/>
          <w:sz w:val="24"/>
          <w:szCs w:val="24"/>
          <w:u w:val="none"/>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P39.</w:t>
      </w:r>
    </w:p>
    <w:p>
      <w:pPr>
        <w:pStyle w:val="5"/>
        <w:snapToGrid w:val="0"/>
      </w:pPr>
    </w:p>
  </w:footnote>
  <w:footnote w:id="154">
    <w:p>
      <w:pPr>
        <w:pStyle w:val="5"/>
        <w:snapToGrid w:val="0"/>
      </w:pPr>
      <w:r>
        <w:rPr>
          <w:rStyle w:val="10"/>
        </w:rPr>
        <w:footnoteRef/>
      </w:r>
      <w:r>
        <w:t xml:space="preserve">  </w:t>
      </w:r>
      <w:r>
        <w:rPr>
          <w:rFonts w:hint="default" w:ascii="Times New Roman" w:hAnsi="Times New Roman" w:cs="Times New Roman"/>
          <w:sz w:val="24"/>
          <w:szCs w:val="24"/>
          <w:lang w:val="en-GB"/>
        </w:rPr>
        <w:t xml:space="preserve">Bailey,M (2010) </w:t>
      </w:r>
      <w:r>
        <w:rPr>
          <w:rFonts w:hint="default" w:ascii="Times New Roman" w:hAnsi="Times New Roman" w:cs="Times New Roman"/>
          <w:i/>
          <w:iCs/>
          <w:sz w:val="24"/>
          <w:szCs w:val="24"/>
          <w:lang w:val="en-GB"/>
        </w:rPr>
        <w:t>Medieval Suffolk: An Economic and Social History, 1200-1500</w:t>
      </w:r>
      <w:r>
        <w:rPr>
          <w:rFonts w:hint="default" w:ascii="Times New Roman" w:hAnsi="Times New Roman" w:cs="Times New Roman"/>
          <w:sz w:val="24"/>
          <w:szCs w:val="24"/>
          <w:lang w:val="en-GB"/>
        </w:rPr>
        <w:t>. Woodbridge.Boydell Press.p17.</w:t>
      </w:r>
    </w:p>
  </w:footnote>
  <w:footnote w:id="155">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P39.</w:t>
      </w:r>
    </w:p>
  </w:footnote>
  <w:footnote w:id="15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P49.</w:t>
      </w:r>
    </w:p>
    <w:p>
      <w:pPr>
        <w:pStyle w:val="5"/>
        <w:snapToGrid w:val="0"/>
      </w:pPr>
    </w:p>
  </w:footnote>
  <w:footnote w:id="157">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P54.</w:t>
      </w:r>
    </w:p>
  </w:footnote>
  <w:footnote w:id="158">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P54.</w:t>
      </w:r>
    </w:p>
    <w:p>
      <w:pPr>
        <w:pStyle w:val="5"/>
        <w:snapToGrid w:val="0"/>
      </w:pPr>
    </w:p>
  </w:footnote>
  <w:footnote w:id="159">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P420.</w:t>
      </w:r>
    </w:p>
  </w:footnote>
  <w:footnote w:id="160">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u w:val="none"/>
          <w:lang w:val="en-GB"/>
        </w:rPr>
        <w:t>P95.</w:t>
      </w:r>
    </w:p>
  </w:footnote>
  <w:footnote w:id="161">
    <w:p>
      <w:r>
        <w:rPr>
          <w:rStyle w:val="10"/>
        </w:rPr>
        <w:footnoteRef/>
      </w:r>
      <w:r>
        <w:t xml:space="preserve"> </w:t>
      </w:r>
      <w:r>
        <w:rPr>
          <w:rFonts w:hint="default" w:ascii="Times New Roman" w:hAnsi="Times New Roman" w:eastAsia="SimSun" w:cs="Times New Roman"/>
          <w:i w:val="0"/>
          <w:caps w:val="0"/>
          <w:color w:val="333333"/>
          <w:spacing w:val="0"/>
          <w:sz w:val="24"/>
          <w:szCs w:val="24"/>
          <w:shd w:val="clear" w:fill="FFFFFF"/>
        </w:rPr>
        <w:t>Williams, Arnold. “Chaucer and the Friars.” </w:t>
      </w:r>
      <w:r>
        <w:rPr>
          <w:rFonts w:hint="default" w:ascii="Times New Roman" w:hAnsi="Times New Roman" w:eastAsia="SimSun" w:cs="Times New Roman"/>
          <w:i/>
          <w:caps w:val="0"/>
          <w:color w:val="333333"/>
          <w:spacing w:val="0"/>
          <w:sz w:val="24"/>
          <w:szCs w:val="24"/>
          <w:shd w:val="clear" w:fill="FFFFFF"/>
        </w:rPr>
        <w:t>Speculum</w:t>
      </w:r>
      <w:r>
        <w:rPr>
          <w:rFonts w:hint="default" w:ascii="Times New Roman" w:hAnsi="Times New Roman" w:eastAsia="SimSun" w:cs="Times New Roman"/>
          <w:i w:val="0"/>
          <w:caps w:val="0"/>
          <w:color w:val="333333"/>
          <w:spacing w:val="0"/>
          <w:sz w:val="24"/>
          <w:szCs w:val="24"/>
          <w:shd w:val="clear" w:fill="FFFFFF"/>
        </w:rPr>
        <w:t>, vol. 28, no. 3, 1953, pp. 499–513. </w:t>
      </w:r>
      <w:r>
        <w:rPr>
          <w:rFonts w:hint="default" w:ascii="Times New Roman" w:hAnsi="Times New Roman" w:eastAsia="SimSun" w:cs="Times New Roman"/>
          <w:i/>
          <w:caps w:val="0"/>
          <w:color w:val="333333"/>
          <w:spacing w:val="0"/>
          <w:sz w:val="24"/>
          <w:szCs w:val="24"/>
          <w:shd w:val="clear" w:fill="FFFFFF"/>
        </w:rPr>
        <w:t>JSTOR</w:t>
      </w:r>
      <w:r>
        <w:rPr>
          <w:rFonts w:hint="default" w:ascii="Times New Roman" w:hAnsi="Times New Roman" w:eastAsia="SimSun" w:cs="Times New Roman"/>
          <w:i w:val="0"/>
          <w:caps w:val="0"/>
          <w:color w:val="333333"/>
          <w:spacing w:val="0"/>
          <w:sz w:val="24"/>
          <w:szCs w:val="24"/>
          <w:shd w:val="clear" w:fill="FFFFFF"/>
        </w:rPr>
        <w:t>, www.jstor.org/stable/2847024. Accessed 12 Sept. 2020.</w:t>
      </w:r>
    </w:p>
  </w:footnote>
  <w:footnote w:id="162">
    <w:p>
      <w:pPr>
        <w:pStyle w:val="5"/>
        <w:snapToGrid w:val="0"/>
      </w:pPr>
      <w:r>
        <w:rPr>
          <w:rStyle w:val="10"/>
        </w:rPr>
        <w:footnoteRef/>
      </w:r>
      <w:r>
        <w:t xml:space="preserve"> </w:t>
      </w:r>
      <w:r>
        <w:rPr>
          <w:rFonts w:hint="default" w:ascii="Times New Roman" w:hAnsi="Times New Roman" w:eastAsia="SimSun" w:cs="Times New Roman"/>
          <w:i w:val="0"/>
          <w:caps w:val="0"/>
          <w:color w:val="333333"/>
          <w:spacing w:val="0"/>
          <w:sz w:val="24"/>
          <w:szCs w:val="24"/>
          <w:shd w:val="clear" w:fill="FFFFFF"/>
        </w:rPr>
        <w:t>Williams, Arnold. “Chaucer and the Friars.” </w:t>
      </w:r>
      <w:r>
        <w:rPr>
          <w:rFonts w:hint="default" w:ascii="Times New Roman" w:hAnsi="Times New Roman" w:eastAsia="SimSun" w:cs="Times New Roman"/>
          <w:i/>
          <w:caps w:val="0"/>
          <w:color w:val="333333"/>
          <w:spacing w:val="0"/>
          <w:sz w:val="24"/>
          <w:szCs w:val="24"/>
          <w:shd w:val="clear" w:fill="FFFFFF"/>
        </w:rPr>
        <w:t>Speculum</w:t>
      </w:r>
      <w:r>
        <w:rPr>
          <w:rFonts w:hint="default" w:ascii="Times New Roman" w:hAnsi="Times New Roman" w:eastAsia="SimSun" w:cs="Times New Roman"/>
          <w:i w:val="0"/>
          <w:caps w:val="0"/>
          <w:color w:val="333333"/>
          <w:spacing w:val="0"/>
          <w:sz w:val="24"/>
          <w:szCs w:val="24"/>
          <w:shd w:val="clear" w:fill="FFFFFF"/>
        </w:rPr>
        <w:t>, vol. 28, no. 3, 1953, pp. 499–513. </w:t>
      </w:r>
      <w:r>
        <w:rPr>
          <w:rFonts w:hint="default" w:ascii="Times New Roman" w:hAnsi="Times New Roman" w:eastAsia="SimSun" w:cs="Times New Roman"/>
          <w:i/>
          <w:caps w:val="0"/>
          <w:color w:val="333333"/>
          <w:spacing w:val="0"/>
          <w:sz w:val="24"/>
          <w:szCs w:val="24"/>
          <w:shd w:val="clear" w:fill="FFFFFF"/>
        </w:rPr>
        <w:t>JSTOR</w:t>
      </w:r>
      <w:r>
        <w:rPr>
          <w:rFonts w:hint="default" w:ascii="Times New Roman" w:hAnsi="Times New Roman" w:eastAsia="SimSun" w:cs="Times New Roman"/>
          <w:i w:val="0"/>
          <w:caps w:val="0"/>
          <w:color w:val="333333"/>
          <w:spacing w:val="0"/>
          <w:sz w:val="24"/>
          <w:szCs w:val="24"/>
          <w:shd w:val="clear" w:fill="FFFFFF"/>
        </w:rPr>
        <w:t>, www.jstor.org/stable/2847024. Accessed 12 Sept. 2020.</w:t>
      </w:r>
    </w:p>
  </w:footnote>
  <w:footnote w:id="163">
    <w:p>
      <w:pPr>
        <w:pStyle w:val="5"/>
        <w:snapToGrid w:val="0"/>
      </w:pPr>
      <w:r>
        <w:rPr>
          <w:rStyle w:val="10"/>
        </w:rPr>
        <w:footnoteRef/>
      </w:r>
      <w:r>
        <w:t xml:space="preserve"> </w:t>
      </w:r>
      <w:r>
        <w:rPr>
          <w:rFonts w:hint="default" w:ascii="Times New Roman" w:hAnsi="Times New Roman" w:eastAsia="SimSun" w:cs="Times New Roman"/>
          <w:i w:val="0"/>
          <w:caps w:val="0"/>
          <w:color w:val="333333"/>
          <w:spacing w:val="0"/>
          <w:sz w:val="24"/>
          <w:szCs w:val="24"/>
          <w:shd w:val="clear" w:fill="FFFFFF"/>
        </w:rPr>
        <w:t>Williams, Arnold. “Chaucer and the Friars.” </w:t>
      </w:r>
      <w:r>
        <w:rPr>
          <w:rFonts w:hint="default" w:ascii="Times New Roman" w:hAnsi="Times New Roman" w:eastAsia="SimSun" w:cs="Times New Roman"/>
          <w:i/>
          <w:caps w:val="0"/>
          <w:color w:val="333333"/>
          <w:spacing w:val="0"/>
          <w:sz w:val="24"/>
          <w:szCs w:val="24"/>
          <w:shd w:val="clear" w:fill="FFFFFF"/>
        </w:rPr>
        <w:t>Speculum</w:t>
      </w:r>
      <w:r>
        <w:rPr>
          <w:rFonts w:hint="default" w:ascii="Times New Roman" w:hAnsi="Times New Roman" w:eastAsia="SimSun" w:cs="Times New Roman"/>
          <w:i w:val="0"/>
          <w:caps w:val="0"/>
          <w:color w:val="333333"/>
          <w:spacing w:val="0"/>
          <w:sz w:val="24"/>
          <w:szCs w:val="24"/>
          <w:shd w:val="clear" w:fill="FFFFFF"/>
        </w:rPr>
        <w:t>, vol. 28, no. 3, 1953, pp. 499–513. </w:t>
      </w:r>
      <w:r>
        <w:rPr>
          <w:rFonts w:hint="default" w:ascii="Times New Roman" w:hAnsi="Times New Roman" w:eastAsia="SimSun" w:cs="Times New Roman"/>
          <w:i/>
          <w:caps w:val="0"/>
          <w:color w:val="333333"/>
          <w:spacing w:val="0"/>
          <w:sz w:val="24"/>
          <w:szCs w:val="24"/>
          <w:shd w:val="clear" w:fill="FFFFFF"/>
        </w:rPr>
        <w:t>JSTOR</w:t>
      </w:r>
      <w:r>
        <w:rPr>
          <w:rFonts w:hint="default" w:ascii="Times New Roman" w:hAnsi="Times New Roman" w:eastAsia="SimSun" w:cs="Times New Roman"/>
          <w:i w:val="0"/>
          <w:caps w:val="0"/>
          <w:color w:val="333333"/>
          <w:spacing w:val="0"/>
          <w:sz w:val="24"/>
          <w:szCs w:val="24"/>
          <w:shd w:val="clear" w:fill="FFFFFF"/>
        </w:rPr>
        <w:t>, www.jstor.org/stable/2847024. Accessed 12 Sept. 2020.</w:t>
      </w:r>
    </w:p>
  </w:footnote>
  <w:footnote w:id="164">
    <w:p>
      <w:r>
        <w:rPr>
          <w:rStyle w:val="10"/>
        </w:rPr>
        <w:footnoteRef/>
      </w:r>
      <w:r>
        <w:t xml:space="preserve"> </w:t>
      </w:r>
      <w:r>
        <w:rPr>
          <w:rFonts w:hint="default" w:ascii="Times New Roman" w:hAnsi="Times New Roman" w:cs="Times New Roman"/>
          <w:i w:val="0"/>
          <w:iCs w:val="0"/>
          <w:sz w:val="24"/>
          <w:szCs w:val="24"/>
          <w:u w:val="none"/>
          <w:lang w:val="en-GB"/>
        </w:rPr>
        <w:t>Chaucer, G.</w:t>
      </w:r>
      <w:r>
        <w:rPr>
          <w:rFonts w:hint="default" w:ascii="Times New Roman" w:hAnsi="Times New Roman" w:cs="Times New Roman"/>
          <w:i/>
          <w:iCs/>
          <w:sz w:val="24"/>
          <w:szCs w:val="24"/>
          <w:u w:val="none"/>
          <w:lang w:val="en-GB"/>
        </w:rPr>
        <w:t xml:space="preserve"> </w:t>
      </w:r>
      <w:r>
        <w:rPr>
          <w:rFonts w:hint="default" w:ascii="Times New Roman" w:hAnsi="Times New Roman" w:cs="Times New Roman"/>
          <w:i w:val="0"/>
          <w:iCs w:val="0"/>
          <w:sz w:val="24"/>
          <w:szCs w:val="24"/>
          <w:u w:val="none"/>
          <w:lang w:val="en-GB"/>
        </w:rPr>
        <w:t>(2008)</w:t>
      </w:r>
      <w:r>
        <w:rPr>
          <w:rFonts w:hint="default" w:ascii="Times New Roman" w:hAnsi="Times New Roman" w:cs="Times New Roman"/>
          <w:i/>
          <w:iCs/>
          <w:sz w:val="24"/>
          <w:szCs w:val="24"/>
          <w:u w:val="none"/>
          <w:lang w:val="en-GB"/>
        </w:rPr>
        <w:t>The Canterbury Tales</w:t>
      </w:r>
      <w:r>
        <w:rPr>
          <w:rFonts w:hint="default" w:ascii="Times New Roman" w:hAnsi="Times New Roman" w:cs="Times New Roman"/>
          <w:i w:val="0"/>
          <w:iCs w:val="0"/>
          <w:sz w:val="24"/>
          <w:szCs w:val="24"/>
          <w:u w:val="none"/>
          <w:lang w:val="en-GB"/>
        </w:rPr>
        <w:t>. A verse translation by David Wright.Oxford. Oxford University Press. P263.</w:t>
      </w:r>
    </w:p>
  </w:footnote>
  <w:footnote w:id="165">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P267.</w:t>
      </w:r>
    </w:p>
  </w:footnote>
  <w:footnote w:id="166">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P37.</w:t>
      </w:r>
    </w:p>
  </w:footnote>
  <w:footnote w:id="167">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P420.</w:t>
      </w:r>
    </w:p>
  </w:footnote>
  <w:footnote w:id="168">
    <w:p>
      <w:r>
        <w:rPr>
          <w:rStyle w:val="10"/>
        </w:rPr>
        <w:footnoteRef/>
      </w:r>
      <w:r>
        <w:t xml:space="preserve"> </w:t>
      </w:r>
      <w:r>
        <w:rPr>
          <w:rFonts w:hint="default" w:ascii="Times New Roman" w:hAnsi="Times New Roman" w:cs="Times New Roman"/>
          <w:i w:val="0"/>
          <w:iCs w:val="0"/>
          <w:sz w:val="24"/>
          <w:szCs w:val="24"/>
          <w:lang w:val="en-GB"/>
        </w:rPr>
        <w:t xml:space="preserve">Roffey, S (2008) </w:t>
      </w:r>
      <w:r>
        <w:rPr>
          <w:rFonts w:hint="default" w:ascii="Times New Roman" w:hAnsi="Times New Roman" w:cs="Times New Roman"/>
          <w:i/>
          <w:iCs/>
          <w:sz w:val="24"/>
          <w:szCs w:val="24"/>
          <w:lang w:val="en-GB"/>
        </w:rPr>
        <w:t>Chantry Chapels and medieval strategies for the afterlife</w:t>
      </w:r>
      <w:r>
        <w:rPr>
          <w:rFonts w:hint="default" w:ascii="Times New Roman" w:hAnsi="Times New Roman" w:cs="Times New Roman"/>
          <w:i w:val="0"/>
          <w:iCs w:val="0"/>
          <w:sz w:val="24"/>
          <w:szCs w:val="24"/>
          <w:lang w:val="en-GB"/>
        </w:rPr>
        <w:t>. Stroud. The History Press.</w:t>
      </w:r>
    </w:p>
  </w:footnote>
  <w:footnote w:id="169">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Sumption, J (2003) </w:t>
      </w:r>
      <w:r>
        <w:rPr>
          <w:rFonts w:hint="default" w:ascii="Times New Roman" w:hAnsi="Times New Roman" w:cs="Times New Roman"/>
          <w:i/>
          <w:iCs/>
          <w:sz w:val="24"/>
          <w:szCs w:val="24"/>
          <w:lang w:val="en-GB"/>
        </w:rPr>
        <w:t>The Age of Pilgrimage</w:t>
      </w:r>
      <w:r>
        <w:rPr>
          <w:rFonts w:hint="default" w:ascii="Times New Roman" w:hAnsi="Times New Roman" w:cs="Times New Roman"/>
          <w:i w:val="0"/>
          <w:iCs w:val="0"/>
          <w:sz w:val="24"/>
          <w:szCs w:val="24"/>
          <w:lang w:val="en-GB"/>
        </w:rPr>
        <w:t>. New Jersey. Hiddensprings. P6.</w:t>
      </w:r>
    </w:p>
  </w:footnote>
  <w:footnote w:id="170">
    <w:p>
      <w:r>
        <w:rPr>
          <w:rStyle w:val="10"/>
        </w:rPr>
        <w:footnoteRef/>
      </w:r>
      <w:r>
        <w:t xml:space="preserve"> </w:t>
      </w: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 P152.</w:t>
      </w:r>
    </w:p>
  </w:footnote>
  <w:footnote w:id="17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 xml:space="preserve">Ibid </w:t>
      </w:r>
      <w:r>
        <w:rPr>
          <w:rFonts w:hint="default" w:ascii="Times New Roman" w:hAnsi="Times New Roman" w:cs="Times New Roman"/>
          <w:i w:val="0"/>
          <w:iCs w:val="0"/>
          <w:sz w:val="24"/>
          <w:szCs w:val="24"/>
          <w:lang w:val="en-GB"/>
        </w:rPr>
        <w:t>P163.</w:t>
      </w:r>
    </w:p>
  </w:footnote>
  <w:footnote w:id="172">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 xml:space="preserve"> P152.</w:t>
      </w:r>
    </w:p>
  </w:footnote>
  <w:footnote w:id="173">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lang w:val="en-GB"/>
        </w:rPr>
        <w:t xml:space="preserve"> P125.</w:t>
      </w:r>
    </w:p>
  </w:footnote>
  <w:footnote w:id="174">
    <w:p>
      <w:pPr>
        <w:pStyle w:val="5"/>
        <w:snapToGrid w:val="0"/>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"https://www.historytoday.com/miscellanies/medieval-gig-economy" </w:instrText>
      </w:r>
      <w:r>
        <w:rPr>
          <w:rFonts w:ascii="SimSun" w:hAnsi="SimSun" w:eastAsia="SimSun" w:cs="SimSun"/>
          <w:sz w:val="24"/>
          <w:szCs w:val="24"/>
        </w:rPr>
        <w:fldChar w:fldCharType="separate"/>
      </w:r>
      <w:r>
        <w:rPr>
          <w:rStyle w:val="11"/>
          <w:rFonts w:ascii="SimSun" w:hAnsi="SimSun" w:eastAsia="SimSun" w:cs="SimSun"/>
          <w:sz w:val="24"/>
          <w:szCs w:val="24"/>
        </w:rPr>
        <w:t>https://www.historytoday.com/miscellanies/medieval-gig-economy</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13/09/2020.</w:t>
      </w:r>
    </w:p>
  </w:footnote>
  <w:footnote w:id="175">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Lawrence, C.H (2013) </w:t>
      </w:r>
      <w:r>
        <w:rPr>
          <w:rFonts w:hint="default" w:ascii="Times New Roman" w:hAnsi="Times New Roman" w:cs="Times New Roman"/>
          <w:i/>
          <w:iCs/>
          <w:sz w:val="24"/>
          <w:szCs w:val="24"/>
          <w:lang w:val="en-GB"/>
        </w:rPr>
        <w:t>The Friars: The impact of the mendicant orders</w:t>
      </w:r>
      <w:r>
        <w:rPr>
          <w:rFonts w:hint="default" w:ascii="Times New Roman" w:hAnsi="Times New Roman" w:cs="Times New Roman"/>
          <w:i w:val="0"/>
          <w:iCs w:val="0"/>
          <w:sz w:val="24"/>
          <w:szCs w:val="24"/>
          <w:lang w:val="en-GB"/>
        </w:rPr>
        <w:t>. London: I.B Tauris &amp; Co Ltd. P164.</w:t>
      </w:r>
    </w:p>
  </w:footnote>
  <w:footnote w:id="176">
    <w:p>
      <w:pPr>
        <w:rPr>
          <w:rFonts w:hint="default"/>
          <w:lang w:val="en-GB"/>
        </w:rPr>
      </w:pPr>
      <w:r>
        <w:rPr>
          <w:rStyle w:val="10"/>
        </w:rPr>
        <w:footnoteRef/>
      </w:r>
      <w:r>
        <w:t xml:space="preserve"> </w:t>
      </w:r>
      <w:r>
        <w:rPr>
          <w:rFonts w:hint="default" w:ascii="Times New Roman" w:hAnsi="Times New Roman" w:cs="Times New Roman"/>
          <w:i w:val="0"/>
          <w:iCs w:val="0"/>
          <w:sz w:val="24"/>
          <w:szCs w:val="24"/>
          <w:lang w:val="en-GB"/>
        </w:rPr>
        <w:t xml:space="preserve">Madigan, K (2015) </w:t>
      </w:r>
      <w:r>
        <w:rPr>
          <w:rFonts w:hint="default" w:ascii="Times New Roman" w:hAnsi="Times New Roman" w:cs="Times New Roman"/>
          <w:i/>
          <w:iCs/>
          <w:sz w:val="24"/>
          <w:szCs w:val="24"/>
          <w:lang w:val="en-GB"/>
        </w:rPr>
        <w:t>Medieval Christianity : A new history</w:t>
      </w:r>
      <w:r>
        <w:rPr>
          <w:rFonts w:hint="default" w:ascii="Times New Roman" w:hAnsi="Times New Roman" w:cs="Times New Roman"/>
          <w:i w:val="0"/>
          <w:iCs w:val="0"/>
          <w:sz w:val="24"/>
          <w:szCs w:val="24"/>
          <w:lang w:val="en-GB"/>
        </w:rPr>
        <w:t>. New Haven. Yale University Press. P389.</w:t>
      </w:r>
    </w:p>
  </w:footnote>
  <w:footnote w:id="177">
    <w:p>
      <w:pPr>
        <w:pStyle w:val="5"/>
        <w:snapToGrid w:val="0"/>
      </w:pPr>
      <w:r>
        <w:rPr>
          <w:rStyle w:val="10"/>
        </w:rPr>
        <w:footnoteRef/>
      </w:r>
      <w:r>
        <w:t xml:space="preserve"> </w:t>
      </w:r>
      <w:r>
        <w:rPr>
          <w:rFonts w:ascii="SimSun" w:hAnsi="SimSun" w:eastAsia="SimSun" w:cs="SimSun"/>
          <w:sz w:val="24"/>
          <w:szCs w:val="24"/>
        </w:rPr>
        <w:fldChar w:fldCharType="begin"/>
      </w:r>
      <w:r>
        <w:rPr>
          <w:rFonts w:ascii="SimSun" w:hAnsi="SimSun" w:eastAsia="SimSun" w:cs="SimSun"/>
          <w:sz w:val="24"/>
          <w:szCs w:val="24"/>
        </w:rPr>
        <w:instrText xml:space="preserve"> HYPERLINK "https://www.historytoday.com/miscellanies/medieval-gig-economy" </w:instrText>
      </w:r>
      <w:r>
        <w:rPr>
          <w:rFonts w:ascii="SimSun" w:hAnsi="SimSun" w:eastAsia="SimSun" w:cs="SimSun"/>
          <w:sz w:val="24"/>
          <w:szCs w:val="24"/>
        </w:rPr>
        <w:fldChar w:fldCharType="separate"/>
      </w:r>
      <w:r>
        <w:rPr>
          <w:rStyle w:val="11"/>
          <w:rFonts w:ascii="SimSun" w:hAnsi="SimSun" w:eastAsia="SimSun" w:cs="SimSun"/>
          <w:sz w:val="24"/>
          <w:szCs w:val="24"/>
        </w:rPr>
        <w:t>https://www.historytoday.com/miscellanies/medieval-gig-economy</w:t>
      </w:r>
      <w:r>
        <w:rPr>
          <w:rFonts w:ascii="SimSun" w:hAnsi="SimSun" w:eastAsia="SimSun" w:cs="SimSun"/>
          <w:sz w:val="24"/>
          <w:szCs w:val="24"/>
        </w:rPr>
        <w:fldChar w:fldCharType="end"/>
      </w:r>
      <w:r>
        <w:rPr>
          <w:rFonts w:hint="default" w:ascii="SimSun" w:hAnsi="SimSun" w:eastAsia="SimSun" w:cs="SimSun"/>
          <w:sz w:val="24"/>
          <w:szCs w:val="24"/>
          <w:lang w:val="en-GB"/>
        </w:rPr>
        <w:t xml:space="preserve"> accessed 13/09/2020.</w:t>
      </w:r>
    </w:p>
  </w:footnote>
  <w:footnote w:id="178">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P10.</w:t>
      </w:r>
    </w:p>
  </w:footnote>
  <w:footnote w:id="179">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P212.</w:t>
      </w:r>
    </w:p>
  </w:footnote>
  <w:footnote w:id="180">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P333.</w:t>
      </w:r>
    </w:p>
  </w:footnote>
  <w:footnote w:id="181">
    <w:p>
      <w:pPr>
        <w:pStyle w:val="5"/>
        <w:snapToGrid w:val="0"/>
        <w:rPr>
          <w:rFonts w:hint="default"/>
          <w:lang w:val="en-GB"/>
        </w:rPr>
      </w:pPr>
      <w:r>
        <w:rPr>
          <w:rStyle w:val="10"/>
        </w:rPr>
        <w:footnoteRef/>
      </w:r>
      <w:r>
        <w:t xml:space="preserve"> </w:t>
      </w:r>
      <w:r>
        <w:rPr>
          <w:rFonts w:hint="default" w:ascii="Times New Roman" w:hAnsi="Times New Roman" w:cs="Times New Roman"/>
          <w:sz w:val="22"/>
          <w:szCs w:val="22"/>
          <w:lang w:val="en-GB"/>
        </w:rPr>
        <w:t>Ibid</w:t>
      </w:r>
      <w:r>
        <w:rPr>
          <w:rFonts w:hint="default" w:ascii="Times New Roman" w:hAnsi="Times New Roman" w:cs="Times New Roman"/>
          <w:i w:val="0"/>
          <w:iCs w:val="0"/>
          <w:sz w:val="24"/>
          <w:szCs w:val="24"/>
          <w:u w:val="none"/>
          <w:lang w:val="en-GB"/>
        </w:rPr>
        <w:t xml:space="preserve"> P182.</w:t>
      </w:r>
    </w:p>
  </w:footnote>
  <w:footnote w:id="182">
    <w:p>
      <w:r>
        <w:rPr>
          <w:rStyle w:val="10"/>
        </w:rPr>
        <w:footnoteRef/>
      </w:r>
      <w:r>
        <w:t xml:space="preserve"> </w:t>
      </w:r>
      <w:r>
        <w:rPr>
          <w:rFonts w:hint="default" w:ascii="Times New Roman" w:hAnsi="Times New Roman" w:cs="Times New Roman"/>
          <w:i/>
          <w:iCs/>
          <w:sz w:val="24"/>
          <w:szCs w:val="24"/>
          <w:u w:val="none"/>
          <w:lang w:val="en-GB"/>
        </w:rP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P278.</w:t>
      </w:r>
    </w:p>
  </w:footnote>
  <w:footnote w:id="183">
    <w:p>
      <w:r>
        <w:rPr>
          <w:rStyle w:val="10"/>
        </w:rPr>
        <w:footnoteRef/>
      </w:r>
      <w:r>
        <w:t xml:space="preserve"> </w:t>
      </w:r>
      <w:r>
        <w:rPr>
          <w:rFonts w:hint="default" w:ascii="Times New Roman" w:hAnsi="Times New Roman" w:cs="Times New Roman"/>
          <w:lang w:val="en-GB"/>
        </w:rPr>
        <w:t>Ibid</w:t>
      </w:r>
      <w:r>
        <w:rPr>
          <w:rFonts w:hint="default" w:ascii="Times New Roman" w:hAnsi="Times New Roman" w:cs="Times New Roman"/>
          <w:i w:val="0"/>
          <w:iCs w:val="0"/>
          <w:sz w:val="24"/>
          <w:szCs w:val="24"/>
          <w:u w:val="none"/>
          <w:lang w:val="en-GB"/>
        </w:rPr>
        <w:t xml:space="preserve"> P106.</w:t>
      </w:r>
    </w:p>
  </w:footnote>
  <w:footnote w:id="184">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P352.</w:t>
      </w:r>
    </w:p>
  </w:footnote>
  <w:footnote w:id="185">
    <w:p>
      <w:pPr>
        <w:pStyle w:val="5"/>
        <w:snapToGrid w:val="0"/>
        <w:rPr>
          <w:rFonts w:hint="default"/>
          <w:lang w:val="en-GB"/>
        </w:rPr>
      </w:pPr>
      <w:r>
        <w:rPr>
          <w:rStyle w:val="10"/>
        </w:rPr>
        <w:footnoteRef/>
      </w:r>
      <w:r>
        <w:t xml:space="preserve"> </w:t>
      </w:r>
      <w:r>
        <w:rPr>
          <w:rFonts w:hint="default" w:ascii="Times New Roman" w:hAnsi="Times New Roman" w:cs="Times New Roman"/>
          <w:i w:val="0"/>
          <w:iCs w:val="0"/>
          <w:sz w:val="24"/>
          <w:szCs w:val="24"/>
          <w:u w:val="none"/>
          <w:lang w:val="en-GB"/>
        </w:rPr>
        <w:t xml:space="preserve">Northeast , P &amp; Falvey, H (eds). (2009) </w:t>
      </w:r>
      <w:r>
        <w:rPr>
          <w:rFonts w:hint="default" w:ascii="Times New Roman" w:hAnsi="Times New Roman" w:cs="Times New Roman"/>
          <w:i/>
          <w:iCs/>
          <w:sz w:val="24"/>
          <w:szCs w:val="24"/>
          <w:u w:val="none"/>
          <w:lang w:val="en-GB"/>
        </w:rPr>
        <w:t>Wills of the Archdeaconery of Sudbury 1439-1474</w:t>
      </w:r>
      <w:r>
        <w:rPr>
          <w:rFonts w:hint="default" w:ascii="Times New Roman" w:hAnsi="Times New Roman" w:cs="Times New Roman"/>
          <w:i w:val="0"/>
          <w:iCs w:val="0"/>
          <w:sz w:val="24"/>
          <w:szCs w:val="24"/>
          <w:u w:val="none"/>
          <w:lang w:val="en-GB"/>
        </w:rPr>
        <w:t>.. Suffolk.The Boydell Press. P84.</w:t>
      </w:r>
    </w:p>
  </w:footnote>
  <w:footnote w:id="186">
    <w:p>
      <w:pPr>
        <w:rPr>
          <w:rFonts w:hint="default" w:ascii="Times New Roman" w:hAnsi="Times New Roman" w:cs="Times New Roman"/>
          <w:i w:val="0"/>
          <w:iCs w:val="0"/>
          <w:sz w:val="24"/>
          <w:szCs w:val="24"/>
          <w:lang w:val="en-GB"/>
        </w:rPr>
      </w:pPr>
      <w:r>
        <w:rPr>
          <w:rStyle w:val="10"/>
        </w:rPr>
        <w:footnoteRef/>
      </w:r>
      <w:r>
        <w:t xml:space="preserve"> </w:t>
      </w:r>
      <w:r>
        <w:rPr>
          <w:rFonts w:hint="default" w:ascii="Times New Roman" w:hAnsi="Times New Roman" w:cs="Times New Roman"/>
          <w:i w:val="0"/>
          <w:iCs w:val="0"/>
          <w:sz w:val="24"/>
          <w:szCs w:val="24"/>
          <w:lang w:val="en-GB"/>
        </w:rPr>
        <w:t xml:space="preserve">Sumption, J (2003) </w:t>
      </w:r>
      <w:r>
        <w:rPr>
          <w:rFonts w:hint="default" w:ascii="Times New Roman" w:hAnsi="Times New Roman" w:cs="Times New Roman"/>
          <w:i/>
          <w:iCs/>
          <w:sz w:val="24"/>
          <w:szCs w:val="24"/>
          <w:lang w:val="en-GB"/>
        </w:rPr>
        <w:t>The Age of Pilgrimage</w:t>
      </w:r>
      <w:r>
        <w:rPr>
          <w:rFonts w:hint="default" w:ascii="Times New Roman" w:hAnsi="Times New Roman" w:cs="Times New Roman"/>
          <w:i w:val="0"/>
          <w:iCs w:val="0"/>
          <w:sz w:val="24"/>
          <w:szCs w:val="24"/>
          <w:lang w:val="en-GB"/>
        </w:rPr>
        <w:t>. New Jersey. Hiddensprings. P15.</w:t>
      </w:r>
    </w:p>
    <w:p>
      <w:pPr>
        <w:pStyle w:val="5"/>
        <w:snapToGrid w:val="0"/>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BF8833D"/>
    <w:multiLevelType w:val="singleLevel"/>
    <w:tmpl w:val="8BF8833D"/>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374"/>
    <w:footnote w:id="375"/>
  </w:footnotePr>
  <w:endnotePr>
    <w:endnote w:id="0"/>
    <w:endnote w:id="1"/>
  </w:endnotePr>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14EB"/>
    <w:rsid w:val="000922A6"/>
    <w:rsid w:val="001A0306"/>
    <w:rsid w:val="001B24CC"/>
    <w:rsid w:val="00314E80"/>
    <w:rsid w:val="003F295E"/>
    <w:rsid w:val="00483257"/>
    <w:rsid w:val="00621914"/>
    <w:rsid w:val="00656B3A"/>
    <w:rsid w:val="006F0EE1"/>
    <w:rsid w:val="00735052"/>
    <w:rsid w:val="009B1158"/>
    <w:rsid w:val="00A23C8C"/>
    <w:rsid w:val="00AC6C4F"/>
    <w:rsid w:val="00B314EB"/>
    <w:rsid w:val="00D21D93"/>
    <w:rsid w:val="00D82E8B"/>
    <w:rsid w:val="00F63AFA"/>
    <w:rsid w:val="01547484"/>
    <w:rsid w:val="01F16573"/>
    <w:rsid w:val="037946C5"/>
    <w:rsid w:val="03A36BF3"/>
    <w:rsid w:val="03E01E5E"/>
    <w:rsid w:val="03E20A12"/>
    <w:rsid w:val="04665978"/>
    <w:rsid w:val="0474590C"/>
    <w:rsid w:val="04864647"/>
    <w:rsid w:val="04B45DF8"/>
    <w:rsid w:val="05DB4B84"/>
    <w:rsid w:val="061E433D"/>
    <w:rsid w:val="064251EE"/>
    <w:rsid w:val="066D11E8"/>
    <w:rsid w:val="067313BA"/>
    <w:rsid w:val="06B76CF5"/>
    <w:rsid w:val="07A566B9"/>
    <w:rsid w:val="087A1E87"/>
    <w:rsid w:val="08D9469B"/>
    <w:rsid w:val="08E43461"/>
    <w:rsid w:val="094D39CF"/>
    <w:rsid w:val="0B0915E6"/>
    <w:rsid w:val="0B3174CE"/>
    <w:rsid w:val="0C4F6BDB"/>
    <w:rsid w:val="0C715720"/>
    <w:rsid w:val="0CF62B7B"/>
    <w:rsid w:val="0DD60B63"/>
    <w:rsid w:val="0F556D87"/>
    <w:rsid w:val="0FAD3E90"/>
    <w:rsid w:val="10B036CF"/>
    <w:rsid w:val="10E768A7"/>
    <w:rsid w:val="12A7000A"/>
    <w:rsid w:val="135F5BCF"/>
    <w:rsid w:val="137A7B3F"/>
    <w:rsid w:val="13B92932"/>
    <w:rsid w:val="13EA53C2"/>
    <w:rsid w:val="14093A19"/>
    <w:rsid w:val="14B90D7D"/>
    <w:rsid w:val="14EC7BA3"/>
    <w:rsid w:val="15DE2869"/>
    <w:rsid w:val="15E14438"/>
    <w:rsid w:val="163341A1"/>
    <w:rsid w:val="16954013"/>
    <w:rsid w:val="181D7C19"/>
    <w:rsid w:val="192C6608"/>
    <w:rsid w:val="19502B88"/>
    <w:rsid w:val="197D57CB"/>
    <w:rsid w:val="1A375CB0"/>
    <w:rsid w:val="1AC51764"/>
    <w:rsid w:val="1AFA35C0"/>
    <w:rsid w:val="1B092932"/>
    <w:rsid w:val="1BBB10A2"/>
    <w:rsid w:val="1BE34235"/>
    <w:rsid w:val="1C0C5617"/>
    <w:rsid w:val="1D1813A6"/>
    <w:rsid w:val="1D916B44"/>
    <w:rsid w:val="1DBE71B0"/>
    <w:rsid w:val="1DC16607"/>
    <w:rsid w:val="1DF769E2"/>
    <w:rsid w:val="1E1D16DB"/>
    <w:rsid w:val="1E420B3D"/>
    <w:rsid w:val="1EC04725"/>
    <w:rsid w:val="1EF16312"/>
    <w:rsid w:val="1F046092"/>
    <w:rsid w:val="1F0834D4"/>
    <w:rsid w:val="20C24A52"/>
    <w:rsid w:val="224A0715"/>
    <w:rsid w:val="2288361F"/>
    <w:rsid w:val="23B11B44"/>
    <w:rsid w:val="2429089C"/>
    <w:rsid w:val="25266E7E"/>
    <w:rsid w:val="2527201B"/>
    <w:rsid w:val="253050DD"/>
    <w:rsid w:val="262B0A1C"/>
    <w:rsid w:val="27073065"/>
    <w:rsid w:val="28297BD7"/>
    <w:rsid w:val="28C330DB"/>
    <w:rsid w:val="28C42FBF"/>
    <w:rsid w:val="28C817B4"/>
    <w:rsid w:val="28DA1703"/>
    <w:rsid w:val="296E6299"/>
    <w:rsid w:val="29CE717C"/>
    <w:rsid w:val="2B6D29CB"/>
    <w:rsid w:val="2BCE12EB"/>
    <w:rsid w:val="2CE5021D"/>
    <w:rsid w:val="2CF870DD"/>
    <w:rsid w:val="2D786C12"/>
    <w:rsid w:val="2DE80C8A"/>
    <w:rsid w:val="2EB10F7C"/>
    <w:rsid w:val="2EE07DE0"/>
    <w:rsid w:val="303006E9"/>
    <w:rsid w:val="30377C42"/>
    <w:rsid w:val="30C87829"/>
    <w:rsid w:val="311530FC"/>
    <w:rsid w:val="312C2E23"/>
    <w:rsid w:val="328450E6"/>
    <w:rsid w:val="32E1319A"/>
    <w:rsid w:val="33651D2F"/>
    <w:rsid w:val="33B248B7"/>
    <w:rsid w:val="34865B38"/>
    <w:rsid w:val="35414F42"/>
    <w:rsid w:val="35447D0C"/>
    <w:rsid w:val="35B52173"/>
    <w:rsid w:val="36176360"/>
    <w:rsid w:val="363A163C"/>
    <w:rsid w:val="37AD2A89"/>
    <w:rsid w:val="39CE6AAE"/>
    <w:rsid w:val="39E00AE7"/>
    <w:rsid w:val="3A9B5218"/>
    <w:rsid w:val="3AA203A4"/>
    <w:rsid w:val="3ACF2C8F"/>
    <w:rsid w:val="3B942E3E"/>
    <w:rsid w:val="3C3C0FBA"/>
    <w:rsid w:val="3C5034BF"/>
    <w:rsid w:val="3C5B6EB8"/>
    <w:rsid w:val="3C7E235E"/>
    <w:rsid w:val="3CAB20EE"/>
    <w:rsid w:val="3D264BA2"/>
    <w:rsid w:val="3D8F1815"/>
    <w:rsid w:val="3DF01FC4"/>
    <w:rsid w:val="3F4761FF"/>
    <w:rsid w:val="40140901"/>
    <w:rsid w:val="40263C2B"/>
    <w:rsid w:val="413569D5"/>
    <w:rsid w:val="427C15BA"/>
    <w:rsid w:val="44065142"/>
    <w:rsid w:val="44500125"/>
    <w:rsid w:val="445124FD"/>
    <w:rsid w:val="47FE01B9"/>
    <w:rsid w:val="48A83667"/>
    <w:rsid w:val="49B2789E"/>
    <w:rsid w:val="49F92120"/>
    <w:rsid w:val="4BD556F0"/>
    <w:rsid w:val="4C1C0CFE"/>
    <w:rsid w:val="4D2A267F"/>
    <w:rsid w:val="4E003E85"/>
    <w:rsid w:val="4FAD7443"/>
    <w:rsid w:val="5014026E"/>
    <w:rsid w:val="50312E96"/>
    <w:rsid w:val="51A172B4"/>
    <w:rsid w:val="5232699F"/>
    <w:rsid w:val="5278285E"/>
    <w:rsid w:val="53C50A92"/>
    <w:rsid w:val="53D31033"/>
    <w:rsid w:val="54227A5E"/>
    <w:rsid w:val="546D46BD"/>
    <w:rsid w:val="551118C8"/>
    <w:rsid w:val="551F7CD0"/>
    <w:rsid w:val="56417DEE"/>
    <w:rsid w:val="56ED3BFF"/>
    <w:rsid w:val="575B30AE"/>
    <w:rsid w:val="579C3965"/>
    <w:rsid w:val="58210D7D"/>
    <w:rsid w:val="586C18D1"/>
    <w:rsid w:val="595A4F48"/>
    <w:rsid w:val="5AAA71C1"/>
    <w:rsid w:val="5ACD40E7"/>
    <w:rsid w:val="5B232166"/>
    <w:rsid w:val="5BC15436"/>
    <w:rsid w:val="5BD33154"/>
    <w:rsid w:val="5C381C29"/>
    <w:rsid w:val="5DCC3B64"/>
    <w:rsid w:val="5DF44E24"/>
    <w:rsid w:val="5EC52448"/>
    <w:rsid w:val="5EF372C0"/>
    <w:rsid w:val="5EF80E46"/>
    <w:rsid w:val="5F8132A1"/>
    <w:rsid w:val="5F91328F"/>
    <w:rsid w:val="5FBB269F"/>
    <w:rsid w:val="60283F40"/>
    <w:rsid w:val="60E62351"/>
    <w:rsid w:val="60F20CAC"/>
    <w:rsid w:val="613738BB"/>
    <w:rsid w:val="61862304"/>
    <w:rsid w:val="63CC64E8"/>
    <w:rsid w:val="64375CAE"/>
    <w:rsid w:val="64C6408B"/>
    <w:rsid w:val="6541555A"/>
    <w:rsid w:val="654A34C7"/>
    <w:rsid w:val="661A7B32"/>
    <w:rsid w:val="68174A1F"/>
    <w:rsid w:val="686F1757"/>
    <w:rsid w:val="68EF0777"/>
    <w:rsid w:val="69887C48"/>
    <w:rsid w:val="699E28CB"/>
    <w:rsid w:val="69CA3FC7"/>
    <w:rsid w:val="6A7A548A"/>
    <w:rsid w:val="6AF52C09"/>
    <w:rsid w:val="6BDB6304"/>
    <w:rsid w:val="6D510259"/>
    <w:rsid w:val="6EB77690"/>
    <w:rsid w:val="704322A1"/>
    <w:rsid w:val="705B2BD5"/>
    <w:rsid w:val="70705054"/>
    <w:rsid w:val="707C5AB3"/>
    <w:rsid w:val="71856838"/>
    <w:rsid w:val="719F5DFB"/>
    <w:rsid w:val="721E02A3"/>
    <w:rsid w:val="730F377D"/>
    <w:rsid w:val="73E15EE0"/>
    <w:rsid w:val="740922B8"/>
    <w:rsid w:val="74C17503"/>
    <w:rsid w:val="74FF58B2"/>
    <w:rsid w:val="75F5347D"/>
    <w:rsid w:val="77B70918"/>
    <w:rsid w:val="78011F1F"/>
    <w:rsid w:val="786448E4"/>
    <w:rsid w:val="7A082DDB"/>
    <w:rsid w:val="7A870788"/>
    <w:rsid w:val="7AF42277"/>
    <w:rsid w:val="7C884677"/>
    <w:rsid w:val="7CB33A2B"/>
    <w:rsid w:val="7CF8019F"/>
    <w:rsid w:val="7D7945C7"/>
    <w:rsid w:val="7DFF107A"/>
    <w:rsid w:val="7E5016D7"/>
    <w:rsid w:val="7E8B6D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7">
    <w:name w:val="Default Paragraph Font"/>
    <w:semiHidden/>
    <w:qFormat/>
    <w:uiPriority w:val="0"/>
  </w:style>
  <w:style w:type="table" w:default="1" w:styleId="13">
    <w:name w:val="Normal Table"/>
    <w:semiHidden/>
    <w:qFormat/>
    <w:uiPriority w:val="0"/>
    <w:tblPr>
      <w:tblCellMar>
        <w:top w:w="0" w:type="dxa"/>
        <w:left w:w="108" w:type="dxa"/>
        <w:bottom w:w="0" w:type="dxa"/>
        <w:right w:w="108" w:type="dxa"/>
      </w:tblCellMar>
    </w:tblPr>
  </w:style>
  <w:style w:type="paragraph" w:styleId="3">
    <w:name w:val="Balloon Text"/>
    <w:basedOn w:val="1"/>
    <w:link w:val="14"/>
    <w:qFormat/>
    <w:uiPriority w:val="0"/>
    <w:pPr>
      <w:spacing w:after="0" w:line="240" w:lineRule="auto"/>
    </w:pPr>
    <w:rPr>
      <w:rFonts w:ascii="Tahoma" w:hAnsi="Tahoma" w:eastAsia="Times New Roman" w:cs="Tahoma"/>
      <w:sz w:val="16"/>
      <w:szCs w:val="16"/>
      <w:lang w:eastAsia="en-GB"/>
    </w:rPr>
  </w:style>
  <w:style w:type="paragraph" w:styleId="4">
    <w:name w:val="endnote text"/>
    <w:basedOn w:val="1"/>
    <w:uiPriority w:val="0"/>
    <w:pPr>
      <w:snapToGrid w:val="0"/>
      <w:jc w:val="left"/>
    </w:pPr>
  </w:style>
  <w:style w:type="paragraph" w:styleId="5">
    <w:name w:val="footnote text"/>
    <w:basedOn w:val="1"/>
    <w:qFormat/>
    <w:uiPriority w:val="0"/>
    <w:pPr>
      <w:snapToGrid w:val="0"/>
      <w:jc w:val="left"/>
    </w:pPr>
    <w:rPr>
      <w:sz w:val="18"/>
      <w:szCs w:val="18"/>
    </w:rPr>
  </w:style>
  <w:style w:type="paragraph" w:styleId="6">
    <w:name w:val="Normal (Web)"/>
    <w:basedOn w:val="1"/>
    <w:qFormat/>
    <w:uiPriority w:val="0"/>
    <w:pPr>
      <w:spacing w:before="100" w:beforeAutospacing="1" w:after="100" w:afterAutospacing="1"/>
    </w:pPr>
    <w:rPr>
      <w:rFonts w:ascii="Georgia" w:hAnsi="Georgia"/>
      <w:color w:val="000000"/>
      <w:sz w:val="21"/>
      <w:szCs w:val="21"/>
    </w:rPr>
  </w:style>
  <w:style w:type="character" w:styleId="8">
    <w:name w:val="Emphasis"/>
    <w:basedOn w:val="7"/>
    <w:qFormat/>
    <w:uiPriority w:val="0"/>
    <w:rPr>
      <w:i/>
      <w:iCs/>
    </w:rPr>
  </w:style>
  <w:style w:type="character" w:styleId="9">
    <w:name w:val="endnote reference"/>
    <w:basedOn w:val="7"/>
    <w:uiPriority w:val="0"/>
    <w:rPr>
      <w:vertAlign w:val="superscript"/>
    </w:rPr>
  </w:style>
  <w:style w:type="character" w:styleId="10">
    <w:name w:val="footnote reference"/>
    <w:basedOn w:val="7"/>
    <w:qFormat/>
    <w:uiPriority w:val="0"/>
    <w:rPr>
      <w:vertAlign w:val="superscript"/>
    </w:rPr>
  </w:style>
  <w:style w:type="character" w:styleId="11">
    <w:name w:val="Hyperlink"/>
    <w:basedOn w:val="7"/>
    <w:qFormat/>
    <w:uiPriority w:val="0"/>
    <w:rPr>
      <w:color w:val="0000FF"/>
      <w:u w:val="single"/>
    </w:rPr>
  </w:style>
  <w:style w:type="character" w:styleId="12">
    <w:name w:val="Strong"/>
    <w:basedOn w:val="7"/>
    <w:qFormat/>
    <w:uiPriority w:val="0"/>
    <w:rPr>
      <w:rFonts w:ascii="Times New Roman" w:hAnsi="Times New Roman" w:eastAsia="SimSun" w:cs="Times New Roman"/>
      <w:b/>
      <w:bCs/>
    </w:rPr>
  </w:style>
  <w:style w:type="character" w:customStyle="1" w:styleId="14">
    <w:name w:val="Balloon Text Char"/>
    <w:basedOn w:val="7"/>
    <w:link w:val="3"/>
    <w:semiHidden/>
    <w:qFormat/>
    <w:uiPriority w:val="99"/>
    <w:rPr>
      <w:rFonts w:ascii="Tahoma" w:hAnsi="Tahoma" w:cs="Tahoma" w:eastAsiaTheme="minorHAnsi"/>
      <w:sz w:val="16"/>
      <w:szCs w:val="1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49</TotalTime>
  <ScaleCrop>false</ScaleCrop>
  <LinksUpToDate>false</LinksUpToDate>
  <CharactersWithSpaces>0</CharactersWithSpaces>
  <Application>WPS Office_11.2.0.9684_F1E327BC-269C-435d-A152-05C5408002CA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2020-09-01T06:30:00Z</dcterms:created>
  <dc:creator>Owner</dc:creator>
  <cp:lastModifiedBy>djashby640</cp:lastModifiedBy>
  <dcterms:modified xsi:type="dcterms:W3CDTF">2020-09-22T04:32:44Z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2057-11.2.0.9684</vt:lpwstr>
  </property>
</Properties>
</file>