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156082" w:themeColor="accent1"/>
        </w:rPr>
        <w:id w:val="-1970358781"/>
        <w:docPartObj>
          <w:docPartGallery w:val="Cover Pages"/>
          <w:docPartUnique/>
        </w:docPartObj>
      </w:sdtPr>
      <w:sdtEndPr>
        <w:rPr>
          <w:color w:val="auto"/>
        </w:rPr>
      </w:sdtEndPr>
      <w:sdtContent>
        <w:p w14:paraId="603D1409" w14:textId="2EB387C9" w:rsidR="004C3BD1" w:rsidRDefault="00EB76D9">
          <w:pPr>
            <w:pStyle w:val="NoSpacing"/>
            <w:spacing w:before="1540" w:after="240"/>
            <w:jc w:val="center"/>
            <w:rPr>
              <w:color w:val="156082" w:themeColor="accent1"/>
            </w:rPr>
          </w:pPr>
          <w:r>
            <w:rPr>
              <w:noProof/>
              <w:color w:val="156082" w:themeColor="accent1"/>
            </w:rPr>
            <mc:AlternateContent>
              <mc:Choice Requires="wps">
                <w:drawing>
                  <wp:anchor distT="0" distB="0" distL="114300" distR="114300" simplePos="0" relativeHeight="251660288" behindDoc="0" locked="0" layoutInCell="1" allowOverlap="1" wp14:anchorId="386CEF2E" wp14:editId="4B46087F">
                    <wp:simplePos x="0" y="0"/>
                    <wp:positionH relativeFrom="column">
                      <wp:posOffset>-586740</wp:posOffset>
                    </wp:positionH>
                    <wp:positionV relativeFrom="paragraph">
                      <wp:posOffset>-563880</wp:posOffset>
                    </wp:positionV>
                    <wp:extent cx="1851660" cy="1120140"/>
                    <wp:effectExtent l="0" t="0" r="53340" b="41910"/>
                    <wp:wrapNone/>
                    <wp:docPr id="1960933951" name="Diagonal Stripe 2"/>
                    <wp:cNvGraphicFramePr/>
                    <a:graphic xmlns:a="http://schemas.openxmlformats.org/drawingml/2006/main">
                      <a:graphicData uri="http://schemas.microsoft.com/office/word/2010/wordprocessingShape">
                        <wps:wsp>
                          <wps:cNvSpPr/>
                          <wps:spPr>
                            <a:xfrm>
                              <a:off x="0" y="0"/>
                              <a:ext cx="1851660" cy="1120140"/>
                            </a:xfrm>
                            <a:prstGeom prst="diagStripe">
                              <a:avLst/>
                            </a:prstGeom>
                            <a:solidFill>
                              <a:schemeClr val="tx1"/>
                            </a:solidFill>
                            <a:ln>
                              <a:solidFill>
                                <a:schemeClr val="tx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AFFF873" id="Diagonal Stripe 2" o:spid="_x0000_s1026" style="position:absolute;margin-left:-46.2pt;margin-top:-44.4pt;width:145.8pt;height:88.2pt;z-index:251660288;visibility:visible;mso-wrap-style:square;mso-wrap-distance-left:9pt;mso-wrap-distance-top:0;mso-wrap-distance-right:9pt;mso-wrap-distance-bottom:0;mso-position-horizontal:absolute;mso-position-horizontal-relative:text;mso-position-vertical:absolute;mso-position-vertical-relative:text;v-text-anchor:middle" coordsize="1851660,1120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" path="m,560070l925830,r925830,l,1120140,,560070xe" fillcolor="black [3213]" strokecolor="#0e2841 [3215]" strokeweight="1pt">
                    <v:stroke joinstyle="miter"/>
                    <v:path arrowok="t" o:connecttype="custom" o:connectlocs="0,560070;925830,0;1851660,0;0,1120140;0,560070" o:connectangles="0,0,0,0,0"/>
                  </v:shape>
                </w:pict>
              </mc:Fallback>
            </mc:AlternateContent>
          </w:r>
          <w:r w:rsidR="004C3BD1">
            <w:rPr>
              <w:noProof/>
              <w:color w:val="156082" w:themeColor="accent1"/>
            </w:rPr>
            <w:drawing>
              <wp:inline distT="0" distB="0" distL="0" distR="0" wp14:anchorId="20D568A9" wp14:editId="49E5285B">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biLevel thresh="75000"/>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sz w:val="28"/>
              <w:szCs w:val="28"/>
            </w:rPr>
            <w:alias w:val="Title"/>
            <w:tag w:val=""/>
            <w:id w:val="1735040861"/>
            <w:placeholder>
              <w:docPart w:val="6EE01BCE49E0429C89B316735DF89807"/>
            </w:placeholder>
            <w:dataBinding w:prefixMappings="xmlns:ns0='http://purl.org/dc/elements/1.1/' xmlns:ns1='http://schemas.openxmlformats.org/package/2006/metadata/core-properties' " w:xpath="/ns1:coreProperties[1]/ns0:title[1]" w:storeItemID="{6C3C8BC8-F283-45AE-878A-BAB7291924A1}"/>
            <w:text/>
          </w:sdtPr>
          <w:sdtContent>
            <w:p w14:paraId="223674B7" w14:textId="06A259FB" w:rsidR="004C3BD1" w:rsidRPr="00E87932" w:rsidRDefault="00E87932">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sz w:val="28"/>
                  <w:szCs w:val="28"/>
                </w:rPr>
              </w:pPr>
              <w:r w:rsidRPr="00E87932">
                <w:rPr>
                  <w:rFonts w:asciiTheme="majorHAnsi" w:eastAsiaTheme="majorEastAsia" w:hAnsiTheme="majorHAnsi" w:cstheme="majorBidi"/>
                  <w:caps/>
                  <w:sz w:val="28"/>
                  <w:szCs w:val="28"/>
                </w:rPr>
                <w:t>Strategic Growth and Innovation for Pharmacy2U: Navigating the Future of Digital Healthcare</w:t>
              </w:r>
            </w:p>
          </w:sdtContent>
        </w:sdt>
        <w:sdt>
          <w:sdtPr>
            <w:rPr>
              <w:sz w:val="32"/>
              <w:szCs w:val="32"/>
            </w:rPr>
            <w:alias w:val="Subtitle"/>
            <w:tag w:val=""/>
            <w:id w:val="328029620"/>
            <w:placeholder>
              <w:docPart w:val="93694DB1AD7B4B09820BF0DE83AFD4BB"/>
            </w:placeholder>
            <w:dataBinding w:prefixMappings="xmlns:ns0='http://purl.org/dc/elements/1.1/' xmlns:ns1='http://schemas.openxmlformats.org/package/2006/metadata/core-properties' " w:xpath="/ns1:coreProperties[1]/ns0:subject[1]" w:storeItemID="{6C3C8BC8-F283-45AE-878A-BAB7291924A1}"/>
            <w:text/>
          </w:sdtPr>
          <w:sdtContent>
            <w:p w14:paraId="1E2842FC" w14:textId="71150FBE" w:rsidR="004C3BD1" w:rsidRPr="00E87932" w:rsidRDefault="00E87932">
              <w:pPr>
                <w:pStyle w:val="NoSpacing"/>
                <w:jc w:val="center"/>
                <w:rPr>
                  <w:sz w:val="32"/>
                  <w:szCs w:val="32"/>
                </w:rPr>
              </w:pPr>
              <w:r w:rsidRPr="00E87932">
                <w:rPr>
                  <w:sz w:val="32"/>
                  <w:szCs w:val="32"/>
                </w:rPr>
                <w:t>Strategic Management for SMEs (BMSW6104_BIRM)</w:t>
              </w:r>
            </w:p>
          </w:sdtContent>
        </w:sdt>
        <w:p w14:paraId="099E815C" w14:textId="67A34915" w:rsidR="004C3BD1" w:rsidRPr="00E87932" w:rsidRDefault="004C3BD1">
          <w:pPr>
            <w:pStyle w:val="NoSpacing"/>
            <w:spacing w:before="480"/>
            <w:jc w:val="center"/>
            <w:rPr>
              <w:sz w:val="24"/>
              <w:szCs w:val="24"/>
            </w:rPr>
          </w:pPr>
          <w:r w:rsidRPr="00E87932">
            <w:rPr>
              <w:noProof/>
              <w:sz w:val="20"/>
              <w:szCs w:val="20"/>
            </w:rPr>
            <w:drawing>
              <wp:inline distT="0" distB="0" distL="0" distR="0" wp14:anchorId="1F33F92A" wp14:editId="7E378BF5">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biLevel thresh="75000"/>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FDA8407" w14:textId="64643A79" w:rsidR="004C3BD1" w:rsidRDefault="00EB76D9">
          <w:r>
            <w:rPr>
              <w:noProof/>
            </w:rPr>
            <mc:AlternateContent>
              <mc:Choice Requires="wps">
                <w:drawing>
                  <wp:anchor distT="0" distB="0" distL="114300" distR="114300" simplePos="0" relativeHeight="251661312" behindDoc="0" locked="0" layoutInCell="1" allowOverlap="1" wp14:anchorId="74242BB1" wp14:editId="67A56F2F">
                    <wp:simplePos x="0" y="0"/>
                    <wp:positionH relativeFrom="column">
                      <wp:posOffset>4898073</wp:posOffset>
                    </wp:positionH>
                    <wp:positionV relativeFrom="paragraph">
                      <wp:posOffset>4181857</wp:posOffset>
                    </wp:positionV>
                    <wp:extent cx="1435209" cy="1572286"/>
                    <wp:effectExtent l="0" t="76200" r="12700" b="46990"/>
                    <wp:wrapNone/>
                    <wp:docPr id="755285949" name="Diagonal Stripe 3"/>
                    <wp:cNvGraphicFramePr/>
                    <a:graphic xmlns:a="http://schemas.openxmlformats.org/drawingml/2006/main">
                      <a:graphicData uri="http://schemas.microsoft.com/office/word/2010/wordprocessingShape">
                        <wps:wsp>
                          <wps:cNvSpPr/>
                          <wps:spPr>
                            <a:xfrm rot="10632404">
                              <a:off x="0" y="0"/>
                              <a:ext cx="1435209" cy="1572286"/>
                            </a:xfrm>
                            <a:prstGeom prst="diagStripe">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05B6C8" id="Diagonal Stripe 3" o:spid="_x0000_s1026" style="position:absolute;margin-left:385.7pt;margin-top:329.3pt;width:113pt;height:123.8pt;rotation:11613420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35209,157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" path="m,786143l717605,r717604,l,1572286,,786143xe" fillcolor="black [3213]" strokecolor="#030e13 [484]" strokeweight="1pt">
                    <v:stroke joinstyle="miter"/>
                    <v:path arrowok="t" o:connecttype="custom" o:connectlocs="0,786143;717605,0;1435209,0;0,1572286;0,786143" o:connectangles="0,0,0,0,0"/>
                  </v:shape>
                </w:pict>
              </mc:Fallback>
            </mc:AlternateContent>
          </w:r>
          <w:r w:rsidR="00E87932">
            <w:rPr>
              <w:noProof/>
            </w:rPr>
            <mc:AlternateContent>
              <mc:Choice Requires="wps">
                <w:drawing>
                  <wp:anchor distT="0" distB="0" distL="114300" distR="114300" simplePos="0" relativeHeight="251659264" behindDoc="0" locked="0" layoutInCell="1" allowOverlap="1" wp14:anchorId="7525BC61" wp14:editId="60EAFBAD">
                    <wp:simplePos x="0" y="0"/>
                    <wp:positionH relativeFrom="column">
                      <wp:posOffset>-114300</wp:posOffset>
                    </wp:positionH>
                    <wp:positionV relativeFrom="paragraph">
                      <wp:posOffset>2395220</wp:posOffset>
                    </wp:positionV>
                    <wp:extent cx="6118860" cy="1051560"/>
                    <wp:effectExtent l="0" t="0" r="0" b="0"/>
                    <wp:wrapNone/>
                    <wp:docPr id="1142744563" name="Text Box 2"/>
                    <wp:cNvGraphicFramePr/>
                    <a:graphic xmlns:a="http://schemas.openxmlformats.org/drawingml/2006/main">
                      <a:graphicData uri="http://schemas.microsoft.com/office/word/2010/wordprocessingShape">
                        <wps:wsp>
                          <wps:cNvSpPr txBox="1"/>
                          <wps:spPr>
                            <a:xfrm>
                              <a:off x="0" y="0"/>
                              <a:ext cx="6118860" cy="1051560"/>
                            </a:xfrm>
                            <a:prstGeom prst="rect">
                              <a:avLst/>
                            </a:prstGeom>
                            <a:solidFill>
                              <a:schemeClr val="lt1"/>
                            </a:solidFill>
                            <a:ln w="6350">
                              <a:noFill/>
                            </a:ln>
                          </wps:spPr>
                          <wps:txbx>
                            <w:txbxContent>
                              <w:p w14:paraId="259079D6" w14:textId="0354DC8C" w:rsidR="00E87932" w:rsidRPr="00E87932" w:rsidRDefault="00E87932" w:rsidP="00E87932">
                                <w:pPr>
                                  <w:jc w:val="center"/>
                                  <w:rPr>
                                    <w:rFonts w:ascii="Arial" w:hAnsi="Arial" w:cs="Arial"/>
                                    <w:b/>
                                    <w:bCs/>
                                  </w:rPr>
                                </w:pPr>
                                <w:r w:rsidRPr="00E87932">
                                  <w:rPr>
                                    <w:rFonts w:ascii="Arial" w:hAnsi="Arial" w:cs="Arial"/>
                                    <w:b/>
                                    <w:bCs/>
                                  </w:rPr>
                                  <w:t>Lecturer name: Abdallah Naser</w:t>
                                </w:r>
                              </w:p>
                              <w:p w14:paraId="480E3589" w14:textId="2A4CEEE8" w:rsidR="00E87932" w:rsidRPr="00E87932" w:rsidRDefault="00E87932" w:rsidP="00E87932">
                                <w:pPr>
                                  <w:jc w:val="center"/>
                                  <w:rPr>
                                    <w:rFonts w:ascii="Arial" w:hAnsi="Arial" w:cs="Arial"/>
                                    <w:b/>
                                    <w:bCs/>
                                  </w:rPr>
                                </w:pPr>
                                <w:r w:rsidRPr="00E87932">
                                  <w:rPr>
                                    <w:rFonts w:ascii="Arial" w:hAnsi="Arial" w:cs="Arial"/>
                                    <w:b/>
                                    <w:bCs/>
                                  </w:rPr>
                                  <w:t>Student name: Alexandra-Valentina Ghita 2127554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525BC61" id="_x0000_t202" coordsize="21600,21600" o:spt="202" path="m,l,21600r21600,l21600,xe">
                    <v:stroke joinstyle="miter"/>
                    <v:path gradientshapeok="t" o:connecttype="rect"/>
                  </v:shapetype>
                  <v:shape id="Text Box 2" o:spid="_x0000_s1026" type="#_x0000_t202" style="position:absolute;margin-left:-9pt;margin-top:188.6pt;width:481.8pt;height:82.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" fillcolor="white [3201]" stroked="f" strokeweight=".5pt">
                    <v:textbox>
                      <w:txbxContent>
                        <w:p w14:paraId="259079D6" w14:textId="0354DC8C" w:rsidR="00E87932" w:rsidRPr="00E87932" w:rsidRDefault="00E87932" w:rsidP="00E87932">
                          <w:pPr>
                            <w:jc w:val="center"/>
                            <w:rPr>
                              <w:rFonts w:ascii="Arial" w:hAnsi="Arial" w:cs="Arial"/>
                              <w:b/>
                              <w:bCs/>
                            </w:rPr>
                          </w:pPr>
                          <w:r w:rsidRPr="00E87932">
                            <w:rPr>
                              <w:rFonts w:ascii="Arial" w:hAnsi="Arial" w:cs="Arial"/>
                              <w:b/>
                              <w:bCs/>
                            </w:rPr>
                            <w:t>Lecturer name: Abdallah Naser</w:t>
                          </w:r>
                        </w:p>
                        <w:p w14:paraId="480E3589" w14:textId="2A4CEEE8" w:rsidR="00E87932" w:rsidRPr="00E87932" w:rsidRDefault="00E87932" w:rsidP="00E87932">
                          <w:pPr>
                            <w:jc w:val="center"/>
                            <w:rPr>
                              <w:rFonts w:ascii="Arial" w:hAnsi="Arial" w:cs="Arial"/>
                              <w:b/>
                              <w:bCs/>
                            </w:rPr>
                          </w:pPr>
                          <w:r w:rsidRPr="00E87932">
                            <w:rPr>
                              <w:rFonts w:ascii="Arial" w:hAnsi="Arial" w:cs="Arial"/>
                              <w:b/>
                              <w:bCs/>
                            </w:rPr>
                            <w:t>Student name: Alexandra-Valentina Ghita 2127554</w:t>
                          </w:r>
                        </w:p>
                      </w:txbxContent>
                    </v:textbox>
                  </v:shape>
                </w:pict>
              </mc:Fallback>
            </mc:AlternateContent>
          </w:r>
          <w:r w:rsidR="004C3BD1">
            <w:br w:type="page"/>
          </w:r>
        </w:p>
      </w:sdtContent>
    </w:sdt>
    <w:p w14:paraId="43F9878F" w14:textId="40419AC0" w:rsidR="00EE3B52" w:rsidRDefault="00EE3B52" w:rsidP="00EE3B52">
      <w:pPr>
        <w:ind w:left="1080" w:hanging="720"/>
        <w:jc w:val="center"/>
      </w:pPr>
      <w:r>
        <w:lastRenderedPageBreak/>
        <w:t>SUMMARY</w:t>
      </w:r>
    </w:p>
    <w:p w14:paraId="1E56E9ED" w14:textId="77777777" w:rsidR="00FD2BAB" w:rsidRDefault="00FD2BAB" w:rsidP="00EE3B52">
      <w:pPr>
        <w:spacing w:line="360" w:lineRule="auto"/>
        <w:jc w:val="both"/>
        <w:rPr>
          <w:rFonts w:ascii="Arial" w:hAnsi="Arial" w:cs="Arial"/>
        </w:rPr>
      </w:pPr>
      <w:r w:rsidRPr="00FD2BAB">
        <w:rPr>
          <w:rFonts w:ascii="Arial" w:hAnsi="Arial" w:cs="Arial"/>
        </w:rPr>
        <w:t>This report analyses the strategic direction and growth opportunities for Pharmacy2U, a leading UK-based online pharmacy. The report begins by evaluating the company's current strategy, including its mission, vision, and competitive position using tools such as Porter’s Five Forces. An in-depth external analysis using the PESTLE framework highlights key trends, including the rise of digital healthcare, changing consumer preferences, and regulatory challenges. Internal analysis through a SWOT framework identifies Pharmacy2U’s strengths in technology and customer service, alongside weaknesses in supply chain management. The report explores strategic growth options, including telemedicine integration, wellness product diversification, and European expansion. Competitor reactions are anticipated, with recommendations for countering them. Finally, strategic recommendations emphasize phased implementation, training, and change management to ensure operational success and long-term growth.</w:t>
      </w:r>
    </w:p>
    <w:p w14:paraId="78AAFE35" w14:textId="77777777" w:rsidR="00FD2BAB" w:rsidRDefault="00FD2BAB">
      <w:pPr>
        <w:rPr>
          <w:rFonts w:ascii="Arial" w:hAnsi="Arial" w:cs="Arial"/>
        </w:rPr>
      </w:pPr>
      <w:r>
        <w:rPr>
          <w:rFonts w:ascii="Arial" w:hAnsi="Arial" w:cs="Arial"/>
        </w:rPr>
        <w:br w:type="page"/>
      </w:r>
    </w:p>
    <w:sdt>
      <w:sdtPr>
        <w:rPr>
          <w:rFonts w:asciiTheme="minorHAnsi" w:eastAsiaTheme="minorHAnsi" w:hAnsiTheme="minorHAnsi" w:cstheme="minorBidi"/>
          <w:color w:val="auto"/>
          <w:kern w:val="2"/>
          <w:sz w:val="22"/>
          <w:szCs w:val="22"/>
          <w:lang w:val="en-GB"/>
          <w14:ligatures w14:val="standardContextual"/>
        </w:rPr>
        <w:id w:val="-1734386996"/>
        <w:docPartObj>
          <w:docPartGallery w:val="Table of Contents"/>
          <w:docPartUnique/>
        </w:docPartObj>
      </w:sdtPr>
      <w:sdtEndPr>
        <w:rPr>
          <w:b/>
          <w:bCs/>
          <w:noProof/>
        </w:rPr>
      </w:sdtEndPr>
      <w:sdtContent>
        <w:p w14:paraId="4794ABF0" w14:textId="07FF02CE" w:rsidR="00F5482E" w:rsidRPr="00026AA3" w:rsidRDefault="00F5482E">
          <w:pPr>
            <w:pStyle w:val="TOCHeading"/>
            <w:rPr>
              <w:b/>
              <w:bCs/>
              <w:color w:val="auto"/>
            </w:rPr>
          </w:pPr>
          <w:r w:rsidRPr="00026AA3">
            <w:rPr>
              <w:b/>
              <w:bCs/>
              <w:color w:val="auto"/>
            </w:rPr>
            <w:t xml:space="preserve">                                                    Table of Contents</w:t>
          </w:r>
        </w:p>
        <w:p w14:paraId="7D849120" w14:textId="77777777" w:rsidR="00F5482E" w:rsidRPr="00581918" w:rsidRDefault="00F5482E" w:rsidP="00F5482E">
          <w:pPr>
            <w:rPr>
              <w:lang w:val="en-US"/>
            </w:rPr>
          </w:pPr>
        </w:p>
        <w:p w14:paraId="7A704F44" w14:textId="24EF926B" w:rsidR="00581918" w:rsidRPr="00581918" w:rsidRDefault="00F5482E">
          <w:pPr>
            <w:pStyle w:val="TOC1"/>
            <w:tabs>
              <w:tab w:val="left" w:pos="440"/>
              <w:tab w:val="right" w:leader="dot" w:pos="9016"/>
            </w:tabs>
            <w:rPr>
              <w:rFonts w:eastAsiaTheme="minorEastAsia"/>
              <w:noProof/>
              <w:sz w:val="24"/>
              <w:szCs w:val="24"/>
              <w:lang w:eastAsia="en-GB"/>
            </w:rPr>
          </w:pPr>
          <w:r w:rsidRPr="00581918">
            <w:fldChar w:fldCharType="begin"/>
          </w:r>
          <w:r w:rsidRPr="00581918">
            <w:instrText xml:space="preserve"> TOC \o "1-3" \h \z \u </w:instrText>
          </w:r>
          <w:r w:rsidRPr="00581918">
            <w:fldChar w:fldCharType="separate"/>
          </w:r>
          <w:hyperlink w:anchor="_Toc183039601" w:history="1">
            <w:r w:rsidR="00581918" w:rsidRPr="00581918">
              <w:rPr>
                <w:rStyle w:val="Hyperlink"/>
                <w:noProof/>
              </w:rPr>
              <w:t>1.</w:t>
            </w:r>
            <w:r w:rsidR="00581918" w:rsidRPr="00581918">
              <w:rPr>
                <w:rFonts w:eastAsiaTheme="minorEastAsia"/>
                <w:noProof/>
                <w:sz w:val="24"/>
                <w:szCs w:val="24"/>
                <w:lang w:eastAsia="en-GB"/>
              </w:rPr>
              <w:tab/>
            </w:r>
            <w:r w:rsidR="00581918" w:rsidRPr="00581918">
              <w:rPr>
                <w:rStyle w:val="Hyperlink"/>
                <w:noProof/>
              </w:rPr>
              <w:t>INTRODUCTION</w:t>
            </w:r>
            <w:r w:rsidR="00581918" w:rsidRPr="00581918">
              <w:rPr>
                <w:noProof/>
                <w:webHidden/>
              </w:rPr>
              <w:tab/>
            </w:r>
            <w:r w:rsidR="00581918" w:rsidRPr="00581918">
              <w:rPr>
                <w:noProof/>
                <w:webHidden/>
              </w:rPr>
              <w:fldChar w:fldCharType="begin"/>
            </w:r>
            <w:r w:rsidR="00581918" w:rsidRPr="00581918">
              <w:rPr>
                <w:noProof/>
                <w:webHidden/>
              </w:rPr>
              <w:instrText xml:space="preserve"> PAGEREF _Toc183039601 \h </w:instrText>
            </w:r>
            <w:r w:rsidR="00581918" w:rsidRPr="00581918">
              <w:rPr>
                <w:noProof/>
                <w:webHidden/>
              </w:rPr>
            </w:r>
            <w:r w:rsidR="00581918" w:rsidRPr="00581918">
              <w:rPr>
                <w:noProof/>
                <w:webHidden/>
              </w:rPr>
              <w:fldChar w:fldCharType="separate"/>
            </w:r>
            <w:r w:rsidR="00EB76D9">
              <w:rPr>
                <w:noProof/>
                <w:webHidden/>
              </w:rPr>
              <w:t>3</w:t>
            </w:r>
            <w:r w:rsidR="00581918" w:rsidRPr="00581918">
              <w:rPr>
                <w:noProof/>
                <w:webHidden/>
              </w:rPr>
              <w:fldChar w:fldCharType="end"/>
            </w:r>
          </w:hyperlink>
        </w:p>
        <w:p w14:paraId="419DEC86" w14:textId="7C9ECC48" w:rsidR="00581918" w:rsidRPr="00581918" w:rsidRDefault="00581918">
          <w:pPr>
            <w:pStyle w:val="TOC1"/>
            <w:tabs>
              <w:tab w:val="left" w:pos="440"/>
              <w:tab w:val="right" w:leader="dot" w:pos="9016"/>
            </w:tabs>
            <w:rPr>
              <w:rFonts w:eastAsiaTheme="minorEastAsia"/>
              <w:noProof/>
              <w:sz w:val="24"/>
              <w:szCs w:val="24"/>
              <w:lang w:eastAsia="en-GB"/>
            </w:rPr>
          </w:pPr>
          <w:hyperlink w:anchor="_Toc183039602" w:history="1">
            <w:r w:rsidRPr="00581918">
              <w:rPr>
                <w:rStyle w:val="Hyperlink"/>
                <w:noProof/>
              </w:rPr>
              <w:t>2.</w:t>
            </w:r>
            <w:r w:rsidRPr="00581918">
              <w:rPr>
                <w:rFonts w:eastAsiaTheme="minorEastAsia"/>
                <w:noProof/>
                <w:sz w:val="24"/>
                <w:szCs w:val="24"/>
                <w:lang w:eastAsia="en-GB"/>
              </w:rPr>
              <w:tab/>
            </w:r>
            <w:r w:rsidRPr="00581918">
              <w:rPr>
                <w:rStyle w:val="Hyperlink"/>
                <w:noProof/>
              </w:rPr>
              <w:t>CURRENT STRATEGY AND CRITICAL EVALUATION</w:t>
            </w:r>
            <w:r w:rsidRPr="00581918">
              <w:rPr>
                <w:noProof/>
                <w:webHidden/>
              </w:rPr>
              <w:tab/>
            </w:r>
            <w:r w:rsidRPr="00581918">
              <w:rPr>
                <w:noProof/>
                <w:webHidden/>
              </w:rPr>
              <w:fldChar w:fldCharType="begin"/>
            </w:r>
            <w:r w:rsidRPr="00581918">
              <w:rPr>
                <w:noProof/>
                <w:webHidden/>
              </w:rPr>
              <w:instrText xml:space="preserve"> PAGEREF _Toc183039602 \h </w:instrText>
            </w:r>
            <w:r w:rsidRPr="00581918">
              <w:rPr>
                <w:noProof/>
                <w:webHidden/>
              </w:rPr>
            </w:r>
            <w:r w:rsidRPr="00581918">
              <w:rPr>
                <w:noProof/>
                <w:webHidden/>
              </w:rPr>
              <w:fldChar w:fldCharType="separate"/>
            </w:r>
            <w:r w:rsidR="00EB76D9">
              <w:rPr>
                <w:noProof/>
                <w:webHidden/>
              </w:rPr>
              <w:t>3</w:t>
            </w:r>
            <w:r w:rsidRPr="00581918">
              <w:rPr>
                <w:noProof/>
                <w:webHidden/>
              </w:rPr>
              <w:fldChar w:fldCharType="end"/>
            </w:r>
          </w:hyperlink>
        </w:p>
        <w:p w14:paraId="62879E3B" w14:textId="45249C3C" w:rsidR="00581918" w:rsidRPr="00581918" w:rsidRDefault="00581918">
          <w:pPr>
            <w:pStyle w:val="TOC2"/>
            <w:tabs>
              <w:tab w:val="right" w:leader="dot" w:pos="9016"/>
            </w:tabs>
            <w:rPr>
              <w:rFonts w:eastAsiaTheme="minorEastAsia"/>
              <w:noProof/>
              <w:sz w:val="24"/>
              <w:szCs w:val="24"/>
              <w:lang w:eastAsia="en-GB"/>
            </w:rPr>
          </w:pPr>
          <w:hyperlink w:anchor="_Toc183039603" w:history="1">
            <w:r w:rsidRPr="00581918">
              <w:rPr>
                <w:rStyle w:val="Hyperlink"/>
                <w:i/>
                <w:iCs/>
                <w:noProof/>
              </w:rPr>
              <w:t>2.1 Strategic Direction</w:t>
            </w:r>
            <w:r w:rsidRPr="00581918">
              <w:rPr>
                <w:noProof/>
                <w:webHidden/>
              </w:rPr>
              <w:tab/>
            </w:r>
            <w:r w:rsidRPr="00581918">
              <w:rPr>
                <w:noProof/>
                <w:webHidden/>
              </w:rPr>
              <w:fldChar w:fldCharType="begin"/>
            </w:r>
            <w:r w:rsidRPr="00581918">
              <w:rPr>
                <w:noProof/>
                <w:webHidden/>
              </w:rPr>
              <w:instrText xml:space="preserve"> PAGEREF _Toc183039603 \h </w:instrText>
            </w:r>
            <w:r w:rsidRPr="00581918">
              <w:rPr>
                <w:noProof/>
                <w:webHidden/>
              </w:rPr>
            </w:r>
            <w:r w:rsidRPr="00581918">
              <w:rPr>
                <w:noProof/>
                <w:webHidden/>
              </w:rPr>
              <w:fldChar w:fldCharType="separate"/>
            </w:r>
            <w:r w:rsidR="00EB76D9">
              <w:rPr>
                <w:noProof/>
                <w:webHidden/>
              </w:rPr>
              <w:t>3</w:t>
            </w:r>
            <w:r w:rsidRPr="00581918">
              <w:rPr>
                <w:noProof/>
                <w:webHidden/>
              </w:rPr>
              <w:fldChar w:fldCharType="end"/>
            </w:r>
          </w:hyperlink>
        </w:p>
        <w:p w14:paraId="07CE1734" w14:textId="6761396F" w:rsidR="00581918" w:rsidRPr="00581918" w:rsidRDefault="00581918">
          <w:pPr>
            <w:pStyle w:val="TOC2"/>
            <w:tabs>
              <w:tab w:val="right" w:leader="dot" w:pos="9016"/>
            </w:tabs>
            <w:rPr>
              <w:rFonts w:eastAsiaTheme="minorEastAsia"/>
              <w:noProof/>
              <w:sz w:val="24"/>
              <w:szCs w:val="24"/>
              <w:lang w:eastAsia="en-GB"/>
            </w:rPr>
          </w:pPr>
          <w:hyperlink w:anchor="_Toc183039604" w:history="1">
            <w:r w:rsidRPr="00581918">
              <w:rPr>
                <w:rStyle w:val="Hyperlink"/>
                <w:noProof/>
              </w:rPr>
              <w:t>2.2 Current Strategic Position of the business</w:t>
            </w:r>
            <w:r w:rsidRPr="00581918">
              <w:rPr>
                <w:noProof/>
                <w:webHidden/>
              </w:rPr>
              <w:tab/>
            </w:r>
            <w:r w:rsidRPr="00581918">
              <w:rPr>
                <w:noProof/>
                <w:webHidden/>
              </w:rPr>
              <w:fldChar w:fldCharType="begin"/>
            </w:r>
            <w:r w:rsidRPr="00581918">
              <w:rPr>
                <w:noProof/>
                <w:webHidden/>
              </w:rPr>
              <w:instrText xml:space="preserve"> PAGEREF _Toc183039604 \h </w:instrText>
            </w:r>
            <w:r w:rsidRPr="00581918">
              <w:rPr>
                <w:noProof/>
                <w:webHidden/>
              </w:rPr>
            </w:r>
            <w:r w:rsidRPr="00581918">
              <w:rPr>
                <w:noProof/>
                <w:webHidden/>
              </w:rPr>
              <w:fldChar w:fldCharType="separate"/>
            </w:r>
            <w:r w:rsidR="00EB76D9">
              <w:rPr>
                <w:noProof/>
                <w:webHidden/>
              </w:rPr>
              <w:t>3</w:t>
            </w:r>
            <w:r w:rsidRPr="00581918">
              <w:rPr>
                <w:noProof/>
                <w:webHidden/>
              </w:rPr>
              <w:fldChar w:fldCharType="end"/>
            </w:r>
          </w:hyperlink>
        </w:p>
        <w:p w14:paraId="085CCA3C" w14:textId="50A71264" w:rsidR="00581918" w:rsidRPr="00581918" w:rsidRDefault="00581918">
          <w:pPr>
            <w:pStyle w:val="TOC2"/>
            <w:tabs>
              <w:tab w:val="right" w:leader="dot" w:pos="9016"/>
            </w:tabs>
            <w:rPr>
              <w:rFonts w:eastAsiaTheme="minorEastAsia"/>
              <w:noProof/>
              <w:sz w:val="24"/>
              <w:szCs w:val="24"/>
              <w:lang w:eastAsia="en-GB"/>
            </w:rPr>
          </w:pPr>
          <w:hyperlink w:anchor="_Toc183039605" w:history="1">
            <w:r w:rsidRPr="00581918">
              <w:rPr>
                <w:rStyle w:val="Hyperlink"/>
                <w:noProof/>
              </w:rPr>
              <w:t>2.3 Porter’s Five Forces Analysis</w:t>
            </w:r>
            <w:r w:rsidRPr="00581918">
              <w:rPr>
                <w:noProof/>
                <w:webHidden/>
              </w:rPr>
              <w:tab/>
            </w:r>
            <w:r w:rsidRPr="00581918">
              <w:rPr>
                <w:noProof/>
                <w:webHidden/>
              </w:rPr>
              <w:fldChar w:fldCharType="begin"/>
            </w:r>
            <w:r w:rsidRPr="00581918">
              <w:rPr>
                <w:noProof/>
                <w:webHidden/>
              </w:rPr>
              <w:instrText xml:space="preserve"> PAGEREF _Toc183039605 \h </w:instrText>
            </w:r>
            <w:r w:rsidRPr="00581918">
              <w:rPr>
                <w:noProof/>
                <w:webHidden/>
              </w:rPr>
            </w:r>
            <w:r w:rsidRPr="00581918">
              <w:rPr>
                <w:noProof/>
                <w:webHidden/>
              </w:rPr>
              <w:fldChar w:fldCharType="separate"/>
            </w:r>
            <w:r w:rsidR="00EB76D9">
              <w:rPr>
                <w:noProof/>
                <w:webHidden/>
              </w:rPr>
              <w:t>4</w:t>
            </w:r>
            <w:r w:rsidRPr="00581918">
              <w:rPr>
                <w:noProof/>
                <w:webHidden/>
              </w:rPr>
              <w:fldChar w:fldCharType="end"/>
            </w:r>
          </w:hyperlink>
        </w:p>
        <w:p w14:paraId="6AC716F1" w14:textId="31EF0653" w:rsidR="00581918" w:rsidRPr="00581918" w:rsidRDefault="00581918">
          <w:pPr>
            <w:pStyle w:val="TOC1"/>
            <w:tabs>
              <w:tab w:val="right" w:leader="dot" w:pos="9016"/>
            </w:tabs>
            <w:rPr>
              <w:rFonts w:eastAsiaTheme="minorEastAsia"/>
              <w:noProof/>
              <w:sz w:val="24"/>
              <w:szCs w:val="24"/>
              <w:lang w:eastAsia="en-GB"/>
            </w:rPr>
          </w:pPr>
          <w:hyperlink w:anchor="_Toc183039606" w:history="1">
            <w:r w:rsidRPr="00581918">
              <w:rPr>
                <w:rStyle w:val="Hyperlink"/>
                <w:noProof/>
              </w:rPr>
              <w:t>3. EXTERNAL AND INTERNAL ANALYSIS FOR PHARMACY2U</w:t>
            </w:r>
            <w:r w:rsidRPr="00581918">
              <w:rPr>
                <w:noProof/>
                <w:webHidden/>
              </w:rPr>
              <w:tab/>
            </w:r>
            <w:r w:rsidRPr="00581918">
              <w:rPr>
                <w:noProof/>
                <w:webHidden/>
              </w:rPr>
              <w:fldChar w:fldCharType="begin"/>
            </w:r>
            <w:r w:rsidRPr="00581918">
              <w:rPr>
                <w:noProof/>
                <w:webHidden/>
              </w:rPr>
              <w:instrText xml:space="preserve"> PAGEREF _Toc183039606 \h </w:instrText>
            </w:r>
            <w:r w:rsidRPr="00581918">
              <w:rPr>
                <w:noProof/>
                <w:webHidden/>
              </w:rPr>
            </w:r>
            <w:r w:rsidRPr="00581918">
              <w:rPr>
                <w:noProof/>
                <w:webHidden/>
              </w:rPr>
              <w:fldChar w:fldCharType="separate"/>
            </w:r>
            <w:r w:rsidR="00EB76D9">
              <w:rPr>
                <w:noProof/>
                <w:webHidden/>
              </w:rPr>
              <w:t>5</w:t>
            </w:r>
            <w:r w:rsidRPr="00581918">
              <w:rPr>
                <w:noProof/>
                <w:webHidden/>
              </w:rPr>
              <w:fldChar w:fldCharType="end"/>
            </w:r>
          </w:hyperlink>
        </w:p>
        <w:p w14:paraId="72C80FC3" w14:textId="59E4E1DC" w:rsidR="00581918" w:rsidRPr="00581918" w:rsidRDefault="00581918">
          <w:pPr>
            <w:pStyle w:val="TOC2"/>
            <w:tabs>
              <w:tab w:val="right" w:leader="dot" w:pos="9016"/>
            </w:tabs>
            <w:rPr>
              <w:rFonts w:eastAsiaTheme="minorEastAsia"/>
              <w:noProof/>
              <w:sz w:val="24"/>
              <w:szCs w:val="24"/>
              <w:lang w:eastAsia="en-GB"/>
            </w:rPr>
          </w:pPr>
          <w:hyperlink w:anchor="_Toc183039607" w:history="1">
            <w:r w:rsidRPr="00581918">
              <w:rPr>
                <w:rStyle w:val="Hyperlink"/>
                <w:noProof/>
              </w:rPr>
              <w:t>3.1 External analysis using PESTLE Framework</w:t>
            </w:r>
            <w:r w:rsidRPr="00581918">
              <w:rPr>
                <w:noProof/>
                <w:webHidden/>
              </w:rPr>
              <w:tab/>
            </w:r>
            <w:r w:rsidRPr="00581918">
              <w:rPr>
                <w:noProof/>
                <w:webHidden/>
              </w:rPr>
              <w:fldChar w:fldCharType="begin"/>
            </w:r>
            <w:r w:rsidRPr="00581918">
              <w:rPr>
                <w:noProof/>
                <w:webHidden/>
              </w:rPr>
              <w:instrText xml:space="preserve"> PAGEREF _Toc183039607 \h </w:instrText>
            </w:r>
            <w:r w:rsidRPr="00581918">
              <w:rPr>
                <w:noProof/>
                <w:webHidden/>
              </w:rPr>
            </w:r>
            <w:r w:rsidRPr="00581918">
              <w:rPr>
                <w:noProof/>
                <w:webHidden/>
              </w:rPr>
              <w:fldChar w:fldCharType="separate"/>
            </w:r>
            <w:r w:rsidR="00EB76D9">
              <w:rPr>
                <w:noProof/>
                <w:webHidden/>
              </w:rPr>
              <w:t>5</w:t>
            </w:r>
            <w:r w:rsidRPr="00581918">
              <w:rPr>
                <w:noProof/>
                <w:webHidden/>
              </w:rPr>
              <w:fldChar w:fldCharType="end"/>
            </w:r>
          </w:hyperlink>
        </w:p>
        <w:p w14:paraId="0011A18E" w14:textId="360E1BDB" w:rsidR="00581918" w:rsidRPr="00581918" w:rsidRDefault="00581918">
          <w:pPr>
            <w:pStyle w:val="TOC2"/>
            <w:tabs>
              <w:tab w:val="right" w:leader="dot" w:pos="9016"/>
            </w:tabs>
            <w:rPr>
              <w:rFonts w:eastAsiaTheme="minorEastAsia"/>
              <w:noProof/>
              <w:sz w:val="24"/>
              <w:szCs w:val="24"/>
              <w:lang w:eastAsia="en-GB"/>
            </w:rPr>
          </w:pPr>
          <w:hyperlink w:anchor="_Toc183039608" w:history="1">
            <w:r w:rsidRPr="00581918">
              <w:rPr>
                <w:rStyle w:val="Hyperlink"/>
                <w:noProof/>
              </w:rPr>
              <w:t>3.2 Internal analysis using SWOT Framework</w:t>
            </w:r>
            <w:r w:rsidRPr="00581918">
              <w:rPr>
                <w:noProof/>
                <w:webHidden/>
              </w:rPr>
              <w:tab/>
            </w:r>
            <w:r w:rsidRPr="00581918">
              <w:rPr>
                <w:noProof/>
                <w:webHidden/>
              </w:rPr>
              <w:fldChar w:fldCharType="begin"/>
            </w:r>
            <w:r w:rsidRPr="00581918">
              <w:rPr>
                <w:noProof/>
                <w:webHidden/>
              </w:rPr>
              <w:instrText xml:space="preserve"> PAGEREF _Toc183039608 \h </w:instrText>
            </w:r>
            <w:r w:rsidRPr="00581918">
              <w:rPr>
                <w:noProof/>
                <w:webHidden/>
              </w:rPr>
            </w:r>
            <w:r w:rsidRPr="00581918">
              <w:rPr>
                <w:noProof/>
                <w:webHidden/>
              </w:rPr>
              <w:fldChar w:fldCharType="separate"/>
            </w:r>
            <w:r w:rsidR="00EB76D9">
              <w:rPr>
                <w:noProof/>
                <w:webHidden/>
              </w:rPr>
              <w:t>7</w:t>
            </w:r>
            <w:r w:rsidRPr="00581918">
              <w:rPr>
                <w:noProof/>
                <w:webHidden/>
              </w:rPr>
              <w:fldChar w:fldCharType="end"/>
            </w:r>
          </w:hyperlink>
        </w:p>
        <w:p w14:paraId="3F6F85D9" w14:textId="42C9A4B5" w:rsidR="00581918" w:rsidRPr="00581918" w:rsidRDefault="00581918">
          <w:pPr>
            <w:pStyle w:val="TOC1"/>
            <w:tabs>
              <w:tab w:val="left" w:pos="440"/>
              <w:tab w:val="right" w:leader="dot" w:pos="9016"/>
            </w:tabs>
            <w:rPr>
              <w:rFonts w:eastAsiaTheme="minorEastAsia"/>
              <w:noProof/>
              <w:sz w:val="24"/>
              <w:szCs w:val="24"/>
              <w:lang w:eastAsia="en-GB"/>
            </w:rPr>
          </w:pPr>
          <w:hyperlink w:anchor="_Toc183039609" w:history="1">
            <w:r w:rsidRPr="00581918">
              <w:rPr>
                <w:rStyle w:val="Hyperlink"/>
                <w:noProof/>
              </w:rPr>
              <w:t>4.</w:t>
            </w:r>
            <w:r w:rsidRPr="00581918">
              <w:rPr>
                <w:rFonts w:eastAsiaTheme="minorEastAsia"/>
                <w:noProof/>
                <w:sz w:val="24"/>
                <w:szCs w:val="24"/>
                <w:lang w:eastAsia="en-GB"/>
              </w:rPr>
              <w:tab/>
            </w:r>
            <w:r w:rsidRPr="00581918">
              <w:rPr>
                <w:rStyle w:val="Hyperlink"/>
                <w:noProof/>
              </w:rPr>
              <w:t>STAKEHOLDER ANALYSIS</w:t>
            </w:r>
            <w:r w:rsidRPr="00581918">
              <w:rPr>
                <w:noProof/>
                <w:webHidden/>
              </w:rPr>
              <w:tab/>
            </w:r>
            <w:r w:rsidRPr="00581918">
              <w:rPr>
                <w:noProof/>
                <w:webHidden/>
              </w:rPr>
              <w:fldChar w:fldCharType="begin"/>
            </w:r>
            <w:r w:rsidRPr="00581918">
              <w:rPr>
                <w:noProof/>
                <w:webHidden/>
              </w:rPr>
              <w:instrText xml:space="preserve"> PAGEREF _Toc183039609 \h </w:instrText>
            </w:r>
            <w:r w:rsidRPr="00581918">
              <w:rPr>
                <w:noProof/>
                <w:webHidden/>
              </w:rPr>
            </w:r>
            <w:r w:rsidRPr="00581918">
              <w:rPr>
                <w:noProof/>
                <w:webHidden/>
              </w:rPr>
              <w:fldChar w:fldCharType="separate"/>
            </w:r>
            <w:r w:rsidR="00EB76D9">
              <w:rPr>
                <w:noProof/>
                <w:webHidden/>
              </w:rPr>
              <w:t>9</w:t>
            </w:r>
            <w:r w:rsidRPr="00581918">
              <w:rPr>
                <w:noProof/>
                <w:webHidden/>
              </w:rPr>
              <w:fldChar w:fldCharType="end"/>
            </w:r>
          </w:hyperlink>
        </w:p>
        <w:p w14:paraId="346EB7B1" w14:textId="13E7BC2B" w:rsidR="00581918" w:rsidRPr="00581918" w:rsidRDefault="00581918">
          <w:pPr>
            <w:pStyle w:val="TOC2"/>
            <w:tabs>
              <w:tab w:val="right" w:leader="dot" w:pos="9016"/>
            </w:tabs>
            <w:rPr>
              <w:rFonts w:eastAsiaTheme="minorEastAsia"/>
              <w:noProof/>
              <w:sz w:val="24"/>
              <w:szCs w:val="24"/>
              <w:lang w:eastAsia="en-GB"/>
            </w:rPr>
          </w:pPr>
          <w:hyperlink w:anchor="_Toc183039610" w:history="1">
            <w:r w:rsidRPr="00581918">
              <w:rPr>
                <w:rStyle w:val="Hyperlink"/>
                <w:noProof/>
              </w:rPr>
              <w:t>4.1 Key Stakeholders of Pharmacy2U</w:t>
            </w:r>
            <w:r w:rsidRPr="00581918">
              <w:rPr>
                <w:noProof/>
                <w:webHidden/>
              </w:rPr>
              <w:tab/>
            </w:r>
            <w:r w:rsidRPr="00581918">
              <w:rPr>
                <w:noProof/>
                <w:webHidden/>
              </w:rPr>
              <w:fldChar w:fldCharType="begin"/>
            </w:r>
            <w:r w:rsidRPr="00581918">
              <w:rPr>
                <w:noProof/>
                <w:webHidden/>
              </w:rPr>
              <w:instrText xml:space="preserve"> PAGEREF _Toc183039610 \h </w:instrText>
            </w:r>
            <w:r w:rsidRPr="00581918">
              <w:rPr>
                <w:noProof/>
                <w:webHidden/>
              </w:rPr>
            </w:r>
            <w:r w:rsidRPr="00581918">
              <w:rPr>
                <w:noProof/>
                <w:webHidden/>
              </w:rPr>
              <w:fldChar w:fldCharType="separate"/>
            </w:r>
            <w:r w:rsidR="00EB76D9">
              <w:rPr>
                <w:noProof/>
                <w:webHidden/>
              </w:rPr>
              <w:t>9</w:t>
            </w:r>
            <w:r w:rsidRPr="00581918">
              <w:rPr>
                <w:noProof/>
                <w:webHidden/>
              </w:rPr>
              <w:fldChar w:fldCharType="end"/>
            </w:r>
          </w:hyperlink>
        </w:p>
        <w:p w14:paraId="1689CAF5" w14:textId="42EB61A2" w:rsidR="00581918" w:rsidRPr="00581918" w:rsidRDefault="00581918">
          <w:pPr>
            <w:pStyle w:val="TOC2"/>
            <w:tabs>
              <w:tab w:val="right" w:leader="dot" w:pos="9016"/>
            </w:tabs>
            <w:rPr>
              <w:rFonts w:eastAsiaTheme="minorEastAsia"/>
              <w:noProof/>
              <w:sz w:val="24"/>
              <w:szCs w:val="24"/>
              <w:lang w:eastAsia="en-GB"/>
            </w:rPr>
          </w:pPr>
          <w:hyperlink w:anchor="_Toc183039611" w:history="1">
            <w:r w:rsidRPr="00581918">
              <w:rPr>
                <w:rStyle w:val="Hyperlink"/>
                <w:noProof/>
              </w:rPr>
              <w:t>4.2 Stakeholder Analysis Grid</w:t>
            </w:r>
            <w:r w:rsidRPr="00581918">
              <w:rPr>
                <w:noProof/>
                <w:webHidden/>
              </w:rPr>
              <w:tab/>
            </w:r>
            <w:r w:rsidRPr="00581918">
              <w:rPr>
                <w:noProof/>
                <w:webHidden/>
              </w:rPr>
              <w:fldChar w:fldCharType="begin"/>
            </w:r>
            <w:r w:rsidRPr="00581918">
              <w:rPr>
                <w:noProof/>
                <w:webHidden/>
              </w:rPr>
              <w:instrText xml:space="preserve"> PAGEREF _Toc183039611 \h </w:instrText>
            </w:r>
            <w:r w:rsidRPr="00581918">
              <w:rPr>
                <w:noProof/>
                <w:webHidden/>
              </w:rPr>
            </w:r>
            <w:r w:rsidRPr="00581918">
              <w:rPr>
                <w:noProof/>
                <w:webHidden/>
              </w:rPr>
              <w:fldChar w:fldCharType="separate"/>
            </w:r>
            <w:r w:rsidR="00EB76D9">
              <w:rPr>
                <w:noProof/>
                <w:webHidden/>
              </w:rPr>
              <w:t>10</w:t>
            </w:r>
            <w:r w:rsidRPr="00581918">
              <w:rPr>
                <w:noProof/>
                <w:webHidden/>
              </w:rPr>
              <w:fldChar w:fldCharType="end"/>
            </w:r>
          </w:hyperlink>
        </w:p>
        <w:p w14:paraId="3F3BE1AF" w14:textId="2C069302" w:rsidR="00581918" w:rsidRPr="00581918" w:rsidRDefault="00581918">
          <w:pPr>
            <w:pStyle w:val="TOC2"/>
            <w:tabs>
              <w:tab w:val="right" w:leader="dot" w:pos="9016"/>
            </w:tabs>
            <w:rPr>
              <w:rFonts w:eastAsiaTheme="minorEastAsia"/>
              <w:noProof/>
              <w:sz w:val="24"/>
              <w:szCs w:val="24"/>
              <w:lang w:eastAsia="en-GB"/>
            </w:rPr>
          </w:pPr>
          <w:hyperlink w:anchor="_Toc183039612" w:history="1">
            <w:r w:rsidRPr="00581918">
              <w:rPr>
                <w:rStyle w:val="Hyperlink"/>
                <w:noProof/>
              </w:rPr>
              <w:t>4.3 Managing Stakeholders</w:t>
            </w:r>
            <w:r w:rsidRPr="00581918">
              <w:rPr>
                <w:noProof/>
                <w:webHidden/>
              </w:rPr>
              <w:tab/>
            </w:r>
            <w:r w:rsidRPr="00581918">
              <w:rPr>
                <w:noProof/>
                <w:webHidden/>
              </w:rPr>
              <w:fldChar w:fldCharType="begin"/>
            </w:r>
            <w:r w:rsidRPr="00581918">
              <w:rPr>
                <w:noProof/>
                <w:webHidden/>
              </w:rPr>
              <w:instrText xml:space="preserve"> PAGEREF _Toc183039612 \h </w:instrText>
            </w:r>
            <w:r w:rsidRPr="00581918">
              <w:rPr>
                <w:noProof/>
                <w:webHidden/>
              </w:rPr>
            </w:r>
            <w:r w:rsidRPr="00581918">
              <w:rPr>
                <w:noProof/>
                <w:webHidden/>
              </w:rPr>
              <w:fldChar w:fldCharType="separate"/>
            </w:r>
            <w:r w:rsidR="00EB76D9">
              <w:rPr>
                <w:noProof/>
                <w:webHidden/>
              </w:rPr>
              <w:t>11</w:t>
            </w:r>
            <w:r w:rsidRPr="00581918">
              <w:rPr>
                <w:noProof/>
                <w:webHidden/>
              </w:rPr>
              <w:fldChar w:fldCharType="end"/>
            </w:r>
          </w:hyperlink>
        </w:p>
        <w:p w14:paraId="774DD7C1" w14:textId="77B72DF4" w:rsidR="00581918" w:rsidRPr="00581918" w:rsidRDefault="00581918">
          <w:pPr>
            <w:pStyle w:val="TOC1"/>
            <w:tabs>
              <w:tab w:val="left" w:pos="440"/>
              <w:tab w:val="right" w:leader="dot" w:pos="9016"/>
            </w:tabs>
            <w:rPr>
              <w:rFonts w:eastAsiaTheme="minorEastAsia"/>
              <w:noProof/>
              <w:sz w:val="24"/>
              <w:szCs w:val="24"/>
              <w:lang w:eastAsia="en-GB"/>
            </w:rPr>
          </w:pPr>
          <w:hyperlink w:anchor="_Toc183039613" w:history="1">
            <w:r w:rsidRPr="00581918">
              <w:rPr>
                <w:rStyle w:val="Hyperlink"/>
                <w:noProof/>
              </w:rPr>
              <w:t>5.</w:t>
            </w:r>
            <w:r w:rsidRPr="00581918">
              <w:rPr>
                <w:rFonts w:eastAsiaTheme="minorEastAsia"/>
                <w:noProof/>
                <w:sz w:val="24"/>
                <w:szCs w:val="24"/>
                <w:lang w:eastAsia="en-GB"/>
              </w:rPr>
              <w:tab/>
            </w:r>
            <w:r w:rsidRPr="00581918">
              <w:rPr>
                <w:rStyle w:val="Hyperlink"/>
                <w:noProof/>
              </w:rPr>
              <w:t>STRATEGIC GROWTH OPTIONS</w:t>
            </w:r>
            <w:r w:rsidRPr="00581918">
              <w:rPr>
                <w:noProof/>
                <w:webHidden/>
              </w:rPr>
              <w:tab/>
            </w:r>
            <w:r w:rsidRPr="00581918">
              <w:rPr>
                <w:noProof/>
                <w:webHidden/>
              </w:rPr>
              <w:fldChar w:fldCharType="begin"/>
            </w:r>
            <w:r w:rsidRPr="00581918">
              <w:rPr>
                <w:noProof/>
                <w:webHidden/>
              </w:rPr>
              <w:instrText xml:space="preserve"> PAGEREF _Toc183039613 \h </w:instrText>
            </w:r>
            <w:r w:rsidRPr="00581918">
              <w:rPr>
                <w:noProof/>
                <w:webHidden/>
              </w:rPr>
            </w:r>
            <w:r w:rsidRPr="00581918">
              <w:rPr>
                <w:noProof/>
                <w:webHidden/>
              </w:rPr>
              <w:fldChar w:fldCharType="separate"/>
            </w:r>
            <w:r w:rsidR="00EB76D9">
              <w:rPr>
                <w:noProof/>
                <w:webHidden/>
              </w:rPr>
              <w:t>12</w:t>
            </w:r>
            <w:r w:rsidRPr="00581918">
              <w:rPr>
                <w:noProof/>
                <w:webHidden/>
              </w:rPr>
              <w:fldChar w:fldCharType="end"/>
            </w:r>
          </w:hyperlink>
        </w:p>
        <w:p w14:paraId="005AF783" w14:textId="23FBE7D7" w:rsidR="00581918" w:rsidRPr="00581918" w:rsidRDefault="00581918">
          <w:pPr>
            <w:pStyle w:val="TOC2"/>
            <w:tabs>
              <w:tab w:val="right" w:leader="dot" w:pos="9016"/>
            </w:tabs>
            <w:rPr>
              <w:rFonts w:eastAsiaTheme="minorEastAsia"/>
              <w:noProof/>
              <w:sz w:val="24"/>
              <w:szCs w:val="24"/>
              <w:lang w:eastAsia="en-GB"/>
            </w:rPr>
          </w:pPr>
          <w:hyperlink w:anchor="_Toc183039614" w:history="1">
            <w:r w:rsidRPr="00581918">
              <w:rPr>
                <w:rStyle w:val="Hyperlink"/>
                <w:noProof/>
              </w:rPr>
              <w:t>A. Expansion into Telemedicine and Digital Health Services</w:t>
            </w:r>
            <w:r w:rsidRPr="00581918">
              <w:rPr>
                <w:noProof/>
                <w:webHidden/>
              </w:rPr>
              <w:tab/>
            </w:r>
            <w:r w:rsidRPr="00581918">
              <w:rPr>
                <w:noProof/>
                <w:webHidden/>
              </w:rPr>
              <w:fldChar w:fldCharType="begin"/>
            </w:r>
            <w:r w:rsidRPr="00581918">
              <w:rPr>
                <w:noProof/>
                <w:webHidden/>
              </w:rPr>
              <w:instrText xml:space="preserve"> PAGEREF _Toc183039614 \h </w:instrText>
            </w:r>
            <w:r w:rsidRPr="00581918">
              <w:rPr>
                <w:noProof/>
                <w:webHidden/>
              </w:rPr>
            </w:r>
            <w:r w:rsidRPr="00581918">
              <w:rPr>
                <w:noProof/>
                <w:webHidden/>
              </w:rPr>
              <w:fldChar w:fldCharType="separate"/>
            </w:r>
            <w:r w:rsidR="00EB76D9">
              <w:rPr>
                <w:noProof/>
                <w:webHidden/>
              </w:rPr>
              <w:t>12</w:t>
            </w:r>
            <w:r w:rsidRPr="00581918">
              <w:rPr>
                <w:noProof/>
                <w:webHidden/>
              </w:rPr>
              <w:fldChar w:fldCharType="end"/>
            </w:r>
          </w:hyperlink>
        </w:p>
        <w:p w14:paraId="3CD5FB63" w14:textId="3C55D983" w:rsidR="00581918" w:rsidRPr="00581918" w:rsidRDefault="00581918">
          <w:pPr>
            <w:pStyle w:val="TOC2"/>
            <w:tabs>
              <w:tab w:val="right" w:leader="dot" w:pos="9016"/>
            </w:tabs>
            <w:rPr>
              <w:rFonts w:eastAsiaTheme="minorEastAsia"/>
              <w:noProof/>
              <w:sz w:val="24"/>
              <w:szCs w:val="24"/>
              <w:lang w:eastAsia="en-GB"/>
            </w:rPr>
          </w:pPr>
          <w:hyperlink w:anchor="_Toc183039615" w:history="1">
            <w:r w:rsidRPr="00581918">
              <w:rPr>
                <w:rStyle w:val="Hyperlink"/>
                <w:noProof/>
              </w:rPr>
              <w:t>B. Geographic Expansion into International Markets</w:t>
            </w:r>
            <w:r w:rsidRPr="00581918">
              <w:rPr>
                <w:noProof/>
                <w:webHidden/>
              </w:rPr>
              <w:tab/>
            </w:r>
            <w:r w:rsidRPr="00581918">
              <w:rPr>
                <w:noProof/>
                <w:webHidden/>
              </w:rPr>
              <w:fldChar w:fldCharType="begin"/>
            </w:r>
            <w:r w:rsidRPr="00581918">
              <w:rPr>
                <w:noProof/>
                <w:webHidden/>
              </w:rPr>
              <w:instrText xml:space="preserve"> PAGEREF _Toc183039615 \h </w:instrText>
            </w:r>
            <w:r w:rsidRPr="00581918">
              <w:rPr>
                <w:noProof/>
                <w:webHidden/>
              </w:rPr>
            </w:r>
            <w:r w:rsidRPr="00581918">
              <w:rPr>
                <w:noProof/>
                <w:webHidden/>
              </w:rPr>
              <w:fldChar w:fldCharType="separate"/>
            </w:r>
            <w:r w:rsidR="00EB76D9">
              <w:rPr>
                <w:noProof/>
                <w:webHidden/>
              </w:rPr>
              <w:t>13</w:t>
            </w:r>
            <w:r w:rsidRPr="00581918">
              <w:rPr>
                <w:noProof/>
                <w:webHidden/>
              </w:rPr>
              <w:fldChar w:fldCharType="end"/>
            </w:r>
          </w:hyperlink>
        </w:p>
        <w:p w14:paraId="7819D18A" w14:textId="6EFC46D0" w:rsidR="00581918" w:rsidRPr="00581918" w:rsidRDefault="00581918">
          <w:pPr>
            <w:pStyle w:val="TOC2"/>
            <w:tabs>
              <w:tab w:val="right" w:leader="dot" w:pos="9016"/>
            </w:tabs>
            <w:rPr>
              <w:rFonts w:eastAsiaTheme="minorEastAsia"/>
              <w:noProof/>
              <w:sz w:val="24"/>
              <w:szCs w:val="24"/>
              <w:lang w:eastAsia="en-GB"/>
            </w:rPr>
          </w:pPr>
          <w:hyperlink w:anchor="_Toc183039616" w:history="1">
            <w:r w:rsidRPr="00581918">
              <w:rPr>
                <w:rStyle w:val="Hyperlink"/>
                <w:noProof/>
              </w:rPr>
              <w:t>C. Diversification into Health and Wellness Products</w:t>
            </w:r>
            <w:r w:rsidRPr="00581918">
              <w:rPr>
                <w:noProof/>
                <w:webHidden/>
              </w:rPr>
              <w:tab/>
            </w:r>
            <w:r w:rsidRPr="00581918">
              <w:rPr>
                <w:noProof/>
                <w:webHidden/>
              </w:rPr>
              <w:fldChar w:fldCharType="begin"/>
            </w:r>
            <w:r w:rsidRPr="00581918">
              <w:rPr>
                <w:noProof/>
                <w:webHidden/>
              </w:rPr>
              <w:instrText xml:space="preserve"> PAGEREF _Toc183039616 \h </w:instrText>
            </w:r>
            <w:r w:rsidRPr="00581918">
              <w:rPr>
                <w:noProof/>
                <w:webHidden/>
              </w:rPr>
            </w:r>
            <w:r w:rsidRPr="00581918">
              <w:rPr>
                <w:noProof/>
                <w:webHidden/>
              </w:rPr>
              <w:fldChar w:fldCharType="separate"/>
            </w:r>
            <w:r w:rsidR="00EB76D9">
              <w:rPr>
                <w:noProof/>
                <w:webHidden/>
              </w:rPr>
              <w:t>13</w:t>
            </w:r>
            <w:r w:rsidRPr="00581918">
              <w:rPr>
                <w:noProof/>
                <w:webHidden/>
              </w:rPr>
              <w:fldChar w:fldCharType="end"/>
            </w:r>
          </w:hyperlink>
        </w:p>
        <w:p w14:paraId="11889BCA" w14:textId="24227F81" w:rsidR="00581918" w:rsidRPr="00581918" w:rsidRDefault="00581918">
          <w:pPr>
            <w:pStyle w:val="TOC2"/>
            <w:tabs>
              <w:tab w:val="right" w:leader="dot" w:pos="9016"/>
            </w:tabs>
            <w:rPr>
              <w:rFonts w:eastAsiaTheme="minorEastAsia"/>
              <w:noProof/>
              <w:sz w:val="24"/>
              <w:szCs w:val="24"/>
              <w:lang w:eastAsia="en-GB"/>
            </w:rPr>
          </w:pPr>
          <w:hyperlink w:anchor="_Toc183039617" w:history="1">
            <w:r w:rsidRPr="00581918">
              <w:rPr>
                <w:rStyle w:val="Hyperlink"/>
                <w:noProof/>
              </w:rPr>
              <w:t>5.1 Evaluating the Best Strategic Option – Ansoff Matrix</w:t>
            </w:r>
            <w:r w:rsidRPr="00581918">
              <w:rPr>
                <w:noProof/>
                <w:webHidden/>
              </w:rPr>
              <w:tab/>
            </w:r>
            <w:r w:rsidRPr="00581918">
              <w:rPr>
                <w:noProof/>
                <w:webHidden/>
              </w:rPr>
              <w:fldChar w:fldCharType="begin"/>
            </w:r>
            <w:r w:rsidRPr="00581918">
              <w:rPr>
                <w:noProof/>
                <w:webHidden/>
              </w:rPr>
              <w:instrText xml:space="preserve"> PAGEREF _Toc183039617 \h </w:instrText>
            </w:r>
            <w:r w:rsidRPr="00581918">
              <w:rPr>
                <w:noProof/>
                <w:webHidden/>
              </w:rPr>
            </w:r>
            <w:r w:rsidRPr="00581918">
              <w:rPr>
                <w:noProof/>
                <w:webHidden/>
              </w:rPr>
              <w:fldChar w:fldCharType="separate"/>
            </w:r>
            <w:r w:rsidR="00EB76D9">
              <w:rPr>
                <w:noProof/>
                <w:webHidden/>
              </w:rPr>
              <w:t>14</w:t>
            </w:r>
            <w:r w:rsidRPr="00581918">
              <w:rPr>
                <w:noProof/>
                <w:webHidden/>
              </w:rPr>
              <w:fldChar w:fldCharType="end"/>
            </w:r>
          </w:hyperlink>
        </w:p>
        <w:p w14:paraId="40CD4337" w14:textId="51B97844" w:rsidR="00581918" w:rsidRPr="00581918" w:rsidRDefault="00581918">
          <w:pPr>
            <w:pStyle w:val="TOC1"/>
            <w:tabs>
              <w:tab w:val="left" w:pos="440"/>
              <w:tab w:val="right" w:leader="dot" w:pos="9016"/>
            </w:tabs>
            <w:rPr>
              <w:rFonts w:eastAsiaTheme="minorEastAsia"/>
              <w:noProof/>
              <w:sz w:val="24"/>
              <w:szCs w:val="24"/>
              <w:lang w:eastAsia="en-GB"/>
            </w:rPr>
          </w:pPr>
          <w:hyperlink w:anchor="_Toc183039618" w:history="1">
            <w:r w:rsidRPr="00581918">
              <w:rPr>
                <w:rStyle w:val="Hyperlink"/>
                <w:noProof/>
              </w:rPr>
              <w:t>6.</w:t>
            </w:r>
            <w:r w:rsidRPr="00581918">
              <w:rPr>
                <w:rFonts w:eastAsiaTheme="minorEastAsia"/>
                <w:noProof/>
                <w:sz w:val="24"/>
                <w:szCs w:val="24"/>
                <w:lang w:eastAsia="en-GB"/>
              </w:rPr>
              <w:tab/>
            </w:r>
            <w:r w:rsidRPr="00581918">
              <w:rPr>
                <w:rStyle w:val="Hyperlink"/>
                <w:noProof/>
              </w:rPr>
              <w:t>COMPETITORS REACTIONS AND COUNTERMEASURES</w:t>
            </w:r>
            <w:r w:rsidRPr="00581918">
              <w:rPr>
                <w:noProof/>
                <w:webHidden/>
              </w:rPr>
              <w:tab/>
            </w:r>
            <w:r w:rsidRPr="00581918">
              <w:rPr>
                <w:noProof/>
                <w:webHidden/>
              </w:rPr>
              <w:fldChar w:fldCharType="begin"/>
            </w:r>
            <w:r w:rsidRPr="00581918">
              <w:rPr>
                <w:noProof/>
                <w:webHidden/>
              </w:rPr>
              <w:instrText xml:space="preserve"> PAGEREF _Toc183039618 \h </w:instrText>
            </w:r>
            <w:r w:rsidRPr="00581918">
              <w:rPr>
                <w:noProof/>
                <w:webHidden/>
              </w:rPr>
            </w:r>
            <w:r w:rsidRPr="00581918">
              <w:rPr>
                <w:noProof/>
                <w:webHidden/>
              </w:rPr>
              <w:fldChar w:fldCharType="separate"/>
            </w:r>
            <w:r w:rsidR="00EB76D9">
              <w:rPr>
                <w:noProof/>
                <w:webHidden/>
              </w:rPr>
              <w:t>15</w:t>
            </w:r>
            <w:r w:rsidRPr="00581918">
              <w:rPr>
                <w:noProof/>
                <w:webHidden/>
              </w:rPr>
              <w:fldChar w:fldCharType="end"/>
            </w:r>
          </w:hyperlink>
        </w:p>
        <w:p w14:paraId="1D985C9D" w14:textId="7CAF71A0" w:rsidR="00581918" w:rsidRPr="00581918" w:rsidRDefault="00581918">
          <w:pPr>
            <w:pStyle w:val="TOC1"/>
            <w:tabs>
              <w:tab w:val="left" w:pos="440"/>
              <w:tab w:val="right" w:leader="dot" w:pos="9016"/>
            </w:tabs>
            <w:rPr>
              <w:rFonts w:eastAsiaTheme="minorEastAsia"/>
              <w:noProof/>
              <w:sz w:val="24"/>
              <w:szCs w:val="24"/>
              <w:lang w:eastAsia="en-GB"/>
            </w:rPr>
          </w:pPr>
          <w:hyperlink w:anchor="_Toc183039619" w:history="1">
            <w:r w:rsidRPr="00581918">
              <w:rPr>
                <w:rStyle w:val="Hyperlink"/>
                <w:noProof/>
              </w:rPr>
              <w:t>7.</w:t>
            </w:r>
            <w:r w:rsidRPr="00581918">
              <w:rPr>
                <w:rFonts w:eastAsiaTheme="minorEastAsia"/>
                <w:noProof/>
                <w:sz w:val="24"/>
                <w:szCs w:val="24"/>
                <w:lang w:eastAsia="en-GB"/>
              </w:rPr>
              <w:tab/>
            </w:r>
            <w:r w:rsidRPr="00581918">
              <w:rPr>
                <w:rStyle w:val="Hyperlink"/>
                <w:noProof/>
              </w:rPr>
              <w:t>STRATEGIC RECOMMENDATIONS</w:t>
            </w:r>
            <w:r w:rsidRPr="00581918">
              <w:rPr>
                <w:noProof/>
                <w:webHidden/>
              </w:rPr>
              <w:tab/>
            </w:r>
            <w:r w:rsidRPr="00581918">
              <w:rPr>
                <w:noProof/>
                <w:webHidden/>
              </w:rPr>
              <w:fldChar w:fldCharType="begin"/>
            </w:r>
            <w:r w:rsidRPr="00581918">
              <w:rPr>
                <w:noProof/>
                <w:webHidden/>
              </w:rPr>
              <w:instrText xml:space="preserve"> PAGEREF _Toc183039619 \h </w:instrText>
            </w:r>
            <w:r w:rsidRPr="00581918">
              <w:rPr>
                <w:noProof/>
                <w:webHidden/>
              </w:rPr>
            </w:r>
            <w:r w:rsidRPr="00581918">
              <w:rPr>
                <w:noProof/>
                <w:webHidden/>
              </w:rPr>
              <w:fldChar w:fldCharType="separate"/>
            </w:r>
            <w:r w:rsidR="00EB76D9">
              <w:rPr>
                <w:noProof/>
                <w:webHidden/>
              </w:rPr>
              <w:t>15</w:t>
            </w:r>
            <w:r w:rsidRPr="00581918">
              <w:rPr>
                <w:noProof/>
                <w:webHidden/>
              </w:rPr>
              <w:fldChar w:fldCharType="end"/>
            </w:r>
          </w:hyperlink>
        </w:p>
        <w:p w14:paraId="7925BF62" w14:textId="2CE2B518" w:rsidR="00581918" w:rsidRPr="00581918" w:rsidRDefault="00581918">
          <w:pPr>
            <w:pStyle w:val="TOC1"/>
            <w:tabs>
              <w:tab w:val="left" w:pos="440"/>
              <w:tab w:val="right" w:leader="dot" w:pos="9016"/>
            </w:tabs>
            <w:rPr>
              <w:rFonts w:eastAsiaTheme="minorEastAsia"/>
              <w:noProof/>
              <w:sz w:val="24"/>
              <w:szCs w:val="24"/>
              <w:lang w:eastAsia="en-GB"/>
            </w:rPr>
          </w:pPr>
          <w:hyperlink w:anchor="_Toc183039620" w:history="1">
            <w:r w:rsidRPr="00581918">
              <w:rPr>
                <w:rStyle w:val="Hyperlink"/>
                <w:noProof/>
              </w:rPr>
              <w:t>8.</w:t>
            </w:r>
            <w:r w:rsidRPr="00581918">
              <w:rPr>
                <w:rFonts w:eastAsiaTheme="minorEastAsia"/>
                <w:noProof/>
                <w:sz w:val="24"/>
                <w:szCs w:val="24"/>
                <w:lang w:eastAsia="en-GB"/>
              </w:rPr>
              <w:tab/>
            </w:r>
            <w:r w:rsidRPr="00581918">
              <w:rPr>
                <w:rStyle w:val="Hyperlink"/>
                <w:noProof/>
              </w:rPr>
              <w:t>CONCLUSION</w:t>
            </w:r>
            <w:r w:rsidRPr="00581918">
              <w:rPr>
                <w:noProof/>
                <w:webHidden/>
              </w:rPr>
              <w:tab/>
            </w:r>
            <w:r w:rsidRPr="00581918">
              <w:rPr>
                <w:noProof/>
                <w:webHidden/>
              </w:rPr>
              <w:fldChar w:fldCharType="begin"/>
            </w:r>
            <w:r w:rsidRPr="00581918">
              <w:rPr>
                <w:noProof/>
                <w:webHidden/>
              </w:rPr>
              <w:instrText xml:space="preserve"> PAGEREF _Toc183039620 \h </w:instrText>
            </w:r>
            <w:r w:rsidRPr="00581918">
              <w:rPr>
                <w:noProof/>
                <w:webHidden/>
              </w:rPr>
            </w:r>
            <w:r w:rsidRPr="00581918">
              <w:rPr>
                <w:noProof/>
                <w:webHidden/>
              </w:rPr>
              <w:fldChar w:fldCharType="separate"/>
            </w:r>
            <w:r w:rsidR="00EB76D9">
              <w:rPr>
                <w:noProof/>
                <w:webHidden/>
              </w:rPr>
              <w:t>15</w:t>
            </w:r>
            <w:r w:rsidRPr="00581918">
              <w:rPr>
                <w:noProof/>
                <w:webHidden/>
              </w:rPr>
              <w:fldChar w:fldCharType="end"/>
            </w:r>
          </w:hyperlink>
        </w:p>
        <w:p w14:paraId="382C1654" w14:textId="0627EEF9" w:rsidR="00581918" w:rsidRPr="00581918" w:rsidRDefault="00581918">
          <w:pPr>
            <w:pStyle w:val="TOC1"/>
            <w:tabs>
              <w:tab w:val="left" w:pos="440"/>
              <w:tab w:val="right" w:leader="dot" w:pos="9016"/>
            </w:tabs>
            <w:rPr>
              <w:rFonts w:eastAsiaTheme="minorEastAsia"/>
              <w:noProof/>
              <w:sz w:val="24"/>
              <w:szCs w:val="24"/>
              <w:lang w:eastAsia="en-GB"/>
            </w:rPr>
          </w:pPr>
          <w:hyperlink w:anchor="_Toc183039643" w:history="1">
            <w:r w:rsidRPr="00581918">
              <w:rPr>
                <w:rStyle w:val="Hyperlink"/>
                <w:noProof/>
              </w:rPr>
              <w:t>9.</w:t>
            </w:r>
            <w:r w:rsidRPr="00581918">
              <w:rPr>
                <w:rFonts w:eastAsiaTheme="minorEastAsia"/>
                <w:noProof/>
                <w:sz w:val="24"/>
                <w:szCs w:val="24"/>
                <w:lang w:eastAsia="en-GB"/>
              </w:rPr>
              <w:tab/>
            </w:r>
            <w:r w:rsidRPr="00581918">
              <w:rPr>
                <w:rStyle w:val="Hyperlink"/>
                <w:noProof/>
              </w:rPr>
              <w:t>REFERENCES</w:t>
            </w:r>
            <w:r w:rsidRPr="00581918">
              <w:rPr>
                <w:noProof/>
                <w:webHidden/>
              </w:rPr>
              <w:tab/>
            </w:r>
            <w:r w:rsidRPr="00581918">
              <w:rPr>
                <w:noProof/>
                <w:webHidden/>
              </w:rPr>
              <w:fldChar w:fldCharType="begin"/>
            </w:r>
            <w:r w:rsidRPr="00581918">
              <w:rPr>
                <w:noProof/>
                <w:webHidden/>
              </w:rPr>
              <w:instrText xml:space="preserve"> PAGEREF _Toc183039643 \h </w:instrText>
            </w:r>
            <w:r w:rsidRPr="00581918">
              <w:rPr>
                <w:noProof/>
                <w:webHidden/>
              </w:rPr>
            </w:r>
            <w:r w:rsidRPr="00581918">
              <w:rPr>
                <w:noProof/>
                <w:webHidden/>
              </w:rPr>
              <w:fldChar w:fldCharType="separate"/>
            </w:r>
            <w:r w:rsidR="00EB76D9">
              <w:rPr>
                <w:noProof/>
                <w:webHidden/>
              </w:rPr>
              <w:t>16</w:t>
            </w:r>
            <w:r w:rsidRPr="00581918">
              <w:rPr>
                <w:noProof/>
                <w:webHidden/>
              </w:rPr>
              <w:fldChar w:fldCharType="end"/>
            </w:r>
          </w:hyperlink>
        </w:p>
        <w:p w14:paraId="0E615495" w14:textId="4DC33621" w:rsidR="00581918" w:rsidRPr="00581918" w:rsidRDefault="00581918">
          <w:pPr>
            <w:pStyle w:val="TOC1"/>
            <w:tabs>
              <w:tab w:val="right" w:leader="dot" w:pos="9016"/>
            </w:tabs>
            <w:rPr>
              <w:rFonts w:eastAsiaTheme="minorEastAsia"/>
              <w:noProof/>
              <w:sz w:val="24"/>
              <w:szCs w:val="24"/>
              <w:lang w:eastAsia="en-GB"/>
            </w:rPr>
          </w:pPr>
          <w:hyperlink w:anchor="_Toc183039644" w:history="1">
            <w:r w:rsidRPr="00581918">
              <w:rPr>
                <w:rStyle w:val="Hyperlink"/>
                <w:noProof/>
              </w:rPr>
              <w:t>APPENDIX</w:t>
            </w:r>
            <w:r w:rsidRPr="00581918">
              <w:rPr>
                <w:noProof/>
                <w:webHidden/>
              </w:rPr>
              <w:tab/>
            </w:r>
            <w:r w:rsidRPr="00581918">
              <w:rPr>
                <w:noProof/>
                <w:webHidden/>
              </w:rPr>
              <w:fldChar w:fldCharType="begin"/>
            </w:r>
            <w:r w:rsidRPr="00581918">
              <w:rPr>
                <w:noProof/>
                <w:webHidden/>
              </w:rPr>
              <w:instrText xml:space="preserve"> PAGEREF _Toc183039644 \h </w:instrText>
            </w:r>
            <w:r w:rsidRPr="00581918">
              <w:rPr>
                <w:noProof/>
                <w:webHidden/>
              </w:rPr>
            </w:r>
            <w:r w:rsidRPr="00581918">
              <w:rPr>
                <w:noProof/>
                <w:webHidden/>
              </w:rPr>
              <w:fldChar w:fldCharType="separate"/>
            </w:r>
            <w:r w:rsidR="00EB76D9">
              <w:rPr>
                <w:noProof/>
                <w:webHidden/>
              </w:rPr>
              <w:t>20</w:t>
            </w:r>
            <w:r w:rsidRPr="00581918">
              <w:rPr>
                <w:noProof/>
                <w:webHidden/>
              </w:rPr>
              <w:fldChar w:fldCharType="end"/>
            </w:r>
          </w:hyperlink>
        </w:p>
        <w:p w14:paraId="4F304DA6" w14:textId="46F69738" w:rsidR="00F5482E" w:rsidRDefault="00F5482E" w:rsidP="00F5482E">
          <w:pPr>
            <w:rPr>
              <w:b/>
              <w:bCs/>
              <w:noProof/>
            </w:rPr>
          </w:pPr>
          <w:r w:rsidRPr="00581918">
            <w:rPr>
              <w:noProof/>
            </w:rPr>
            <w:fldChar w:fldCharType="end"/>
          </w:r>
        </w:p>
      </w:sdtContent>
    </w:sdt>
    <w:p w14:paraId="350FDD14" w14:textId="77777777" w:rsidR="00026AA3" w:rsidRDefault="00026AA3" w:rsidP="00EE3B52">
      <w:pPr>
        <w:spacing w:line="360" w:lineRule="auto"/>
        <w:jc w:val="both"/>
        <w:rPr>
          <w:rFonts w:ascii="Arial" w:hAnsi="Arial" w:cs="Arial"/>
        </w:rPr>
      </w:pPr>
    </w:p>
    <w:p w14:paraId="7592B4F9" w14:textId="77777777" w:rsidR="00E54EE6" w:rsidRDefault="00E54EE6" w:rsidP="00EE3B52">
      <w:pPr>
        <w:spacing w:line="360" w:lineRule="auto"/>
        <w:jc w:val="both"/>
        <w:rPr>
          <w:rFonts w:ascii="Arial" w:hAnsi="Arial" w:cs="Arial"/>
        </w:rPr>
      </w:pPr>
    </w:p>
    <w:p w14:paraId="5EE7CE92" w14:textId="173E839E" w:rsidR="00E54EE6" w:rsidRDefault="004C3BD1" w:rsidP="004C3BD1">
      <w:pPr>
        <w:spacing w:line="360" w:lineRule="auto"/>
        <w:jc w:val="center"/>
        <w:rPr>
          <w:rFonts w:ascii="Arial" w:hAnsi="Arial" w:cs="Arial"/>
        </w:rPr>
      </w:pPr>
      <w:r>
        <w:rPr>
          <w:rFonts w:ascii="Arial" w:hAnsi="Arial" w:cs="Arial"/>
        </w:rPr>
        <w:t>TABELE of FIGURES</w:t>
      </w:r>
    </w:p>
    <w:p w14:paraId="682E3548" w14:textId="0956B394" w:rsidR="00EB76D9" w:rsidRDefault="007023D1">
      <w:pPr>
        <w:pStyle w:val="TableofFigures"/>
        <w:tabs>
          <w:tab w:val="right" w:leader="dot" w:pos="9016"/>
        </w:tabs>
        <w:rPr>
          <w:rFonts w:eastAsiaTheme="minorEastAsia"/>
          <w:i w:val="0"/>
          <w:iCs w:val="0"/>
          <w:noProof/>
          <w:sz w:val="24"/>
          <w:szCs w:val="24"/>
          <w:lang w:eastAsia="en-GB"/>
        </w:rPr>
      </w:pPr>
      <w:r>
        <w:rPr>
          <w:rFonts w:ascii="Arial" w:hAnsi="Arial" w:cs="Arial"/>
        </w:rPr>
        <w:fldChar w:fldCharType="begin"/>
      </w:r>
      <w:r>
        <w:rPr>
          <w:rFonts w:ascii="Arial" w:hAnsi="Arial" w:cs="Arial"/>
        </w:rPr>
        <w:instrText xml:space="preserve"> TOC \h \z \c "Table" </w:instrText>
      </w:r>
      <w:r>
        <w:rPr>
          <w:rFonts w:ascii="Arial" w:hAnsi="Arial" w:cs="Arial"/>
        </w:rPr>
        <w:fldChar w:fldCharType="separate"/>
      </w:r>
      <w:hyperlink w:anchor="_Toc183040034" w:history="1">
        <w:r w:rsidR="00EB76D9" w:rsidRPr="00F37EA4">
          <w:rPr>
            <w:rStyle w:val="Hyperlink"/>
            <w:noProof/>
          </w:rPr>
          <w:t>Table 1 Summary of Porter’s Five Forces for Pharmacy2U</w:t>
        </w:r>
        <w:r w:rsidR="00EB76D9">
          <w:rPr>
            <w:noProof/>
            <w:webHidden/>
          </w:rPr>
          <w:tab/>
        </w:r>
        <w:r w:rsidR="00EB76D9">
          <w:rPr>
            <w:noProof/>
            <w:webHidden/>
          </w:rPr>
          <w:fldChar w:fldCharType="begin"/>
        </w:r>
        <w:r w:rsidR="00EB76D9">
          <w:rPr>
            <w:noProof/>
            <w:webHidden/>
          </w:rPr>
          <w:instrText xml:space="preserve"> PAGEREF _Toc183040034 \h </w:instrText>
        </w:r>
        <w:r w:rsidR="00EB76D9">
          <w:rPr>
            <w:noProof/>
            <w:webHidden/>
          </w:rPr>
        </w:r>
        <w:r w:rsidR="00EB76D9">
          <w:rPr>
            <w:noProof/>
            <w:webHidden/>
          </w:rPr>
          <w:fldChar w:fldCharType="separate"/>
        </w:r>
        <w:r w:rsidR="00EB76D9">
          <w:rPr>
            <w:noProof/>
            <w:webHidden/>
          </w:rPr>
          <w:t>5</w:t>
        </w:r>
        <w:r w:rsidR="00EB76D9">
          <w:rPr>
            <w:noProof/>
            <w:webHidden/>
          </w:rPr>
          <w:fldChar w:fldCharType="end"/>
        </w:r>
      </w:hyperlink>
    </w:p>
    <w:p w14:paraId="4FBF0583" w14:textId="0619DE74" w:rsidR="00EB76D9" w:rsidRDefault="00EB76D9">
      <w:pPr>
        <w:pStyle w:val="TableofFigures"/>
        <w:tabs>
          <w:tab w:val="right" w:leader="dot" w:pos="9016"/>
        </w:tabs>
        <w:rPr>
          <w:rFonts w:eastAsiaTheme="minorEastAsia"/>
          <w:i w:val="0"/>
          <w:iCs w:val="0"/>
          <w:noProof/>
          <w:sz w:val="24"/>
          <w:szCs w:val="24"/>
          <w:lang w:eastAsia="en-GB"/>
        </w:rPr>
      </w:pPr>
      <w:hyperlink w:anchor="_Toc183040035" w:history="1">
        <w:r w:rsidRPr="00F37EA4">
          <w:rPr>
            <w:rStyle w:val="Hyperlink"/>
            <w:noProof/>
          </w:rPr>
          <w:t>Table 2 Summary of PESTLE Analysis</w:t>
        </w:r>
        <w:r>
          <w:rPr>
            <w:noProof/>
            <w:webHidden/>
          </w:rPr>
          <w:tab/>
        </w:r>
        <w:r>
          <w:rPr>
            <w:noProof/>
            <w:webHidden/>
          </w:rPr>
          <w:fldChar w:fldCharType="begin"/>
        </w:r>
        <w:r>
          <w:rPr>
            <w:noProof/>
            <w:webHidden/>
          </w:rPr>
          <w:instrText xml:space="preserve"> PAGEREF _Toc183040035 \h </w:instrText>
        </w:r>
        <w:r>
          <w:rPr>
            <w:noProof/>
            <w:webHidden/>
          </w:rPr>
        </w:r>
        <w:r>
          <w:rPr>
            <w:noProof/>
            <w:webHidden/>
          </w:rPr>
          <w:fldChar w:fldCharType="separate"/>
        </w:r>
        <w:r>
          <w:rPr>
            <w:noProof/>
            <w:webHidden/>
          </w:rPr>
          <w:t>7</w:t>
        </w:r>
        <w:r>
          <w:rPr>
            <w:noProof/>
            <w:webHidden/>
          </w:rPr>
          <w:fldChar w:fldCharType="end"/>
        </w:r>
      </w:hyperlink>
    </w:p>
    <w:p w14:paraId="6E43642E" w14:textId="70379BA6" w:rsidR="00EB76D9" w:rsidRDefault="00EB76D9">
      <w:pPr>
        <w:pStyle w:val="TableofFigures"/>
        <w:tabs>
          <w:tab w:val="right" w:leader="dot" w:pos="9016"/>
        </w:tabs>
        <w:rPr>
          <w:rFonts w:eastAsiaTheme="minorEastAsia"/>
          <w:i w:val="0"/>
          <w:iCs w:val="0"/>
          <w:noProof/>
          <w:sz w:val="24"/>
          <w:szCs w:val="24"/>
          <w:lang w:eastAsia="en-GB"/>
        </w:rPr>
      </w:pPr>
      <w:hyperlink w:anchor="_Toc183040036" w:history="1">
        <w:r w:rsidRPr="00F37EA4">
          <w:rPr>
            <w:rStyle w:val="Hyperlink"/>
            <w:noProof/>
          </w:rPr>
          <w:t>Table 3 Summary of SWOT Analysis</w:t>
        </w:r>
        <w:r>
          <w:rPr>
            <w:noProof/>
            <w:webHidden/>
          </w:rPr>
          <w:tab/>
        </w:r>
        <w:r>
          <w:rPr>
            <w:noProof/>
            <w:webHidden/>
          </w:rPr>
          <w:fldChar w:fldCharType="begin"/>
        </w:r>
        <w:r>
          <w:rPr>
            <w:noProof/>
            <w:webHidden/>
          </w:rPr>
          <w:instrText xml:space="preserve"> PAGEREF _Toc183040036 \h </w:instrText>
        </w:r>
        <w:r>
          <w:rPr>
            <w:noProof/>
            <w:webHidden/>
          </w:rPr>
        </w:r>
        <w:r>
          <w:rPr>
            <w:noProof/>
            <w:webHidden/>
          </w:rPr>
          <w:fldChar w:fldCharType="separate"/>
        </w:r>
        <w:r>
          <w:rPr>
            <w:noProof/>
            <w:webHidden/>
          </w:rPr>
          <w:t>9</w:t>
        </w:r>
        <w:r>
          <w:rPr>
            <w:noProof/>
            <w:webHidden/>
          </w:rPr>
          <w:fldChar w:fldCharType="end"/>
        </w:r>
      </w:hyperlink>
    </w:p>
    <w:p w14:paraId="2A6720A3" w14:textId="61047065" w:rsidR="00EB76D9" w:rsidRDefault="00EB76D9">
      <w:pPr>
        <w:pStyle w:val="TableofFigures"/>
        <w:tabs>
          <w:tab w:val="right" w:leader="dot" w:pos="9016"/>
        </w:tabs>
        <w:rPr>
          <w:rFonts w:eastAsiaTheme="minorEastAsia"/>
          <w:i w:val="0"/>
          <w:iCs w:val="0"/>
          <w:noProof/>
          <w:sz w:val="24"/>
          <w:szCs w:val="24"/>
          <w:lang w:eastAsia="en-GB"/>
        </w:rPr>
      </w:pPr>
      <w:hyperlink w:anchor="_Toc183040037" w:history="1">
        <w:r w:rsidRPr="00F37EA4">
          <w:rPr>
            <w:rStyle w:val="Hyperlink"/>
            <w:noProof/>
          </w:rPr>
          <w:t>Table 4 Stakeholder Analysis Grid</w:t>
        </w:r>
        <w:r>
          <w:rPr>
            <w:noProof/>
            <w:webHidden/>
          </w:rPr>
          <w:tab/>
        </w:r>
        <w:r>
          <w:rPr>
            <w:noProof/>
            <w:webHidden/>
          </w:rPr>
          <w:fldChar w:fldCharType="begin"/>
        </w:r>
        <w:r>
          <w:rPr>
            <w:noProof/>
            <w:webHidden/>
          </w:rPr>
          <w:instrText xml:space="preserve"> PAGEREF _Toc183040037 \h </w:instrText>
        </w:r>
        <w:r>
          <w:rPr>
            <w:noProof/>
            <w:webHidden/>
          </w:rPr>
        </w:r>
        <w:r>
          <w:rPr>
            <w:noProof/>
            <w:webHidden/>
          </w:rPr>
          <w:fldChar w:fldCharType="separate"/>
        </w:r>
        <w:r>
          <w:rPr>
            <w:noProof/>
            <w:webHidden/>
          </w:rPr>
          <w:t>11</w:t>
        </w:r>
        <w:r>
          <w:rPr>
            <w:noProof/>
            <w:webHidden/>
          </w:rPr>
          <w:fldChar w:fldCharType="end"/>
        </w:r>
      </w:hyperlink>
    </w:p>
    <w:p w14:paraId="515BE4A8" w14:textId="206F3D1B" w:rsidR="00EB76D9" w:rsidRDefault="00EB76D9">
      <w:pPr>
        <w:pStyle w:val="TableofFigures"/>
        <w:tabs>
          <w:tab w:val="right" w:leader="dot" w:pos="9016"/>
        </w:tabs>
        <w:rPr>
          <w:rFonts w:eastAsiaTheme="minorEastAsia"/>
          <w:i w:val="0"/>
          <w:iCs w:val="0"/>
          <w:noProof/>
          <w:sz w:val="24"/>
          <w:szCs w:val="24"/>
          <w:lang w:eastAsia="en-GB"/>
        </w:rPr>
      </w:pPr>
      <w:hyperlink w:anchor="_Toc183040038" w:history="1">
        <w:r w:rsidRPr="00F37EA4">
          <w:rPr>
            <w:rStyle w:val="Hyperlink"/>
            <w:noProof/>
          </w:rPr>
          <w:t>Table 5 Evaluating the Best Strategic Option</w:t>
        </w:r>
        <w:r>
          <w:rPr>
            <w:noProof/>
            <w:webHidden/>
          </w:rPr>
          <w:tab/>
        </w:r>
        <w:r>
          <w:rPr>
            <w:noProof/>
            <w:webHidden/>
          </w:rPr>
          <w:fldChar w:fldCharType="begin"/>
        </w:r>
        <w:r>
          <w:rPr>
            <w:noProof/>
            <w:webHidden/>
          </w:rPr>
          <w:instrText xml:space="preserve"> PAGEREF _Toc183040038 \h </w:instrText>
        </w:r>
        <w:r>
          <w:rPr>
            <w:noProof/>
            <w:webHidden/>
          </w:rPr>
        </w:r>
        <w:r>
          <w:rPr>
            <w:noProof/>
            <w:webHidden/>
          </w:rPr>
          <w:fldChar w:fldCharType="separate"/>
        </w:r>
        <w:r>
          <w:rPr>
            <w:noProof/>
            <w:webHidden/>
          </w:rPr>
          <w:t>14</w:t>
        </w:r>
        <w:r>
          <w:rPr>
            <w:noProof/>
            <w:webHidden/>
          </w:rPr>
          <w:fldChar w:fldCharType="end"/>
        </w:r>
      </w:hyperlink>
    </w:p>
    <w:p w14:paraId="11575E6B" w14:textId="4D5FD9E5" w:rsidR="00E87932" w:rsidRDefault="007023D1" w:rsidP="004C3BD1">
      <w:pPr>
        <w:spacing w:line="360" w:lineRule="auto"/>
        <w:jc w:val="both"/>
        <w:rPr>
          <w:rFonts w:ascii="Arial" w:hAnsi="Arial" w:cs="Arial"/>
        </w:rPr>
      </w:pPr>
      <w:r>
        <w:rPr>
          <w:rFonts w:ascii="Arial" w:hAnsi="Arial" w:cs="Arial"/>
        </w:rPr>
        <w:fldChar w:fldCharType="end"/>
      </w:r>
    </w:p>
    <w:p w14:paraId="2AA35014" w14:textId="08D5B5C0" w:rsidR="00ED5DCE" w:rsidRPr="00E87932" w:rsidRDefault="00406046" w:rsidP="00E87932">
      <w:pPr>
        <w:pStyle w:val="Heading1"/>
        <w:numPr>
          <w:ilvl w:val="0"/>
          <w:numId w:val="11"/>
        </w:numPr>
        <w:rPr>
          <w:color w:val="auto"/>
          <w:sz w:val="24"/>
          <w:szCs w:val="24"/>
        </w:rPr>
      </w:pPr>
      <w:bookmarkStart w:id="0" w:name="_Toc183039601"/>
      <w:r w:rsidRPr="00E87932">
        <w:rPr>
          <w:color w:val="auto"/>
          <w:sz w:val="24"/>
          <w:szCs w:val="24"/>
        </w:rPr>
        <w:lastRenderedPageBreak/>
        <w:t>INTRODUCTION</w:t>
      </w:r>
      <w:bookmarkEnd w:id="0"/>
    </w:p>
    <w:p w14:paraId="2711A14B" w14:textId="10E60B3B" w:rsidR="00D5081B" w:rsidRDefault="000331A2" w:rsidP="000331A2">
      <w:pPr>
        <w:spacing w:line="360" w:lineRule="auto"/>
        <w:jc w:val="both"/>
        <w:rPr>
          <w:rFonts w:ascii="Arial" w:hAnsi="Arial" w:cs="Arial"/>
        </w:rPr>
      </w:pPr>
      <w:r w:rsidRPr="000331A2">
        <w:rPr>
          <w:rFonts w:ascii="Arial" w:hAnsi="Arial" w:cs="Arial"/>
        </w:rPr>
        <w:t>Pharmacy2U is the first and largest online pharmacy service in the United Kingdom, founded in 1999. The company provides patient prescription delivery services to patients’ homes and, through its digital platform, offers NHS and private prescriptions and over-the-counter medication</w:t>
      </w:r>
      <w:r w:rsidR="00446836">
        <w:rPr>
          <w:rFonts w:ascii="Arial" w:hAnsi="Arial" w:cs="Arial"/>
        </w:rPr>
        <w:t xml:space="preserve"> </w:t>
      </w:r>
      <w:r w:rsidRPr="000331A2">
        <w:rPr>
          <w:rFonts w:ascii="Arial" w:hAnsi="Arial" w:cs="Arial"/>
        </w:rPr>
        <w:t xml:space="preserve">(Pharmacy2U, 2024). The company provided nursing care, free NHS prescriptions, and prescription collection services to more than half a million customers. Its growth was facilitated by the demand for a healthcare system tailored to a digitised pharmaceutical sector and patient convenience. The company believes in transformation of the care delivery process through technology in order to offer quality affordable healthcare to its customers. It wants to offer accessible, </w:t>
      </w:r>
      <w:r w:rsidR="005966CB" w:rsidRPr="000331A2">
        <w:rPr>
          <w:rFonts w:ascii="Arial" w:hAnsi="Arial" w:cs="Arial"/>
        </w:rPr>
        <w:t>convenient,</w:t>
      </w:r>
      <w:r w:rsidRPr="000331A2">
        <w:rPr>
          <w:rFonts w:ascii="Arial" w:hAnsi="Arial" w:cs="Arial"/>
        </w:rPr>
        <w:t xml:space="preserve"> and efficient service to its customers</w:t>
      </w:r>
      <w:r w:rsidR="00446836">
        <w:rPr>
          <w:rFonts w:ascii="Arial" w:hAnsi="Arial" w:cs="Arial"/>
        </w:rPr>
        <w:t xml:space="preserve"> </w:t>
      </w:r>
      <w:r w:rsidR="00446836" w:rsidRPr="000331A2">
        <w:rPr>
          <w:rFonts w:ascii="Arial" w:hAnsi="Arial" w:cs="Arial"/>
        </w:rPr>
        <w:t>(Pharmacy2U, 2024)</w:t>
      </w:r>
      <w:r w:rsidRPr="000331A2">
        <w:rPr>
          <w:rFonts w:ascii="Arial" w:hAnsi="Arial" w:cs="Arial"/>
        </w:rPr>
        <w:t xml:space="preserve">. </w:t>
      </w:r>
    </w:p>
    <w:p w14:paraId="251C342D" w14:textId="7958B388" w:rsidR="00D5081B" w:rsidRDefault="000331A2" w:rsidP="000331A2">
      <w:pPr>
        <w:spacing w:line="360" w:lineRule="auto"/>
        <w:jc w:val="both"/>
        <w:rPr>
          <w:rFonts w:ascii="Arial" w:hAnsi="Arial" w:cs="Arial"/>
        </w:rPr>
      </w:pPr>
      <w:r w:rsidRPr="000331A2">
        <w:rPr>
          <w:rFonts w:ascii="Arial" w:hAnsi="Arial" w:cs="Arial"/>
        </w:rPr>
        <w:t xml:space="preserve">The purpose behind the report is to assess </w:t>
      </w:r>
      <w:r w:rsidR="00D5081B">
        <w:rPr>
          <w:rFonts w:ascii="Arial" w:hAnsi="Arial" w:cs="Arial"/>
        </w:rPr>
        <w:t>P</w:t>
      </w:r>
      <w:r w:rsidRPr="000331A2">
        <w:rPr>
          <w:rFonts w:ascii="Arial" w:hAnsi="Arial" w:cs="Arial"/>
        </w:rPr>
        <w:t>harmacy2U’s current strategic position and to identify options for its growth in a sustainable manner by using strategic management frameworks to secure its future from the increasing competition in the market.</w:t>
      </w:r>
    </w:p>
    <w:p w14:paraId="21A4A265" w14:textId="2285181A" w:rsidR="00F40696" w:rsidRPr="00F5482E" w:rsidRDefault="00406046" w:rsidP="00F5482E">
      <w:pPr>
        <w:pStyle w:val="Heading1"/>
        <w:numPr>
          <w:ilvl w:val="0"/>
          <w:numId w:val="11"/>
        </w:numPr>
        <w:rPr>
          <w:color w:val="auto"/>
          <w:sz w:val="24"/>
          <w:szCs w:val="24"/>
        </w:rPr>
      </w:pPr>
      <w:bookmarkStart w:id="1" w:name="_Toc183039602"/>
      <w:r w:rsidRPr="00FD2BAB">
        <w:rPr>
          <w:color w:val="auto"/>
          <w:sz w:val="24"/>
          <w:szCs w:val="24"/>
        </w:rPr>
        <w:t>CURRENT STRATEGY AND CRITICAL EVALUATION</w:t>
      </w:r>
      <w:bookmarkEnd w:id="1"/>
    </w:p>
    <w:p w14:paraId="4D671306" w14:textId="18C0BF6C" w:rsidR="00F40696" w:rsidRPr="00FD2BAB" w:rsidRDefault="00FD2BAB" w:rsidP="00FD2BAB">
      <w:pPr>
        <w:pStyle w:val="Heading2"/>
        <w:rPr>
          <w:rStyle w:val="IntenseEmphasis"/>
          <w:b/>
          <w:bCs/>
          <w:color w:val="auto"/>
          <w:sz w:val="24"/>
          <w:szCs w:val="24"/>
        </w:rPr>
      </w:pPr>
      <w:bookmarkStart w:id="2" w:name="_Toc183039603"/>
      <w:r>
        <w:rPr>
          <w:rStyle w:val="IntenseEmphasis"/>
          <w:b/>
          <w:bCs/>
          <w:color w:val="auto"/>
          <w:sz w:val="24"/>
          <w:szCs w:val="24"/>
        </w:rPr>
        <w:t xml:space="preserve">2.1 </w:t>
      </w:r>
      <w:r w:rsidR="00F40696" w:rsidRPr="00FD2BAB">
        <w:rPr>
          <w:rStyle w:val="IntenseEmphasis"/>
          <w:b/>
          <w:bCs/>
          <w:color w:val="auto"/>
          <w:sz w:val="24"/>
          <w:szCs w:val="24"/>
        </w:rPr>
        <w:t>Strategic Direction</w:t>
      </w:r>
      <w:bookmarkEnd w:id="2"/>
    </w:p>
    <w:p w14:paraId="0926AA17" w14:textId="1173B5DB" w:rsidR="00D5081B" w:rsidRDefault="00D5081B" w:rsidP="00446836">
      <w:pPr>
        <w:spacing w:line="360" w:lineRule="auto"/>
        <w:jc w:val="both"/>
        <w:rPr>
          <w:rFonts w:ascii="Arial" w:hAnsi="Arial" w:cs="Arial"/>
        </w:rPr>
      </w:pPr>
      <w:r w:rsidRPr="00D5081B">
        <w:rPr>
          <w:rFonts w:ascii="Arial" w:hAnsi="Arial" w:cs="Arial"/>
        </w:rPr>
        <w:t>The long-term strategic ambition of Pharmacy2U has been laid out with a simple focus on becoming the UK’s first online pharmacy by making healthcare available to more patients and making it easier for customers. Its purpose is to offer accurate prescription administration and premium health care services through the internet (Pharmacy2U, 202</w:t>
      </w:r>
      <w:r>
        <w:rPr>
          <w:rFonts w:ascii="Arial" w:hAnsi="Arial" w:cs="Arial"/>
        </w:rPr>
        <w:t>4</w:t>
      </w:r>
      <w:r w:rsidRPr="00D5081B">
        <w:rPr>
          <w:rFonts w:ascii="Arial" w:hAnsi="Arial" w:cs="Arial"/>
        </w:rPr>
        <w:t>). It focuses on building market share by offering digital healthcare services, technological investments for easier prescriptions and improved customer satisfaction through faster delivery (Pharmacy2U, 202</w:t>
      </w:r>
      <w:r>
        <w:rPr>
          <w:rFonts w:ascii="Arial" w:hAnsi="Arial" w:cs="Arial"/>
        </w:rPr>
        <w:t>4</w:t>
      </w:r>
      <w:r w:rsidRPr="00D5081B">
        <w:rPr>
          <w:rFonts w:ascii="Arial" w:hAnsi="Arial" w:cs="Arial"/>
        </w:rPr>
        <w:t>). These targets represent a digitally oriented and consumer-driven approach to healthcare delivery that aligns with a trend in the industry toward telemedicine and digital pharmacy</w:t>
      </w:r>
      <w:r w:rsidR="009032D9">
        <w:rPr>
          <w:rFonts w:ascii="Arial" w:hAnsi="Arial" w:cs="Arial"/>
        </w:rPr>
        <w:t xml:space="preserve"> </w:t>
      </w:r>
      <w:r w:rsidR="009032D9" w:rsidRPr="00F40696">
        <w:rPr>
          <w:rFonts w:ascii="Arial" w:hAnsi="Arial" w:cs="Arial"/>
        </w:rPr>
        <w:t>(Hemphill, 2021).</w:t>
      </w:r>
    </w:p>
    <w:p w14:paraId="6D4C4B33" w14:textId="6AAA6DF4" w:rsidR="00F40696" w:rsidRPr="00FD2BAB" w:rsidRDefault="00FD2BAB" w:rsidP="00FD2BAB">
      <w:pPr>
        <w:pStyle w:val="Heading2"/>
        <w:rPr>
          <w:b/>
          <w:bCs/>
          <w:color w:val="auto"/>
          <w:sz w:val="24"/>
          <w:szCs w:val="24"/>
        </w:rPr>
      </w:pPr>
      <w:bookmarkStart w:id="3" w:name="_Toc183039604"/>
      <w:r>
        <w:rPr>
          <w:b/>
          <w:bCs/>
          <w:color w:val="auto"/>
          <w:sz w:val="24"/>
          <w:szCs w:val="24"/>
        </w:rPr>
        <w:t xml:space="preserve">2.2 </w:t>
      </w:r>
      <w:r w:rsidR="00F40696" w:rsidRPr="00FD2BAB">
        <w:rPr>
          <w:b/>
          <w:bCs/>
          <w:color w:val="auto"/>
          <w:sz w:val="24"/>
          <w:szCs w:val="24"/>
        </w:rPr>
        <w:t>Current Strategic Position of the business</w:t>
      </w:r>
      <w:bookmarkEnd w:id="3"/>
    </w:p>
    <w:p w14:paraId="0C9FE588" w14:textId="48194E82" w:rsidR="00F40696" w:rsidRPr="00F40696" w:rsidRDefault="009032D9" w:rsidP="00F40696">
      <w:pPr>
        <w:spacing w:line="360" w:lineRule="auto"/>
        <w:jc w:val="both"/>
        <w:rPr>
          <w:rFonts w:ascii="Arial" w:hAnsi="Arial" w:cs="Arial"/>
        </w:rPr>
      </w:pPr>
      <w:r w:rsidRPr="009032D9">
        <w:rPr>
          <w:rFonts w:ascii="Arial" w:hAnsi="Arial" w:cs="Arial"/>
        </w:rPr>
        <w:t>Pharmacy2U is working in a very dynamic, competitive healthcare market with lots of possibilities and risks. U</w:t>
      </w:r>
      <w:r>
        <w:rPr>
          <w:rFonts w:ascii="Arial" w:hAnsi="Arial" w:cs="Arial"/>
        </w:rPr>
        <w:t>nited Kingdom</w:t>
      </w:r>
      <w:r w:rsidRPr="009032D9">
        <w:rPr>
          <w:rFonts w:ascii="Arial" w:hAnsi="Arial" w:cs="Arial"/>
        </w:rPr>
        <w:t xml:space="preserve"> is the land of the online pharmacy, digital health services are expected to expand by more than 20% per year over the next few </w:t>
      </w:r>
      <w:r w:rsidR="00CE089F" w:rsidRPr="009032D9">
        <w:rPr>
          <w:rFonts w:ascii="Arial" w:hAnsi="Arial" w:cs="Arial"/>
        </w:rPr>
        <w:t>years</w:t>
      </w:r>
      <w:r w:rsidR="00CE089F">
        <w:rPr>
          <w:rFonts w:ascii="Arial" w:hAnsi="Arial" w:cs="Arial"/>
        </w:rPr>
        <w:t>.</w:t>
      </w:r>
      <w:r w:rsidR="00CE089F" w:rsidRPr="009032D9">
        <w:rPr>
          <w:rFonts w:ascii="Arial" w:hAnsi="Arial" w:cs="Arial"/>
        </w:rPr>
        <w:t xml:space="preserve"> This</w:t>
      </w:r>
      <w:r w:rsidRPr="009032D9">
        <w:rPr>
          <w:rFonts w:ascii="Arial" w:hAnsi="Arial" w:cs="Arial"/>
        </w:rPr>
        <w:t xml:space="preserve"> online space has an excellent place for Pharmacy2U thanks to its early entry and NHS partnership, with a real head start over other established and nascent online competitors. But due to the dependence on digital, the company is at risk of technical issues and cyber risks that could adversely impact patient trust and service quality </w:t>
      </w:r>
      <w:r w:rsidR="00CE089F">
        <w:rPr>
          <w:rFonts w:ascii="Arial" w:hAnsi="Arial" w:cs="Arial"/>
        </w:rPr>
        <w:t>(</w:t>
      </w:r>
      <w:r w:rsidR="00CE089F" w:rsidRPr="00CE089F">
        <w:rPr>
          <w:rFonts w:ascii="Arial" w:hAnsi="Arial" w:cs="Arial"/>
        </w:rPr>
        <w:t>Barney</w:t>
      </w:r>
      <w:r w:rsidR="00CE089F">
        <w:rPr>
          <w:rFonts w:ascii="Arial" w:hAnsi="Arial" w:cs="Arial"/>
        </w:rPr>
        <w:t xml:space="preserve"> </w:t>
      </w:r>
      <w:r w:rsidR="00CE089F" w:rsidRPr="00CE089F">
        <w:rPr>
          <w:rFonts w:ascii="Arial" w:hAnsi="Arial" w:cs="Arial"/>
        </w:rPr>
        <w:t>&amp; Hesterl</w:t>
      </w:r>
      <w:r w:rsidR="00CE089F">
        <w:rPr>
          <w:rFonts w:ascii="Arial" w:hAnsi="Arial" w:cs="Arial"/>
        </w:rPr>
        <w:t>y,</w:t>
      </w:r>
      <w:r w:rsidRPr="009032D9">
        <w:rPr>
          <w:rFonts w:ascii="Arial" w:hAnsi="Arial" w:cs="Arial"/>
        </w:rPr>
        <w:t xml:space="preserve"> 20</w:t>
      </w:r>
      <w:r w:rsidR="00CE089F">
        <w:rPr>
          <w:rFonts w:ascii="Arial" w:hAnsi="Arial" w:cs="Arial"/>
        </w:rPr>
        <w:t>18</w:t>
      </w:r>
      <w:r w:rsidRPr="009032D9">
        <w:rPr>
          <w:rFonts w:ascii="Arial" w:hAnsi="Arial" w:cs="Arial"/>
        </w:rPr>
        <w:t>).</w:t>
      </w:r>
    </w:p>
    <w:p w14:paraId="3E1D935B" w14:textId="5EFC1E56" w:rsidR="00F40696" w:rsidRPr="00FD2BAB" w:rsidRDefault="00FD2BAB" w:rsidP="00FD2BAB">
      <w:pPr>
        <w:pStyle w:val="Heading2"/>
        <w:rPr>
          <w:b/>
          <w:bCs/>
          <w:color w:val="auto"/>
          <w:sz w:val="24"/>
          <w:szCs w:val="24"/>
        </w:rPr>
      </w:pPr>
      <w:bookmarkStart w:id="4" w:name="_Toc183039605"/>
      <w:r w:rsidRPr="00FD2BAB">
        <w:rPr>
          <w:b/>
          <w:bCs/>
          <w:color w:val="auto"/>
          <w:sz w:val="24"/>
          <w:szCs w:val="24"/>
        </w:rPr>
        <w:lastRenderedPageBreak/>
        <w:t xml:space="preserve">2.3 </w:t>
      </w:r>
      <w:r w:rsidR="00F40696" w:rsidRPr="00FD2BAB">
        <w:rPr>
          <w:b/>
          <w:bCs/>
          <w:color w:val="auto"/>
          <w:sz w:val="24"/>
          <w:szCs w:val="24"/>
        </w:rPr>
        <w:t>Porter’s Five Forces Analysis</w:t>
      </w:r>
      <w:bookmarkEnd w:id="4"/>
    </w:p>
    <w:p w14:paraId="3051CA98" w14:textId="17DD5301" w:rsidR="00AA2B34" w:rsidRDefault="009032D9" w:rsidP="00446836">
      <w:pPr>
        <w:spacing w:line="360" w:lineRule="auto"/>
        <w:jc w:val="both"/>
        <w:rPr>
          <w:rFonts w:ascii="Arial" w:hAnsi="Arial" w:cs="Arial"/>
        </w:rPr>
      </w:pPr>
      <w:r w:rsidRPr="009032D9">
        <w:rPr>
          <w:rFonts w:ascii="Arial" w:hAnsi="Arial" w:cs="Arial"/>
        </w:rPr>
        <w:t>For more information about Pharmacy2U’s position within the market, Porter’s Five Forces can help to understand how the market works.</w:t>
      </w:r>
    </w:p>
    <w:p w14:paraId="5D77B764" w14:textId="4F1ED006" w:rsidR="001C1C10" w:rsidRDefault="001C1C10" w:rsidP="00245B6A">
      <w:pPr>
        <w:pStyle w:val="ListParagraph"/>
        <w:numPr>
          <w:ilvl w:val="0"/>
          <w:numId w:val="2"/>
        </w:numPr>
        <w:spacing w:line="360" w:lineRule="auto"/>
        <w:jc w:val="both"/>
        <w:rPr>
          <w:rFonts w:ascii="Arial" w:hAnsi="Arial" w:cs="Arial"/>
        </w:rPr>
      </w:pPr>
      <w:r w:rsidRPr="001C1C10">
        <w:rPr>
          <w:rFonts w:ascii="Arial" w:hAnsi="Arial" w:cs="Arial"/>
          <w:b/>
          <w:bCs/>
        </w:rPr>
        <w:t xml:space="preserve">Threat of New Entrants: </w:t>
      </w:r>
      <w:r w:rsidRPr="001C1C10">
        <w:rPr>
          <w:rFonts w:ascii="Arial" w:hAnsi="Arial" w:cs="Arial"/>
        </w:rPr>
        <w:t xml:space="preserve">Despite being in expansion, online pharmacy has high barriers to entry. Tight regulatory alignment to NHS standards and GDPR is a barrier. Large investments in technology and </w:t>
      </w:r>
      <w:r w:rsidR="005966CB" w:rsidRPr="001C1C10">
        <w:rPr>
          <w:rFonts w:ascii="Arial" w:hAnsi="Arial" w:cs="Arial"/>
        </w:rPr>
        <w:t>coordination</w:t>
      </w:r>
      <w:r w:rsidRPr="001C1C10">
        <w:rPr>
          <w:rFonts w:ascii="Arial" w:hAnsi="Arial" w:cs="Arial"/>
        </w:rPr>
        <w:t xml:space="preserve"> are required to scale operations.</w:t>
      </w:r>
      <w:r>
        <w:rPr>
          <w:rFonts w:ascii="Arial" w:hAnsi="Arial" w:cs="Arial"/>
        </w:rPr>
        <w:t xml:space="preserve"> </w:t>
      </w:r>
      <w:r w:rsidRPr="001C1C10">
        <w:rPr>
          <w:rFonts w:ascii="Arial" w:hAnsi="Arial" w:cs="Arial"/>
        </w:rPr>
        <w:t>But the online business and the growing appetite of consumers for online products and services draw tech savvy entrepreneurs and startups. There are also larger players such as Amazon Pharmacy who can be considered a threat given their resources.</w:t>
      </w:r>
      <w:r>
        <w:rPr>
          <w:rFonts w:ascii="Arial" w:hAnsi="Arial" w:cs="Arial"/>
        </w:rPr>
        <w:t xml:space="preserve"> </w:t>
      </w:r>
      <w:r w:rsidRPr="001C1C10">
        <w:rPr>
          <w:rFonts w:ascii="Arial" w:hAnsi="Arial" w:cs="Arial"/>
        </w:rPr>
        <w:t>The early-mover, brand strength and NHS partnerships of Pharmacy2U give the company an advantage where others cannot match</w:t>
      </w:r>
      <w:r w:rsidR="00CA04D0">
        <w:rPr>
          <w:rFonts w:ascii="Arial" w:hAnsi="Arial" w:cs="Arial"/>
        </w:rPr>
        <w:t xml:space="preserve"> (</w:t>
      </w:r>
      <w:r w:rsidR="00CA04D0" w:rsidRPr="00CA04D0">
        <w:rPr>
          <w:rFonts w:ascii="Arial" w:hAnsi="Arial" w:cs="Arial"/>
        </w:rPr>
        <w:t xml:space="preserve">Gerard </w:t>
      </w:r>
      <w:r w:rsidR="00CA04D0">
        <w:rPr>
          <w:rFonts w:ascii="Arial" w:hAnsi="Arial" w:cs="Arial"/>
        </w:rPr>
        <w:t>&amp;</w:t>
      </w:r>
      <w:r w:rsidR="00CA04D0" w:rsidRPr="00CA04D0">
        <w:rPr>
          <w:rFonts w:ascii="Arial" w:hAnsi="Arial" w:cs="Arial"/>
        </w:rPr>
        <w:t xml:space="preserve"> Bruijl, 2019</w:t>
      </w:r>
      <w:r w:rsidR="00CA04D0">
        <w:rPr>
          <w:rFonts w:ascii="Arial" w:hAnsi="Arial" w:cs="Arial"/>
        </w:rPr>
        <w:t>)</w:t>
      </w:r>
      <w:r w:rsidRPr="001C1C10">
        <w:rPr>
          <w:rFonts w:ascii="Arial" w:hAnsi="Arial" w:cs="Arial"/>
        </w:rPr>
        <w:t>.</w:t>
      </w:r>
    </w:p>
    <w:p w14:paraId="09ED5EFB" w14:textId="3E3E8D7E" w:rsidR="001C1C10" w:rsidRDefault="001C1C10" w:rsidP="00245B6A">
      <w:pPr>
        <w:pStyle w:val="ListParagraph"/>
        <w:numPr>
          <w:ilvl w:val="0"/>
          <w:numId w:val="2"/>
        </w:numPr>
        <w:spacing w:line="360" w:lineRule="auto"/>
        <w:jc w:val="both"/>
        <w:rPr>
          <w:rFonts w:ascii="Arial" w:hAnsi="Arial" w:cs="Arial"/>
        </w:rPr>
      </w:pPr>
      <w:r w:rsidRPr="000B2783">
        <w:rPr>
          <w:rFonts w:ascii="Arial" w:hAnsi="Arial" w:cs="Arial"/>
          <w:b/>
          <w:bCs/>
        </w:rPr>
        <w:t>Bargaining Power of Suppliers:</w:t>
      </w:r>
      <w:r>
        <w:rPr>
          <w:rFonts w:ascii="Arial" w:hAnsi="Arial" w:cs="Arial"/>
        </w:rPr>
        <w:t xml:space="preserve"> </w:t>
      </w:r>
      <w:r w:rsidR="000B2783" w:rsidRPr="000B2783">
        <w:rPr>
          <w:rFonts w:ascii="Arial" w:hAnsi="Arial" w:cs="Arial"/>
        </w:rPr>
        <w:t>Pharmacy2U's supply chain from multiple pharmacy wholesalers leads to an extremely competitive supplier market. Retailers who often depend on the pharmacies to sell their products have limited bargaining power.</w:t>
      </w:r>
      <w:r w:rsidR="000B2783">
        <w:rPr>
          <w:rFonts w:ascii="Arial" w:hAnsi="Arial" w:cs="Arial"/>
        </w:rPr>
        <w:t xml:space="preserve"> </w:t>
      </w:r>
      <w:r w:rsidR="000B2783" w:rsidRPr="000B2783">
        <w:rPr>
          <w:rFonts w:ascii="Arial" w:hAnsi="Arial" w:cs="Arial"/>
        </w:rPr>
        <w:t>Pharmacy2U’s scale and automated supply chain makes Pharmacy2U even more negotiating power as it helps manage inventory and cut costs. But sometimes, worldwide interruptions in the pharmaceutical supply chain – as occurred during the COVID-19 pandemic – can make supplier leverage increase</w:t>
      </w:r>
      <w:r w:rsidR="00CA04D0">
        <w:rPr>
          <w:rFonts w:ascii="Arial" w:hAnsi="Arial" w:cs="Arial"/>
        </w:rPr>
        <w:t xml:space="preserve"> (</w:t>
      </w:r>
      <w:r w:rsidR="000F3ED5" w:rsidRPr="00CA04D0">
        <w:rPr>
          <w:rFonts w:ascii="Arial" w:hAnsi="Arial" w:cs="Arial"/>
        </w:rPr>
        <w:t>Dälken, 2014</w:t>
      </w:r>
      <w:r w:rsidR="00CA04D0">
        <w:rPr>
          <w:rFonts w:ascii="Arial" w:hAnsi="Arial" w:cs="Arial"/>
        </w:rPr>
        <w:t>)</w:t>
      </w:r>
      <w:r w:rsidR="000B2783" w:rsidRPr="000B2783">
        <w:rPr>
          <w:rFonts w:ascii="Arial" w:hAnsi="Arial" w:cs="Arial"/>
        </w:rPr>
        <w:t>.</w:t>
      </w:r>
    </w:p>
    <w:p w14:paraId="2CB3B4C3" w14:textId="08D70CF4" w:rsidR="000B2783" w:rsidRDefault="000B2783" w:rsidP="00ED2AFB">
      <w:pPr>
        <w:pStyle w:val="ListParagraph"/>
        <w:numPr>
          <w:ilvl w:val="0"/>
          <w:numId w:val="2"/>
        </w:numPr>
        <w:spacing w:line="360" w:lineRule="auto"/>
        <w:jc w:val="both"/>
        <w:rPr>
          <w:rFonts w:ascii="Arial" w:hAnsi="Arial" w:cs="Arial"/>
        </w:rPr>
      </w:pPr>
      <w:r w:rsidRPr="00ED2AFB">
        <w:rPr>
          <w:rFonts w:ascii="Arial" w:hAnsi="Arial" w:cs="Arial"/>
          <w:b/>
          <w:bCs/>
        </w:rPr>
        <w:t>Bargaining Power of Buyers:</w:t>
      </w:r>
      <w:r>
        <w:rPr>
          <w:rFonts w:ascii="Arial" w:hAnsi="Arial" w:cs="Arial"/>
        </w:rPr>
        <w:t xml:space="preserve"> </w:t>
      </w:r>
      <w:r w:rsidR="00ED2AFB" w:rsidRPr="00ED2AFB">
        <w:rPr>
          <w:rFonts w:ascii="Arial" w:hAnsi="Arial" w:cs="Arial"/>
        </w:rPr>
        <w:t xml:space="preserve">Pharmacy2U customers, both NHS prescription users and private pharmacy service customers, have affordable switching costs from traditional pharmacies or other e-pharmacies. Convenience and home delivery are the distinguishing features, </w:t>
      </w:r>
      <w:r w:rsidR="00ED2AFB">
        <w:rPr>
          <w:rFonts w:ascii="Arial" w:hAnsi="Arial" w:cs="Arial"/>
        </w:rPr>
        <w:t>where customers</w:t>
      </w:r>
      <w:r w:rsidR="00ED2AFB" w:rsidRPr="00ED2AFB">
        <w:rPr>
          <w:rFonts w:ascii="Arial" w:hAnsi="Arial" w:cs="Arial"/>
        </w:rPr>
        <w:t xml:space="preserve"> can easily compare services on pricing, speed, and quality. As a way to stay in the customer’s mind, Pharmacy2U offers facilitate of technology, </w:t>
      </w:r>
      <w:r w:rsidR="005966CB" w:rsidRPr="00ED2AFB">
        <w:rPr>
          <w:rFonts w:ascii="Arial" w:hAnsi="Arial" w:cs="Arial"/>
        </w:rPr>
        <w:t>apps,</w:t>
      </w:r>
      <w:r w:rsidR="00ED2AFB" w:rsidRPr="00ED2AFB">
        <w:rPr>
          <w:rFonts w:ascii="Arial" w:hAnsi="Arial" w:cs="Arial"/>
        </w:rPr>
        <w:t xml:space="preserve"> and personalised communications. Its NHS integration also makes it even more trusted and convenient for repeated prescriptions</w:t>
      </w:r>
      <w:r w:rsidR="000F3ED5">
        <w:rPr>
          <w:rFonts w:ascii="Arial" w:hAnsi="Arial" w:cs="Arial"/>
        </w:rPr>
        <w:t xml:space="preserve"> (</w:t>
      </w:r>
      <w:r w:rsidR="000F3ED5" w:rsidRPr="000F3ED5">
        <w:rPr>
          <w:rFonts w:ascii="Arial" w:hAnsi="Arial" w:cs="Arial"/>
        </w:rPr>
        <w:t>Narayanan</w:t>
      </w:r>
      <w:r w:rsidR="000F3ED5">
        <w:rPr>
          <w:rFonts w:ascii="Arial" w:hAnsi="Arial" w:cs="Arial"/>
        </w:rPr>
        <w:t xml:space="preserve"> &amp;</w:t>
      </w:r>
      <w:r w:rsidR="000F3ED5" w:rsidRPr="000F3ED5">
        <w:rPr>
          <w:rFonts w:ascii="Arial" w:hAnsi="Arial" w:cs="Arial"/>
        </w:rPr>
        <w:t xml:space="preserve"> Fahey</w:t>
      </w:r>
      <w:r w:rsidR="000F3ED5">
        <w:rPr>
          <w:rFonts w:ascii="Arial" w:hAnsi="Arial" w:cs="Arial"/>
        </w:rPr>
        <w:t xml:space="preserve">, </w:t>
      </w:r>
      <w:r w:rsidR="000F3ED5" w:rsidRPr="000F3ED5">
        <w:rPr>
          <w:rFonts w:ascii="Arial" w:hAnsi="Arial" w:cs="Arial"/>
        </w:rPr>
        <w:t>2005</w:t>
      </w:r>
      <w:r w:rsidR="000F3ED5">
        <w:rPr>
          <w:rFonts w:ascii="Arial" w:hAnsi="Arial" w:cs="Arial"/>
        </w:rPr>
        <w:t>)</w:t>
      </w:r>
      <w:r w:rsidR="00ED2AFB" w:rsidRPr="00ED2AFB">
        <w:rPr>
          <w:rFonts w:ascii="Arial" w:hAnsi="Arial" w:cs="Arial"/>
        </w:rPr>
        <w:t>.</w:t>
      </w:r>
    </w:p>
    <w:p w14:paraId="70FA68D6" w14:textId="42F54BFB" w:rsidR="00ED2AFB" w:rsidRDefault="00ED2AFB" w:rsidP="00ED2AFB">
      <w:pPr>
        <w:pStyle w:val="ListParagraph"/>
        <w:numPr>
          <w:ilvl w:val="0"/>
          <w:numId w:val="2"/>
        </w:numPr>
        <w:spacing w:line="360" w:lineRule="auto"/>
        <w:jc w:val="both"/>
        <w:rPr>
          <w:rFonts w:ascii="Arial" w:hAnsi="Arial" w:cs="Arial"/>
        </w:rPr>
      </w:pPr>
      <w:r w:rsidRPr="00ED2AFB">
        <w:rPr>
          <w:rFonts w:ascii="Arial" w:hAnsi="Arial" w:cs="Arial"/>
          <w:b/>
          <w:bCs/>
        </w:rPr>
        <w:t>Threat of Substitutes</w:t>
      </w:r>
      <w:r>
        <w:rPr>
          <w:rFonts w:ascii="Arial" w:hAnsi="Arial" w:cs="Arial"/>
        </w:rPr>
        <w:t>:</w:t>
      </w:r>
      <w:r w:rsidRPr="00ED2AFB">
        <w:rPr>
          <w:rFonts w:ascii="Arial" w:hAnsi="Arial" w:cs="Arial"/>
        </w:rPr>
        <w:t xml:space="preserve"> Traditional pharmacies like Boots and Lloyds Pharmacy and supermarket pharmacies continue to provide </w:t>
      </w:r>
      <w:r w:rsidR="005966CB" w:rsidRPr="00ED2AFB">
        <w:rPr>
          <w:rFonts w:ascii="Arial" w:hAnsi="Arial" w:cs="Arial"/>
        </w:rPr>
        <w:t>intense competition</w:t>
      </w:r>
      <w:r w:rsidRPr="00ED2AFB">
        <w:rPr>
          <w:rFonts w:ascii="Arial" w:hAnsi="Arial" w:cs="Arial"/>
        </w:rPr>
        <w:t xml:space="preserve"> as substitutes</w:t>
      </w:r>
      <w:r>
        <w:rPr>
          <w:rFonts w:ascii="Arial" w:hAnsi="Arial" w:cs="Arial"/>
        </w:rPr>
        <w:t xml:space="preserve">. Customers still </w:t>
      </w:r>
      <w:r w:rsidRPr="00ED2AFB">
        <w:rPr>
          <w:rFonts w:ascii="Arial" w:hAnsi="Arial" w:cs="Arial"/>
        </w:rPr>
        <w:t xml:space="preserve">would also like an in-person consultation or access to medicines in real time which online providers may not always </w:t>
      </w:r>
      <w:r>
        <w:rPr>
          <w:rFonts w:ascii="Arial" w:hAnsi="Arial" w:cs="Arial"/>
        </w:rPr>
        <w:t>guarantee.</w:t>
      </w:r>
      <w:r w:rsidRPr="00ED2AFB">
        <w:rPr>
          <w:rFonts w:ascii="Arial" w:hAnsi="Arial" w:cs="Arial"/>
        </w:rPr>
        <w:t xml:space="preserve"> Pharmacy2U </w:t>
      </w:r>
      <w:r>
        <w:rPr>
          <w:rFonts w:ascii="Arial" w:hAnsi="Arial" w:cs="Arial"/>
        </w:rPr>
        <w:t xml:space="preserve">mitigates this </w:t>
      </w:r>
      <w:r w:rsidRPr="00ED2AFB">
        <w:rPr>
          <w:rFonts w:ascii="Arial" w:hAnsi="Arial" w:cs="Arial"/>
        </w:rPr>
        <w:t xml:space="preserve">by automating </w:t>
      </w:r>
      <w:r>
        <w:rPr>
          <w:rFonts w:ascii="Arial" w:hAnsi="Arial" w:cs="Arial"/>
        </w:rPr>
        <w:t>leverages</w:t>
      </w:r>
      <w:r w:rsidRPr="00ED2AFB">
        <w:rPr>
          <w:rFonts w:ascii="Arial" w:hAnsi="Arial" w:cs="Arial"/>
        </w:rPr>
        <w:t xml:space="preserve"> and implementing processes such as reminders and prescription synchroni</w:t>
      </w:r>
      <w:r>
        <w:rPr>
          <w:rFonts w:ascii="Arial" w:hAnsi="Arial" w:cs="Arial"/>
        </w:rPr>
        <w:t>s</w:t>
      </w:r>
      <w:r w:rsidRPr="00ED2AFB">
        <w:rPr>
          <w:rFonts w:ascii="Arial" w:hAnsi="Arial" w:cs="Arial"/>
        </w:rPr>
        <w:t>ation. But new telemedicine apps with the ability to combine appointments and prescriptions can be a risk, and that is why Pharmacy2U should diversify</w:t>
      </w:r>
      <w:r>
        <w:rPr>
          <w:rFonts w:ascii="Arial" w:hAnsi="Arial" w:cs="Arial"/>
        </w:rPr>
        <w:t xml:space="preserve"> its services</w:t>
      </w:r>
      <w:r w:rsidR="00447E49">
        <w:rPr>
          <w:rFonts w:ascii="Arial" w:hAnsi="Arial" w:cs="Arial"/>
        </w:rPr>
        <w:t xml:space="preserve"> (</w:t>
      </w:r>
      <w:r w:rsidR="00447E49" w:rsidRPr="00447E49">
        <w:rPr>
          <w:rFonts w:ascii="Arial" w:hAnsi="Arial" w:cs="Arial"/>
        </w:rPr>
        <w:t>Haleem</w:t>
      </w:r>
      <w:r w:rsidR="00447E49">
        <w:rPr>
          <w:rFonts w:ascii="Arial" w:hAnsi="Arial" w:cs="Arial"/>
        </w:rPr>
        <w:t>, et.al., 2021)</w:t>
      </w:r>
      <w:r>
        <w:rPr>
          <w:rFonts w:ascii="Arial" w:hAnsi="Arial" w:cs="Arial"/>
        </w:rPr>
        <w:t>.</w:t>
      </w:r>
    </w:p>
    <w:p w14:paraId="0D87FF9A" w14:textId="17DE473D" w:rsidR="00ED2AFB" w:rsidRDefault="00ED2AFB" w:rsidP="00ED2AFB">
      <w:pPr>
        <w:pStyle w:val="ListParagraph"/>
        <w:numPr>
          <w:ilvl w:val="0"/>
          <w:numId w:val="2"/>
        </w:numPr>
        <w:spacing w:line="360" w:lineRule="auto"/>
        <w:jc w:val="both"/>
        <w:rPr>
          <w:rFonts w:ascii="Arial" w:hAnsi="Arial" w:cs="Arial"/>
        </w:rPr>
      </w:pPr>
      <w:r w:rsidRPr="00EB2FDE">
        <w:rPr>
          <w:rFonts w:ascii="Arial" w:hAnsi="Arial" w:cs="Arial"/>
          <w:b/>
          <w:bCs/>
        </w:rPr>
        <w:t>Industry Rivalry</w:t>
      </w:r>
      <w:r>
        <w:rPr>
          <w:rFonts w:ascii="Arial" w:hAnsi="Arial" w:cs="Arial"/>
        </w:rPr>
        <w:t xml:space="preserve">: </w:t>
      </w:r>
      <w:r w:rsidR="00EB2FDE" w:rsidRPr="00EB2FDE">
        <w:rPr>
          <w:rFonts w:ascii="Arial" w:hAnsi="Arial" w:cs="Arial"/>
        </w:rPr>
        <w:t>E-pharmacy is a competitive market and there are giants such as Lloyds</w:t>
      </w:r>
      <w:r w:rsidR="00EB2FDE">
        <w:rPr>
          <w:rFonts w:ascii="Arial" w:hAnsi="Arial" w:cs="Arial"/>
        </w:rPr>
        <w:t xml:space="preserve"> Pharmacy</w:t>
      </w:r>
      <w:r w:rsidR="00EB2FDE" w:rsidRPr="00EB2FDE">
        <w:rPr>
          <w:rFonts w:ascii="Arial" w:hAnsi="Arial" w:cs="Arial"/>
        </w:rPr>
        <w:t xml:space="preserve">, and Amazon Pharmacy which are all heavily tech- and marketing-driven. Price wars, free delivery and service improvements increase competition. Pharmacy2U, with its </w:t>
      </w:r>
      <w:r w:rsidR="00EB2FDE" w:rsidRPr="00EB2FDE">
        <w:rPr>
          <w:rFonts w:ascii="Arial" w:hAnsi="Arial" w:cs="Arial"/>
        </w:rPr>
        <w:lastRenderedPageBreak/>
        <w:t>share and NHS integration, will have to continue to innovate and differentiate to keep up with the competition</w:t>
      </w:r>
      <w:r w:rsidR="00D04CCB">
        <w:rPr>
          <w:rFonts w:ascii="Arial" w:hAnsi="Arial" w:cs="Arial"/>
        </w:rPr>
        <w:t xml:space="preserve"> (</w:t>
      </w:r>
      <w:r w:rsidR="00D04CCB" w:rsidRPr="00D04CCB">
        <w:rPr>
          <w:rFonts w:ascii="Arial" w:hAnsi="Arial" w:cs="Arial"/>
        </w:rPr>
        <w:t>Yang</w:t>
      </w:r>
      <w:r w:rsidR="00D04CCB">
        <w:rPr>
          <w:rFonts w:ascii="Arial" w:hAnsi="Arial" w:cs="Arial"/>
        </w:rPr>
        <w:t xml:space="preserve"> &amp;</w:t>
      </w:r>
      <w:r w:rsidR="00D04CCB" w:rsidRPr="00D04CCB">
        <w:rPr>
          <w:rFonts w:ascii="Arial" w:hAnsi="Arial" w:cs="Arial"/>
        </w:rPr>
        <w:t xml:space="preserve"> </w:t>
      </w:r>
      <w:r w:rsidR="007023D1" w:rsidRPr="00D04CCB">
        <w:rPr>
          <w:rFonts w:ascii="Arial" w:hAnsi="Arial" w:cs="Arial"/>
        </w:rPr>
        <w:t>He, 2023</w:t>
      </w:r>
      <w:r w:rsidR="00D04CCB">
        <w:rPr>
          <w:rFonts w:ascii="Arial" w:hAnsi="Arial" w:cs="Arial"/>
        </w:rPr>
        <w:t>)</w:t>
      </w:r>
      <w:r w:rsidR="00EB2FDE" w:rsidRPr="00EB2FDE">
        <w:rPr>
          <w:rFonts w:ascii="Arial" w:hAnsi="Arial" w:cs="Arial"/>
        </w:rPr>
        <w:t>.</w:t>
      </w:r>
    </w:p>
    <w:p w14:paraId="5E98EC8C" w14:textId="028EDF58" w:rsidR="009032D9" w:rsidRPr="004C3BD1" w:rsidRDefault="007023D1" w:rsidP="007023D1">
      <w:pPr>
        <w:pStyle w:val="Caption"/>
        <w:jc w:val="center"/>
      </w:pPr>
      <w:bookmarkStart w:id="5" w:name="_Toc183040034"/>
      <w:r>
        <w:t xml:space="preserve">Table </w:t>
      </w:r>
      <w:fldSimple w:instr=" SEQ Table \* ARABIC ">
        <w:r w:rsidR="00EB76D9">
          <w:rPr>
            <w:noProof/>
          </w:rPr>
          <w:t>1</w:t>
        </w:r>
      </w:fldSimple>
      <w:r>
        <w:t xml:space="preserve"> </w:t>
      </w:r>
      <w:r w:rsidRPr="003B213E">
        <w:t>Summary of Porter’s Five Forces for Pharmacy2U</w:t>
      </w:r>
      <w:bookmarkEnd w:id="5"/>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997"/>
        <w:gridCol w:w="1146"/>
        <w:gridCol w:w="4853"/>
      </w:tblGrid>
      <w:tr w:rsidR="00DA69E5" w14:paraId="23E4E0E6" w14:textId="77777777" w:rsidTr="00D017EB">
        <w:tc>
          <w:tcPr>
            <w:tcW w:w="3004" w:type="dxa"/>
            <w:shd w:val="clear" w:color="auto" w:fill="ADADAD" w:themeFill="background2" w:themeFillShade="BF"/>
          </w:tcPr>
          <w:p w14:paraId="5E51D800" w14:textId="2CD969F1" w:rsidR="00DA69E5" w:rsidRPr="00DA69E5" w:rsidRDefault="00DA69E5" w:rsidP="00446836">
            <w:pPr>
              <w:spacing w:line="360" w:lineRule="auto"/>
              <w:jc w:val="both"/>
              <w:rPr>
                <w:rFonts w:ascii="Arial" w:hAnsi="Arial" w:cs="Arial"/>
                <w:b/>
                <w:bCs/>
              </w:rPr>
            </w:pPr>
            <w:r w:rsidRPr="00DA69E5">
              <w:rPr>
                <w:rFonts w:ascii="Arial" w:hAnsi="Arial" w:cs="Arial"/>
                <w:b/>
                <w:bCs/>
              </w:rPr>
              <w:t>Force</w:t>
            </w:r>
          </w:p>
        </w:tc>
        <w:tc>
          <w:tcPr>
            <w:tcW w:w="1146" w:type="dxa"/>
            <w:shd w:val="clear" w:color="auto" w:fill="ADADAD" w:themeFill="background2" w:themeFillShade="BF"/>
          </w:tcPr>
          <w:p w14:paraId="04D86433" w14:textId="0327DD01" w:rsidR="00DA69E5" w:rsidRPr="00DA69E5" w:rsidRDefault="00DA69E5" w:rsidP="00446836">
            <w:pPr>
              <w:spacing w:line="360" w:lineRule="auto"/>
              <w:jc w:val="both"/>
              <w:rPr>
                <w:rFonts w:ascii="Arial" w:hAnsi="Arial" w:cs="Arial"/>
                <w:b/>
                <w:bCs/>
              </w:rPr>
            </w:pPr>
            <w:r w:rsidRPr="00DA69E5">
              <w:rPr>
                <w:rFonts w:ascii="Arial" w:hAnsi="Arial" w:cs="Arial"/>
                <w:b/>
                <w:bCs/>
              </w:rPr>
              <w:t xml:space="preserve">Impact </w:t>
            </w:r>
          </w:p>
        </w:tc>
        <w:tc>
          <w:tcPr>
            <w:tcW w:w="4866" w:type="dxa"/>
            <w:shd w:val="clear" w:color="auto" w:fill="ADADAD" w:themeFill="background2" w:themeFillShade="BF"/>
          </w:tcPr>
          <w:p w14:paraId="7C88B717" w14:textId="62AC2ABB" w:rsidR="00DA69E5" w:rsidRPr="00DA69E5" w:rsidRDefault="00DA69E5" w:rsidP="00446836">
            <w:pPr>
              <w:spacing w:line="360" w:lineRule="auto"/>
              <w:jc w:val="both"/>
              <w:rPr>
                <w:rFonts w:ascii="Arial" w:hAnsi="Arial" w:cs="Arial"/>
                <w:b/>
                <w:bCs/>
              </w:rPr>
            </w:pPr>
            <w:r w:rsidRPr="00DA69E5">
              <w:rPr>
                <w:rFonts w:ascii="Arial" w:hAnsi="Arial" w:cs="Arial"/>
                <w:b/>
                <w:bCs/>
              </w:rPr>
              <w:t>Key Points</w:t>
            </w:r>
          </w:p>
        </w:tc>
      </w:tr>
      <w:tr w:rsidR="00DA69E5" w14:paraId="11993C7E" w14:textId="77777777" w:rsidTr="00D017EB">
        <w:trPr>
          <w:trHeight w:val="1123"/>
        </w:trPr>
        <w:tc>
          <w:tcPr>
            <w:tcW w:w="3004" w:type="dxa"/>
          </w:tcPr>
          <w:p w14:paraId="1E948EA1" w14:textId="49FE1C43" w:rsidR="00DA69E5" w:rsidRPr="00DA69E5" w:rsidRDefault="00DA69E5" w:rsidP="00DA69E5">
            <w:pPr>
              <w:spacing w:line="360" w:lineRule="auto"/>
              <w:jc w:val="center"/>
              <w:rPr>
                <w:rFonts w:ascii="Arial" w:hAnsi="Arial" w:cs="Arial"/>
                <w:b/>
                <w:bCs/>
              </w:rPr>
            </w:pPr>
            <w:r w:rsidRPr="00DA69E5">
              <w:rPr>
                <w:rFonts w:ascii="Arial" w:hAnsi="Arial" w:cs="Arial"/>
                <w:b/>
                <w:bCs/>
              </w:rPr>
              <w:t>Threat of New Entrants</w:t>
            </w:r>
          </w:p>
        </w:tc>
        <w:tc>
          <w:tcPr>
            <w:tcW w:w="1146" w:type="dxa"/>
          </w:tcPr>
          <w:p w14:paraId="44307D5F" w14:textId="1E3C6AD3" w:rsidR="00DA69E5" w:rsidRDefault="00DA69E5" w:rsidP="00DA69E5">
            <w:pPr>
              <w:spacing w:line="360" w:lineRule="auto"/>
              <w:jc w:val="center"/>
              <w:rPr>
                <w:rFonts w:ascii="Arial" w:hAnsi="Arial" w:cs="Arial"/>
              </w:rPr>
            </w:pPr>
            <w:r w:rsidRPr="00DA69E5">
              <w:rPr>
                <w:rFonts w:ascii="Arial" w:hAnsi="Arial" w:cs="Arial"/>
              </w:rPr>
              <w:t>Moderate</w:t>
            </w:r>
          </w:p>
        </w:tc>
        <w:tc>
          <w:tcPr>
            <w:tcW w:w="4866" w:type="dxa"/>
          </w:tcPr>
          <w:p w14:paraId="134678E9" w14:textId="054A03EB" w:rsidR="00DA69E5" w:rsidRDefault="00DA69E5" w:rsidP="00DA69E5">
            <w:pPr>
              <w:spacing w:line="360" w:lineRule="auto"/>
              <w:jc w:val="both"/>
              <w:rPr>
                <w:rFonts w:ascii="Arial" w:hAnsi="Arial" w:cs="Arial"/>
              </w:rPr>
            </w:pPr>
            <w:r w:rsidRPr="00DA69E5">
              <w:rPr>
                <w:rFonts w:ascii="Arial" w:hAnsi="Arial" w:cs="Arial"/>
              </w:rPr>
              <w:t>Tight regulations but potential competition from tech giants like Amazon.</w:t>
            </w:r>
          </w:p>
        </w:tc>
      </w:tr>
      <w:tr w:rsidR="00DA69E5" w14:paraId="11F77960" w14:textId="77777777" w:rsidTr="00D017EB">
        <w:tc>
          <w:tcPr>
            <w:tcW w:w="3004" w:type="dxa"/>
          </w:tcPr>
          <w:p w14:paraId="3EB269F1" w14:textId="1A3C28D2" w:rsidR="00DA69E5" w:rsidRPr="00DA69E5" w:rsidRDefault="00DA69E5" w:rsidP="00DA69E5">
            <w:pPr>
              <w:spacing w:line="360" w:lineRule="auto"/>
              <w:jc w:val="center"/>
              <w:rPr>
                <w:rFonts w:ascii="Arial" w:hAnsi="Arial" w:cs="Arial"/>
                <w:b/>
                <w:bCs/>
              </w:rPr>
            </w:pPr>
            <w:r w:rsidRPr="00DA69E5">
              <w:rPr>
                <w:rFonts w:ascii="Arial" w:hAnsi="Arial" w:cs="Arial"/>
                <w:b/>
                <w:bCs/>
              </w:rPr>
              <w:t>Bargaining Power of Suppliers</w:t>
            </w:r>
          </w:p>
        </w:tc>
        <w:tc>
          <w:tcPr>
            <w:tcW w:w="1146" w:type="dxa"/>
          </w:tcPr>
          <w:p w14:paraId="5D9716EB" w14:textId="50EEF87F" w:rsidR="00DA69E5" w:rsidRDefault="00DA69E5" w:rsidP="00DA69E5">
            <w:pPr>
              <w:spacing w:line="360" w:lineRule="auto"/>
              <w:jc w:val="center"/>
              <w:rPr>
                <w:rFonts w:ascii="Arial" w:hAnsi="Arial" w:cs="Arial"/>
              </w:rPr>
            </w:pPr>
            <w:r w:rsidRPr="00DA69E5">
              <w:rPr>
                <w:rFonts w:ascii="Arial" w:hAnsi="Arial" w:cs="Arial"/>
              </w:rPr>
              <w:t>Low</w:t>
            </w:r>
          </w:p>
        </w:tc>
        <w:tc>
          <w:tcPr>
            <w:tcW w:w="4866" w:type="dxa"/>
          </w:tcPr>
          <w:p w14:paraId="08572372" w14:textId="1AFD81EC" w:rsidR="00DA69E5" w:rsidRDefault="00DA69E5" w:rsidP="00446836">
            <w:pPr>
              <w:spacing w:line="360" w:lineRule="auto"/>
              <w:jc w:val="both"/>
              <w:rPr>
                <w:rFonts w:ascii="Arial" w:hAnsi="Arial" w:cs="Arial"/>
              </w:rPr>
            </w:pPr>
            <w:r w:rsidRPr="00DA69E5">
              <w:rPr>
                <w:rFonts w:ascii="Arial" w:hAnsi="Arial" w:cs="Arial"/>
              </w:rPr>
              <w:t>Uncompetitive supplier market reduces dependence on one person</w:t>
            </w:r>
          </w:p>
        </w:tc>
      </w:tr>
      <w:tr w:rsidR="00DA69E5" w14:paraId="6DAF42BC" w14:textId="77777777" w:rsidTr="00D017EB">
        <w:tc>
          <w:tcPr>
            <w:tcW w:w="3004" w:type="dxa"/>
          </w:tcPr>
          <w:p w14:paraId="5DF80AC0" w14:textId="44664AFD" w:rsidR="00DA69E5" w:rsidRPr="00DA69E5" w:rsidRDefault="00DA69E5" w:rsidP="00DA69E5">
            <w:pPr>
              <w:spacing w:line="360" w:lineRule="auto"/>
              <w:jc w:val="center"/>
              <w:rPr>
                <w:rFonts w:ascii="Arial" w:hAnsi="Arial" w:cs="Arial"/>
                <w:b/>
                <w:bCs/>
              </w:rPr>
            </w:pPr>
            <w:r w:rsidRPr="00DA69E5">
              <w:rPr>
                <w:rFonts w:ascii="Arial" w:hAnsi="Arial" w:cs="Arial"/>
                <w:b/>
                <w:bCs/>
              </w:rPr>
              <w:t>Bargaining Power of Buyers</w:t>
            </w:r>
          </w:p>
        </w:tc>
        <w:tc>
          <w:tcPr>
            <w:tcW w:w="1146" w:type="dxa"/>
          </w:tcPr>
          <w:p w14:paraId="0FC14E68" w14:textId="180FC56D" w:rsidR="00DA69E5" w:rsidRDefault="00DA69E5" w:rsidP="00DA69E5">
            <w:pPr>
              <w:spacing w:line="360" w:lineRule="auto"/>
              <w:jc w:val="center"/>
              <w:rPr>
                <w:rFonts w:ascii="Arial" w:hAnsi="Arial" w:cs="Arial"/>
              </w:rPr>
            </w:pPr>
            <w:r w:rsidRPr="00DA69E5">
              <w:rPr>
                <w:rFonts w:ascii="Arial" w:hAnsi="Arial" w:cs="Arial"/>
              </w:rPr>
              <w:t>Moderate</w:t>
            </w:r>
          </w:p>
        </w:tc>
        <w:tc>
          <w:tcPr>
            <w:tcW w:w="4866" w:type="dxa"/>
          </w:tcPr>
          <w:p w14:paraId="05E9996B" w14:textId="5526BB24" w:rsidR="00DA69E5" w:rsidRDefault="00DA69E5" w:rsidP="00446836">
            <w:pPr>
              <w:spacing w:line="360" w:lineRule="auto"/>
              <w:jc w:val="both"/>
              <w:rPr>
                <w:rFonts w:ascii="Arial" w:hAnsi="Arial" w:cs="Arial"/>
              </w:rPr>
            </w:pPr>
            <w:r w:rsidRPr="00DA69E5">
              <w:rPr>
                <w:rFonts w:ascii="Arial" w:hAnsi="Arial" w:cs="Arial"/>
              </w:rPr>
              <w:t>Constant customer switching costs, reduced by convenience and NHS integration.</w:t>
            </w:r>
          </w:p>
        </w:tc>
      </w:tr>
      <w:tr w:rsidR="00DA69E5" w14:paraId="4795C42A" w14:textId="77777777" w:rsidTr="00D017EB">
        <w:tc>
          <w:tcPr>
            <w:tcW w:w="3004" w:type="dxa"/>
          </w:tcPr>
          <w:p w14:paraId="77A00E38" w14:textId="6FE8F7B5" w:rsidR="00DA69E5" w:rsidRPr="00DA69E5" w:rsidRDefault="00DA69E5" w:rsidP="00DA69E5">
            <w:pPr>
              <w:spacing w:line="360" w:lineRule="auto"/>
              <w:jc w:val="center"/>
              <w:rPr>
                <w:rFonts w:ascii="Arial" w:hAnsi="Arial" w:cs="Arial"/>
                <w:b/>
                <w:bCs/>
              </w:rPr>
            </w:pPr>
            <w:r w:rsidRPr="00DA69E5">
              <w:rPr>
                <w:rFonts w:ascii="Arial" w:hAnsi="Arial" w:cs="Arial"/>
                <w:b/>
                <w:bCs/>
              </w:rPr>
              <w:t>Threat of Substitutes</w:t>
            </w:r>
          </w:p>
        </w:tc>
        <w:tc>
          <w:tcPr>
            <w:tcW w:w="1146" w:type="dxa"/>
          </w:tcPr>
          <w:p w14:paraId="524E7826" w14:textId="3DFE4184" w:rsidR="00DA69E5" w:rsidRDefault="00DA69E5" w:rsidP="00DA69E5">
            <w:pPr>
              <w:spacing w:line="360" w:lineRule="auto"/>
              <w:jc w:val="center"/>
              <w:rPr>
                <w:rFonts w:ascii="Arial" w:hAnsi="Arial" w:cs="Arial"/>
              </w:rPr>
            </w:pPr>
            <w:r w:rsidRPr="00DA69E5">
              <w:rPr>
                <w:rFonts w:ascii="Arial" w:hAnsi="Arial" w:cs="Arial"/>
              </w:rPr>
              <w:t>Moderate</w:t>
            </w:r>
          </w:p>
        </w:tc>
        <w:tc>
          <w:tcPr>
            <w:tcW w:w="4866" w:type="dxa"/>
          </w:tcPr>
          <w:p w14:paraId="276422BF" w14:textId="4738D38A" w:rsidR="00DA69E5" w:rsidRDefault="00DA69E5" w:rsidP="00446836">
            <w:pPr>
              <w:spacing w:line="360" w:lineRule="auto"/>
              <w:jc w:val="both"/>
              <w:rPr>
                <w:rFonts w:ascii="Arial" w:hAnsi="Arial" w:cs="Arial"/>
              </w:rPr>
            </w:pPr>
            <w:r>
              <w:rPr>
                <w:rFonts w:ascii="Arial" w:hAnsi="Arial" w:cs="Arial"/>
              </w:rPr>
              <w:t>Brick and mortar</w:t>
            </w:r>
            <w:r w:rsidRPr="00DA69E5">
              <w:rPr>
                <w:rFonts w:ascii="Arial" w:hAnsi="Arial" w:cs="Arial"/>
              </w:rPr>
              <w:t xml:space="preserve"> pharmacies and telemedicine rival; appeal to ease to beat back.</w:t>
            </w:r>
          </w:p>
        </w:tc>
      </w:tr>
      <w:tr w:rsidR="00DA69E5" w14:paraId="1998FDE2" w14:textId="77777777" w:rsidTr="00D017EB">
        <w:tc>
          <w:tcPr>
            <w:tcW w:w="3004" w:type="dxa"/>
          </w:tcPr>
          <w:p w14:paraId="579363BC" w14:textId="54CFAE66" w:rsidR="00DA69E5" w:rsidRPr="00DA69E5" w:rsidRDefault="00DA69E5" w:rsidP="00DA69E5">
            <w:pPr>
              <w:spacing w:line="360" w:lineRule="auto"/>
              <w:jc w:val="center"/>
              <w:rPr>
                <w:rFonts w:ascii="Arial" w:hAnsi="Arial" w:cs="Arial"/>
                <w:b/>
                <w:bCs/>
              </w:rPr>
            </w:pPr>
            <w:r w:rsidRPr="00DA69E5">
              <w:rPr>
                <w:rFonts w:ascii="Arial" w:hAnsi="Arial" w:cs="Arial"/>
                <w:b/>
                <w:bCs/>
              </w:rPr>
              <w:t>Industry Rivalry</w:t>
            </w:r>
          </w:p>
        </w:tc>
        <w:tc>
          <w:tcPr>
            <w:tcW w:w="1146" w:type="dxa"/>
          </w:tcPr>
          <w:p w14:paraId="4C661364" w14:textId="0BCCCF19" w:rsidR="00DA69E5" w:rsidRDefault="00DA69E5" w:rsidP="00DA69E5">
            <w:pPr>
              <w:spacing w:line="360" w:lineRule="auto"/>
              <w:jc w:val="center"/>
              <w:rPr>
                <w:rFonts w:ascii="Arial" w:hAnsi="Arial" w:cs="Arial"/>
              </w:rPr>
            </w:pPr>
            <w:r w:rsidRPr="00DA69E5">
              <w:rPr>
                <w:rFonts w:ascii="Arial" w:hAnsi="Arial" w:cs="Arial"/>
              </w:rPr>
              <w:t>High</w:t>
            </w:r>
          </w:p>
        </w:tc>
        <w:tc>
          <w:tcPr>
            <w:tcW w:w="4866" w:type="dxa"/>
          </w:tcPr>
          <w:p w14:paraId="0302B2FB" w14:textId="080E3D11" w:rsidR="00DA69E5" w:rsidRDefault="00DA69E5" w:rsidP="00446836">
            <w:pPr>
              <w:spacing w:line="360" w:lineRule="auto"/>
              <w:jc w:val="both"/>
              <w:rPr>
                <w:rFonts w:ascii="Arial" w:hAnsi="Arial" w:cs="Arial"/>
              </w:rPr>
            </w:pPr>
            <w:r w:rsidRPr="00DA69E5">
              <w:rPr>
                <w:rFonts w:ascii="Arial" w:hAnsi="Arial" w:cs="Arial"/>
              </w:rPr>
              <w:t>Major competition; differentiate and innovate is essential to remain on top</w:t>
            </w:r>
          </w:p>
        </w:tc>
      </w:tr>
    </w:tbl>
    <w:p w14:paraId="4ADEE5F0" w14:textId="77777777" w:rsidR="00DA69E5" w:rsidRDefault="00DA69E5" w:rsidP="00446836">
      <w:pPr>
        <w:spacing w:line="360" w:lineRule="auto"/>
        <w:jc w:val="both"/>
        <w:rPr>
          <w:rFonts w:ascii="Arial" w:hAnsi="Arial" w:cs="Arial"/>
        </w:rPr>
      </w:pPr>
    </w:p>
    <w:p w14:paraId="310DB215" w14:textId="3111B770" w:rsidR="00A82F4D" w:rsidRDefault="00DA69E5" w:rsidP="00446836">
      <w:pPr>
        <w:spacing w:line="360" w:lineRule="auto"/>
        <w:jc w:val="both"/>
        <w:rPr>
          <w:rFonts w:ascii="Arial" w:hAnsi="Arial" w:cs="Arial"/>
        </w:rPr>
      </w:pPr>
      <w:r w:rsidRPr="00DA69E5">
        <w:rPr>
          <w:rFonts w:ascii="Arial" w:hAnsi="Arial" w:cs="Arial"/>
        </w:rPr>
        <w:t xml:space="preserve">Pharmacy2U is in </w:t>
      </w:r>
      <w:r w:rsidR="005966CB" w:rsidRPr="00DA69E5">
        <w:rPr>
          <w:rFonts w:ascii="Arial" w:hAnsi="Arial" w:cs="Arial"/>
        </w:rPr>
        <w:t>an extremely competitive</w:t>
      </w:r>
      <w:r w:rsidRPr="00DA69E5">
        <w:rPr>
          <w:rFonts w:ascii="Arial" w:hAnsi="Arial" w:cs="Arial"/>
        </w:rPr>
        <w:t xml:space="preserve"> market, but the opportunity is great. Competition and replacement risks are real, but the strength of the company — the brand name, NHS integration and technological innovation — give it a strong starting point against these forces. For Pharmacy2U to keep pace, it needs to innovate, ensure retention and consider complementary products such as telemedicine.</w:t>
      </w:r>
    </w:p>
    <w:p w14:paraId="5171776A" w14:textId="2C8CFB32" w:rsidR="00DA69E5" w:rsidRPr="00FD2BAB" w:rsidRDefault="00FD2BAB" w:rsidP="00FD2BAB">
      <w:pPr>
        <w:pStyle w:val="Heading1"/>
        <w:rPr>
          <w:color w:val="auto"/>
          <w:sz w:val="24"/>
          <w:szCs w:val="24"/>
        </w:rPr>
      </w:pPr>
      <w:bookmarkStart w:id="6" w:name="_Toc183039606"/>
      <w:r>
        <w:rPr>
          <w:color w:val="auto"/>
          <w:sz w:val="24"/>
          <w:szCs w:val="24"/>
        </w:rPr>
        <w:t xml:space="preserve">3. </w:t>
      </w:r>
      <w:r w:rsidR="00406046" w:rsidRPr="00FD2BAB">
        <w:rPr>
          <w:color w:val="auto"/>
          <w:sz w:val="24"/>
          <w:szCs w:val="24"/>
        </w:rPr>
        <w:t>EXTERNAL AND INTERNAL ANALYSIS FOR PHARMACY2U</w:t>
      </w:r>
      <w:bookmarkEnd w:id="6"/>
    </w:p>
    <w:p w14:paraId="3D9CF625" w14:textId="453FC251" w:rsidR="00A82F4D" w:rsidRPr="00FD2BAB" w:rsidRDefault="00406046" w:rsidP="00FD2BAB">
      <w:pPr>
        <w:pStyle w:val="Heading2"/>
        <w:rPr>
          <w:b/>
          <w:bCs/>
          <w:color w:val="auto"/>
          <w:sz w:val="24"/>
          <w:szCs w:val="24"/>
        </w:rPr>
      </w:pPr>
      <w:bookmarkStart w:id="7" w:name="_Toc183039607"/>
      <w:r w:rsidRPr="00FD2BAB">
        <w:rPr>
          <w:b/>
          <w:bCs/>
          <w:color w:val="auto"/>
          <w:sz w:val="24"/>
          <w:szCs w:val="24"/>
        </w:rPr>
        <w:t>3.1 External analysis using PESTLE Framework</w:t>
      </w:r>
      <w:bookmarkEnd w:id="7"/>
    </w:p>
    <w:p w14:paraId="78D5E4DC" w14:textId="284FC2E4" w:rsidR="00A82F4D" w:rsidRDefault="00406046" w:rsidP="00446836">
      <w:pPr>
        <w:spacing w:line="360" w:lineRule="auto"/>
        <w:jc w:val="both"/>
        <w:rPr>
          <w:rFonts w:ascii="Arial" w:hAnsi="Arial" w:cs="Arial"/>
        </w:rPr>
      </w:pPr>
      <w:r w:rsidRPr="00406046">
        <w:rPr>
          <w:rFonts w:ascii="Arial" w:hAnsi="Arial" w:cs="Arial"/>
        </w:rPr>
        <w:t>PESTLE framework (Political, Economic, Social, Technological, Legal, Environmental) is used to evaluate macro-environmental influences of Pharmacy2U. It finds patterns and forces outside its operations</w:t>
      </w:r>
      <w:r w:rsidR="00BA575B">
        <w:rPr>
          <w:rFonts w:ascii="Arial" w:hAnsi="Arial" w:cs="Arial"/>
        </w:rPr>
        <w:t xml:space="preserve"> (</w:t>
      </w:r>
      <w:r w:rsidR="00BA575B" w:rsidRPr="00BA575B">
        <w:rPr>
          <w:rFonts w:ascii="Arial" w:hAnsi="Arial" w:cs="Arial"/>
        </w:rPr>
        <w:t>Marmol</w:t>
      </w:r>
      <w:r w:rsidR="00BA575B">
        <w:rPr>
          <w:rFonts w:ascii="Arial" w:hAnsi="Arial" w:cs="Arial"/>
        </w:rPr>
        <w:t>, et.al, 2015)</w:t>
      </w:r>
      <w:r w:rsidRPr="00406046">
        <w:rPr>
          <w:rFonts w:ascii="Arial" w:hAnsi="Arial" w:cs="Arial"/>
        </w:rPr>
        <w:t>.</w:t>
      </w:r>
    </w:p>
    <w:p w14:paraId="5AB06B4D" w14:textId="3A46EEB9" w:rsidR="00406046" w:rsidRPr="00CB60B2" w:rsidRDefault="00406046" w:rsidP="00CB60B2">
      <w:pPr>
        <w:pStyle w:val="ListParagraph"/>
        <w:numPr>
          <w:ilvl w:val="0"/>
          <w:numId w:val="3"/>
        </w:numPr>
        <w:spacing w:line="360" w:lineRule="auto"/>
        <w:jc w:val="both"/>
        <w:rPr>
          <w:rFonts w:ascii="Arial" w:hAnsi="Arial" w:cs="Arial"/>
        </w:rPr>
      </w:pPr>
      <w:r w:rsidRPr="00CB60B2">
        <w:rPr>
          <w:rFonts w:ascii="Arial" w:hAnsi="Arial" w:cs="Arial"/>
          <w:b/>
          <w:bCs/>
        </w:rPr>
        <w:t>Political Factors</w:t>
      </w:r>
      <w:r>
        <w:rPr>
          <w:rFonts w:ascii="Arial" w:hAnsi="Arial" w:cs="Arial"/>
        </w:rPr>
        <w:t xml:space="preserve">: </w:t>
      </w:r>
      <w:r w:rsidR="00CB60B2" w:rsidRPr="00CB60B2">
        <w:rPr>
          <w:rFonts w:ascii="Arial" w:hAnsi="Arial" w:cs="Arial"/>
        </w:rPr>
        <w:t>Political influences shape the regulatory and operational framework of Pharmacy2U’s industry</w:t>
      </w:r>
      <w:r w:rsidR="00CB60B2">
        <w:rPr>
          <w:rFonts w:ascii="Arial" w:hAnsi="Arial" w:cs="Arial"/>
        </w:rPr>
        <w:t xml:space="preserve">. </w:t>
      </w:r>
      <w:r w:rsidR="00CB60B2" w:rsidRPr="00CB60B2">
        <w:rPr>
          <w:rFonts w:ascii="Arial" w:hAnsi="Arial" w:cs="Arial"/>
        </w:rPr>
        <w:t xml:space="preserve">Digital healthcare initiatives have been supported by the UK government through digital healthcare policies like the NHS’s Digital First Primary Support strategy to enhance access and effectiveness in healthcare. This works for Pharmacy2U’s model and digitisation grants add infrastructure to processes such as electronic prescriptions. Pharmaceutical supply chains become more complicated post-Brexit, more expensive and the supply is limited since it is based on European Union </w:t>
      </w:r>
      <w:r w:rsidR="00CB60B2" w:rsidRPr="00CB60B2">
        <w:rPr>
          <w:rFonts w:ascii="Arial" w:hAnsi="Arial" w:cs="Arial"/>
        </w:rPr>
        <w:lastRenderedPageBreak/>
        <w:t>suppliers. NHS public healthcare spending can restrict digital and lower compensations which could affect Pharmacy2U revenue streams. But greater resources or policy-based incentives for e-health care might open the way for Pharmacy2U</w:t>
      </w:r>
      <w:r w:rsidR="00BA575B">
        <w:rPr>
          <w:rFonts w:ascii="Arial" w:hAnsi="Arial" w:cs="Arial"/>
        </w:rPr>
        <w:t xml:space="preserve"> (</w:t>
      </w:r>
      <w:r w:rsidR="00BA575B" w:rsidRPr="00BA575B">
        <w:rPr>
          <w:rFonts w:ascii="Arial" w:hAnsi="Arial" w:cs="Arial"/>
        </w:rPr>
        <w:t>Lennon</w:t>
      </w:r>
      <w:r w:rsidR="00BA575B">
        <w:rPr>
          <w:rFonts w:ascii="Arial" w:hAnsi="Arial" w:cs="Arial"/>
        </w:rPr>
        <w:t xml:space="preserve"> et.al., 2017)</w:t>
      </w:r>
      <w:r w:rsidR="00CB60B2" w:rsidRPr="00CB60B2">
        <w:rPr>
          <w:rFonts w:ascii="Arial" w:hAnsi="Arial" w:cs="Arial"/>
        </w:rPr>
        <w:t>.</w:t>
      </w:r>
    </w:p>
    <w:p w14:paraId="77B914EA" w14:textId="2A0A0659" w:rsidR="00041AEE" w:rsidRPr="00041AEE" w:rsidRDefault="00CB60B2" w:rsidP="00041AEE">
      <w:pPr>
        <w:pStyle w:val="ListParagraph"/>
        <w:numPr>
          <w:ilvl w:val="0"/>
          <w:numId w:val="3"/>
        </w:numPr>
        <w:spacing w:line="360" w:lineRule="auto"/>
        <w:jc w:val="both"/>
        <w:rPr>
          <w:rFonts w:ascii="Arial" w:hAnsi="Arial" w:cs="Arial"/>
        </w:rPr>
      </w:pPr>
      <w:r w:rsidRPr="00041AEE">
        <w:rPr>
          <w:rFonts w:ascii="Arial" w:hAnsi="Arial" w:cs="Arial"/>
          <w:b/>
          <w:bCs/>
        </w:rPr>
        <w:t>Economic Factors</w:t>
      </w:r>
      <w:r w:rsidR="00041AEE">
        <w:rPr>
          <w:rFonts w:ascii="Arial" w:hAnsi="Arial" w:cs="Arial"/>
        </w:rPr>
        <w:t xml:space="preserve">: One of the most </w:t>
      </w:r>
      <w:r w:rsidR="005966CB">
        <w:rPr>
          <w:rFonts w:ascii="Arial" w:hAnsi="Arial" w:cs="Arial"/>
        </w:rPr>
        <w:t>key factors</w:t>
      </w:r>
      <w:r w:rsidR="00041AEE">
        <w:rPr>
          <w:rFonts w:ascii="Arial" w:hAnsi="Arial" w:cs="Arial"/>
        </w:rPr>
        <w:t xml:space="preserve"> is i</w:t>
      </w:r>
      <w:r w:rsidR="00041AEE" w:rsidRPr="00041AEE">
        <w:rPr>
          <w:rFonts w:ascii="Arial" w:hAnsi="Arial" w:cs="Arial"/>
        </w:rPr>
        <w:t xml:space="preserve">nflation </w:t>
      </w:r>
      <w:r w:rsidR="00041AEE">
        <w:rPr>
          <w:rFonts w:ascii="Arial" w:hAnsi="Arial" w:cs="Arial"/>
        </w:rPr>
        <w:t xml:space="preserve">who </w:t>
      </w:r>
      <w:r w:rsidR="00041AEE" w:rsidRPr="00041AEE">
        <w:rPr>
          <w:rFonts w:ascii="Arial" w:hAnsi="Arial" w:cs="Arial"/>
        </w:rPr>
        <w:t>can drag down disposable income, driving people to put essentials first. Though NHS prescriptions may not be affected by subsidies, private prescription uptake could decrease, which would affect one of Pharmacy2U’s revenue streams</w:t>
      </w:r>
      <w:r w:rsidR="00AE406C">
        <w:rPr>
          <w:rFonts w:ascii="Arial" w:hAnsi="Arial" w:cs="Arial"/>
        </w:rPr>
        <w:t xml:space="preserve"> (</w:t>
      </w:r>
      <w:r w:rsidR="00AE406C" w:rsidRPr="00AE406C">
        <w:rPr>
          <w:rFonts w:ascii="Arial" w:hAnsi="Arial" w:cs="Arial"/>
        </w:rPr>
        <w:t>Kpangbala</w:t>
      </w:r>
      <w:r w:rsidR="00AE406C">
        <w:rPr>
          <w:rFonts w:ascii="Arial" w:hAnsi="Arial" w:cs="Arial"/>
        </w:rPr>
        <w:t>, 2023)</w:t>
      </w:r>
      <w:r w:rsidR="00041AEE" w:rsidRPr="00041AEE">
        <w:rPr>
          <w:rFonts w:ascii="Arial" w:hAnsi="Arial" w:cs="Arial"/>
        </w:rPr>
        <w:t>.</w:t>
      </w:r>
    </w:p>
    <w:p w14:paraId="74C71AF2" w14:textId="2480EB6E" w:rsidR="00CB60B2" w:rsidRDefault="00041AEE" w:rsidP="00CB60B2">
      <w:pPr>
        <w:pStyle w:val="ListParagraph"/>
        <w:numPr>
          <w:ilvl w:val="0"/>
          <w:numId w:val="3"/>
        </w:numPr>
        <w:spacing w:line="360" w:lineRule="auto"/>
        <w:jc w:val="both"/>
        <w:rPr>
          <w:rFonts w:ascii="Arial" w:hAnsi="Arial" w:cs="Arial"/>
        </w:rPr>
      </w:pPr>
      <w:r w:rsidRPr="00041AEE">
        <w:rPr>
          <w:rFonts w:ascii="Arial" w:hAnsi="Arial" w:cs="Arial"/>
          <w:b/>
          <w:bCs/>
        </w:rPr>
        <w:t>Social Factors</w:t>
      </w:r>
      <w:r>
        <w:rPr>
          <w:rFonts w:ascii="Arial" w:hAnsi="Arial" w:cs="Arial"/>
          <w:b/>
          <w:bCs/>
        </w:rPr>
        <w:t xml:space="preserve">: </w:t>
      </w:r>
      <w:r w:rsidR="00172F9E" w:rsidRPr="00172F9E">
        <w:rPr>
          <w:rFonts w:ascii="Arial" w:hAnsi="Arial" w:cs="Arial"/>
        </w:rPr>
        <w:t xml:space="preserve">The market for online pharmacy services such as Pharmacy2U is driven by social factors. The advancing ageing of our UK population and increasing prevalence of chronic diseases like diabetes and hypertension has driven up demand for repeat prescriptions, which is an area Pharmacy2U specialises in. At the same time, there is a consumer appetite for ease of use when it comes to healthcare, and the digitisation of prescriptions and consultations is on the rise (especially </w:t>
      </w:r>
      <w:r w:rsidR="00AE406C" w:rsidRPr="00172F9E">
        <w:rPr>
          <w:rFonts w:ascii="Arial" w:hAnsi="Arial" w:cs="Arial"/>
        </w:rPr>
        <w:t>recognitions</w:t>
      </w:r>
      <w:r w:rsidR="00172F9E" w:rsidRPr="00172F9E">
        <w:rPr>
          <w:rFonts w:ascii="Arial" w:hAnsi="Arial" w:cs="Arial"/>
        </w:rPr>
        <w:t xml:space="preserve"> to the COVID-19 pandemic). But, with these services being digital, there are issues – for example, concerns around trust and privacy. Pharmacy2U has to ensure strong cybersecurity and meet GDPR and other data protection standards in order to maintain customer trust and loyalty</w:t>
      </w:r>
      <w:r w:rsidR="00AE406C">
        <w:rPr>
          <w:rFonts w:ascii="Arial" w:hAnsi="Arial" w:cs="Arial"/>
        </w:rPr>
        <w:t xml:space="preserve"> (</w:t>
      </w:r>
      <w:r w:rsidR="00AE406C" w:rsidRPr="00AE406C">
        <w:rPr>
          <w:rFonts w:ascii="Arial" w:hAnsi="Arial" w:cs="Arial"/>
        </w:rPr>
        <w:t>Zhang</w:t>
      </w:r>
      <w:r w:rsidR="00AE406C">
        <w:rPr>
          <w:rFonts w:ascii="Arial" w:hAnsi="Arial" w:cs="Arial"/>
        </w:rPr>
        <w:t>, et.al., 2020)</w:t>
      </w:r>
      <w:r w:rsidR="00172F9E" w:rsidRPr="00172F9E">
        <w:rPr>
          <w:rFonts w:ascii="Arial" w:hAnsi="Arial" w:cs="Arial"/>
        </w:rPr>
        <w:t>.</w:t>
      </w:r>
    </w:p>
    <w:p w14:paraId="59A5295A" w14:textId="574089C9" w:rsidR="00172F9E" w:rsidRDefault="00172F9E" w:rsidP="00CB60B2">
      <w:pPr>
        <w:pStyle w:val="ListParagraph"/>
        <w:numPr>
          <w:ilvl w:val="0"/>
          <w:numId w:val="3"/>
        </w:numPr>
        <w:spacing w:line="360" w:lineRule="auto"/>
        <w:jc w:val="both"/>
        <w:rPr>
          <w:rFonts w:ascii="Arial" w:hAnsi="Arial" w:cs="Arial"/>
        </w:rPr>
      </w:pPr>
      <w:r w:rsidRPr="00172F9E">
        <w:rPr>
          <w:rFonts w:ascii="Arial" w:hAnsi="Arial" w:cs="Arial"/>
          <w:b/>
          <w:bCs/>
        </w:rPr>
        <w:t>Technological Factors</w:t>
      </w:r>
      <w:r>
        <w:rPr>
          <w:rFonts w:ascii="Arial" w:hAnsi="Arial" w:cs="Arial"/>
          <w:b/>
          <w:bCs/>
        </w:rPr>
        <w:t xml:space="preserve">: </w:t>
      </w:r>
      <w:r w:rsidRPr="00172F9E">
        <w:rPr>
          <w:rFonts w:ascii="Arial" w:hAnsi="Arial" w:cs="Arial"/>
        </w:rPr>
        <w:t xml:space="preserve">Technology is growth driver and competitive differentiation of Pharmacy2U. AI and big data innovations allow the company to tailor service, manage </w:t>
      </w:r>
      <w:r w:rsidR="005966CB" w:rsidRPr="00172F9E">
        <w:rPr>
          <w:rFonts w:ascii="Arial" w:hAnsi="Arial" w:cs="Arial"/>
        </w:rPr>
        <w:t>stock,</w:t>
      </w:r>
      <w:r w:rsidRPr="00172F9E">
        <w:rPr>
          <w:rFonts w:ascii="Arial" w:hAnsi="Arial" w:cs="Arial"/>
        </w:rPr>
        <w:t xml:space="preserve"> and predict prescription demand for more efficient and </w:t>
      </w:r>
      <w:r w:rsidR="005966CB" w:rsidRPr="00172F9E">
        <w:rPr>
          <w:rFonts w:ascii="Arial" w:hAnsi="Arial" w:cs="Arial"/>
        </w:rPr>
        <w:t xml:space="preserve">satisfied customers. </w:t>
      </w:r>
      <w:r w:rsidRPr="00172F9E">
        <w:rPr>
          <w:rFonts w:ascii="Arial" w:hAnsi="Arial" w:cs="Arial"/>
        </w:rPr>
        <w:t>Automation</w:t>
      </w:r>
      <w:r>
        <w:rPr>
          <w:rFonts w:ascii="Arial" w:hAnsi="Arial" w:cs="Arial"/>
        </w:rPr>
        <w:t xml:space="preserve"> d</w:t>
      </w:r>
      <w:r w:rsidRPr="00172F9E">
        <w:rPr>
          <w:rFonts w:ascii="Arial" w:hAnsi="Arial" w:cs="Arial"/>
        </w:rPr>
        <w:t>ispensing errors and helps in the handling of higher volumes of prescriptions</w:t>
      </w:r>
      <w:r>
        <w:rPr>
          <w:rFonts w:ascii="Arial" w:hAnsi="Arial" w:cs="Arial"/>
        </w:rPr>
        <w:t xml:space="preserve"> and </w:t>
      </w:r>
      <w:r w:rsidRPr="00172F9E">
        <w:rPr>
          <w:rFonts w:ascii="Arial" w:hAnsi="Arial" w:cs="Arial"/>
        </w:rPr>
        <w:t>can</w:t>
      </w:r>
      <w:r>
        <w:rPr>
          <w:rFonts w:ascii="Arial" w:hAnsi="Arial" w:cs="Arial"/>
        </w:rPr>
        <w:t xml:space="preserve"> </w:t>
      </w:r>
      <w:r w:rsidRPr="00172F9E">
        <w:rPr>
          <w:rFonts w:ascii="Arial" w:hAnsi="Arial" w:cs="Arial"/>
        </w:rPr>
        <w:t xml:space="preserve">provide </w:t>
      </w:r>
      <w:r>
        <w:rPr>
          <w:rFonts w:ascii="Arial" w:hAnsi="Arial" w:cs="Arial"/>
        </w:rPr>
        <w:t xml:space="preserve">for </w:t>
      </w:r>
      <w:r w:rsidRPr="00172F9E">
        <w:rPr>
          <w:rFonts w:ascii="Arial" w:hAnsi="Arial" w:cs="Arial"/>
        </w:rPr>
        <w:t>Pharmacy2U an advantage over traditional pharmacies. Also, with a rising number of people adopting telemedicine, it</w:t>
      </w:r>
      <w:r>
        <w:rPr>
          <w:rFonts w:ascii="Arial" w:hAnsi="Arial" w:cs="Arial"/>
        </w:rPr>
        <w:t xml:space="preserve"> is</w:t>
      </w:r>
      <w:r w:rsidRPr="00172F9E">
        <w:rPr>
          <w:rFonts w:ascii="Arial" w:hAnsi="Arial" w:cs="Arial"/>
        </w:rPr>
        <w:t xml:space="preserve"> a perfect fit for Pharmacy2U to bring remote consults to its service, providing a complete, easy digital health solution</w:t>
      </w:r>
      <w:r w:rsidR="00AE406C">
        <w:rPr>
          <w:rFonts w:ascii="Arial" w:hAnsi="Arial" w:cs="Arial"/>
        </w:rPr>
        <w:t xml:space="preserve"> (</w:t>
      </w:r>
      <w:r w:rsidR="00AE406C" w:rsidRPr="00AE406C">
        <w:rPr>
          <w:rFonts w:ascii="Arial" w:hAnsi="Arial" w:cs="Arial"/>
        </w:rPr>
        <w:t>Rich</w:t>
      </w:r>
      <w:r w:rsidR="00AE406C">
        <w:rPr>
          <w:rFonts w:ascii="Arial" w:hAnsi="Arial" w:cs="Arial"/>
        </w:rPr>
        <w:t>, et.al</w:t>
      </w:r>
      <w:r w:rsidRPr="00172F9E">
        <w:rPr>
          <w:rFonts w:ascii="Arial" w:hAnsi="Arial" w:cs="Arial"/>
        </w:rPr>
        <w:t>.</w:t>
      </w:r>
      <w:r w:rsidR="00AE406C">
        <w:rPr>
          <w:rFonts w:ascii="Arial" w:hAnsi="Arial" w:cs="Arial"/>
        </w:rPr>
        <w:t>, 2019).</w:t>
      </w:r>
    </w:p>
    <w:p w14:paraId="5E5DCC52" w14:textId="5CAF429D" w:rsidR="00172F9E" w:rsidRDefault="00172F9E" w:rsidP="00CB60B2">
      <w:pPr>
        <w:pStyle w:val="ListParagraph"/>
        <w:numPr>
          <w:ilvl w:val="0"/>
          <w:numId w:val="3"/>
        </w:numPr>
        <w:spacing w:line="360" w:lineRule="auto"/>
        <w:jc w:val="both"/>
        <w:rPr>
          <w:rFonts w:ascii="Arial" w:hAnsi="Arial" w:cs="Arial"/>
        </w:rPr>
      </w:pPr>
      <w:r w:rsidRPr="00021F55">
        <w:rPr>
          <w:rFonts w:ascii="Arial" w:hAnsi="Arial" w:cs="Arial"/>
          <w:b/>
          <w:bCs/>
        </w:rPr>
        <w:t>Legal Factors</w:t>
      </w:r>
      <w:r>
        <w:rPr>
          <w:rFonts w:ascii="Arial" w:hAnsi="Arial" w:cs="Arial"/>
        </w:rPr>
        <w:t>:</w:t>
      </w:r>
      <w:r w:rsidR="00021F55">
        <w:rPr>
          <w:rFonts w:ascii="Arial" w:hAnsi="Arial" w:cs="Arial"/>
        </w:rPr>
        <w:t xml:space="preserve"> The pharmaceutical industry</w:t>
      </w:r>
      <w:r w:rsidR="00021F55" w:rsidRPr="00021F55">
        <w:rPr>
          <w:rFonts w:ascii="Arial" w:hAnsi="Arial" w:cs="Arial"/>
        </w:rPr>
        <w:t xml:space="preserve"> is an extremely complex industry and Pharmacy2U has to stay abreast of numerous laws. Compliance with NHS policies – for electronic prescriptions and patient privacy – is key to avoid fines or the possible demise of NHS relationships. So is GDPR compliance, which requires strong data protection infrastructures to ensure the protection of health data, customer confidence and avoid legal action. There are also potential regulatory issues (advertising limitations for prescription or changing models of funding for the NHS) that require a sense of speed and strategic flexibility from Pharmacy2U to stay up-to-date and </w:t>
      </w:r>
      <w:r w:rsidR="00AE406C" w:rsidRPr="00021F55">
        <w:rPr>
          <w:rFonts w:ascii="Arial" w:hAnsi="Arial" w:cs="Arial"/>
        </w:rPr>
        <w:t>relevant</w:t>
      </w:r>
      <w:r w:rsidR="00AE406C">
        <w:rPr>
          <w:rFonts w:ascii="Arial" w:hAnsi="Arial" w:cs="Arial"/>
        </w:rPr>
        <w:t xml:space="preserve"> (</w:t>
      </w:r>
      <w:r w:rsidR="00AE406C" w:rsidRPr="00AE406C">
        <w:rPr>
          <w:rFonts w:ascii="Arial" w:hAnsi="Arial" w:cs="Arial"/>
        </w:rPr>
        <w:t>Rich</w:t>
      </w:r>
      <w:r w:rsidR="00AE406C">
        <w:rPr>
          <w:rFonts w:ascii="Arial" w:hAnsi="Arial" w:cs="Arial"/>
        </w:rPr>
        <w:t>, et.al</w:t>
      </w:r>
      <w:r w:rsidR="00AE406C" w:rsidRPr="00172F9E">
        <w:rPr>
          <w:rFonts w:ascii="Arial" w:hAnsi="Arial" w:cs="Arial"/>
        </w:rPr>
        <w:t>.</w:t>
      </w:r>
      <w:r w:rsidR="00AE406C">
        <w:rPr>
          <w:rFonts w:ascii="Arial" w:hAnsi="Arial" w:cs="Arial"/>
        </w:rPr>
        <w:t>, 2019</w:t>
      </w:r>
      <w:r w:rsidR="005966CB">
        <w:rPr>
          <w:rFonts w:ascii="Arial" w:hAnsi="Arial" w:cs="Arial"/>
        </w:rPr>
        <w:t>).</w:t>
      </w:r>
    </w:p>
    <w:p w14:paraId="4DC06ADB" w14:textId="270CA10C" w:rsidR="00021F55" w:rsidRPr="00AE406C" w:rsidRDefault="004C50A0" w:rsidP="00AE406C">
      <w:pPr>
        <w:pStyle w:val="ListParagraph"/>
        <w:numPr>
          <w:ilvl w:val="0"/>
          <w:numId w:val="3"/>
        </w:numPr>
        <w:spacing w:line="360" w:lineRule="auto"/>
        <w:jc w:val="both"/>
        <w:rPr>
          <w:rFonts w:ascii="Arial" w:hAnsi="Arial" w:cs="Arial"/>
        </w:rPr>
      </w:pPr>
      <w:r w:rsidRPr="004C50A0">
        <w:rPr>
          <w:rFonts w:ascii="Arial" w:hAnsi="Arial" w:cs="Arial"/>
          <w:b/>
          <w:bCs/>
        </w:rPr>
        <w:t>Environmental Factors</w:t>
      </w:r>
      <w:r>
        <w:rPr>
          <w:rFonts w:ascii="Arial" w:hAnsi="Arial" w:cs="Arial"/>
        </w:rPr>
        <w:t xml:space="preserve">: </w:t>
      </w:r>
      <w:r w:rsidRPr="004C50A0">
        <w:rPr>
          <w:rFonts w:ascii="Arial" w:hAnsi="Arial" w:cs="Arial"/>
        </w:rPr>
        <w:t>Sustainability has been an increasingly important consideration of customer needs and business model that gives Pharmacy2U the possibility to become more eco-friendly. Green practices like environmentally friendly packaging and carbon-</w:t>
      </w:r>
      <w:r w:rsidRPr="004C50A0">
        <w:rPr>
          <w:rFonts w:ascii="Arial" w:hAnsi="Arial" w:cs="Arial"/>
        </w:rPr>
        <w:lastRenderedPageBreak/>
        <w:t xml:space="preserve">neutral delivery can satisfy consumer appetite for eco-friendly options. With green </w:t>
      </w:r>
      <w:r w:rsidR="005966CB" w:rsidRPr="004C50A0">
        <w:rPr>
          <w:rFonts w:ascii="Arial" w:hAnsi="Arial" w:cs="Arial"/>
        </w:rPr>
        <w:t>coordination</w:t>
      </w:r>
      <w:r w:rsidRPr="004C50A0">
        <w:rPr>
          <w:rFonts w:ascii="Arial" w:hAnsi="Arial" w:cs="Arial"/>
        </w:rPr>
        <w:t xml:space="preserve"> (electrified transport vehicles or carbon offset), Pharmacy2U will not only meet international sustainability standards but will build its reputation as well. Additionally, minimi</w:t>
      </w:r>
      <w:r>
        <w:rPr>
          <w:rFonts w:ascii="Arial" w:hAnsi="Arial" w:cs="Arial"/>
        </w:rPr>
        <w:t>s</w:t>
      </w:r>
      <w:r w:rsidRPr="004C50A0">
        <w:rPr>
          <w:rFonts w:ascii="Arial" w:hAnsi="Arial" w:cs="Arial"/>
        </w:rPr>
        <w:t>ing medication and packaging waste by meticulous inventory control and patient-led reordering contributes to its sustainability and environmental footprint</w:t>
      </w:r>
      <w:r w:rsidR="00AE406C">
        <w:rPr>
          <w:rFonts w:ascii="Arial" w:hAnsi="Arial" w:cs="Arial"/>
        </w:rPr>
        <w:t xml:space="preserve"> (</w:t>
      </w:r>
      <w:r w:rsidR="00AE406C" w:rsidRPr="00AE406C">
        <w:rPr>
          <w:rFonts w:ascii="Arial" w:hAnsi="Arial" w:cs="Arial"/>
        </w:rPr>
        <w:t>Geissdoerfer</w:t>
      </w:r>
      <w:r w:rsidR="00AE406C">
        <w:rPr>
          <w:rFonts w:ascii="Arial" w:hAnsi="Arial" w:cs="Arial"/>
        </w:rPr>
        <w:t>, et.al., 2018)</w:t>
      </w:r>
      <w:r w:rsidRPr="00AE406C">
        <w:rPr>
          <w:rFonts w:ascii="Arial" w:hAnsi="Arial" w:cs="Arial"/>
        </w:rPr>
        <w:t>.</w:t>
      </w:r>
    </w:p>
    <w:p w14:paraId="4114AA77" w14:textId="2F1BF4C6" w:rsidR="001C6B83" w:rsidRPr="001C6B83" w:rsidRDefault="007023D1" w:rsidP="007023D1">
      <w:pPr>
        <w:pStyle w:val="Caption"/>
        <w:jc w:val="center"/>
        <w:rPr>
          <w:rFonts w:ascii="Arial" w:hAnsi="Arial" w:cs="Arial"/>
        </w:rPr>
      </w:pPr>
      <w:bookmarkStart w:id="8" w:name="_Toc183040035"/>
      <w:r>
        <w:t xml:space="preserve">Table </w:t>
      </w:r>
      <w:fldSimple w:instr=" SEQ Table \* ARABIC ">
        <w:r w:rsidR="00EB76D9">
          <w:rPr>
            <w:noProof/>
          </w:rPr>
          <w:t>2</w:t>
        </w:r>
      </w:fldSimple>
      <w:r w:rsidRPr="007023D1">
        <w:t xml:space="preserve"> </w:t>
      </w:r>
      <w:r w:rsidRPr="00086DE5">
        <w:t>Summary of PESTLE Analysis</w:t>
      </w:r>
      <w:bookmarkEnd w:id="8"/>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261"/>
        <w:gridCol w:w="6735"/>
      </w:tblGrid>
      <w:tr w:rsidR="001C6B83" w14:paraId="28E986DE" w14:textId="77777777" w:rsidTr="00D017EB">
        <w:tc>
          <w:tcPr>
            <w:tcW w:w="2263" w:type="dxa"/>
            <w:shd w:val="clear" w:color="auto" w:fill="ADADAD" w:themeFill="background2" w:themeFillShade="BF"/>
          </w:tcPr>
          <w:p w14:paraId="46F342EB" w14:textId="0B517235" w:rsidR="001C6B83" w:rsidRPr="001C6B83" w:rsidRDefault="001C6B83" w:rsidP="001C6B83">
            <w:pPr>
              <w:spacing w:line="360" w:lineRule="auto"/>
              <w:jc w:val="center"/>
              <w:rPr>
                <w:rFonts w:ascii="Arial" w:hAnsi="Arial" w:cs="Arial"/>
                <w:b/>
                <w:bCs/>
              </w:rPr>
            </w:pPr>
            <w:r w:rsidRPr="001C6B83">
              <w:rPr>
                <w:rFonts w:ascii="Arial" w:hAnsi="Arial" w:cs="Arial"/>
                <w:b/>
                <w:bCs/>
              </w:rPr>
              <w:t>Factor</w:t>
            </w:r>
          </w:p>
        </w:tc>
        <w:tc>
          <w:tcPr>
            <w:tcW w:w="6753" w:type="dxa"/>
            <w:shd w:val="clear" w:color="auto" w:fill="ADADAD" w:themeFill="background2" w:themeFillShade="BF"/>
          </w:tcPr>
          <w:p w14:paraId="7D5B0C08" w14:textId="3430642A" w:rsidR="001C6B83" w:rsidRPr="001C6B83" w:rsidRDefault="001C6B83" w:rsidP="001C6B83">
            <w:pPr>
              <w:spacing w:line="360" w:lineRule="auto"/>
              <w:jc w:val="center"/>
              <w:rPr>
                <w:rFonts w:ascii="Arial" w:hAnsi="Arial" w:cs="Arial"/>
                <w:b/>
                <w:bCs/>
              </w:rPr>
            </w:pPr>
            <w:r w:rsidRPr="001C6B83">
              <w:rPr>
                <w:rFonts w:ascii="Arial" w:hAnsi="Arial" w:cs="Arial"/>
                <w:b/>
                <w:bCs/>
              </w:rPr>
              <w:t>Key Impacts on Pharmacy2U</w:t>
            </w:r>
          </w:p>
        </w:tc>
      </w:tr>
      <w:tr w:rsidR="001C6B83" w14:paraId="621ADABB" w14:textId="77777777" w:rsidTr="00D017EB">
        <w:tc>
          <w:tcPr>
            <w:tcW w:w="2263" w:type="dxa"/>
          </w:tcPr>
          <w:p w14:paraId="21E7C526" w14:textId="610B773C" w:rsidR="001C6B83" w:rsidRPr="001C6B83" w:rsidRDefault="001C6B83" w:rsidP="001C6B83">
            <w:pPr>
              <w:spacing w:line="360" w:lineRule="auto"/>
              <w:jc w:val="center"/>
              <w:rPr>
                <w:rFonts w:ascii="Arial" w:hAnsi="Arial" w:cs="Arial"/>
                <w:b/>
                <w:bCs/>
              </w:rPr>
            </w:pPr>
            <w:r w:rsidRPr="001C6B83">
              <w:rPr>
                <w:rFonts w:ascii="Arial" w:hAnsi="Arial" w:cs="Arial"/>
                <w:b/>
                <w:bCs/>
              </w:rPr>
              <w:t>Political</w:t>
            </w:r>
          </w:p>
        </w:tc>
        <w:tc>
          <w:tcPr>
            <w:tcW w:w="6753" w:type="dxa"/>
          </w:tcPr>
          <w:p w14:paraId="5382F5C1" w14:textId="563F1638" w:rsidR="001C6B83" w:rsidRDefault="001C6B83" w:rsidP="00446836">
            <w:pPr>
              <w:spacing w:line="360" w:lineRule="auto"/>
              <w:jc w:val="both"/>
              <w:rPr>
                <w:rFonts w:ascii="Arial" w:hAnsi="Arial" w:cs="Arial"/>
              </w:rPr>
            </w:pPr>
            <w:r w:rsidRPr="001C6B83">
              <w:rPr>
                <w:rFonts w:ascii="Arial" w:hAnsi="Arial" w:cs="Arial"/>
              </w:rPr>
              <w:t>Government encouragements; Brexit supply chain failures.</w:t>
            </w:r>
          </w:p>
        </w:tc>
      </w:tr>
      <w:tr w:rsidR="001C6B83" w14:paraId="7DF073E5" w14:textId="77777777" w:rsidTr="00D017EB">
        <w:tc>
          <w:tcPr>
            <w:tcW w:w="2263" w:type="dxa"/>
          </w:tcPr>
          <w:p w14:paraId="3B462E2C" w14:textId="0EC98B9E" w:rsidR="001C6B83" w:rsidRPr="001C6B83" w:rsidRDefault="001C6B83" w:rsidP="001C6B83">
            <w:pPr>
              <w:spacing w:line="360" w:lineRule="auto"/>
              <w:jc w:val="center"/>
              <w:rPr>
                <w:rFonts w:ascii="Arial" w:hAnsi="Arial" w:cs="Arial"/>
                <w:b/>
                <w:bCs/>
              </w:rPr>
            </w:pPr>
            <w:r w:rsidRPr="001C6B83">
              <w:rPr>
                <w:rFonts w:ascii="Arial" w:hAnsi="Arial" w:cs="Arial"/>
                <w:b/>
                <w:bCs/>
              </w:rPr>
              <w:t>Economic</w:t>
            </w:r>
          </w:p>
        </w:tc>
        <w:tc>
          <w:tcPr>
            <w:tcW w:w="6753" w:type="dxa"/>
          </w:tcPr>
          <w:p w14:paraId="0E661997" w14:textId="46F1ACCA" w:rsidR="001C6B83" w:rsidRDefault="001C6B83" w:rsidP="00446836">
            <w:pPr>
              <w:spacing w:line="360" w:lineRule="auto"/>
              <w:jc w:val="both"/>
              <w:rPr>
                <w:rFonts w:ascii="Arial" w:hAnsi="Arial" w:cs="Arial"/>
              </w:rPr>
            </w:pPr>
            <w:r>
              <w:rPr>
                <w:rFonts w:ascii="Arial" w:hAnsi="Arial" w:cs="Arial"/>
              </w:rPr>
              <w:t>R</w:t>
            </w:r>
            <w:r w:rsidRPr="001C6B83">
              <w:rPr>
                <w:rFonts w:ascii="Arial" w:hAnsi="Arial" w:cs="Arial"/>
              </w:rPr>
              <w:t>isk from rising inflation affecting private prescriptions.</w:t>
            </w:r>
          </w:p>
        </w:tc>
      </w:tr>
      <w:tr w:rsidR="001C6B83" w14:paraId="3C43BEB9" w14:textId="77777777" w:rsidTr="00D017EB">
        <w:tc>
          <w:tcPr>
            <w:tcW w:w="2263" w:type="dxa"/>
          </w:tcPr>
          <w:p w14:paraId="0C9B0152" w14:textId="320EBF0E" w:rsidR="001C6B83" w:rsidRPr="001C6B83" w:rsidRDefault="001C6B83" w:rsidP="001C6B83">
            <w:pPr>
              <w:spacing w:line="360" w:lineRule="auto"/>
              <w:jc w:val="center"/>
              <w:rPr>
                <w:rFonts w:ascii="Arial" w:hAnsi="Arial" w:cs="Arial"/>
                <w:b/>
                <w:bCs/>
              </w:rPr>
            </w:pPr>
            <w:r w:rsidRPr="001C6B83">
              <w:rPr>
                <w:rFonts w:ascii="Arial" w:hAnsi="Arial" w:cs="Arial"/>
                <w:b/>
                <w:bCs/>
              </w:rPr>
              <w:t>Social</w:t>
            </w:r>
          </w:p>
        </w:tc>
        <w:tc>
          <w:tcPr>
            <w:tcW w:w="6753" w:type="dxa"/>
          </w:tcPr>
          <w:p w14:paraId="318E5446" w14:textId="01A24D38" w:rsidR="001C6B83" w:rsidRDefault="001C6B83" w:rsidP="00446836">
            <w:pPr>
              <w:spacing w:line="360" w:lineRule="auto"/>
              <w:jc w:val="both"/>
              <w:rPr>
                <w:rFonts w:ascii="Arial" w:hAnsi="Arial" w:cs="Arial"/>
              </w:rPr>
            </w:pPr>
            <w:r w:rsidRPr="001C6B83">
              <w:rPr>
                <w:rFonts w:ascii="Arial" w:hAnsi="Arial" w:cs="Arial"/>
              </w:rPr>
              <w:t>Demand increases from ageing population and digital first healthcare</w:t>
            </w:r>
          </w:p>
        </w:tc>
      </w:tr>
      <w:tr w:rsidR="001C6B83" w14:paraId="141A0EB2" w14:textId="77777777" w:rsidTr="00D017EB">
        <w:tc>
          <w:tcPr>
            <w:tcW w:w="2263" w:type="dxa"/>
          </w:tcPr>
          <w:p w14:paraId="0DF88904" w14:textId="4EE34040" w:rsidR="001C6B83" w:rsidRPr="001C6B83" w:rsidRDefault="001C6B83" w:rsidP="001C6B83">
            <w:pPr>
              <w:spacing w:line="360" w:lineRule="auto"/>
              <w:jc w:val="center"/>
              <w:rPr>
                <w:rFonts w:ascii="Arial" w:hAnsi="Arial" w:cs="Arial"/>
                <w:b/>
                <w:bCs/>
              </w:rPr>
            </w:pPr>
            <w:r w:rsidRPr="001C6B83">
              <w:rPr>
                <w:rFonts w:ascii="Arial" w:hAnsi="Arial" w:cs="Arial"/>
                <w:b/>
                <w:bCs/>
              </w:rPr>
              <w:t>Technological</w:t>
            </w:r>
          </w:p>
        </w:tc>
        <w:tc>
          <w:tcPr>
            <w:tcW w:w="6753" w:type="dxa"/>
          </w:tcPr>
          <w:p w14:paraId="12AD0EB6" w14:textId="1317C680" w:rsidR="001C6B83" w:rsidRDefault="001C6B83" w:rsidP="00446836">
            <w:pPr>
              <w:spacing w:line="360" w:lineRule="auto"/>
              <w:jc w:val="both"/>
              <w:rPr>
                <w:rFonts w:ascii="Arial" w:hAnsi="Arial" w:cs="Arial"/>
              </w:rPr>
            </w:pPr>
            <w:r w:rsidRPr="001C6B83">
              <w:rPr>
                <w:rFonts w:ascii="Arial" w:hAnsi="Arial" w:cs="Arial"/>
              </w:rPr>
              <w:t>Opportunities in AI, automation, and telemedicine; potential for operational efficiency and service enhancement.</w:t>
            </w:r>
          </w:p>
        </w:tc>
      </w:tr>
      <w:tr w:rsidR="001C6B83" w14:paraId="69928722" w14:textId="77777777" w:rsidTr="00D017EB">
        <w:tc>
          <w:tcPr>
            <w:tcW w:w="2263" w:type="dxa"/>
          </w:tcPr>
          <w:p w14:paraId="46B28D71" w14:textId="5B1017BA" w:rsidR="001C6B83" w:rsidRPr="001C6B83" w:rsidRDefault="001C6B83" w:rsidP="001C6B83">
            <w:pPr>
              <w:spacing w:line="360" w:lineRule="auto"/>
              <w:jc w:val="center"/>
              <w:rPr>
                <w:rFonts w:ascii="Arial" w:hAnsi="Arial" w:cs="Arial"/>
                <w:b/>
                <w:bCs/>
              </w:rPr>
            </w:pPr>
            <w:r w:rsidRPr="001C6B83">
              <w:rPr>
                <w:rFonts w:ascii="Arial" w:hAnsi="Arial" w:cs="Arial"/>
                <w:b/>
                <w:bCs/>
              </w:rPr>
              <w:t>Legal</w:t>
            </w:r>
          </w:p>
        </w:tc>
        <w:tc>
          <w:tcPr>
            <w:tcW w:w="6753" w:type="dxa"/>
          </w:tcPr>
          <w:p w14:paraId="4AE90C87" w14:textId="20259133" w:rsidR="001C6B83" w:rsidRDefault="001C6B83" w:rsidP="00446836">
            <w:pPr>
              <w:spacing w:line="360" w:lineRule="auto"/>
              <w:jc w:val="both"/>
              <w:rPr>
                <w:rFonts w:ascii="Arial" w:hAnsi="Arial" w:cs="Arial"/>
              </w:rPr>
            </w:pPr>
            <w:r>
              <w:rPr>
                <w:rFonts w:ascii="Arial" w:hAnsi="Arial" w:cs="Arial"/>
              </w:rPr>
              <w:t>H</w:t>
            </w:r>
            <w:r w:rsidRPr="001C6B83">
              <w:rPr>
                <w:rFonts w:ascii="Arial" w:hAnsi="Arial" w:cs="Arial"/>
              </w:rPr>
              <w:t>igh compliance: services may be affected by regulation changes.</w:t>
            </w:r>
          </w:p>
        </w:tc>
      </w:tr>
      <w:tr w:rsidR="001C6B83" w14:paraId="44090C3C" w14:textId="77777777" w:rsidTr="00D017EB">
        <w:tc>
          <w:tcPr>
            <w:tcW w:w="2263" w:type="dxa"/>
          </w:tcPr>
          <w:p w14:paraId="3557195D" w14:textId="64AEF08B" w:rsidR="001C6B83" w:rsidRPr="001C6B83" w:rsidRDefault="001C6B83" w:rsidP="001C6B83">
            <w:pPr>
              <w:spacing w:line="360" w:lineRule="auto"/>
              <w:jc w:val="center"/>
              <w:rPr>
                <w:rFonts w:ascii="Arial" w:hAnsi="Arial" w:cs="Arial"/>
                <w:b/>
                <w:bCs/>
              </w:rPr>
            </w:pPr>
            <w:r w:rsidRPr="001C6B83">
              <w:rPr>
                <w:rFonts w:ascii="Arial" w:hAnsi="Arial" w:cs="Arial"/>
                <w:b/>
                <w:bCs/>
              </w:rPr>
              <w:t>Environmental</w:t>
            </w:r>
          </w:p>
        </w:tc>
        <w:tc>
          <w:tcPr>
            <w:tcW w:w="6753" w:type="dxa"/>
          </w:tcPr>
          <w:p w14:paraId="6974E1D8" w14:textId="3B2C9C4F" w:rsidR="001C6B83" w:rsidRDefault="001C6B83" w:rsidP="00446836">
            <w:pPr>
              <w:spacing w:line="360" w:lineRule="auto"/>
              <w:jc w:val="both"/>
              <w:rPr>
                <w:rFonts w:ascii="Arial" w:hAnsi="Arial" w:cs="Arial"/>
              </w:rPr>
            </w:pPr>
            <w:r w:rsidRPr="001C6B83">
              <w:rPr>
                <w:rFonts w:ascii="Arial" w:hAnsi="Arial" w:cs="Arial"/>
              </w:rPr>
              <w:t>Demand for sustainability; opportunities to improve eco-friendly operations and delivery systems.</w:t>
            </w:r>
          </w:p>
        </w:tc>
      </w:tr>
    </w:tbl>
    <w:p w14:paraId="2F5221FB" w14:textId="77777777" w:rsidR="00A82F4D" w:rsidRDefault="00A82F4D" w:rsidP="00446836">
      <w:pPr>
        <w:spacing w:line="360" w:lineRule="auto"/>
        <w:jc w:val="both"/>
        <w:rPr>
          <w:rFonts w:ascii="Arial" w:hAnsi="Arial" w:cs="Arial"/>
        </w:rPr>
      </w:pPr>
    </w:p>
    <w:p w14:paraId="62534272" w14:textId="14948E19" w:rsidR="00A82F4D" w:rsidRDefault="004A7526" w:rsidP="00446836">
      <w:pPr>
        <w:spacing w:line="360" w:lineRule="auto"/>
        <w:jc w:val="both"/>
        <w:rPr>
          <w:rFonts w:ascii="Arial" w:hAnsi="Arial" w:cs="Arial"/>
        </w:rPr>
      </w:pPr>
      <w:r>
        <w:rPr>
          <w:rFonts w:ascii="Arial" w:hAnsi="Arial" w:cs="Arial"/>
        </w:rPr>
        <w:t>T</w:t>
      </w:r>
      <w:r w:rsidRPr="004A7526">
        <w:rPr>
          <w:rFonts w:ascii="Arial" w:hAnsi="Arial" w:cs="Arial"/>
        </w:rPr>
        <w:t>he external environment for Pharmacy2U is favourable based on technological progress, population trends and government regulations. But regulatory regulation, supply chain disruptions from Brexit and rising competition demand pre-defensive action. Through the leverage of its tech and customer experience expertise, Pharmacy2U can work around these macro-environmental influences while pursuing innovation and sustainability</w:t>
      </w:r>
      <w:r w:rsidR="0010660B">
        <w:rPr>
          <w:rFonts w:ascii="Arial" w:hAnsi="Arial" w:cs="Arial"/>
        </w:rPr>
        <w:t xml:space="preserve"> (</w:t>
      </w:r>
      <w:r w:rsidR="0010660B" w:rsidRPr="00AE406C">
        <w:rPr>
          <w:rFonts w:ascii="Arial" w:hAnsi="Arial" w:cs="Arial"/>
        </w:rPr>
        <w:t>Evans</w:t>
      </w:r>
      <w:r w:rsidR="0010660B">
        <w:rPr>
          <w:rFonts w:ascii="Arial" w:hAnsi="Arial" w:cs="Arial"/>
        </w:rPr>
        <w:t>, et.al., 2017)</w:t>
      </w:r>
      <w:r w:rsidRPr="004A7526">
        <w:rPr>
          <w:rFonts w:ascii="Arial" w:hAnsi="Arial" w:cs="Arial"/>
        </w:rPr>
        <w:t>.</w:t>
      </w:r>
    </w:p>
    <w:p w14:paraId="6CC6FAE1" w14:textId="13F69235" w:rsidR="004A7526" w:rsidRPr="00FD2BAB" w:rsidRDefault="004A7526" w:rsidP="00FD2BAB">
      <w:pPr>
        <w:pStyle w:val="Heading2"/>
        <w:rPr>
          <w:b/>
          <w:bCs/>
          <w:color w:val="auto"/>
          <w:sz w:val="24"/>
          <w:szCs w:val="24"/>
        </w:rPr>
      </w:pPr>
      <w:bookmarkStart w:id="9" w:name="_Toc183039608"/>
      <w:r w:rsidRPr="00FD2BAB">
        <w:rPr>
          <w:b/>
          <w:bCs/>
          <w:color w:val="auto"/>
          <w:sz w:val="24"/>
          <w:szCs w:val="24"/>
        </w:rPr>
        <w:t>3.2 Internal analysis using SWOT Framework</w:t>
      </w:r>
      <w:bookmarkEnd w:id="9"/>
    </w:p>
    <w:p w14:paraId="10E2758B" w14:textId="4FA0CEC4" w:rsidR="004A7526" w:rsidRDefault="004A7526" w:rsidP="00446836">
      <w:pPr>
        <w:spacing w:line="360" w:lineRule="auto"/>
        <w:jc w:val="both"/>
        <w:rPr>
          <w:rFonts w:ascii="Arial" w:hAnsi="Arial" w:cs="Arial"/>
        </w:rPr>
      </w:pPr>
      <w:r w:rsidRPr="00283DDC">
        <w:rPr>
          <w:rFonts w:ascii="Arial" w:hAnsi="Arial" w:cs="Arial"/>
          <w:b/>
          <w:bCs/>
        </w:rPr>
        <w:t>A. Strengths</w:t>
      </w:r>
      <w:r>
        <w:rPr>
          <w:rFonts w:ascii="Arial" w:hAnsi="Arial" w:cs="Arial"/>
        </w:rPr>
        <w:t xml:space="preserve">: </w:t>
      </w:r>
      <w:r w:rsidR="00283DDC" w:rsidRPr="00283DDC">
        <w:rPr>
          <w:rFonts w:ascii="Arial" w:hAnsi="Arial" w:cs="Arial"/>
        </w:rPr>
        <w:t>Pharma</w:t>
      </w:r>
      <w:r w:rsidR="00283DDC">
        <w:rPr>
          <w:rFonts w:ascii="Arial" w:hAnsi="Arial" w:cs="Arial"/>
        </w:rPr>
        <w:t>cy</w:t>
      </w:r>
      <w:r w:rsidR="00283DDC" w:rsidRPr="00283DDC">
        <w:rPr>
          <w:rFonts w:ascii="Arial" w:hAnsi="Arial" w:cs="Arial"/>
        </w:rPr>
        <w:t xml:space="preserve">2U takes advantage of being one of the first online pharmacies to access NHS services early on in the UK, which gives it a brand and customer credibility that it is able to compete with. Serving more than 700,000 patients, the company has proven to scale up. Its technological </w:t>
      </w:r>
      <w:r w:rsidR="005966CB" w:rsidRPr="00283DDC">
        <w:rPr>
          <w:rFonts w:ascii="Arial" w:hAnsi="Arial" w:cs="Arial"/>
        </w:rPr>
        <w:t>knowledge</w:t>
      </w:r>
      <w:r w:rsidR="00283DDC" w:rsidRPr="00283DDC">
        <w:rPr>
          <w:rFonts w:ascii="Arial" w:hAnsi="Arial" w:cs="Arial"/>
        </w:rPr>
        <w:t xml:space="preserve">, including an automated pharmacy system processing more than </w:t>
      </w:r>
      <w:r w:rsidR="005966CB" w:rsidRPr="00283DDC">
        <w:rPr>
          <w:rFonts w:ascii="Arial" w:hAnsi="Arial" w:cs="Arial"/>
        </w:rPr>
        <w:t>one</w:t>
      </w:r>
      <w:r w:rsidR="00283DDC" w:rsidRPr="00283DDC">
        <w:rPr>
          <w:rFonts w:ascii="Arial" w:hAnsi="Arial" w:cs="Arial"/>
        </w:rPr>
        <w:t xml:space="preserve"> million prescriptions per month, makes the business run more efficiently and with fewer mistakes than traditional pharmacies</w:t>
      </w:r>
      <w:r w:rsidR="001851D3">
        <w:rPr>
          <w:rFonts w:ascii="Arial" w:hAnsi="Arial" w:cs="Arial"/>
        </w:rPr>
        <w:t xml:space="preserve"> (</w:t>
      </w:r>
      <w:r w:rsidR="001851D3" w:rsidRPr="005F1C78">
        <w:rPr>
          <w:rFonts w:ascii="Arial" w:hAnsi="Arial" w:cs="Arial"/>
        </w:rPr>
        <w:t>Tolley,</w:t>
      </w:r>
      <w:r w:rsidR="001851D3">
        <w:rPr>
          <w:rFonts w:ascii="Arial" w:hAnsi="Arial" w:cs="Arial"/>
        </w:rPr>
        <w:t xml:space="preserve"> et.al., 2023)</w:t>
      </w:r>
      <w:r w:rsidR="00283DDC" w:rsidRPr="00283DDC">
        <w:rPr>
          <w:rFonts w:ascii="Arial" w:hAnsi="Arial" w:cs="Arial"/>
        </w:rPr>
        <w:t>. Simple app and platform to keep prescriptions manageable, which is a high satisfaction for the customer. Pharmacy2U is integrated directly into the NHS prescription database and therefore offers a seamless, secure service – this gives it extra credibility and advantage</w:t>
      </w:r>
      <w:r w:rsidR="005F1C78">
        <w:rPr>
          <w:rFonts w:ascii="Arial" w:hAnsi="Arial" w:cs="Arial"/>
        </w:rPr>
        <w:t xml:space="preserve"> </w:t>
      </w:r>
      <w:r w:rsidR="00283DDC" w:rsidRPr="00283DDC">
        <w:rPr>
          <w:rFonts w:ascii="Arial" w:hAnsi="Arial" w:cs="Arial"/>
        </w:rPr>
        <w:t xml:space="preserve">Customer-centric features such as prescription reminders, free home delivery and 24-hour prescription status keeps it </w:t>
      </w:r>
      <w:r w:rsidR="00283DDC" w:rsidRPr="00283DDC">
        <w:rPr>
          <w:rFonts w:ascii="Arial" w:hAnsi="Arial" w:cs="Arial"/>
        </w:rPr>
        <w:lastRenderedPageBreak/>
        <w:t>separate from the rest and increases its loyalties and its image in digital health industry</w:t>
      </w:r>
      <w:r w:rsidR="0010660B">
        <w:rPr>
          <w:rFonts w:ascii="Arial" w:hAnsi="Arial" w:cs="Arial"/>
        </w:rPr>
        <w:t xml:space="preserve"> (</w:t>
      </w:r>
      <w:r w:rsidR="0010660B" w:rsidRPr="0010660B">
        <w:rPr>
          <w:rFonts w:ascii="Arial" w:hAnsi="Arial" w:cs="Arial"/>
        </w:rPr>
        <w:t>Vaibhavi,</w:t>
      </w:r>
      <w:r w:rsidR="0010660B">
        <w:rPr>
          <w:rFonts w:ascii="Arial" w:hAnsi="Arial" w:cs="Arial"/>
        </w:rPr>
        <w:t xml:space="preserve"> 2024)</w:t>
      </w:r>
      <w:r w:rsidR="00283DDC" w:rsidRPr="00283DDC">
        <w:rPr>
          <w:rFonts w:ascii="Arial" w:hAnsi="Arial" w:cs="Arial"/>
        </w:rPr>
        <w:t>.</w:t>
      </w:r>
    </w:p>
    <w:p w14:paraId="66F49578" w14:textId="0CCF2B93" w:rsidR="00E45FD9" w:rsidRDefault="004A7526" w:rsidP="00446836">
      <w:pPr>
        <w:spacing w:line="360" w:lineRule="auto"/>
        <w:jc w:val="both"/>
        <w:rPr>
          <w:rFonts w:ascii="Arial" w:hAnsi="Arial" w:cs="Arial"/>
        </w:rPr>
      </w:pPr>
      <w:r w:rsidRPr="00E45FD9">
        <w:rPr>
          <w:rFonts w:ascii="Arial" w:hAnsi="Arial" w:cs="Arial"/>
          <w:b/>
          <w:bCs/>
        </w:rPr>
        <w:t>B: Weaknesses</w:t>
      </w:r>
      <w:r w:rsidR="00E45FD9" w:rsidRPr="00E45FD9">
        <w:rPr>
          <w:rFonts w:ascii="Arial" w:hAnsi="Arial" w:cs="Arial"/>
          <w:b/>
          <w:bCs/>
        </w:rPr>
        <w:t>:</w:t>
      </w:r>
      <w:r w:rsidR="00E45FD9">
        <w:rPr>
          <w:rFonts w:ascii="Arial" w:hAnsi="Arial" w:cs="Arial"/>
        </w:rPr>
        <w:t xml:space="preserve"> </w:t>
      </w:r>
      <w:r w:rsidR="00E45FD9" w:rsidRPr="00E45FD9">
        <w:rPr>
          <w:rFonts w:ascii="Arial" w:hAnsi="Arial" w:cs="Arial"/>
        </w:rPr>
        <w:t xml:space="preserve">There are a few vulnerabilities with Pharmacy2U that might slow down its growth and stability. </w:t>
      </w:r>
      <w:r w:rsidR="00E45FD9">
        <w:rPr>
          <w:rFonts w:ascii="Arial" w:hAnsi="Arial" w:cs="Arial"/>
        </w:rPr>
        <w:t>The company</w:t>
      </w:r>
      <w:r w:rsidR="00E45FD9" w:rsidRPr="00E45FD9">
        <w:rPr>
          <w:rFonts w:ascii="Arial" w:hAnsi="Arial" w:cs="Arial"/>
        </w:rPr>
        <w:t xml:space="preserve"> is dependent on NHS prescriptions as a major source of income, which means that it could become susceptible to changes in NHS funding or policy and there is little diversity in its income stream to mitigate against this. It also costs the business a lot to get customers as they spend a lot of time marketing in order to compete in the online healthcare space which could be impacting profit limits</w:t>
      </w:r>
      <w:r w:rsidR="001851D3">
        <w:rPr>
          <w:rFonts w:ascii="Arial" w:hAnsi="Arial" w:cs="Arial"/>
        </w:rPr>
        <w:t xml:space="preserve"> (</w:t>
      </w:r>
      <w:r w:rsidR="001851D3" w:rsidRPr="005F1C78">
        <w:rPr>
          <w:rFonts w:ascii="Arial" w:hAnsi="Arial" w:cs="Arial"/>
        </w:rPr>
        <w:t>Tolley,</w:t>
      </w:r>
      <w:r w:rsidR="001851D3">
        <w:rPr>
          <w:rFonts w:ascii="Arial" w:hAnsi="Arial" w:cs="Arial"/>
        </w:rPr>
        <w:t xml:space="preserve"> et.al., 2023)</w:t>
      </w:r>
      <w:r w:rsidR="00E45FD9" w:rsidRPr="00E45FD9">
        <w:rPr>
          <w:rFonts w:ascii="Arial" w:hAnsi="Arial" w:cs="Arial"/>
        </w:rPr>
        <w:t>. The online-only model is convenient, but it does</w:t>
      </w:r>
      <w:r w:rsidR="00E45FD9">
        <w:rPr>
          <w:rFonts w:ascii="Arial" w:hAnsi="Arial" w:cs="Arial"/>
        </w:rPr>
        <w:t xml:space="preserve"> </w:t>
      </w:r>
      <w:r w:rsidR="00E45FD9" w:rsidRPr="00E45FD9">
        <w:rPr>
          <w:rFonts w:ascii="Arial" w:hAnsi="Arial" w:cs="Arial"/>
        </w:rPr>
        <w:t xml:space="preserve">not have the same in-person consultations provided by traditional pharmacies, so it might alienate customers that need to see a real person for something complicated or emergency. </w:t>
      </w:r>
      <w:r w:rsidR="00E45FD9">
        <w:rPr>
          <w:rFonts w:ascii="Arial" w:hAnsi="Arial" w:cs="Arial"/>
        </w:rPr>
        <w:t>Furthermore,</w:t>
      </w:r>
      <w:r w:rsidR="00E45FD9" w:rsidRPr="00E45FD9">
        <w:rPr>
          <w:rFonts w:ascii="Arial" w:hAnsi="Arial" w:cs="Arial"/>
        </w:rPr>
        <w:t xml:space="preserve"> Pharmacy2U’s operation remains based in the UK, so it can</w:t>
      </w:r>
      <w:r w:rsidR="00E45FD9">
        <w:rPr>
          <w:rFonts w:ascii="Arial" w:hAnsi="Arial" w:cs="Arial"/>
        </w:rPr>
        <w:t>n</w:t>
      </w:r>
      <w:r w:rsidR="00E45FD9" w:rsidRPr="00E45FD9">
        <w:rPr>
          <w:rFonts w:ascii="Arial" w:hAnsi="Arial" w:cs="Arial"/>
        </w:rPr>
        <w:t>ot be part of the growing global online pharmacy service market</w:t>
      </w:r>
      <w:r w:rsidR="005F1C78">
        <w:rPr>
          <w:rFonts w:ascii="Arial" w:hAnsi="Arial" w:cs="Arial"/>
        </w:rPr>
        <w:t xml:space="preserve"> (</w:t>
      </w:r>
      <w:r w:rsidR="005F1C78" w:rsidRPr="005F1C78">
        <w:rPr>
          <w:rFonts w:ascii="Arial" w:hAnsi="Arial" w:cs="Arial"/>
        </w:rPr>
        <w:t>Wick,</w:t>
      </w:r>
      <w:r w:rsidR="005F1C78">
        <w:rPr>
          <w:rFonts w:ascii="Arial" w:hAnsi="Arial" w:cs="Arial"/>
        </w:rPr>
        <w:t xml:space="preserve"> et.al.,2024)</w:t>
      </w:r>
      <w:r w:rsidR="00E45FD9" w:rsidRPr="00E45FD9">
        <w:rPr>
          <w:rFonts w:ascii="Arial" w:hAnsi="Arial" w:cs="Arial"/>
        </w:rPr>
        <w:t>.</w:t>
      </w:r>
    </w:p>
    <w:p w14:paraId="523B153F" w14:textId="68C43B40" w:rsidR="00A82F4D" w:rsidRDefault="00E45FD9" w:rsidP="00327B59">
      <w:pPr>
        <w:spacing w:line="360" w:lineRule="auto"/>
        <w:jc w:val="both"/>
        <w:rPr>
          <w:rFonts w:ascii="Arial" w:hAnsi="Arial" w:cs="Arial"/>
        </w:rPr>
      </w:pPr>
      <w:r w:rsidRPr="00E45FD9">
        <w:rPr>
          <w:rFonts w:ascii="Arial" w:hAnsi="Arial" w:cs="Arial"/>
        </w:rPr>
        <w:t xml:space="preserve"> </w:t>
      </w:r>
      <w:r w:rsidR="004A7526" w:rsidRPr="00327B59">
        <w:rPr>
          <w:rFonts w:ascii="Arial" w:hAnsi="Arial" w:cs="Arial"/>
          <w:b/>
          <w:bCs/>
        </w:rPr>
        <w:t xml:space="preserve">C. </w:t>
      </w:r>
      <w:r w:rsidR="00283DDC" w:rsidRPr="00327B59">
        <w:rPr>
          <w:rFonts w:ascii="Arial" w:hAnsi="Arial" w:cs="Arial"/>
          <w:b/>
          <w:bCs/>
        </w:rPr>
        <w:t>O</w:t>
      </w:r>
      <w:r w:rsidR="004A7526" w:rsidRPr="00327B59">
        <w:rPr>
          <w:rFonts w:ascii="Arial" w:hAnsi="Arial" w:cs="Arial"/>
          <w:b/>
          <w:bCs/>
        </w:rPr>
        <w:t>pportunities</w:t>
      </w:r>
      <w:r w:rsidR="00327B59">
        <w:rPr>
          <w:rFonts w:ascii="Arial" w:hAnsi="Arial" w:cs="Arial"/>
        </w:rPr>
        <w:t xml:space="preserve">: </w:t>
      </w:r>
      <w:r w:rsidR="00327B59" w:rsidRPr="00327B59">
        <w:rPr>
          <w:rFonts w:ascii="Arial" w:hAnsi="Arial" w:cs="Arial"/>
        </w:rPr>
        <w:t xml:space="preserve">There are so many possibilities for Pharmacy2U to grow and innovate in the new digital healthcare environment. Innovating into telemedicine through virtual visits could offer complete health services in response to a rising need for telehealth services post-COVID-19. More generally, digital healthcare has more potential, and </w:t>
      </w:r>
      <w:r w:rsidR="00327B59">
        <w:rPr>
          <w:rFonts w:ascii="Arial" w:hAnsi="Arial" w:cs="Arial"/>
        </w:rPr>
        <w:t>c</w:t>
      </w:r>
      <w:r w:rsidR="00327B59" w:rsidRPr="00327B59">
        <w:rPr>
          <w:rFonts w:ascii="Arial" w:hAnsi="Arial" w:cs="Arial"/>
        </w:rPr>
        <w:t>ould build on the platform, with AI-powered services and add value. International expansion in EU, US or Asia-Pacific would bring additional sources of revenue, especially through direct alliances with global healthcare players</w:t>
      </w:r>
      <w:r w:rsidR="005F1C78">
        <w:rPr>
          <w:rFonts w:ascii="Arial" w:hAnsi="Arial" w:cs="Arial"/>
        </w:rPr>
        <w:t xml:space="preserve"> (</w:t>
      </w:r>
      <w:r w:rsidR="005F1C78" w:rsidRPr="005F1C78">
        <w:rPr>
          <w:rFonts w:ascii="Arial" w:hAnsi="Arial" w:cs="Arial"/>
        </w:rPr>
        <w:t>Wick,</w:t>
      </w:r>
      <w:r w:rsidR="005F1C78">
        <w:rPr>
          <w:rFonts w:ascii="Arial" w:hAnsi="Arial" w:cs="Arial"/>
        </w:rPr>
        <w:t xml:space="preserve"> et.al.,2024). </w:t>
      </w:r>
      <w:r w:rsidR="00327B59" w:rsidRPr="00327B59">
        <w:rPr>
          <w:rFonts w:ascii="Arial" w:hAnsi="Arial" w:cs="Arial"/>
        </w:rPr>
        <w:t>Partnerships with private health insurers for prescription fulfilment into plans could also diversify revenue and increase customers. </w:t>
      </w:r>
      <w:r w:rsidR="00327B59">
        <w:rPr>
          <w:rFonts w:ascii="Arial" w:hAnsi="Arial" w:cs="Arial"/>
        </w:rPr>
        <w:t>Furthermore</w:t>
      </w:r>
      <w:r w:rsidR="00327B59" w:rsidRPr="00327B59">
        <w:rPr>
          <w:rFonts w:ascii="Arial" w:hAnsi="Arial" w:cs="Arial"/>
        </w:rPr>
        <w:t>, environmental sustainability in terms of packaging and green logistics would increase the appeal of the brand as millennials increasingly demand more environmentally friendly companies</w:t>
      </w:r>
      <w:r w:rsidR="005F1C78">
        <w:rPr>
          <w:rFonts w:ascii="Arial" w:hAnsi="Arial" w:cs="Arial"/>
        </w:rPr>
        <w:t xml:space="preserve"> (</w:t>
      </w:r>
      <w:r w:rsidR="005F1C78" w:rsidRPr="005F1C78">
        <w:rPr>
          <w:rFonts w:ascii="Arial" w:hAnsi="Arial" w:cs="Arial"/>
        </w:rPr>
        <w:t>Trenfield,</w:t>
      </w:r>
      <w:r w:rsidR="005F1C78">
        <w:rPr>
          <w:rFonts w:ascii="Arial" w:hAnsi="Arial" w:cs="Arial"/>
        </w:rPr>
        <w:t xml:space="preserve"> et.al., 2022)</w:t>
      </w:r>
      <w:r w:rsidR="005F1C78" w:rsidRPr="00327B59">
        <w:rPr>
          <w:rFonts w:ascii="Arial" w:hAnsi="Arial" w:cs="Arial"/>
        </w:rPr>
        <w:t>. </w:t>
      </w:r>
    </w:p>
    <w:p w14:paraId="2DA5CC66" w14:textId="79D56F74" w:rsidR="00F5482E" w:rsidRDefault="00283DDC" w:rsidP="00446836">
      <w:pPr>
        <w:spacing w:line="360" w:lineRule="auto"/>
        <w:jc w:val="both"/>
        <w:rPr>
          <w:rFonts w:ascii="Arial" w:hAnsi="Arial" w:cs="Arial"/>
        </w:rPr>
      </w:pPr>
      <w:r w:rsidRPr="00327B59">
        <w:rPr>
          <w:rFonts w:ascii="Arial" w:hAnsi="Arial" w:cs="Arial"/>
          <w:b/>
          <w:bCs/>
        </w:rPr>
        <w:t>D: Threats</w:t>
      </w:r>
      <w:r w:rsidR="00327B59">
        <w:rPr>
          <w:rFonts w:ascii="Arial" w:hAnsi="Arial" w:cs="Arial"/>
        </w:rPr>
        <w:t xml:space="preserve">: </w:t>
      </w:r>
      <w:r>
        <w:rPr>
          <w:rFonts w:ascii="Arial" w:hAnsi="Arial" w:cs="Arial"/>
        </w:rPr>
        <w:t xml:space="preserve"> </w:t>
      </w:r>
      <w:r w:rsidR="00327B59" w:rsidRPr="00327B59">
        <w:rPr>
          <w:rFonts w:ascii="Arial" w:hAnsi="Arial" w:cs="Arial"/>
        </w:rPr>
        <w:t>There are several challenges facing Pharmacy2U in terms of growth and market share. The intensifying competition with e-commerce rivals (like Lloyds</w:t>
      </w:r>
      <w:r w:rsidR="00327B59">
        <w:rPr>
          <w:rFonts w:ascii="Arial" w:hAnsi="Arial" w:cs="Arial"/>
        </w:rPr>
        <w:t xml:space="preserve"> Pharmacy</w:t>
      </w:r>
      <w:r w:rsidR="00327B59" w:rsidRPr="00327B59">
        <w:rPr>
          <w:rFonts w:ascii="Arial" w:hAnsi="Arial" w:cs="Arial"/>
        </w:rPr>
        <w:t xml:space="preserve">, Well Pharmacy and foreign sellers such as Amazon Pharmacy) puts more pressure on </w:t>
      </w:r>
      <w:r w:rsidR="00327B59">
        <w:rPr>
          <w:rFonts w:ascii="Arial" w:hAnsi="Arial" w:cs="Arial"/>
        </w:rPr>
        <w:t>them</w:t>
      </w:r>
      <w:r w:rsidR="00327B59" w:rsidRPr="00327B59">
        <w:rPr>
          <w:rFonts w:ascii="Arial" w:hAnsi="Arial" w:cs="Arial"/>
        </w:rPr>
        <w:t xml:space="preserve"> to stand out and will see price wars and promotions decimate margins. Risks related to regulations, such as NHS funding reform and changes in data protection regulations such GDPR, demand constant investment in security and compliance</w:t>
      </w:r>
      <w:r w:rsidR="001851D3">
        <w:rPr>
          <w:rFonts w:ascii="Arial" w:hAnsi="Arial" w:cs="Arial"/>
        </w:rPr>
        <w:t xml:space="preserve"> (</w:t>
      </w:r>
      <w:r w:rsidR="001851D3" w:rsidRPr="001851D3">
        <w:rPr>
          <w:rFonts w:ascii="Arial" w:hAnsi="Arial" w:cs="Arial"/>
        </w:rPr>
        <w:t>Terry,</w:t>
      </w:r>
      <w:r w:rsidR="001851D3">
        <w:rPr>
          <w:rFonts w:ascii="Arial" w:hAnsi="Arial" w:cs="Arial"/>
        </w:rPr>
        <w:t xml:space="preserve"> 2017)</w:t>
      </w:r>
      <w:r w:rsidR="00327B59" w:rsidRPr="00327B59">
        <w:rPr>
          <w:rFonts w:ascii="Arial" w:hAnsi="Arial" w:cs="Arial"/>
        </w:rPr>
        <w:t xml:space="preserve">. Lack of resilience in the supply chain triggered by global factors like Brexit, geopolitical uncertainty, </w:t>
      </w:r>
      <w:r w:rsidR="005966CB" w:rsidRPr="00327B59">
        <w:rPr>
          <w:rFonts w:ascii="Arial" w:hAnsi="Arial" w:cs="Arial"/>
        </w:rPr>
        <w:t>delays,</w:t>
      </w:r>
      <w:r w:rsidR="00327B59" w:rsidRPr="00327B59">
        <w:rPr>
          <w:rFonts w:ascii="Arial" w:hAnsi="Arial" w:cs="Arial"/>
        </w:rPr>
        <w:t xml:space="preserve"> or scarcity which could cause customer frustration and reputational harm. Additional, growing consumer demand for faster deliveries, individuali</w:t>
      </w:r>
      <w:r w:rsidR="00327B59">
        <w:rPr>
          <w:rFonts w:ascii="Arial" w:hAnsi="Arial" w:cs="Arial"/>
        </w:rPr>
        <w:t>s</w:t>
      </w:r>
      <w:r w:rsidR="00327B59" w:rsidRPr="00327B59">
        <w:rPr>
          <w:rFonts w:ascii="Arial" w:hAnsi="Arial" w:cs="Arial"/>
        </w:rPr>
        <w:t xml:space="preserve">ed service and integration with telehealth services require constant innovation to stay ahead. Depending on technology also </w:t>
      </w:r>
      <w:r w:rsidR="00327B59" w:rsidRPr="00327B59">
        <w:rPr>
          <w:rFonts w:ascii="Arial" w:hAnsi="Arial" w:cs="Arial"/>
        </w:rPr>
        <w:lastRenderedPageBreak/>
        <w:t>places the company at risk of issues such as disruption, data loss, or cyberattack which might destroy customer confidence and stability</w:t>
      </w:r>
      <w:r w:rsidR="0010660B">
        <w:rPr>
          <w:rFonts w:ascii="Arial" w:hAnsi="Arial" w:cs="Arial"/>
        </w:rPr>
        <w:t xml:space="preserve"> (</w:t>
      </w:r>
      <w:r w:rsidR="0010660B" w:rsidRPr="0010660B">
        <w:rPr>
          <w:rFonts w:ascii="Arial" w:hAnsi="Arial" w:cs="Arial"/>
        </w:rPr>
        <w:t>Yusuf</w:t>
      </w:r>
      <w:r w:rsidR="0010660B">
        <w:rPr>
          <w:rFonts w:ascii="Arial" w:hAnsi="Arial" w:cs="Arial"/>
        </w:rPr>
        <w:t>, et.al., 2024)</w:t>
      </w:r>
      <w:r w:rsidR="00327B59" w:rsidRPr="00327B59">
        <w:rPr>
          <w:rFonts w:ascii="Arial" w:hAnsi="Arial" w:cs="Arial"/>
        </w:rPr>
        <w:t>.</w:t>
      </w:r>
    </w:p>
    <w:p w14:paraId="46C93FEB" w14:textId="70A59540" w:rsidR="009F7B02" w:rsidRDefault="00EB76D9" w:rsidP="00EB76D9">
      <w:pPr>
        <w:pStyle w:val="Caption"/>
        <w:jc w:val="center"/>
      </w:pPr>
      <w:bookmarkStart w:id="10" w:name="_Toc183040036"/>
      <w:r>
        <w:t xml:space="preserve">Table </w:t>
      </w:r>
      <w:fldSimple w:instr=" SEQ Table \* ARABIC ">
        <w:r>
          <w:rPr>
            <w:noProof/>
          </w:rPr>
          <w:t>3</w:t>
        </w:r>
      </w:fldSimple>
      <w:r>
        <w:t xml:space="preserve"> </w:t>
      </w:r>
      <w:r w:rsidRPr="0062782A">
        <w:t>Summary of SWOT Analysis</w:t>
      </w:r>
      <w:bookmarkEnd w:id="10"/>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659"/>
        <w:gridCol w:w="7337"/>
      </w:tblGrid>
      <w:tr w:rsidR="00327B59" w14:paraId="6C3DD085" w14:textId="77777777" w:rsidTr="00EB76D9">
        <w:trPr>
          <w:cantSplit/>
          <w:trHeight w:val="254"/>
        </w:trPr>
        <w:tc>
          <w:tcPr>
            <w:tcW w:w="1659" w:type="dxa"/>
            <w:shd w:val="clear" w:color="auto" w:fill="7F7F7F" w:themeFill="text1" w:themeFillTint="80"/>
          </w:tcPr>
          <w:p w14:paraId="6C5EDCEC" w14:textId="0C40A9FD" w:rsidR="00327B59" w:rsidRPr="009F7B02" w:rsidRDefault="009F7B02" w:rsidP="00EB76D9">
            <w:pPr>
              <w:jc w:val="center"/>
              <w:rPr>
                <w:rFonts w:ascii="Arial" w:hAnsi="Arial" w:cs="Arial"/>
                <w:b/>
                <w:bCs/>
              </w:rPr>
            </w:pPr>
            <w:r w:rsidRPr="009F7B02">
              <w:rPr>
                <w:rFonts w:ascii="Arial" w:hAnsi="Arial" w:cs="Arial"/>
                <w:b/>
                <w:bCs/>
              </w:rPr>
              <w:t>Aspect</w:t>
            </w:r>
          </w:p>
        </w:tc>
        <w:tc>
          <w:tcPr>
            <w:tcW w:w="7337" w:type="dxa"/>
            <w:shd w:val="clear" w:color="auto" w:fill="7F7F7F" w:themeFill="text1" w:themeFillTint="80"/>
          </w:tcPr>
          <w:tbl>
            <w:tblPr>
              <w:tblpPr w:topFromText="180" w:bottomFromText="180" w:vertAnchor="text" w:tblpX="1" w:tblpY="1"/>
              <w:tblOverlap w:val="neve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B59" w:rsidRPr="00327B59" w14:paraId="4F99EBD7" w14:textId="77777777" w:rsidTr="009F7B02">
              <w:trPr>
                <w:tblCellSpacing w:w="15" w:type="dxa"/>
              </w:trPr>
              <w:tc>
                <w:tcPr>
                  <w:tcW w:w="0" w:type="auto"/>
                  <w:vAlign w:val="center"/>
                  <w:hideMark/>
                </w:tcPr>
                <w:p w14:paraId="66B88381" w14:textId="77777777" w:rsidR="00327B59" w:rsidRPr="00327B59" w:rsidRDefault="00327B59" w:rsidP="00EB76D9">
                  <w:pPr>
                    <w:spacing w:after="0" w:line="360" w:lineRule="auto"/>
                    <w:jc w:val="center"/>
                    <w:rPr>
                      <w:rFonts w:ascii="Arial" w:hAnsi="Arial" w:cs="Arial"/>
                      <w:b/>
                      <w:bCs/>
                    </w:rPr>
                  </w:pPr>
                </w:p>
              </w:tc>
            </w:tr>
          </w:tbl>
          <w:p w14:paraId="5EF97A3C" w14:textId="27C60A41" w:rsidR="00327B59" w:rsidRPr="00327B59" w:rsidRDefault="009F7B02" w:rsidP="00EB76D9">
            <w:pPr>
              <w:spacing w:line="360" w:lineRule="auto"/>
              <w:jc w:val="center"/>
              <w:rPr>
                <w:rFonts w:ascii="Arial" w:hAnsi="Arial" w:cs="Arial"/>
                <w:b/>
                <w:bCs/>
                <w:vanish/>
              </w:rPr>
            </w:pPr>
            <w:r w:rsidRPr="009F7B02">
              <w:rPr>
                <w:rFonts w:ascii="Arial" w:hAnsi="Arial" w:cs="Arial"/>
                <w:b/>
                <w:bCs/>
              </w:rPr>
              <w:t>Key insights</w:t>
            </w:r>
          </w:p>
          <w:p w14:paraId="0E4E4871" w14:textId="77777777" w:rsidR="00327B59" w:rsidRPr="009F7B02" w:rsidRDefault="00327B59" w:rsidP="00EB76D9">
            <w:pPr>
              <w:spacing w:line="360" w:lineRule="auto"/>
              <w:jc w:val="center"/>
              <w:rPr>
                <w:rFonts w:ascii="Arial" w:hAnsi="Arial" w:cs="Arial"/>
                <w:b/>
                <w:bCs/>
              </w:rPr>
            </w:pPr>
          </w:p>
        </w:tc>
      </w:tr>
      <w:tr w:rsidR="00327B59" w:rsidRPr="00327B59" w14:paraId="02BF7834" w14:textId="77777777" w:rsidTr="009F7B02">
        <w:tc>
          <w:tcPr>
            <w:tcW w:w="1659" w:type="dxa"/>
          </w:tcPr>
          <w:p w14:paraId="1A75645F" w14:textId="62CF90E2" w:rsidR="00327B59" w:rsidRPr="009F7B02" w:rsidRDefault="00327B59" w:rsidP="00327B59">
            <w:pPr>
              <w:spacing w:line="360" w:lineRule="auto"/>
              <w:jc w:val="center"/>
              <w:rPr>
                <w:rFonts w:ascii="Arial" w:hAnsi="Arial" w:cs="Arial"/>
                <w:b/>
                <w:bCs/>
              </w:rPr>
            </w:pPr>
            <w:r w:rsidRPr="009F7B02">
              <w:rPr>
                <w:rFonts w:ascii="Arial" w:hAnsi="Arial" w:cs="Arial"/>
                <w:b/>
                <w:bCs/>
              </w:rPr>
              <w:t>Strengths</w:t>
            </w:r>
          </w:p>
        </w:tc>
        <w:tc>
          <w:tcPr>
            <w:tcW w:w="7337" w:type="dxa"/>
          </w:tcPr>
          <w:p w14:paraId="24985346" w14:textId="7A2994F0" w:rsidR="00327B59" w:rsidRPr="009F7B02" w:rsidRDefault="009F7B02" w:rsidP="009F7B02">
            <w:pPr>
              <w:spacing w:line="360" w:lineRule="auto"/>
              <w:jc w:val="both"/>
              <w:rPr>
                <w:rFonts w:ascii="Arial" w:hAnsi="Arial" w:cs="Arial"/>
              </w:rPr>
            </w:pPr>
            <w:r w:rsidRPr="009F7B02">
              <w:rPr>
                <w:rFonts w:ascii="Arial" w:hAnsi="Arial" w:cs="Arial"/>
              </w:rPr>
              <w:t>Market leadership, advanced technology, NHS partnerships, customer-centric services.</w:t>
            </w:r>
          </w:p>
        </w:tc>
      </w:tr>
      <w:tr w:rsidR="00327B59" w:rsidRPr="00327B59" w14:paraId="424A5184" w14:textId="77777777" w:rsidTr="009F7B02">
        <w:tc>
          <w:tcPr>
            <w:tcW w:w="1659" w:type="dxa"/>
          </w:tcPr>
          <w:p w14:paraId="06731938" w14:textId="7010FA49" w:rsidR="00327B59" w:rsidRPr="009F7B02" w:rsidRDefault="00327B59" w:rsidP="00327B59">
            <w:pPr>
              <w:spacing w:line="360" w:lineRule="auto"/>
              <w:jc w:val="center"/>
              <w:rPr>
                <w:rFonts w:ascii="Arial" w:hAnsi="Arial" w:cs="Arial"/>
                <w:b/>
                <w:bCs/>
              </w:rPr>
            </w:pPr>
            <w:r w:rsidRPr="009F7B02">
              <w:rPr>
                <w:rFonts w:ascii="Arial" w:hAnsi="Arial" w:cs="Arial"/>
                <w:b/>
                <w:bCs/>
              </w:rPr>
              <w:t>Weakness</w:t>
            </w:r>
          </w:p>
        </w:tc>
        <w:tc>
          <w:tcPr>
            <w:tcW w:w="7337" w:type="dxa"/>
          </w:tcPr>
          <w:p w14:paraId="089B20E9" w14:textId="7C18E2FD" w:rsidR="00327B59" w:rsidRPr="009F7B02" w:rsidRDefault="009F7B02" w:rsidP="009F7B02">
            <w:pPr>
              <w:spacing w:line="360" w:lineRule="auto"/>
              <w:jc w:val="both"/>
              <w:rPr>
                <w:rFonts w:ascii="Arial" w:hAnsi="Arial" w:cs="Arial"/>
              </w:rPr>
            </w:pPr>
            <w:r w:rsidRPr="009F7B02">
              <w:rPr>
                <w:rFonts w:ascii="Arial" w:hAnsi="Arial" w:cs="Arial"/>
              </w:rPr>
              <w:t>Dependence on NHS, high customer acquisition costs, lack of physical presence, geographic limits.</w:t>
            </w:r>
          </w:p>
        </w:tc>
      </w:tr>
      <w:tr w:rsidR="00327B59" w:rsidRPr="00327B59" w14:paraId="4F81A0AE" w14:textId="77777777" w:rsidTr="009F7B02">
        <w:tc>
          <w:tcPr>
            <w:tcW w:w="1659" w:type="dxa"/>
          </w:tcPr>
          <w:p w14:paraId="38261F75" w14:textId="565EB143" w:rsidR="00327B59" w:rsidRPr="009F7B02" w:rsidRDefault="00327B59" w:rsidP="00327B59">
            <w:pPr>
              <w:spacing w:line="360" w:lineRule="auto"/>
              <w:jc w:val="center"/>
              <w:rPr>
                <w:rFonts w:ascii="Arial" w:hAnsi="Arial" w:cs="Arial"/>
                <w:b/>
                <w:bCs/>
              </w:rPr>
            </w:pPr>
            <w:r w:rsidRPr="009F7B02">
              <w:rPr>
                <w:rFonts w:ascii="Arial" w:hAnsi="Arial" w:cs="Arial"/>
                <w:b/>
                <w:bCs/>
              </w:rPr>
              <w:t>Opportunities</w:t>
            </w:r>
          </w:p>
        </w:tc>
        <w:tc>
          <w:tcPr>
            <w:tcW w:w="7337" w:type="dxa"/>
          </w:tcPr>
          <w:p w14:paraId="29918AAC" w14:textId="1BC84499" w:rsidR="00327B59" w:rsidRPr="009F7B02" w:rsidRDefault="009F7B02" w:rsidP="009F7B02">
            <w:pPr>
              <w:spacing w:line="360" w:lineRule="auto"/>
              <w:jc w:val="both"/>
              <w:rPr>
                <w:rFonts w:ascii="Arial" w:hAnsi="Arial" w:cs="Arial"/>
              </w:rPr>
            </w:pPr>
            <w:r w:rsidRPr="009F7B02">
              <w:rPr>
                <w:rFonts w:ascii="Arial" w:hAnsi="Arial" w:cs="Arial"/>
              </w:rPr>
              <w:t>Telemedicine integration, global expansion, insurer partnerships, sustainability initiatives</w:t>
            </w:r>
          </w:p>
        </w:tc>
      </w:tr>
      <w:tr w:rsidR="00327B59" w:rsidRPr="00327B59" w14:paraId="0917342F" w14:textId="77777777" w:rsidTr="009F7B02">
        <w:tc>
          <w:tcPr>
            <w:tcW w:w="1659" w:type="dxa"/>
          </w:tcPr>
          <w:p w14:paraId="3AFE15E4" w14:textId="09C3432A" w:rsidR="00327B59" w:rsidRPr="00327B59" w:rsidRDefault="00327B59" w:rsidP="00327B59">
            <w:pPr>
              <w:spacing w:line="360" w:lineRule="auto"/>
              <w:jc w:val="center"/>
              <w:rPr>
                <w:rFonts w:ascii="Arial" w:hAnsi="Arial" w:cs="Arial"/>
                <w:b/>
                <w:bCs/>
              </w:rPr>
            </w:pPr>
            <w:r w:rsidRPr="00327B59">
              <w:rPr>
                <w:rFonts w:ascii="Arial" w:hAnsi="Arial" w:cs="Arial"/>
                <w:b/>
                <w:bCs/>
              </w:rPr>
              <w:t>Threats</w:t>
            </w:r>
          </w:p>
        </w:tc>
        <w:tc>
          <w:tcPr>
            <w:tcW w:w="7337" w:type="dxa"/>
          </w:tcPr>
          <w:p w14:paraId="6C8D234B" w14:textId="77777777" w:rsidR="009F7B02" w:rsidRPr="009F7B02" w:rsidRDefault="009F7B02" w:rsidP="009F7B02">
            <w:pPr>
              <w:jc w:val="both"/>
              <w:rPr>
                <w:rFonts w:ascii="Arial" w:hAnsi="Arial" w:cs="Arial"/>
              </w:rPr>
            </w:pPr>
            <w:r w:rsidRPr="009F7B02">
              <w:rPr>
                <w:rFonts w:ascii="Arial" w:hAnsi="Arial" w:cs="Arial"/>
              </w:rPr>
              <w:t>Competitive pressures, regulatory risks, supply chain challenges, rising consumer expectations.</w:t>
            </w:r>
          </w:p>
          <w:p w14:paraId="409AAE22" w14:textId="77777777" w:rsidR="00327B59" w:rsidRPr="009F7B02" w:rsidRDefault="00327B59" w:rsidP="009F7B02">
            <w:pPr>
              <w:spacing w:line="360" w:lineRule="auto"/>
              <w:jc w:val="both"/>
              <w:rPr>
                <w:rFonts w:ascii="Arial" w:hAnsi="Arial" w:cs="Arial"/>
              </w:rPr>
            </w:pPr>
          </w:p>
        </w:tc>
      </w:tr>
    </w:tbl>
    <w:p w14:paraId="44B01AEC" w14:textId="77777777" w:rsidR="00327B59" w:rsidRPr="00327B59" w:rsidRDefault="00327B59" w:rsidP="00327B59">
      <w:pPr>
        <w:spacing w:line="360" w:lineRule="auto"/>
        <w:jc w:val="center"/>
        <w:rPr>
          <w:rFonts w:ascii="Arial" w:hAnsi="Arial" w:cs="Arial"/>
          <w:b/>
          <w:bCs/>
        </w:rPr>
      </w:pPr>
    </w:p>
    <w:p w14:paraId="476FB720" w14:textId="787C9AF5" w:rsidR="00D5081B" w:rsidRDefault="009F7B02" w:rsidP="00446836">
      <w:pPr>
        <w:spacing w:line="360" w:lineRule="auto"/>
        <w:jc w:val="both"/>
        <w:rPr>
          <w:rFonts w:ascii="Arial" w:hAnsi="Arial" w:cs="Arial"/>
        </w:rPr>
      </w:pPr>
      <w:r w:rsidRPr="009F7B02">
        <w:rPr>
          <w:rFonts w:ascii="Arial" w:hAnsi="Arial" w:cs="Arial"/>
        </w:rPr>
        <w:t>Pharmacy2U has internal capabilities like tech support and NHS integration that give it a superiority. But growth requires the company to fix its weaknesses — most of all, its dependence on NHS prescriptions and market concentration. By focusing on telemedicine, globali</w:t>
      </w:r>
      <w:r>
        <w:rPr>
          <w:rFonts w:ascii="Arial" w:hAnsi="Arial" w:cs="Arial"/>
        </w:rPr>
        <w:t>s</w:t>
      </w:r>
      <w:r w:rsidRPr="009F7B02">
        <w:rPr>
          <w:rFonts w:ascii="Arial" w:hAnsi="Arial" w:cs="Arial"/>
        </w:rPr>
        <w:t>ation, and sustainability, Pharmacy2U can consolidate its market share and limit threats from the outside, such as competition and supply chain disruptions.</w:t>
      </w:r>
    </w:p>
    <w:p w14:paraId="28D1872A" w14:textId="5D60AB28" w:rsidR="00D5081B" w:rsidRPr="00F5482E" w:rsidRDefault="007061FB" w:rsidP="00F5482E">
      <w:pPr>
        <w:pStyle w:val="Heading1"/>
        <w:numPr>
          <w:ilvl w:val="0"/>
          <w:numId w:val="13"/>
        </w:numPr>
        <w:rPr>
          <w:color w:val="auto"/>
          <w:sz w:val="24"/>
          <w:szCs w:val="24"/>
        </w:rPr>
      </w:pPr>
      <w:bookmarkStart w:id="11" w:name="_Toc183039609"/>
      <w:r w:rsidRPr="00F5482E">
        <w:rPr>
          <w:color w:val="auto"/>
          <w:sz w:val="24"/>
          <w:szCs w:val="24"/>
        </w:rPr>
        <w:t>STAKEHOLDER ANALYSIS</w:t>
      </w:r>
      <w:bookmarkEnd w:id="11"/>
    </w:p>
    <w:p w14:paraId="7C5507FD" w14:textId="59324B2D" w:rsidR="007061FB" w:rsidRDefault="007061FB" w:rsidP="007061FB">
      <w:pPr>
        <w:spacing w:line="360" w:lineRule="auto"/>
        <w:jc w:val="both"/>
        <w:rPr>
          <w:rFonts w:ascii="Arial" w:hAnsi="Arial" w:cs="Arial"/>
        </w:rPr>
      </w:pPr>
      <w:r w:rsidRPr="007061FB">
        <w:rPr>
          <w:rFonts w:ascii="Arial" w:hAnsi="Arial" w:cs="Arial"/>
        </w:rPr>
        <w:t xml:space="preserve">Stakeholders are people, institutions or parties who are interested in or affected by the actions and results of a business. Stakeholder analysis helps </w:t>
      </w:r>
      <w:r>
        <w:rPr>
          <w:rFonts w:ascii="Arial" w:hAnsi="Arial" w:cs="Arial"/>
        </w:rPr>
        <w:t>a company</w:t>
      </w:r>
      <w:r w:rsidRPr="007061FB">
        <w:rPr>
          <w:rFonts w:ascii="Arial" w:hAnsi="Arial" w:cs="Arial"/>
        </w:rPr>
        <w:t xml:space="preserve"> find out what groups need and want, how they can affect things, and how the organisation can respond</w:t>
      </w:r>
      <w:r w:rsidR="001851D3">
        <w:rPr>
          <w:rFonts w:ascii="Arial" w:hAnsi="Arial" w:cs="Arial"/>
        </w:rPr>
        <w:t xml:space="preserve"> (</w:t>
      </w:r>
      <w:r w:rsidR="001851D3" w:rsidRPr="001851D3">
        <w:rPr>
          <w:rFonts w:ascii="Arial" w:hAnsi="Arial" w:cs="Arial"/>
        </w:rPr>
        <w:t>Freeman</w:t>
      </w:r>
      <w:r w:rsidR="001851D3">
        <w:rPr>
          <w:rFonts w:ascii="Arial" w:hAnsi="Arial" w:cs="Arial"/>
        </w:rPr>
        <w:t>, 2010)</w:t>
      </w:r>
      <w:r w:rsidRPr="007061FB">
        <w:rPr>
          <w:rFonts w:ascii="Arial" w:hAnsi="Arial" w:cs="Arial"/>
        </w:rPr>
        <w:t>. For Pharmacy2U, stakeholders include customers, the NHS, employees, suppliers, regulators, investors, and the broader community.</w:t>
      </w:r>
    </w:p>
    <w:p w14:paraId="20006E09" w14:textId="5F1F87BE" w:rsidR="007061FB" w:rsidRPr="00FD2BAB" w:rsidRDefault="004E0BCA" w:rsidP="00FD2BAB">
      <w:pPr>
        <w:pStyle w:val="Heading2"/>
        <w:rPr>
          <w:b/>
          <w:bCs/>
          <w:color w:val="auto"/>
          <w:sz w:val="24"/>
          <w:szCs w:val="24"/>
        </w:rPr>
      </w:pPr>
      <w:bookmarkStart w:id="12" w:name="_Toc183039610"/>
      <w:r w:rsidRPr="00FD2BAB">
        <w:rPr>
          <w:b/>
          <w:bCs/>
          <w:color w:val="auto"/>
          <w:sz w:val="24"/>
          <w:szCs w:val="24"/>
        </w:rPr>
        <w:t xml:space="preserve">4.1 </w:t>
      </w:r>
      <w:r w:rsidR="007061FB" w:rsidRPr="00FD2BAB">
        <w:rPr>
          <w:b/>
          <w:bCs/>
          <w:color w:val="auto"/>
          <w:sz w:val="24"/>
          <w:szCs w:val="24"/>
        </w:rPr>
        <w:t>Key Stakeholders of Pharmacy2U</w:t>
      </w:r>
      <w:bookmarkEnd w:id="12"/>
    </w:p>
    <w:p w14:paraId="020B8FE2" w14:textId="186B0BE2" w:rsidR="007061FB" w:rsidRPr="007061FB" w:rsidRDefault="007061FB" w:rsidP="007061FB">
      <w:pPr>
        <w:numPr>
          <w:ilvl w:val="0"/>
          <w:numId w:val="5"/>
        </w:numPr>
        <w:spacing w:line="360" w:lineRule="auto"/>
        <w:jc w:val="both"/>
        <w:rPr>
          <w:rFonts w:ascii="Arial" w:hAnsi="Arial" w:cs="Arial"/>
        </w:rPr>
      </w:pPr>
      <w:r w:rsidRPr="00C577F0">
        <w:rPr>
          <w:rFonts w:ascii="Arial" w:hAnsi="Arial" w:cs="Arial"/>
          <w:b/>
          <w:bCs/>
          <w:i/>
          <w:iCs/>
        </w:rPr>
        <w:t>Customers (Patients):</w:t>
      </w:r>
      <w:r w:rsidRPr="007061FB">
        <w:rPr>
          <w:rFonts w:ascii="Arial" w:hAnsi="Arial" w:cs="Arial"/>
        </w:rPr>
        <w:t xml:space="preserve"> Pharmacy2U customers are </w:t>
      </w:r>
      <w:r w:rsidR="005966CB" w:rsidRPr="007061FB">
        <w:rPr>
          <w:rFonts w:ascii="Arial" w:hAnsi="Arial" w:cs="Arial"/>
        </w:rPr>
        <w:t>NHS</w:t>
      </w:r>
      <w:r w:rsidRPr="007061FB">
        <w:rPr>
          <w:rFonts w:ascii="Arial" w:hAnsi="Arial" w:cs="Arial"/>
        </w:rPr>
        <w:t xml:space="preserve"> and private prescription patients. They count on the company to deliver medications on time and securely, with great customer support and high-level data security. </w:t>
      </w:r>
      <w:r w:rsidR="005966CB" w:rsidRPr="007061FB">
        <w:rPr>
          <w:rFonts w:ascii="Arial" w:hAnsi="Arial" w:cs="Arial"/>
        </w:rPr>
        <w:t>It is</w:t>
      </w:r>
      <w:r w:rsidRPr="007061FB">
        <w:rPr>
          <w:rFonts w:ascii="Arial" w:hAnsi="Arial" w:cs="Arial"/>
        </w:rPr>
        <w:t xml:space="preserve"> a matter of fulfilling these expectations for keeping their confidence and allegiance. Also, feedback and reviews from customers is the biggest influence </w:t>
      </w:r>
      <w:r w:rsidR="00C577F0" w:rsidRPr="007061FB">
        <w:rPr>
          <w:rFonts w:ascii="Arial" w:hAnsi="Arial" w:cs="Arial"/>
        </w:rPr>
        <w:t>on</w:t>
      </w:r>
      <w:r w:rsidRPr="007061FB">
        <w:rPr>
          <w:rFonts w:ascii="Arial" w:hAnsi="Arial" w:cs="Arial"/>
        </w:rPr>
        <w:t xml:space="preserve"> Pharmacy2U’s credibility, as providing a great service and an exceptional user experience is the key to its success in the crowded digital health care space</w:t>
      </w:r>
      <w:r w:rsidR="00B567DE">
        <w:rPr>
          <w:rFonts w:ascii="Arial" w:hAnsi="Arial" w:cs="Arial"/>
        </w:rPr>
        <w:t xml:space="preserve"> (</w:t>
      </w:r>
      <w:r w:rsidR="00B567DE" w:rsidRPr="00B567DE">
        <w:rPr>
          <w:rFonts w:ascii="Arial" w:hAnsi="Arial" w:cs="Arial"/>
        </w:rPr>
        <w:t xml:space="preserve">Xu, </w:t>
      </w:r>
      <w:r w:rsidR="00CA5FC7">
        <w:rPr>
          <w:rFonts w:ascii="Arial" w:hAnsi="Arial" w:cs="Arial"/>
        </w:rPr>
        <w:t>et.al., 2017).</w:t>
      </w:r>
    </w:p>
    <w:p w14:paraId="109B7838" w14:textId="40CECF4D" w:rsidR="007061FB" w:rsidRPr="007061FB" w:rsidRDefault="00C577F0" w:rsidP="007061FB">
      <w:pPr>
        <w:numPr>
          <w:ilvl w:val="0"/>
          <w:numId w:val="5"/>
        </w:numPr>
        <w:spacing w:line="360" w:lineRule="auto"/>
        <w:jc w:val="both"/>
        <w:rPr>
          <w:rFonts w:ascii="Arial" w:hAnsi="Arial" w:cs="Arial"/>
        </w:rPr>
      </w:pPr>
      <w:r w:rsidRPr="00C577F0">
        <w:rPr>
          <w:rFonts w:ascii="Arial" w:hAnsi="Arial" w:cs="Arial"/>
          <w:b/>
          <w:bCs/>
          <w:i/>
          <w:iCs/>
        </w:rPr>
        <w:lastRenderedPageBreak/>
        <w:t>The NHS:</w:t>
      </w:r>
      <w:r>
        <w:rPr>
          <w:rFonts w:ascii="Arial" w:hAnsi="Arial" w:cs="Arial"/>
        </w:rPr>
        <w:t xml:space="preserve"> P</w:t>
      </w:r>
      <w:r w:rsidRPr="00C577F0">
        <w:rPr>
          <w:rFonts w:ascii="Arial" w:hAnsi="Arial" w:cs="Arial"/>
        </w:rPr>
        <w:t>harmacy2U’s largest partner and an enabler of its prescription service model is the NHS, from which the business is built. This relationship also involves Pharmacy2U having to adhere rigorously to NHS service requirements and regulatory standards to deliver the highest standards of quality and consistency. The NHS has great bargaining power, it sits at the centre of the UK healthcare landscape, driving policy, funding and operational considerations directly affecting Pharmacy2U’s business</w:t>
      </w:r>
      <w:r w:rsidR="001851D3">
        <w:rPr>
          <w:rFonts w:ascii="Arial" w:hAnsi="Arial" w:cs="Arial"/>
        </w:rPr>
        <w:t xml:space="preserve"> (</w:t>
      </w:r>
      <w:r w:rsidR="001851D3" w:rsidRPr="001851D3">
        <w:rPr>
          <w:rFonts w:ascii="Arial" w:hAnsi="Arial" w:cs="Arial"/>
        </w:rPr>
        <w:t>Dacre</w:t>
      </w:r>
      <w:r w:rsidR="001851D3">
        <w:rPr>
          <w:rFonts w:ascii="Arial" w:hAnsi="Arial" w:cs="Arial"/>
        </w:rPr>
        <w:t>, et.al., 2023)</w:t>
      </w:r>
      <w:r w:rsidRPr="00C577F0">
        <w:rPr>
          <w:rFonts w:ascii="Arial" w:hAnsi="Arial" w:cs="Arial"/>
        </w:rPr>
        <w:t>.</w:t>
      </w:r>
    </w:p>
    <w:p w14:paraId="375FB447" w14:textId="780330A1" w:rsidR="007061FB" w:rsidRPr="007061FB" w:rsidRDefault="00C577F0" w:rsidP="007061FB">
      <w:pPr>
        <w:numPr>
          <w:ilvl w:val="0"/>
          <w:numId w:val="5"/>
        </w:numPr>
        <w:spacing w:line="360" w:lineRule="auto"/>
        <w:jc w:val="both"/>
        <w:rPr>
          <w:rFonts w:ascii="Arial" w:hAnsi="Arial" w:cs="Arial"/>
        </w:rPr>
      </w:pPr>
      <w:r w:rsidRPr="004E0BCA">
        <w:rPr>
          <w:rFonts w:ascii="Arial" w:hAnsi="Arial" w:cs="Arial"/>
          <w:b/>
          <w:bCs/>
          <w:i/>
          <w:iCs/>
        </w:rPr>
        <w:t>Employees</w:t>
      </w:r>
      <w:r w:rsidRPr="00C577F0">
        <w:rPr>
          <w:rFonts w:ascii="Arial" w:hAnsi="Arial" w:cs="Arial"/>
        </w:rPr>
        <w:t>:</w:t>
      </w:r>
      <w:r w:rsidRPr="00C577F0">
        <w:t xml:space="preserve"> </w:t>
      </w:r>
      <w:r w:rsidRPr="00C577F0">
        <w:rPr>
          <w:rFonts w:ascii="Arial" w:hAnsi="Arial" w:cs="Arial"/>
        </w:rPr>
        <w:t xml:space="preserve">Pharmacy2U’s team includes pharmacists, customer service staff, IT specialists and </w:t>
      </w:r>
      <w:r w:rsidR="005966CB" w:rsidRPr="00C577F0">
        <w:rPr>
          <w:rFonts w:ascii="Arial" w:hAnsi="Arial" w:cs="Arial"/>
        </w:rPr>
        <w:t>coordination</w:t>
      </w:r>
      <w:r w:rsidRPr="00C577F0">
        <w:rPr>
          <w:rFonts w:ascii="Arial" w:hAnsi="Arial" w:cs="Arial"/>
        </w:rPr>
        <w:t xml:space="preserve"> employees are all key to ensuring the best possible service and driving innovation. Workers demand reasonable pay, stability, regular </w:t>
      </w:r>
      <w:r w:rsidR="005966CB" w:rsidRPr="00C577F0">
        <w:rPr>
          <w:rFonts w:ascii="Arial" w:hAnsi="Arial" w:cs="Arial"/>
        </w:rPr>
        <w:t>training,</w:t>
      </w:r>
      <w:r w:rsidRPr="00C577F0">
        <w:rPr>
          <w:rFonts w:ascii="Arial" w:hAnsi="Arial" w:cs="Arial"/>
        </w:rPr>
        <w:t xml:space="preserve"> and a growth- and wellbeing-enhancing work culture. They are their expertise and participation which are essential for ensuring timely, quality service and maintaining the company’s lead in the digital healthcare industry</w:t>
      </w:r>
      <w:r w:rsidR="00B567DE">
        <w:rPr>
          <w:rFonts w:ascii="Arial" w:hAnsi="Arial" w:cs="Arial"/>
        </w:rPr>
        <w:t xml:space="preserve"> (</w:t>
      </w:r>
      <w:r w:rsidR="00B567DE" w:rsidRPr="00B567DE">
        <w:rPr>
          <w:rFonts w:ascii="Arial" w:hAnsi="Arial" w:cs="Arial"/>
        </w:rPr>
        <w:t xml:space="preserve">De </w:t>
      </w:r>
      <w:r w:rsidR="00B567DE">
        <w:rPr>
          <w:rFonts w:ascii="Arial" w:hAnsi="Arial" w:cs="Arial"/>
        </w:rPr>
        <w:t>Busy &amp;</w:t>
      </w:r>
      <w:r w:rsidR="00B567DE" w:rsidRPr="00B567DE">
        <w:rPr>
          <w:rFonts w:ascii="Arial" w:hAnsi="Arial" w:cs="Arial"/>
        </w:rPr>
        <w:t xml:space="preserve"> </w:t>
      </w:r>
      <w:r w:rsidR="00982E2E" w:rsidRPr="00B567DE">
        <w:rPr>
          <w:rFonts w:ascii="Arial" w:hAnsi="Arial" w:cs="Arial"/>
        </w:rPr>
        <w:t>Suprawan, 2012</w:t>
      </w:r>
      <w:r w:rsidR="00B567DE">
        <w:rPr>
          <w:rFonts w:ascii="Arial" w:hAnsi="Arial" w:cs="Arial"/>
        </w:rPr>
        <w:t>)</w:t>
      </w:r>
      <w:r w:rsidRPr="00C577F0">
        <w:rPr>
          <w:rFonts w:ascii="Arial" w:hAnsi="Arial" w:cs="Arial"/>
        </w:rPr>
        <w:t>.</w:t>
      </w:r>
    </w:p>
    <w:p w14:paraId="4B8A0FA2" w14:textId="258D3A64" w:rsidR="007061FB" w:rsidRDefault="00C577F0" w:rsidP="007061FB">
      <w:pPr>
        <w:numPr>
          <w:ilvl w:val="0"/>
          <w:numId w:val="5"/>
        </w:numPr>
        <w:spacing w:line="360" w:lineRule="auto"/>
        <w:jc w:val="both"/>
        <w:rPr>
          <w:rFonts w:ascii="Arial" w:hAnsi="Arial" w:cs="Arial"/>
        </w:rPr>
      </w:pPr>
      <w:r w:rsidRPr="00C577F0">
        <w:rPr>
          <w:rFonts w:ascii="Arial" w:hAnsi="Arial" w:cs="Arial"/>
          <w:b/>
          <w:bCs/>
          <w:i/>
          <w:iCs/>
        </w:rPr>
        <w:t>Suppliers:</w:t>
      </w:r>
      <w:r w:rsidRPr="00C577F0">
        <w:t xml:space="preserve"> </w:t>
      </w:r>
      <w:r w:rsidRPr="00C577F0">
        <w:rPr>
          <w:rFonts w:ascii="Arial" w:hAnsi="Arial" w:cs="Arial"/>
        </w:rPr>
        <w:t>Pharmacy2U depends on the pharmaceutical manufacturers and wholesalers to supply medications and related items to operate. These vendors want paid in time, communication open, and a long-term, sustainable relationship. A reliable and repeatable supply chain, with an effect on the quality of services and customer satisfaction, is dependent on effective partnership with suppliers</w:t>
      </w:r>
      <w:r w:rsidR="00982E2E">
        <w:rPr>
          <w:rFonts w:ascii="Arial" w:hAnsi="Arial" w:cs="Arial"/>
        </w:rPr>
        <w:t xml:space="preserve"> (</w:t>
      </w:r>
      <w:r w:rsidR="00982E2E" w:rsidRPr="00B567DE">
        <w:rPr>
          <w:rFonts w:ascii="Arial" w:hAnsi="Arial" w:cs="Arial"/>
        </w:rPr>
        <w:t xml:space="preserve">Abdallah </w:t>
      </w:r>
      <w:r w:rsidR="00982E2E">
        <w:rPr>
          <w:rFonts w:ascii="Arial" w:hAnsi="Arial" w:cs="Arial"/>
        </w:rPr>
        <w:t xml:space="preserve">&amp; </w:t>
      </w:r>
      <w:r w:rsidR="00982E2E" w:rsidRPr="00B567DE">
        <w:rPr>
          <w:rFonts w:ascii="Arial" w:hAnsi="Arial" w:cs="Arial"/>
        </w:rPr>
        <w:t>Nizamuddin, 2023</w:t>
      </w:r>
      <w:r w:rsidR="00982E2E">
        <w:rPr>
          <w:rFonts w:ascii="Arial" w:hAnsi="Arial" w:cs="Arial"/>
        </w:rPr>
        <w:t>)</w:t>
      </w:r>
      <w:r w:rsidRPr="00C577F0">
        <w:rPr>
          <w:rFonts w:ascii="Arial" w:hAnsi="Arial" w:cs="Arial"/>
        </w:rPr>
        <w:t>.</w:t>
      </w:r>
    </w:p>
    <w:p w14:paraId="2C6892F7" w14:textId="374DDF66" w:rsidR="00C577F0" w:rsidRPr="007C4CC0" w:rsidRDefault="00C577F0" w:rsidP="007C4CC0">
      <w:pPr>
        <w:numPr>
          <w:ilvl w:val="0"/>
          <w:numId w:val="5"/>
        </w:numPr>
        <w:spacing w:line="360" w:lineRule="auto"/>
        <w:jc w:val="both"/>
        <w:rPr>
          <w:rFonts w:ascii="Arial" w:hAnsi="Arial" w:cs="Arial"/>
        </w:rPr>
      </w:pPr>
      <w:r w:rsidRPr="007C4CC0">
        <w:rPr>
          <w:rFonts w:ascii="Arial" w:hAnsi="Arial" w:cs="Arial"/>
          <w:b/>
          <w:bCs/>
          <w:i/>
          <w:iCs/>
        </w:rPr>
        <w:t>Investors and Shareholders</w:t>
      </w:r>
      <w:r w:rsidRPr="00C577F0">
        <w:rPr>
          <w:rFonts w:ascii="Arial" w:hAnsi="Arial" w:cs="Arial"/>
        </w:rPr>
        <w:t>:</w:t>
      </w:r>
      <w:r w:rsidR="007C4CC0">
        <w:rPr>
          <w:rFonts w:ascii="Arial" w:hAnsi="Arial" w:cs="Arial"/>
        </w:rPr>
        <w:t xml:space="preserve"> </w:t>
      </w:r>
      <w:r w:rsidR="007C4CC0" w:rsidRPr="007C4CC0">
        <w:rPr>
          <w:rFonts w:ascii="Arial" w:hAnsi="Arial" w:cs="Arial"/>
        </w:rPr>
        <w:t xml:space="preserve">Pharmacy2U is enabled to scale with support from investors and shareholders who provide the capital to operate the company and execute on its business strategy. They demand returns on investment that last, openness of business activities, and good governance. </w:t>
      </w:r>
      <w:r w:rsidR="005966CB" w:rsidRPr="007C4CC0">
        <w:rPr>
          <w:rFonts w:ascii="Arial" w:hAnsi="Arial" w:cs="Arial"/>
        </w:rPr>
        <w:t>It is</w:t>
      </w:r>
      <w:r w:rsidR="007C4CC0" w:rsidRPr="007C4CC0">
        <w:rPr>
          <w:rFonts w:ascii="Arial" w:hAnsi="Arial" w:cs="Arial"/>
        </w:rPr>
        <w:t xml:space="preserve"> about building trust and fitting into what they expect if </w:t>
      </w:r>
      <w:r w:rsidR="007C4CC0">
        <w:rPr>
          <w:rFonts w:ascii="Arial" w:hAnsi="Arial" w:cs="Arial"/>
        </w:rPr>
        <w:t>the company</w:t>
      </w:r>
      <w:r w:rsidR="007C4CC0" w:rsidRPr="007C4CC0">
        <w:rPr>
          <w:rFonts w:ascii="Arial" w:hAnsi="Arial" w:cs="Arial"/>
        </w:rPr>
        <w:t xml:space="preserve"> going to continue getting the money and grow </w:t>
      </w:r>
      <w:r w:rsidR="005966CB" w:rsidRPr="007C4CC0">
        <w:rPr>
          <w:rFonts w:ascii="Arial" w:hAnsi="Arial" w:cs="Arial"/>
        </w:rPr>
        <w:t>overall</w:t>
      </w:r>
      <w:r w:rsidR="00982E2E">
        <w:rPr>
          <w:rFonts w:ascii="Arial" w:hAnsi="Arial" w:cs="Arial"/>
        </w:rPr>
        <w:t xml:space="preserve"> (</w:t>
      </w:r>
      <w:r w:rsidR="00982E2E" w:rsidRPr="00982E2E">
        <w:rPr>
          <w:rFonts w:ascii="Arial" w:hAnsi="Arial" w:cs="Arial"/>
        </w:rPr>
        <w:t>Gantenbein</w:t>
      </w:r>
      <w:r w:rsidR="00982E2E">
        <w:rPr>
          <w:rFonts w:ascii="Arial" w:hAnsi="Arial" w:cs="Arial"/>
        </w:rPr>
        <w:t xml:space="preserve"> &amp;</w:t>
      </w:r>
      <w:r w:rsidR="00982E2E" w:rsidRPr="00982E2E">
        <w:rPr>
          <w:rFonts w:ascii="Arial" w:hAnsi="Arial" w:cs="Arial"/>
        </w:rPr>
        <w:t xml:space="preserve"> Engelhardt, 2012</w:t>
      </w:r>
      <w:r w:rsidR="00982E2E">
        <w:rPr>
          <w:rFonts w:ascii="Arial" w:hAnsi="Arial" w:cs="Arial"/>
        </w:rPr>
        <w:t>)</w:t>
      </w:r>
      <w:r w:rsidR="007C4CC0" w:rsidRPr="007C4CC0">
        <w:rPr>
          <w:rFonts w:ascii="Arial" w:hAnsi="Arial" w:cs="Arial"/>
        </w:rPr>
        <w:t>.</w:t>
      </w:r>
    </w:p>
    <w:p w14:paraId="5F41DFF3" w14:textId="4E5C05F7" w:rsidR="00C577F0" w:rsidRPr="007061FB" w:rsidRDefault="00C577F0" w:rsidP="007061FB">
      <w:pPr>
        <w:numPr>
          <w:ilvl w:val="0"/>
          <w:numId w:val="5"/>
        </w:numPr>
        <w:tabs>
          <w:tab w:val="num" w:pos="720"/>
        </w:tabs>
        <w:spacing w:line="360" w:lineRule="auto"/>
        <w:jc w:val="both"/>
        <w:rPr>
          <w:rFonts w:ascii="Arial" w:hAnsi="Arial" w:cs="Arial"/>
        </w:rPr>
      </w:pPr>
      <w:r w:rsidRPr="007C4CC0">
        <w:rPr>
          <w:rFonts w:ascii="Arial" w:hAnsi="Arial" w:cs="Arial"/>
          <w:b/>
          <w:bCs/>
          <w:i/>
          <w:iCs/>
        </w:rPr>
        <w:t>Community and Environmental Groups:</w:t>
      </w:r>
      <w:r w:rsidR="007C4CC0">
        <w:rPr>
          <w:rFonts w:ascii="Arial" w:hAnsi="Arial" w:cs="Arial"/>
        </w:rPr>
        <w:t xml:space="preserve"> </w:t>
      </w:r>
      <w:r w:rsidR="007C4CC0" w:rsidRPr="007C4CC0">
        <w:rPr>
          <w:rFonts w:ascii="Arial" w:hAnsi="Arial" w:cs="Arial"/>
        </w:rPr>
        <w:t xml:space="preserve">Pharmacy2U </w:t>
      </w:r>
      <w:r w:rsidR="005966CB" w:rsidRPr="007C4CC0">
        <w:rPr>
          <w:rFonts w:ascii="Arial" w:hAnsi="Arial" w:cs="Arial"/>
        </w:rPr>
        <w:t>collaborates</w:t>
      </w:r>
      <w:r w:rsidR="007C4CC0" w:rsidRPr="007C4CC0">
        <w:rPr>
          <w:rFonts w:ascii="Arial" w:hAnsi="Arial" w:cs="Arial"/>
        </w:rPr>
        <w:t xml:space="preserve"> with multiple community partners, from patient families and advocacy groups to sustainability organisations. Such groups demand hygienic operations, dynamic active corporate social responsibility, and sustainable practices. Meeting those expectations helps the business’s standing, builds local trust, and is consistent with broader society’s aspirations for health equity and sustainability</w:t>
      </w:r>
      <w:r w:rsidR="00982E2E">
        <w:rPr>
          <w:rFonts w:ascii="Arial" w:hAnsi="Arial" w:cs="Arial"/>
        </w:rPr>
        <w:t xml:space="preserve"> (</w:t>
      </w:r>
      <w:r w:rsidR="00982E2E" w:rsidRPr="00982E2E">
        <w:rPr>
          <w:rFonts w:ascii="Arial" w:hAnsi="Arial" w:cs="Arial"/>
        </w:rPr>
        <w:t xml:space="preserve">Murphy </w:t>
      </w:r>
      <w:r w:rsidR="00982E2E">
        <w:rPr>
          <w:rFonts w:ascii="Arial" w:hAnsi="Arial" w:cs="Arial"/>
        </w:rPr>
        <w:t xml:space="preserve">&amp; </w:t>
      </w:r>
      <w:r w:rsidR="00982E2E" w:rsidRPr="00982E2E">
        <w:rPr>
          <w:rFonts w:ascii="Arial" w:hAnsi="Arial" w:cs="Arial"/>
        </w:rPr>
        <w:t xml:space="preserve">Bendell, </w:t>
      </w:r>
      <w:r w:rsidR="00982E2E">
        <w:rPr>
          <w:rFonts w:ascii="Arial" w:hAnsi="Arial" w:cs="Arial"/>
        </w:rPr>
        <w:t>1997)</w:t>
      </w:r>
      <w:r w:rsidR="007C4CC0" w:rsidRPr="007C4CC0">
        <w:rPr>
          <w:rFonts w:ascii="Arial" w:hAnsi="Arial" w:cs="Arial"/>
        </w:rPr>
        <w:t>.</w:t>
      </w:r>
    </w:p>
    <w:p w14:paraId="7A427E11" w14:textId="18DC5585" w:rsidR="007061FB" w:rsidRPr="00FD2BAB" w:rsidRDefault="004E0BCA" w:rsidP="00FD2BAB">
      <w:pPr>
        <w:pStyle w:val="Heading2"/>
        <w:rPr>
          <w:b/>
          <w:bCs/>
          <w:color w:val="auto"/>
          <w:sz w:val="24"/>
          <w:szCs w:val="24"/>
        </w:rPr>
      </w:pPr>
      <w:bookmarkStart w:id="13" w:name="_Toc183039611"/>
      <w:r w:rsidRPr="00FD2BAB">
        <w:rPr>
          <w:b/>
          <w:bCs/>
          <w:color w:val="auto"/>
          <w:sz w:val="24"/>
          <w:szCs w:val="24"/>
        </w:rPr>
        <w:t>4.2 Stakeholder Analysis Grid</w:t>
      </w:r>
      <w:bookmarkEnd w:id="13"/>
    </w:p>
    <w:p w14:paraId="39B35B1D" w14:textId="75ECBAF4" w:rsidR="004E0BCA" w:rsidRDefault="004E0BCA" w:rsidP="004E0BCA">
      <w:pPr>
        <w:spacing w:line="360" w:lineRule="auto"/>
        <w:jc w:val="both"/>
        <w:rPr>
          <w:rFonts w:ascii="Arial" w:hAnsi="Arial" w:cs="Arial"/>
        </w:rPr>
      </w:pPr>
      <w:r w:rsidRPr="004E0BCA">
        <w:rPr>
          <w:rFonts w:ascii="Arial" w:hAnsi="Arial" w:cs="Arial"/>
        </w:rPr>
        <w:t xml:space="preserve">The Power/Interest Grid </w:t>
      </w:r>
      <w:r>
        <w:rPr>
          <w:rFonts w:ascii="Arial" w:hAnsi="Arial" w:cs="Arial"/>
        </w:rPr>
        <w:t>categorised</w:t>
      </w:r>
      <w:r w:rsidRPr="004E0BCA">
        <w:rPr>
          <w:rFonts w:ascii="Arial" w:hAnsi="Arial" w:cs="Arial"/>
        </w:rPr>
        <w:t xml:space="preserve"> stakeholders </w:t>
      </w:r>
      <w:r>
        <w:rPr>
          <w:rFonts w:ascii="Arial" w:hAnsi="Arial" w:cs="Arial"/>
        </w:rPr>
        <w:t>by</w:t>
      </w:r>
      <w:r w:rsidRPr="004E0BCA">
        <w:rPr>
          <w:rFonts w:ascii="Arial" w:hAnsi="Arial" w:cs="Arial"/>
        </w:rPr>
        <w:t xml:space="preserve"> their influence (power) and the degree of involvement they have in Pharmacy2U’s activities. This ensures stakeholder engagement is prioritised</w:t>
      </w:r>
      <w:r w:rsidR="00CA5FC7">
        <w:rPr>
          <w:rFonts w:ascii="Arial" w:hAnsi="Arial" w:cs="Arial"/>
        </w:rPr>
        <w:t xml:space="preserve"> (</w:t>
      </w:r>
      <w:r w:rsidR="00CA5FC7" w:rsidRPr="00CA5FC7">
        <w:rPr>
          <w:rFonts w:ascii="Arial" w:hAnsi="Arial" w:cs="Arial"/>
        </w:rPr>
        <w:t>Brugha</w:t>
      </w:r>
      <w:r w:rsidR="00CA5FC7">
        <w:rPr>
          <w:rFonts w:ascii="Arial" w:hAnsi="Arial" w:cs="Arial"/>
        </w:rPr>
        <w:t xml:space="preserve"> &amp;</w:t>
      </w:r>
      <w:r w:rsidR="00CA5FC7" w:rsidRPr="00CA5FC7">
        <w:rPr>
          <w:rFonts w:ascii="Arial" w:hAnsi="Arial" w:cs="Arial"/>
        </w:rPr>
        <w:t xml:space="preserve"> Varvasovszky, 2000</w:t>
      </w:r>
      <w:r w:rsidR="00CA5FC7">
        <w:rPr>
          <w:rFonts w:ascii="Arial" w:hAnsi="Arial" w:cs="Arial"/>
        </w:rPr>
        <w:t>)</w:t>
      </w:r>
      <w:r w:rsidRPr="004E0BCA">
        <w:rPr>
          <w:rFonts w:ascii="Arial" w:hAnsi="Arial" w:cs="Arial"/>
        </w:rPr>
        <w:t>.</w:t>
      </w:r>
    </w:p>
    <w:p w14:paraId="07A8B008" w14:textId="77777777" w:rsidR="00041C23" w:rsidRDefault="00041C23" w:rsidP="004E0BCA">
      <w:pPr>
        <w:spacing w:line="360" w:lineRule="auto"/>
        <w:jc w:val="both"/>
        <w:rPr>
          <w:rFonts w:ascii="Arial" w:hAnsi="Arial" w:cs="Arial"/>
        </w:rPr>
      </w:pPr>
    </w:p>
    <w:p w14:paraId="788EE004" w14:textId="5DA3D7DC" w:rsidR="00041C23" w:rsidRPr="004E0BCA" w:rsidRDefault="007023D1" w:rsidP="007023D1">
      <w:pPr>
        <w:pStyle w:val="Caption"/>
        <w:jc w:val="center"/>
        <w:rPr>
          <w:rFonts w:ascii="Arial" w:hAnsi="Arial" w:cs="Arial"/>
        </w:rPr>
      </w:pPr>
      <w:bookmarkStart w:id="14" w:name="_Toc183040037"/>
      <w:r>
        <w:lastRenderedPageBreak/>
        <w:t xml:space="preserve">Table </w:t>
      </w:r>
      <w:fldSimple w:instr=" SEQ Table \* ARABIC ">
        <w:r w:rsidR="00EB76D9">
          <w:rPr>
            <w:noProof/>
          </w:rPr>
          <w:t>4</w:t>
        </w:r>
      </w:fldSimple>
      <w:r>
        <w:t xml:space="preserve"> </w:t>
      </w:r>
      <w:r w:rsidRPr="000E0119">
        <w:t>Stakeholder Analysis Grid</w:t>
      </w:r>
      <w:bookmarkEnd w:id="14"/>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997"/>
        <w:gridCol w:w="2999"/>
        <w:gridCol w:w="3000"/>
      </w:tblGrid>
      <w:tr w:rsidR="00041C23" w14:paraId="14004B88" w14:textId="77777777" w:rsidTr="00041C23">
        <w:tc>
          <w:tcPr>
            <w:tcW w:w="3005" w:type="dxa"/>
            <w:shd w:val="clear" w:color="auto" w:fill="ADADAD" w:themeFill="background2" w:themeFillShade="BF"/>
          </w:tcPr>
          <w:p w14:paraId="56B55EBA" w14:textId="716F5603" w:rsidR="00041C23" w:rsidRPr="00041C23" w:rsidRDefault="00041C23" w:rsidP="00041C23">
            <w:pPr>
              <w:spacing w:line="360" w:lineRule="auto"/>
              <w:jc w:val="center"/>
              <w:rPr>
                <w:rFonts w:ascii="Arial" w:hAnsi="Arial" w:cs="Arial"/>
                <w:b/>
                <w:bCs/>
              </w:rPr>
            </w:pPr>
            <w:r w:rsidRPr="00041C23">
              <w:rPr>
                <w:rFonts w:ascii="Arial" w:hAnsi="Arial" w:cs="Arial"/>
                <w:b/>
                <w:bCs/>
              </w:rPr>
              <w:t>Category</w:t>
            </w:r>
          </w:p>
        </w:tc>
        <w:tc>
          <w:tcPr>
            <w:tcW w:w="3005" w:type="dxa"/>
            <w:shd w:val="clear" w:color="auto" w:fill="ADADAD" w:themeFill="background2" w:themeFillShade="BF"/>
          </w:tcPr>
          <w:p w14:paraId="06FFF691" w14:textId="3C1DEDC7" w:rsidR="00041C23" w:rsidRPr="00041C23" w:rsidRDefault="00041C23" w:rsidP="00041C23">
            <w:pPr>
              <w:spacing w:line="360" w:lineRule="auto"/>
              <w:jc w:val="center"/>
              <w:rPr>
                <w:rFonts w:ascii="Arial" w:hAnsi="Arial" w:cs="Arial"/>
                <w:b/>
                <w:bCs/>
              </w:rPr>
            </w:pPr>
            <w:r w:rsidRPr="00041C23">
              <w:rPr>
                <w:rFonts w:ascii="Arial" w:hAnsi="Arial" w:cs="Arial"/>
                <w:b/>
                <w:bCs/>
              </w:rPr>
              <w:t>Stakeholders</w:t>
            </w:r>
          </w:p>
        </w:tc>
        <w:tc>
          <w:tcPr>
            <w:tcW w:w="3006" w:type="dxa"/>
            <w:shd w:val="clear" w:color="auto" w:fill="ADADAD" w:themeFill="background2" w:themeFillShade="BF"/>
          </w:tcPr>
          <w:p w14:paraId="24A2C8DB" w14:textId="047EF49F" w:rsidR="00041C23" w:rsidRPr="00041C23" w:rsidRDefault="00041C23" w:rsidP="00041C23">
            <w:pPr>
              <w:spacing w:line="360" w:lineRule="auto"/>
              <w:jc w:val="center"/>
              <w:rPr>
                <w:rFonts w:ascii="Arial" w:hAnsi="Arial" w:cs="Arial"/>
                <w:b/>
                <w:bCs/>
              </w:rPr>
            </w:pPr>
            <w:r w:rsidRPr="00041C23">
              <w:rPr>
                <w:rFonts w:ascii="Arial" w:hAnsi="Arial" w:cs="Arial"/>
                <w:b/>
                <w:bCs/>
              </w:rPr>
              <w:t>Engagement Strategy</w:t>
            </w:r>
          </w:p>
        </w:tc>
      </w:tr>
      <w:tr w:rsidR="00041C23" w14:paraId="0DEE193B" w14:textId="77777777" w:rsidTr="00041C23">
        <w:tc>
          <w:tcPr>
            <w:tcW w:w="3005" w:type="dxa"/>
          </w:tcPr>
          <w:p w14:paraId="6A5E6F4E" w14:textId="6C73E0D1" w:rsidR="00041C23" w:rsidRPr="00041C23" w:rsidRDefault="00041C23" w:rsidP="007061FB">
            <w:pPr>
              <w:spacing w:line="360" w:lineRule="auto"/>
              <w:jc w:val="both"/>
              <w:rPr>
                <w:rFonts w:ascii="Arial" w:hAnsi="Arial" w:cs="Arial"/>
                <w:b/>
                <w:bCs/>
              </w:rPr>
            </w:pPr>
            <w:r w:rsidRPr="00041C23">
              <w:rPr>
                <w:rFonts w:ascii="Arial" w:hAnsi="Arial" w:cs="Arial"/>
                <w:b/>
                <w:bCs/>
              </w:rPr>
              <w:t>High Power, High Interest</w:t>
            </w:r>
          </w:p>
        </w:tc>
        <w:tc>
          <w:tcPr>
            <w:tcW w:w="3005" w:type="dxa"/>
          </w:tcPr>
          <w:p w14:paraId="43E0E771" w14:textId="5D259FE1" w:rsidR="00041C23" w:rsidRDefault="00041C23" w:rsidP="007061FB">
            <w:pPr>
              <w:spacing w:line="360" w:lineRule="auto"/>
              <w:jc w:val="both"/>
              <w:rPr>
                <w:rFonts w:ascii="Arial" w:hAnsi="Arial" w:cs="Arial"/>
              </w:rPr>
            </w:pPr>
            <w:r w:rsidRPr="00041C23">
              <w:rPr>
                <w:rFonts w:ascii="Arial" w:hAnsi="Arial" w:cs="Arial"/>
              </w:rPr>
              <w:t>NHS, Customers</w:t>
            </w:r>
          </w:p>
        </w:tc>
        <w:tc>
          <w:tcPr>
            <w:tcW w:w="3006" w:type="dxa"/>
          </w:tcPr>
          <w:p w14:paraId="261BA74E" w14:textId="56A78513" w:rsidR="00041C23" w:rsidRDefault="00041C23" w:rsidP="007061FB">
            <w:pPr>
              <w:spacing w:line="360" w:lineRule="auto"/>
              <w:jc w:val="both"/>
              <w:rPr>
                <w:rFonts w:ascii="Arial" w:hAnsi="Arial" w:cs="Arial"/>
              </w:rPr>
            </w:pPr>
            <w:r w:rsidRPr="00041C23">
              <w:rPr>
                <w:rFonts w:ascii="Arial" w:hAnsi="Arial" w:cs="Arial"/>
              </w:rPr>
              <w:t>Collaborate closely, maintain trust, ensure compliance.</w:t>
            </w:r>
          </w:p>
        </w:tc>
      </w:tr>
      <w:tr w:rsidR="00041C23" w14:paraId="22F91DCC" w14:textId="77777777" w:rsidTr="00041C23">
        <w:tc>
          <w:tcPr>
            <w:tcW w:w="3005" w:type="dxa"/>
          </w:tcPr>
          <w:p w14:paraId="024AA143" w14:textId="3B1EB445" w:rsidR="00041C23" w:rsidRPr="00041C23" w:rsidRDefault="00041C23" w:rsidP="007061FB">
            <w:pPr>
              <w:spacing w:line="360" w:lineRule="auto"/>
              <w:jc w:val="both"/>
              <w:rPr>
                <w:rFonts w:ascii="Arial" w:hAnsi="Arial" w:cs="Arial"/>
                <w:b/>
                <w:bCs/>
              </w:rPr>
            </w:pPr>
            <w:r w:rsidRPr="00041C23">
              <w:rPr>
                <w:rFonts w:ascii="Arial" w:hAnsi="Arial" w:cs="Arial"/>
                <w:b/>
                <w:bCs/>
              </w:rPr>
              <w:t>High Power, Low Interest</w:t>
            </w:r>
          </w:p>
        </w:tc>
        <w:tc>
          <w:tcPr>
            <w:tcW w:w="3005" w:type="dxa"/>
          </w:tcPr>
          <w:p w14:paraId="04193CFE" w14:textId="39D8BE92" w:rsidR="00041C23" w:rsidRDefault="00041C23" w:rsidP="007061FB">
            <w:pPr>
              <w:spacing w:line="360" w:lineRule="auto"/>
              <w:jc w:val="both"/>
              <w:rPr>
                <w:rFonts w:ascii="Arial" w:hAnsi="Arial" w:cs="Arial"/>
              </w:rPr>
            </w:pPr>
            <w:r w:rsidRPr="00041C23">
              <w:rPr>
                <w:rFonts w:ascii="Arial" w:hAnsi="Arial" w:cs="Arial"/>
              </w:rPr>
              <w:t>Investors, Suppliers</w:t>
            </w:r>
          </w:p>
        </w:tc>
        <w:tc>
          <w:tcPr>
            <w:tcW w:w="3006" w:type="dxa"/>
          </w:tcPr>
          <w:p w14:paraId="574591D9" w14:textId="5B9CD934" w:rsidR="00041C23" w:rsidRDefault="00041C23" w:rsidP="007061FB">
            <w:pPr>
              <w:spacing w:line="360" w:lineRule="auto"/>
              <w:jc w:val="both"/>
              <w:rPr>
                <w:rFonts w:ascii="Arial" w:hAnsi="Arial" w:cs="Arial"/>
              </w:rPr>
            </w:pPr>
            <w:r w:rsidRPr="00041C23">
              <w:rPr>
                <w:rFonts w:ascii="Arial" w:hAnsi="Arial" w:cs="Arial"/>
              </w:rPr>
              <w:t>Keep informed, address concerns proactively.</w:t>
            </w:r>
          </w:p>
        </w:tc>
      </w:tr>
      <w:tr w:rsidR="00041C23" w14:paraId="3ED3E892" w14:textId="77777777" w:rsidTr="00041C23">
        <w:tc>
          <w:tcPr>
            <w:tcW w:w="3005" w:type="dxa"/>
          </w:tcPr>
          <w:p w14:paraId="49F8DBD9" w14:textId="493AB5E6" w:rsidR="00041C23" w:rsidRPr="00041C23" w:rsidRDefault="00041C23" w:rsidP="007061FB">
            <w:pPr>
              <w:spacing w:line="360" w:lineRule="auto"/>
              <w:jc w:val="both"/>
              <w:rPr>
                <w:rFonts w:ascii="Arial" w:hAnsi="Arial" w:cs="Arial"/>
                <w:b/>
                <w:bCs/>
              </w:rPr>
            </w:pPr>
            <w:r w:rsidRPr="00041C23">
              <w:rPr>
                <w:rFonts w:ascii="Arial" w:hAnsi="Arial" w:cs="Arial"/>
                <w:b/>
                <w:bCs/>
              </w:rPr>
              <w:t>Low Power, High Interest</w:t>
            </w:r>
          </w:p>
        </w:tc>
        <w:tc>
          <w:tcPr>
            <w:tcW w:w="3005" w:type="dxa"/>
          </w:tcPr>
          <w:p w14:paraId="6B16EB45" w14:textId="6D31A2DA" w:rsidR="00041C23" w:rsidRDefault="00041C23" w:rsidP="007061FB">
            <w:pPr>
              <w:spacing w:line="360" w:lineRule="auto"/>
              <w:jc w:val="both"/>
              <w:rPr>
                <w:rFonts w:ascii="Arial" w:hAnsi="Arial" w:cs="Arial"/>
              </w:rPr>
            </w:pPr>
            <w:r w:rsidRPr="00041C23">
              <w:rPr>
                <w:rFonts w:ascii="Arial" w:hAnsi="Arial" w:cs="Arial"/>
              </w:rPr>
              <w:t>Employees, Community</w:t>
            </w:r>
          </w:p>
        </w:tc>
        <w:tc>
          <w:tcPr>
            <w:tcW w:w="3006" w:type="dxa"/>
          </w:tcPr>
          <w:p w14:paraId="694CB54B" w14:textId="72C97849" w:rsidR="00041C23" w:rsidRDefault="00041C23" w:rsidP="007061FB">
            <w:pPr>
              <w:spacing w:line="360" w:lineRule="auto"/>
              <w:jc w:val="both"/>
              <w:rPr>
                <w:rFonts w:ascii="Arial" w:hAnsi="Arial" w:cs="Arial"/>
              </w:rPr>
            </w:pPr>
            <w:r w:rsidRPr="00041C23">
              <w:rPr>
                <w:rFonts w:ascii="Arial" w:hAnsi="Arial" w:cs="Arial"/>
              </w:rPr>
              <w:t>Engage regularly, create opportunities for feedback.</w:t>
            </w:r>
          </w:p>
        </w:tc>
      </w:tr>
      <w:tr w:rsidR="00041C23" w14:paraId="7731A7D6" w14:textId="77777777" w:rsidTr="00041C23">
        <w:tc>
          <w:tcPr>
            <w:tcW w:w="3005" w:type="dxa"/>
          </w:tcPr>
          <w:p w14:paraId="628DF936" w14:textId="5AD36E99" w:rsidR="00041C23" w:rsidRPr="00041C23" w:rsidRDefault="00041C23" w:rsidP="007061FB">
            <w:pPr>
              <w:spacing w:line="360" w:lineRule="auto"/>
              <w:jc w:val="both"/>
              <w:rPr>
                <w:rFonts w:ascii="Arial" w:hAnsi="Arial" w:cs="Arial"/>
                <w:b/>
                <w:bCs/>
              </w:rPr>
            </w:pPr>
            <w:r w:rsidRPr="00041C23">
              <w:rPr>
                <w:rFonts w:ascii="Arial" w:hAnsi="Arial" w:cs="Arial"/>
                <w:b/>
                <w:bCs/>
              </w:rPr>
              <w:t>Low Power, Low Interest</w:t>
            </w:r>
          </w:p>
        </w:tc>
        <w:tc>
          <w:tcPr>
            <w:tcW w:w="3005" w:type="dxa"/>
          </w:tcPr>
          <w:p w14:paraId="7B9E7417" w14:textId="0F1FD637" w:rsidR="00041C23" w:rsidRDefault="00041C23" w:rsidP="007061FB">
            <w:pPr>
              <w:spacing w:line="360" w:lineRule="auto"/>
              <w:jc w:val="both"/>
              <w:rPr>
                <w:rFonts w:ascii="Arial" w:hAnsi="Arial" w:cs="Arial"/>
              </w:rPr>
            </w:pPr>
            <w:r w:rsidRPr="00041C23">
              <w:rPr>
                <w:rFonts w:ascii="Arial" w:hAnsi="Arial" w:cs="Arial"/>
              </w:rPr>
              <w:t>Environmental groups</w:t>
            </w:r>
          </w:p>
        </w:tc>
        <w:tc>
          <w:tcPr>
            <w:tcW w:w="3006" w:type="dxa"/>
          </w:tcPr>
          <w:p w14:paraId="08D890A4" w14:textId="7B6E47F0" w:rsidR="00041C23" w:rsidRDefault="00041C23" w:rsidP="007061FB">
            <w:pPr>
              <w:spacing w:line="360" w:lineRule="auto"/>
              <w:jc w:val="both"/>
              <w:rPr>
                <w:rFonts w:ascii="Arial" w:hAnsi="Arial" w:cs="Arial"/>
              </w:rPr>
            </w:pPr>
            <w:r w:rsidRPr="00041C23">
              <w:rPr>
                <w:rFonts w:ascii="Arial" w:hAnsi="Arial" w:cs="Arial"/>
              </w:rPr>
              <w:t>Monitor occasionally, engage selectively on key issues.</w:t>
            </w:r>
          </w:p>
        </w:tc>
      </w:tr>
    </w:tbl>
    <w:p w14:paraId="3FD90F13" w14:textId="77777777" w:rsidR="007061FB" w:rsidRDefault="007061FB" w:rsidP="007061FB">
      <w:pPr>
        <w:spacing w:line="360" w:lineRule="auto"/>
        <w:jc w:val="both"/>
        <w:rPr>
          <w:rFonts w:ascii="Arial" w:hAnsi="Arial" w:cs="Arial"/>
        </w:rPr>
      </w:pPr>
    </w:p>
    <w:p w14:paraId="754B3CDA" w14:textId="3274F4A8" w:rsidR="00224DF1" w:rsidRPr="00224DF1" w:rsidRDefault="00224DF1" w:rsidP="00224DF1">
      <w:pPr>
        <w:spacing w:line="360" w:lineRule="auto"/>
        <w:jc w:val="both"/>
        <w:rPr>
          <w:rFonts w:ascii="Arial" w:hAnsi="Arial" w:cs="Arial"/>
        </w:rPr>
      </w:pPr>
      <w:r w:rsidRPr="00224DF1">
        <w:rPr>
          <w:rFonts w:ascii="Arial" w:hAnsi="Arial" w:cs="Arial"/>
        </w:rPr>
        <w:t>Pharmacy2U is built in a landscape of stakeholders who have a different power and interest. The NHS</w:t>
      </w:r>
      <w:r>
        <w:rPr>
          <w:rFonts w:ascii="Arial" w:hAnsi="Arial" w:cs="Arial"/>
        </w:rPr>
        <w:t xml:space="preserve"> and</w:t>
      </w:r>
      <w:r w:rsidRPr="00224DF1">
        <w:rPr>
          <w:rFonts w:ascii="Arial" w:hAnsi="Arial" w:cs="Arial"/>
        </w:rPr>
        <w:t xml:space="preserve"> customers are big players in the high power, high interest game. As Pharmacy2U’s business is built on the NHS partnership, this relationship is so important that </w:t>
      </w:r>
      <w:r>
        <w:rPr>
          <w:rFonts w:ascii="Arial" w:hAnsi="Arial" w:cs="Arial"/>
        </w:rPr>
        <w:t>the company</w:t>
      </w:r>
      <w:r w:rsidRPr="00224DF1">
        <w:rPr>
          <w:rFonts w:ascii="Arial" w:hAnsi="Arial" w:cs="Arial"/>
        </w:rPr>
        <w:t xml:space="preserve"> </w:t>
      </w:r>
      <w:r>
        <w:rPr>
          <w:rFonts w:ascii="Arial" w:hAnsi="Arial" w:cs="Arial"/>
        </w:rPr>
        <w:t>cannot</w:t>
      </w:r>
      <w:r w:rsidRPr="00224DF1">
        <w:rPr>
          <w:rFonts w:ascii="Arial" w:hAnsi="Arial" w:cs="Arial"/>
        </w:rPr>
        <w:t xml:space="preserve"> do without compliance, </w:t>
      </w:r>
      <w:r w:rsidR="005966CB" w:rsidRPr="00224DF1">
        <w:rPr>
          <w:rFonts w:ascii="Arial" w:hAnsi="Arial" w:cs="Arial"/>
        </w:rPr>
        <w:t>transparency,</w:t>
      </w:r>
      <w:r w:rsidRPr="00224DF1">
        <w:rPr>
          <w:rFonts w:ascii="Arial" w:hAnsi="Arial" w:cs="Arial"/>
        </w:rPr>
        <w:t xml:space="preserve"> and </w:t>
      </w:r>
      <w:r w:rsidR="00CA5FC7" w:rsidRPr="00224DF1">
        <w:rPr>
          <w:rFonts w:ascii="Arial" w:hAnsi="Arial" w:cs="Arial"/>
        </w:rPr>
        <w:t>accountability</w:t>
      </w:r>
      <w:r w:rsidR="00CA5FC7">
        <w:rPr>
          <w:rFonts w:ascii="Arial" w:hAnsi="Arial" w:cs="Arial"/>
        </w:rPr>
        <w:t xml:space="preserve"> (</w:t>
      </w:r>
      <w:r w:rsidR="00CA5FC7" w:rsidRPr="001851D3">
        <w:rPr>
          <w:rFonts w:ascii="Arial" w:hAnsi="Arial" w:cs="Arial"/>
        </w:rPr>
        <w:t>Dacre</w:t>
      </w:r>
      <w:r w:rsidR="00CA5FC7">
        <w:rPr>
          <w:rFonts w:ascii="Arial" w:hAnsi="Arial" w:cs="Arial"/>
        </w:rPr>
        <w:t>, et.al., 2023)</w:t>
      </w:r>
      <w:r w:rsidR="00CA5FC7" w:rsidRPr="00C577F0">
        <w:rPr>
          <w:rFonts w:ascii="Arial" w:hAnsi="Arial" w:cs="Arial"/>
        </w:rPr>
        <w:t>.</w:t>
      </w:r>
      <w:r w:rsidR="00CA5FC7">
        <w:rPr>
          <w:rFonts w:ascii="Arial" w:hAnsi="Arial" w:cs="Arial"/>
        </w:rPr>
        <w:t xml:space="preserve"> </w:t>
      </w:r>
      <w:r w:rsidRPr="00224DF1">
        <w:rPr>
          <w:rFonts w:ascii="Arial" w:hAnsi="Arial" w:cs="Arial"/>
        </w:rPr>
        <w:t xml:space="preserve">End-users (that is, customers) control a lot of the company’s reputation based on customer satisfaction and regulators set </w:t>
      </w:r>
      <w:r w:rsidR="005966CB" w:rsidRPr="00224DF1">
        <w:rPr>
          <w:rFonts w:ascii="Arial" w:hAnsi="Arial" w:cs="Arial"/>
        </w:rPr>
        <w:t>extremely ambitious standards</w:t>
      </w:r>
      <w:r w:rsidRPr="00224DF1">
        <w:rPr>
          <w:rFonts w:ascii="Arial" w:hAnsi="Arial" w:cs="Arial"/>
        </w:rPr>
        <w:t xml:space="preserve"> which Pharmacy2U has to stick by so nothing can be disrupted</w:t>
      </w:r>
      <w:r w:rsidR="00CA5FC7">
        <w:rPr>
          <w:rFonts w:ascii="Arial" w:hAnsi="Arial" w:cs="Arial"/>
        </w:rPr>
        <w:t xml:space="preserve"> (</w:t>
      </w:r>
      <w:r w:rsidR="00CA5FC7" w:rsidRPr="00B567DE">
        <w:rPr>
          <w:rFonts w:ascii="Arial" w:hAnsi="Arial" w:cs="Arial"/>
        </w:rPr>
        <w:t xml:space="preserve">Xu, </w:t>
      </w:r>
      <w:r w:rsidR="00CA5FC7">
        <w:rPr>
          <w:rFonts w:ascii="Arial" w:hAnsi="Arial" w:cs="Arial"/>
        </w:rPr>
        <w:t>et.al., 2017).</w:t>
      </w:r>
      <w:r>
        <w:rPr>
          <w:rFonts w:ascii="Arial" w:hAnsi="Arial" w:cs="Arial"/>
        </w:rPr>
        <w:t xml:space="preserve"> </w:t>
      </w:r>
      <w:r w:rsidRPr="00224DF1">
        <w:rPr>
          <w:rFonts w:ascii="Arial" w:hAnsi="Arial" w:cs="Arial"/>
        </w:rPr>
        <w:t>In the low interest, high power category, investors and suppliers are central. While investors are not directly engaged in the business, they demand visibility on financial position and long-term plans; suppliers keep the supply chain going. Good relationships with both groups protect operations integrity</w:t>
      </w:r>
      <w:r w:rsidR="00CA5FC7">
        <w:rPr>
          <w:rFonts w:ascii="Arial" w:hAnsi="Arial" w:cs="Arial"/>
        </w:rPr>
        <w:t xml:space="preserve"> (</w:t>
      </w:r>
      <w:r w:rsidR="00CA5FC7" w:rsidRPr="00982E2E">
        <w:rPr>
          <w:rFonts w:ascii="Arial" w:hAnsi="Arial" w:cs="Arial"/>
        </w:rPr>
        <w:t>Gantenbein</w:t>
      </w:r>
      <w:r w:rsidR="00CA5FC7">
        <w:rPr>
          <w:rFonts w:ascii="Arial" w:hAnsi="Arial" w:cs="Arial"/>
        </w:rPr>
        <w:t xml:space="preserve"> &amp;</w:t>
      </w:r>
      <w:r w:rsidR="00CA5FC7" w:rsidRPr="00982E2E">
        <w:rPr>
          <w:rFonts w:ascii="Arial" w:hAnsi="Arial" w:cs="Arial"/>
        </w:rPr>
        <w:t xml:space="preserve"> Engelhardt, 2012</w:t>
      </w:r>
      <w:r w:rsidR="00CA5FC7">
        <w:rPr>
          <w:rFonts w:ascii="Arial" w:hAnsi="Arial" w:cs="Arial"/>
        </w:rPr>
        <w:t>)</w:t>
      </w:r>
      <w:r w:rsidR="00CA5FC7" w:rsidRPr="007C4CC0">
        <w:rPr>
          <w:rFonts w:ascii="Arial" w:hAnsi="Arial" w:cs="Arial"/>
        </w:rPr>
        <w:t>.</w:t>
      </w:r>
    </w:p>
    <w:p w14:paraId="10C82AEE" w14:textId="4951216D" w:rsidR="00224DF1" w:rsidRPr="00FD2BAB" w:rsidRDefault="00224DF1" w:rsidP="00FD2BAB">
      <w:pPr>
        <w:pStyle w:val="Heading2"/>
        <w:rPr>
          <w:b/>
          <w:bCs/>
          <w:color w:val="auto"/>
          <w:sz w:val="24"/>
          <w:szCs w:val="24"/>
        </w:rPr>
      </w:pPr>
      <w:bookmarkStart w:id="15" w:name="_Toc183039612"/>
      <w:r w:rsidRPr="00FD2BAB">
        <w:rPr>
          <w:b/>
          <w:bCs/>
          <w:color w:val="auto"/>
          <w:sz w:val="24"/>
          <w:szCs w:val="24"/>
        </w:rPr>
        <w:t>4.3 Managing Stakeholders</w:t>
      </w:r>
      <w:bookmarkEnd w:id="15"/>
    </w:p>
    <w:p w14:paraId="5C3AD375" w14:textId="0D74FEBC" w:rsidR="00224DF1" w:rsidRDefault="00224DF1" w:rsidP="00224DF1">
      <w:pPr>
        <w:spacing w:line="360" w:lineRule="auto"/>
        <w:jc w:val="both"/>
        <w:rPr>
          <w:rFonts w:ascii="Arial" w:hAnsi="Arial" w:cs="Arial"/>
        </w:rPr>
      </w:pPr>
      <w:r w:rsidRPr="00224DF1">
        <w:rPr>
          <w:rFonts w:ascii="Arial" w:hAnsi="Arial" w:cs="Arial"/>
        </w:rPr>
        <w:t xml:space="preserve">Stakeholder management at Pharmacy2U must be customised to meet the specific requirements and needs of each stakeholder group. For high-level, high interest </w:t>
      </w:r>
      <w:r>
        <w:rPr>
          <w:rFonts w:ascii="Arial" w:hAnsi="Arial" w:cs="Arial"/>
        </w:rPr>
        <w:t>stakeholders</w:t>
      </w:r>
      <w:r w:rsidRPr="00224DF1">
        <w:rPr>
          <w:rFonts w:ascii="Arial" w:hAnsi="Arial" w:cs="Arial"/>
        </w:rPr>
        <w:t xml:space="preserve"> such as the NHS and </w:t>
      </w:r>
      <w:r>
        <w:rPr>
          <w:rFonts w:ascii="Arial" w:hAnsi="Arial" w:cs="Arial"/>
        </w:rPr>
        <w:t>customers</w:t>
      </w:r>
      <w:r w:rsidRPr="00224DF1">
        <w:rPr>
          <w:rFonts w:ascii="Arial" w:hAnsi="Arial" w:cs="Arial"/>
        </w:rPr>
        <w:t xml:space="preserve">, </w:t>
      </w:r>
      <w:r w:rsidR="00403949" w:rsidRPr="00403949">
        <w:rPr>
          <w:rFonts w:ascii="Arial" w:hAnsi="Arial" w:cs="Arial"/>
        </w:rPr>
        <w:t>collaborative engagement</w:t>
      </w:r>
      <w:r w:rsidR="00403949">
        <w:rPr>
          <w:rFonts w:ascii="Arial" w:hAnsi="Arial" w:cs="Arial"/>
        </w:rPr>
        <w:t xml:space="preserve"> </w:t>
      </w:r>
      <w:r w:rsidRPr="00224DF1">
        <w:rPr>
          <w:rFonts w:ascii="Arial" w:hAnsi="Arial" w:cs="Arial"/>
        </w:rPr>
        <w:t>via regular communications, audits and feedback channels keeps them on-board and on track with healthcare needs. Personalised services, secure infrastructure, and 24/7 support make customers more satisfied</w:t>
      </w:r>
      <w:r w:rsidR="004D269B">
        <w:rPr>
          <w:rFonts w:ascii="Arial" w:hAnsi="Arial" w:cs="Arial"/>
        </w:rPr>
        <w:t xml:space="preserve"> (</w:t>
      </w:r>
      <w:r w:rsidR="004D269B" w:rsidRPr="004D269B">
        <w:rPr>
          <w:rFonts w:ascii="Arial" w:hAnsi="Arial" w:cs="Arial"/>
        </w:rPr>
        <w:t>Nancy</w:t>
      </w:r>
      <w:r w:rsidR="004D269B">
        <w:rPr>
          <w:rFonts w:ascii="Arial" w:hAnsi="Arial" w:cs="Arial"/>
        </w:rPr>
        <w:t>, et., al., 2016).</w:t>
      </w:r>
      <w:r w:rsidRPr="00224DF1">
        <w:rPr>
          <w:rFonts w:ascii="Arial" w:hAnsi="Arial" w:cs="Arial"/>
        </w:rPr>
        <w:t xml:space="preserve"> Information is also key with high power, low interest players like investors and suppliers, for example regular reporting of the financial status, and building trust through open procurement and timely payments. High interest, low power groups, such as </w:t>
      </w:r>
      <w:r w:rsidR="00403949">
        <w:rPr>
          <w:rFonts w:ascii="Arial" w:hAnsi="Arial" w:cs="Arial"/>
        </w:rPr>
        <w:t>employees</w:t>
      </w:r>
      <w:r w:rsidRPr="00224DF1">
        <w:rPr>
          <w:rFonts w:ascii="Arial" w:hAnsi="Arial" w:cs="Arial"/>
        </w:rPr>
        <w:t xml:space="preserve"> or the community, get the value from inclusive programmes — skills development, diversity, mental health and engagement in local health campaigns or sustainability initiatives. Finally, low </w:t>
      </w:r>
      <w:r w:rsidR="00403949">
        <w:rPr>
          <w:rFonts w:ascii="Arial" w:hAnsi="Arial" w:cs="Arial"/>
        </w:rPr>
        <w:t>power</w:t>
      </w:r>
      <w:r w:rsidRPr="00224DF1">
        <w:rPr>
          <w:rFonts w:ascii="Arial" w:hAnsi="Arial" w:cs="Arial"/>
        </w:rPr>
        <w:t xml:space="preserve">, low </w:t>
      </w:r>
      <w:r w:rsidR="00403949">
        <w:rPr>
          <w:rFonts w:ascii="Arial" w:hAnsi="Arial" w:cs="Arial"/>
        </w:rPr>
        <w:t>interest</w:t>
      </w:r>
      <w:r w:rsidRPr="00224DF1">
        <w:rPr>
          <w:rFonts w:ascii="Arial" w:hAnsi="Arial" w:cs="Arial"/>
        </w:rPr>
        <w:t xml:space="preserve"> groups like environmental</w:t>
      </w:r>
      <w:r w:rsidR="00403949">
        <w:rPr>
          <w:rFonts w:ascii="Arial" w:hAnsi="Arial" w:cs="Arial"/>
        </w:rPr>
        <w:t xml:space="preserve"> groups</w:t>
      </w:r>
      <w:r w:rsidRPr="00224DF1">
        <w:rPr>
          <w:rFonts w:ascii="Arial" w:hAnsi="Arial" w:cs="Arial"/>
        </w:rPr>
        <w:t xml:space="preserve"> can </w:t>
      </w:r>
      <w:r w:rsidRPr="00224DF1">
        <w:rPr>
          <w:rFonts w:ascii="Arial" w:hAnsi="Arial" w:cs="Arial"/>
        </w:rPr>
        <w:lastRenderedPageBreak/>
        <w:t xml:space="preserve">be dominated by </w:t>
      </w:r>
      <w:r w:rsidR="005966CB" w:rsidRPr="00224DF1">
        <w:rPr>
          <w:rFonts w:ascii="Arial" w:hAnsi="Arial" w:cs="Arial"/>
        </w:rPr>
        <w:t>initiative-taking</w:t>
      </w:r>
      <w:r w:rsidRPr="00224DF1">
        <w:rPr>
          <w:rFonts w:ascii="Arial" w:hAnsi="Arial" w:cs="Arial"/>
        </w:rPr>
        <w:t xml:space="preserve"> monitoring, green technology, waste reduction, and the communication of these sustainability practices to generate goodwill</w:t>
      </w:r>
      <w:r w:rsidR="00D85994">
        <w:rPr>
          <w:rFonts w:ascii="Arial" w:hAnsi="Arial" w:cs="Arial"/>
        </w:rPr>
        <w:t xml:space="preserve"> (</w:t>
      </w:r>
      <w:r w:rsidR="00D85994" w:rsidRPr="00D85994">
        <w:rPr>
          <w:rFonts w:ascii="Arial" w:hAnsi="Arial" w:cs="Arial"/>
        </w:rPr>
        <w:t>Applegate</w:t>
      </w:r>
      <w:r w:rsidR="00D85994">
        <w:rPr>
          <w:rFonts w:ascii="Arial" w:hAnsi="Arial" w:cs="Arial"/>
        </w:rPr>
        <w:t>, et., al., 2006)</w:t>
      </w:r>
      <w:r w:rsidRPr="00224DF1">
        <w:rPr>
          <w:rFonts w:ascii="Arial" w:hAnsi="Arial" w:cs="Arial"/>
        </w:rPr>
        <w:t>.</w:t>
      </w:r>
    </w:p>
    <w:p w14:paraId="46EA36E7" w14:textId="5F86FDC3" w:rsidR="00403949" w:rsidRPr="00224DF1" w:rsidRDefault="00403949" w:rsidP="00224DF1">
      <w:pPr>
        <w:spacing w:line="360" w:lineRule="auto"/>
        <w:jc w:val="both"/>
        <w:rPr>
          <w:rFonts w:ascii="Arial" w:hAnsi="Arial" w:cs="Arial"/>
        </w:rPr>
      </w:pPr>
      <w:r w:rsidRPr="00403949">
        <w:rPr>
          <w:rFonts w:ascii="Arial" w:hAnsi="Arial" w:cs="Arial"/>
        </w:rPr>
        <w:t>Pharmacy2U will succeed if it can manage multiple stakeholder expectations. If stakeholders can be split on a power/interest grid, the organisation can focus on the NHS</w:t>
      </w:r>
      <w:r>
        <w:rPr>
          <w:rFonts w:ascii="Arial" w:hAnsi="Arial" w:cs="Arial"/>
        </w:rPr>
        <w:t xml:space="preserve"> and</w:t>
      </w:r>
      <w:r w:rsidRPr="00403949">
        <w:rPr>
          <w:rFonts w:ascii="Arial" w:hAnsi="Arial" w:cs="Arial"/>
        </w:rPr>
        <w:t xml:space="preserve"> customers but still have positive interactions with others. Individuali</w:t>
      </w:r>
      <w:r>
        <w:rPr>
          <w:rFonts w:ascii="Arial" w:hAnsi="Arial" w:cs="Arial"/>
        </w:rPr>
        <w:t>s</w:t>
      </w:r>
      <w:r w:rsidRPr="00403949">
        <w:rPr>
          <w:rFonts w:ascii="Arial" w:hAnsi="Arial" w:cs="Arial"/>
        </w:rPr>
        <w:t>ed engagement, transparency and communication will allow Pharmacy2U to effectively manage its stakeholders and ensure long-term growth and sustainability.</w:t>
      </w:r>
    </w:p>
    <w:p w14:paraId="6EC5AE08" w14:textId="630A8411" w:rsidR="007061FB" w:rsidRPr="00FD2BAB" w:rsidRDefault="007061FB" w:rsidP="00FD2BAB">
      <w:pPr>
        <w:pStyle w:val="Heading1"/>
        <w:numPr>
          <w:ilvl w:val="0"/>
          <w:numId w:val="12"/>
        </w:numPr>
        <w:rPr>
          <w:color w:val="auto"/>
          <w:sz w:val="24"/>
          <w:szCs w:val="24"/>
        </w:rPr>
      </w:pPr>
      <w:bookmarkStart w:id="16" w:name="_Toc183039613"/>
      <w:r w:rsidRPr="00FD2BAB">
        <w:rPr>
          <w:color w:val="auto"/>
          <w:sz w:val="24"/>
          <w:szCs w:val="24"/>
        </w:rPr>
        <w:t>STRATEGIC GROWTH OPTIONS</w:t>
      </w:r>
      <w:bookmarkEnd w:id="16"/>
    </w:p>
    <w:p w14:paraId="245FB9B4" w14:textId="5E50316A" w:rsidR="00403949" w:rsidRDefault="00B205C3" w:rsidP="00403949">
      <w:pPr>
        <w:spacing w:line="360" w:lineRule="auto"/>
        <w:jc w:val="both"/>
        <w:rPr>
          <w:rFonts w:ascii="Arial" w:hAnsi="Arial" w:cs="Arial"/>
        </w:rPr>
      </w:pPr>
      <w:r w:rsidRPr="00B205C3">
        <w:rPr>
          <w:rFonts w:ascii="Arial" w:hAnsi="Arial" w:cs="Arial"/>
        </w:rPr>
        <w:t>Pharmacy2U is one of the most successful online pharmacies in the UK due to the technological capability, NHS connections, and the focus on customer service. But with competition escalating and digital healthcare landscape developing, company will need to look into various strategic growth opportunities for long-term survival and expansion. There are three strategic growth scenarios presented below, which each could assist Pharmacy2U to grow even more and become a more competitive company</w:t>
      </w:r>
      <w:r w:rsidR="00CE089F">
        <w:rPr>
          <w:rFonts w:ascii="Arial" w:hAnsi="Arial" w:cs="Arial"/>
        </w:rPr>
        <w:t xml:space="preserve"> </w:t>
      </w:r>
      <w:bookmarkStart w:id="17" w:name="_Hlk183039197"/>
      <w:r w:rsidR="00CE089F">
        <w:rPr>
          <w:rFonts w:ascii="Arial" w:hAnsi="Arial" w:cs="Arial"/>
        </w:rPr>
        <w:t>(</w:t>
      </w:r>
      <w:r w:rsidR="00CE089F" w:rsidRPr="00CE089F">
        <w:rPr>
          <w:rFonts w:ascii="Arial" w:hAnsi="Arial" w:cs="Arial"/>
        </w:rPr>
        <w:t>Lynch,</w:t>
      </w:r>
      <w:r w:rsidR="00CE089F">
        <w:rPr>
          <w:rFonts w:ascii="Arial" w:hAnsi="Arial" w:cs="Arial"/>
        </w:rPr>
        <w:t xml:space="preserve"> 2018)</w:t>
      </w:r>
      <w:r w:rsidRPr="00B205C3">
        <w:rPr>
          <w:rFonts w:ascii="Arial" w:hAnsi="Arial" w:cs="Arial"/>
        </w:rPr>
        <w:t>.</w:t>
      </w:r>
      <w:bookmarkEnd w:id="17"/>
    </w:p>
    <w:p w14:paraId="00CE052A" w14:textId="5602924B" w:rsidR="00B205C3" w:rsidRPr="00FD2BAB" w:rsidRDefault="00FD2BAB" w:rsidP="00FD2BAB">
      <w:pPr>
        <w:pStyle w:val="Heading2"/>
        <w:rPr>
          <w:b/>
          <w:bCs/>
          <w:color w:val="auto"/>
          <w:sz w:val="24"/>
          <w:szCs w:val="24"/>
        </w:rPr>
      </w:pPr>
      <w:bookmarkStart w:id="18" w:name="_Toc183039614"/>
      <w:r w:rsidRPr="00FD2BAB">
        <w:rPr>
          <w:b/>
          <w:bCs/>
          <w:color w:val="auto"/>
          <w:sz w:val="24"/>
          <w:szCs w:val="24"/>
        </w:rPr>
        <w:t xml:space="preserve">A. </w:t>
      </w:r>
      <w:r w:rsidR="00B205C3" w:rsidRPr="00FD2BAB">
        <w:rPr>
          <w:b/>
          <w:bCs/>
          <w:color w:val="auto"/>
          <w:sz w:val="24"/>
          <w:szCs w:val="24"/>
        </w:rPr>
        <w:t>Expansion into Telemedicine and Digital Health Services</w:t>
      </w:r>
      <w:bookmarkEnd w:id="18"/>
    </w:p>
    <w:p w14:paraId="27EB90E3" w14:textId="5120285D" w:rsidR="00B205C3" w:rsidRDefault="00B205C3" w:rsidP="00B205C3">
      <w:pPr>
        <w:spacing w:line="360" w:lineRule="auto"/>
        <w:jc w:val="both"/>
        <w:rPr>
          <w:rFonts w:ascii="Arial" w:hAnsi="Arial" w:cs="Arial"/>
        </w:rPr>
      </w:pPr>
      <w:r w:rsidRPr="00B205C3">
        <w:rPr>
          <w:rFonts w:ascii="Arial" w:hAnsi="Arial" w:cs="Arial"/>
        </w:rPr>
        <w:t>Telemedicine has become part of the healthcare system, and patients are increasingly requiring online appointments and digital health care. Pharma</w:t>
      </w:r>
      <w:r>
        <w:rPr>
          <w:rFonts w:ascii="Arial" w:hAnsi="Arial" w:cs="Arial"/>
        </w:rPr>
        <w:t>cy</w:t>
      </w:r>
      <w:r w:rsidRPr="00B205C3">
        <w:rPr>
          <w:rFonts w:ascii="Arial" w:hAnsi="Arial" w:cs="Arial"/>
        </w:rPr>
        <w:t>2U can also take a leap and add in telemedicine, providing virtual consultations along with the prescription fulfilment service. This would deliver an end-to-end healthcare system, in which the patient can get diagnosed, prescribed, and delivered online</w:t>
      </w:r>
      <w:r w:rsidR="00D85994">
        <w:rPr>
          <w:rFonts w:ascii="Arial" w:hAnsi="Arial" w:cs="Arial"/>
        </w:rPr>
        <w:t xml:space="preserve"> (</w:t>
      </w:r>
      <w:r w:rsidR="00D85994" w:rsidRPr="00D85994">
        <w:rPr>
          <w:rFonts w:ascii="Arial" w:hAnsi="Arial" w:cs="Arial"/>
        </w:rPr>
        <w:t>Rangasamy</w:t>
      </w:r>
      <w:r w:rsidR="00D85994">
        <w:rPr>
          <w:rFonts w:ascii="Arial" w:hAnsi="Arial" w:cs="Arial"/>
        </w:rPr>
        <w:t>, et., al., 2011)</w:t>
      </w:r>
      <w:r w:rsidRPr="00B205C3">
        <w:rPr>
          <w:rFonts w:ascii="Arial" w:hAnsi="Arial" w:cs="Arial"/>
        </w:rPr>
        <w:t>.</w:t>
      </w:r>
    </w:p>
    <w:p w14:paraId="35351BF6" w14:textId="3DD9B045" w:rsidR="00B205C3" w:rsidRDefault="00B205C3" w:rsidP="00B205C3">
      <w:pPr>
        <w:spacing w:line="360" w:lineRule="auto"/>
        <w:jc w:val="both"/>
        <w:rPr>
          <w:rFonts w:ascii="Arial" w:hAnsi="Arial" w:cs="Arial"/>
        </w:rPr>
      </w:pPr>
      <w:r w:rsidRPr="00B205C3">
        <w:rPr>
          <w:rFonts w:ascii="Arial" w:hAnsi="Arial" w:cs="Arial"/>
        </w:rPr>
        <w:t xml:space="preserve"> Pharmacy2U can outcompete other online pharmacies that only speciali</w:t>
      </w:r>
      <w:r>
        <w:rPr>
          <w:rFonts w:ascii="Arial" w:hAnsi="Arial" w:cs="Arial"/>
        </w:rPr>
        <w:t>s</w:t>
      </w:r>
      <w:r w:rsidRPr="00B205C3">
        <w:rPr>
          <w:rFonts w:ascii="Arial" w:hAnsi="Arial" w:cs="Arial"/>
        </w:rPr>
        <w:t>e in prescription fulfilment by offering telemedicine as an add-on. This would also bring in more customers – especially the people with chronic illnesses, who require repeat visits. Moreover, through UK government funding for digital health technologies like NHS Digital First schemes, Pharmacy2U can follow national trends and further integrate with the healthcare system</w:t>
      </w:r>
      <w:r w:rsidR="00D85994">
        <w:rPr>
          <w:rFonts w:ascii="Arial" w:hAnsi="Arial" w:cs="Arial"/>
        </w:rPr>
        <w:t xml:space="preserve"> (</w:t>
      </w:r>
      <w:r w:rsidR="00D85994" w:rsidRPr="00D85994">
        <w:rPr>
          <w:rFonts w:ascii="Arial" w:hAnsi="Arial" w:cs="Arial"/>
        </w:rPr>
        <w:t>Wang,</w:t>
      </w:r>
      <w:r w:rsidR="00D85994">
        <w:rPr>
          <w:rFonts w:ascii="Arial" w:hAnsi="Arial" w:cs="Arial"/>
        </w:rPr>
        <w:t xml:space="preserve"> et., al., 2019)</w:t>
      </w:r>
      <w:r w:rsidRPr="00B205C3">
        <w:rPr>
          <w:rFonts w:ascii="Arial" w:hAnsi="Arial" w:cs="Arial"/>
        </w:rPr>
        <w:t>.</w:t>
      </w:r>
    </w:p>
    <w:p w14:paraId="64DA9947" w14:textId="62E52C2D" w:rsidR="00B205C3" w:rsidRPr="00B205C3" w:rsidRDefault="00B205C3" w:rsidP="00B205C3">
      <w:pPr>
        <w:spacing w:line="360" w:lineRule="auto"/>
        <w:jc w:val="both"/>
        <w:rPr>
          <w:rFonts w:ascii="Arial" w:hAnsi="Arial" w:cs="Arial"/>
        </w:rPr>
      </w:pPr>
      <w:r w:rsidRPr="00B205C3">
        <w:rPr>
          <w:rFonts w:ascii="Arial" w:hAnsi="Arial" w:cs="Arial"/>
        </w:rPr>
        <w:t xml:space="preserve">Pharmacy2U would need to buy secure, HIPAA-compliant telemedicine platforms (video consultation tools, patient management systems, mobile apps) to fully embrace telemedicine. The business will also have to hire licensed physicians or contract with third parties for remote consultations. Healthcare regulations such as GDPR and NHS regulations will also need to be adhered to avoid legal exposures and preserve patient </w:t>
      </w:r>
      <w:r>
        <w:rPr>
          <w:rFonts w:ascii="Arial" w:hAnsi="Arial" w:cs="Arial"/>
        </w:rPr>
        <w:t>confidence</w:t>
      </w:r>
      <w:r w:rsidR="005F1C78">
        <w:rPr>
          <w:rFonts w:ascii="Arial" w:hAnsi="Arial" w:cs="Arial"/>
        </w:rPr>
        <w:t xml:space="preserve"> (Fittler., et., al, </w:t>
      </w:r>
      <w:r w:rsidR="001851D3">
        <w:rPr>
          <w:rFonts w:ascii="Arial" w:hAnsi="Arial" w:cs="Arial"/>
        </w:rPr>
        <w:t>2024)</w:t>
      </w:r>
      <w:r>
        <w:rPr>
          <w:rFonts w:ascii="Arial" w:hAnsi="Arial" w:cs="Arial"/>
        </w:rPr>
        <w:t>.</w:t>
      </w:r>
    </w:p>
    <w:p w14:paraId="23DB57E4" w14:textId="10046683" w:rsidR="00B205C3" w:rsidRPr="00FD2BAB" w:rsidRDefault="00FD2BAB" w:rsidP="00FD2BAB">
      <w:pPr>
        <w:pStyle w:val="Heading2"/>
        <w:rPr>
          <w:b/>
          <w:bCs/>
          <w:color w:val="auto"/>
          <w:sz w:val="24"/>
          <w:szCs w:val="24"/>
        </w:rPr>
      </w:pPr>
      <w:bookmarkStart w:id="19" w:name="_Toc183039615"/>
      <w:r w:rsidRPr="00FD2BAB">
        <w:rPr>
          <w:b/>
          <w:bCs/>
          <w:color w:val="auto"/>
          <w:sz w:val="24"/>
          <w:szCs w:val="24"/>
        </w:rPr>
        <w:lastRenderedPageBreak/>
        <w:t xml:space="preserve">B. </w:t>
      </w:r>
      <w:r w:rsidR="00B205C3" w:rsidRPr="00FD2BAB">
        <w:rPr>
          <w:b/>
          <w:bCs/>
          <w:color w:val="auto"/>
          <w:sz w:val="24"/>
          <w:szCs w:val="24"/>
        </w:rPr>
        <w:t>Geographic Expansion into International Markets</w:t>
      </w:r>
      <w:bookmarkEnd w:id="19"/>
    </w:p>
    <w:p w14:paraId="10052A98" w14:textId="42754702" w:rsidR="00B205C3" w:rsidRDefault="00B205C3" w:rsidP="00B205C3">
      <w:pPr>
        <w:spacing w:line="360" w:lineRule="auto"/>
        <w:jc w:val="both"/>
        <w:rPr>
          <w:rFonts w:ascii="Arial" w:hAnsi="Arial" w:cs="Arial"/>
        </w:rPr>
      </w:pPr>
      <w:r w:rsidRPr="00B205C3">
        <w:rPr>
          <w:rFonts w:ascii="Arial" w:hAnsi="Arial" w:cs="Arial"/>
        </w:rPr>
        <w:t>Pharmacy2U is well established in the UK but with the ever increasing demand of online pharmacies in the world, the opportunity for growth is endless. Because of this digiti</w:t>
      </w:r>
      <w:r>
        <w:rPr>
          <w:rFonts w:ascii="Arial" w:hAnsi="Arial" w:cs="Arial"/>
        </w:rPr>
        <w:t>sa</w:t>
      </w:r>
      <w:r w:rsidRPr="00B205C3">
        <w:rPr>
          <w:rFonts w:ascii="Arial" w:hAnsi="Arial" w:cs="Arial"/>
        </w:rPr>
        <w:t>tion in healthcare, there is an e-pharmacy explosion in Europe, North America, and Asia-Pacific. In a few countries such as these, Pharmacy2U might see huge growth opportunities by opening up new markets to add new customers and increase revenue</w:t>
      </w:r>
      <w:r w:rsidR="001851D3">
        <w:rPr>
          <w:rFonts w:ascii="Arial" w:hAnsi="Arial" w:cs="Arial"/>
        </w:rPr>
        <w:t xml:space="preserve"> (V</w:t>
      </w:r>
      <w:r w:rsidR="001851D3" w:rsidRPr="001851D3">
        <w:rPr>
          <w:rFonts w:ascii="Arial" w:hAnsi="Arial" w:cs="Arial"/>
        </w:rPr>
        <w:t>an Ginneken</w:t>
      </w:r>
      <w:r w:rsidR="001851D3">
        <w:rPr>
          <w:rFonts w:ascii="Arial" w:hAnsi="Arial" w:cs="Arial"/>
        </w:rPr>
        <w:t>, 2009)</w:t>
      </w:r>
      <w:r w:rsidRPr="00B205C3">
        <w:rPr>
          <w:rFonts w:ascii="Arial" w:hAnsi="Arial" w:cs="Arial"/>
        </w:rPr>
        <w:t>.</w:t>
      </w:r>
    </w:p>
    <w:p w14:paraId="3424B1C4" w14:textId="6E63A4EF" w:rsidR="00B205C3" w:rsidRPr="00B205C3" w:rsidRDefault="00B205C3" w:rsidP="00B205C3">
      <w:pPr>
        <w:spacing w:line="360" w:lineRule="auto"/>
        <w:jc w:val="both"/>
        <w:rPr>
          <w:rFonts w:ascii="Arial" w:hAnsi="Arial" w:cs="Arial"/>
        </w:rPr>
      </w:pPr>
      <w:r w:rsidRPr="00B205C3">
        <w:rPr>
          <w:rFonts w:ascii="Arial" w:hAnsi="Arial" w:cs="Arial"/>
        </w:rPr>
        <w:t>Countries such as the European Union, the United States and new market economies India and China are a good growth area. These places are especially ripe for expansion due to the proximity of the UK to the EU and the dominance of English in the US. Additionally, Regulatory Changes in a lot of Countries are geared to support e-pharmacy services. As telemedicine and e-health solutions are already being widely used in other countries, Pharmacy2U might have the potential to leverage its UK presence and provide prescription fulfilment and telehealth solutions in order to make the most of the global integration of digital healthcare</w:t>
      </w:r>
      <w:r w:rsidR="00D85994">
        <w:rPr>
          <w:rFonts w:ascii="Arial" w:hAnsi="Arial" w:cs="Arial"/>
        </w:rPr>
        <w:t xml:space="preserve"> (</w:t>
      </w:r>
      <w:r w:rsidR="00D85994" w:rsidRPr="00D85994">
        <w:rPr>
          <w:rFonts w:ascii="Arial" w:hAnsi="Arial" w:cs="Arial"/>
        </w:rPr>
        <w:t>Haleem,</w:t>
      </w:r>
      <w:r w:rsidR="00D85994">
        <w:rPr>
          <w:rFonts w:ascii="Arial" w:hAnsi="Arial" w:cs="Arial"/>
        </w:rPr>
        <w:t xml:space="preserve"> et.al., 2021)</w:t>
      </w:r>
      <w:r w:rsidRPr="00B205C3">
        <w:rPr>
          <w:rFonts w:ascii="Arial" w:hAnsi="Arial" w:cs="Arial"/>
        </w:rPr>
        <w:t xml:space="preserve">.Taking it international also means going through the regulatory hoops as every market has different regulations when it comes to online pharmacy, data privacy, and telemedicine. Pharmacy2U will have to change its business model in order to be legal in their local </w:t>
      </w:r>
      <w:r w:rsidR="005966CB" w:rsidRPr="00B205C3">
        <w:rPr>
          <w:rFonts w:ascii="Arial" w:hAnsi="Arial" w:cs="Arial"/>
        </w:rPr>
        <w:t>authority</w:t>
      </w:r>
      <w:r w:rsidRPr="00B205C3">
        <w:rPr>
          <w:rFonts w:ascii="Arial" w:hAnsi="Arial" w:cs="Arial"/>
        </w:rPr>
        <w:t xml:space="preserve">. Managing supply chains in other countries is another task that requires long term relationships with local </w:t>
      </w:r>
      <w:r>
        <w:rPr>
          <w:rFonts w:ascii="Arial" w:hAnsi="Arial" w:cs="Arial"/>
        </w:rPr>
        <w:t>pharmaceuticals</w:t>
      </w:r>
      <w:r w:rsidRPr="00B205C3">
        <w:rPr>
          <w:rFonts w:ascii="Arial" w:hAnsi="Arial" w:cs="Arial"/>
        </w:rPr>
        <w:t xml:space="preserve"> manufacturers and logistic </w:t>
      </w:r>
      <w:r>
        <w:rPr>
          <w:rFonts w:ascii="Arial" w:hAnsi="Arial" w:cs="Arial"/>
        </w:rPr>
        <w:t>company</w:t>
      </w:r>
      <w:r w:rsidRPr="00B205C3">
        <w:rPr>
          <w:rFonts w:ascii="Arial" w:hAnsi="Arial" w:cs="Arial"/>
        </w:rPr>
        <w:t>. </w:t>
      </w:r>
      <w:r w:rsidR="005966CB" w:rsidRPr="00B205C3">
        <w:rPr>
          <w:rFonts w:ascii="Arial" w:hAnsi="Arial" w:cs="Arial"/>
        </w:rPr>
        <w:t>There is</w:t>
      </w:r>
      <w:r w:rsidRPr="00B205C3">
        <w:rPr>
          <w:rFonts w:ascii="Arial" w:hAnsi="Arial" w:cs="Arial"/>
        </w:rPr>
        <w:t xml:space="preserve"> also the factor of locali</w:t>
      </w:r>
      <w:r>
        <w:rPr>
          <w:rFonts w:ascii="Arial" w:hAnsi="Arial" w:cs="Arial"/>
        </w:rPr>
        <w:t>s</w:t>
      </w:r>
      <w:r w:rsidRPr="00B205C3">
        <w:rPr>
          <w:rFonts w:ascii="Arial" w:hAnsi="Arial" w:cs="Arial"/>
        </w:rPr>
        <w:t xml:space="preserve">ation of services — making the website and mobile apps work with local languages, currencies, and healthcare practices, which in turn provides customers with </w:t>
      </w:r>
      <w:r w:rsidR="005966CB" w:rsidRPr="00B205C3">
        <w:rPr>
          <w:rFonts w:ascii="Arial" w:hAnsi="Arial" w:cs="Arial"/>
        </w:rPr>
        <w:t>a wonderful experience</w:t>
      </w:r>
      <w:r w:rsidR="00D03518">
        <w:rPr>
          <w:rFonts w:ascii="Arial" w:hAnsi="Arial" w:cs="Arial"/>
        </w:rPr>
        <w:t xml:space="preserve"> (</w:t>
      </w:r>
      <w:r w:rsidR="00D03518" w:rsidRPr="00D85994">
        <w:rPr>
          <w:rFonts w:ascii="Arial" w:hAnsi="Arial" w:cs="Arial"/>
        </w:rPr>
        <w:t>Sousa</w:t>
      </w:r>
      <w:r w:rsidR="00D03518">
        <w:rPr>
          <w:rFonts w:ascii="Arial" w:hAnsi="Arial" w:cs="Arial"/>
        </w:rPr>
        <w:t>, et.al., 2011)</w:t>
      </w:r>
      <w:r w:rsidRPr="00B205C3">
        <w:rPr>
          <w:rFonts w:ascii="Arial" w:hAnsi="Arial" w:cs="Arial"/>
        </w:rPr>
        <w:t>.</w:t>
      </w:r>
    </w:p>
    <w:p w14:paraId="30040F91" w14:textId="1A6CF12F" w:rsidR="00AE385F" w:rsidRPr="00FD2BAB" w:rsidRDefault="00FD2BAB" w:rsidP="00FD2BAB">
      <w:pPr>
        <w:pStyle w:val="Heading2"/>
        <w:rPr>
          <w:b/>
          <w:bCs/>
          <w:color w:val="auto"/>
          <w:sz w:val="24"/>
          <w:szCs w:val="24"/>
        </w:rPr>
      </w:pPr>
      <w:bookmarkStart w:id="20" w:name="_Toc183039616"/>
      <w:r w:rsidRPr="00FD2BAB">
        <w:rPr>
          <w:b/>
          <w:bCs/>
          <w:color w:val="auto"/>
          <w:sz w:val="24"/>
          <w:szCs w:val="24"/>
        </w:rPr>
        <w:t xml:space="preserve">C. </w:t>
      </w:r>
      <w:r w:rsidR="00B205C3" w:rsidRPr="00FD2BAB">
        <w:rPr>
          <w:b/>
          <w:bCs/>
          <w:color w:val="auto"/>
          <w:sz w:val="24"/>
          <w:szCs w:val="24"/>
        </w:rPr>
        <w:t>Diversification into Health and Wellness Products</w:t>
      </w:r>
      <w:bookmarkEnd w:id="20"/>
    </w:p>
    <w:p w14:paraId="779F6DEF" w14:textId="704791EF" w:rsidR="00AE385F" w:rsidRDefault="00AE385F" w:rsidP="00AE385F">
      <w:pPr>
        <w:spacing w:line="360" w:lineRule="auto"/>
        <w:jc w:val="both"/>
        <w:rPr>
          <w:rFonts w:ascii="Arial" w:hAnsi="Arial" w:cs="Arial"/>
        </w:rPr>
      </w:pPr>
      <w:r w:rsidRPr="00AE385F">
        <w:rPr>
          <w:rFonts w:ascii="Arial" w:hAnsi="Arial" w:cs="Arial"/>
        </w:rPr>
        <w:t xml:space="preserve">Pharmacy2U can add on additional services, such as the health and wellness space. The company might distribute prescription as well as over the counter </w:t>
      </w:r>
      <w:r>
        <w:rPr>
          <w:rFonts w:ascii="Arial" w:hAnsi="Arial" w:cs="Arial"/>
        </w:rPr>
        <w:t>(OTC) medicine</w:t>
      </w:r>
      <w:r w:rsidRPr="00AE385F">
        <w:rPr>
          <w:rFonts w:ascii="Arial" w:hAnsi="Arial" w:cs="Arial"/>
        </w:rPr>
        <w:t xml:space="preserve">, vitamins, </w:t>
      </w:r>
      <w:r w:rsidR="005966CB" w:rsidRPr="00AE385F">
        <w:rPr>
          <w:rFonts w:ascii="Arial" w:hAnsi="Arial" w:cs="Arial"/>
        </w:rPr>
        <w:t>supplements,</w:t>
      </w:r>
      <w:r w:rsidRPr="00AE385F">
        <w:rPr>
          <w:rFonts w:ascii="Arial" w:hAnsi="Arial" w:cs="Arial"/>
        </w:rPr>
        <w:t xml:space="preserve"> and medical equipment. This would allow Pharmacy2U to reach a larger percentage of the healthcare market by attracting customers looking for general wellness or preventive care and providing a more complete solution for wellness</w:t>
      </w:r>
      <w:r w:rsidR="00D03518">
        <w:rPr>
          <w:rFonts w:ascii="Arial" w:hAnsi="Arial" w:cs="Arial"/>
        </w:rPr>
        <w:t xml:space="preserve"> (</w:t>
      </w:r>
      <w:r w:rsidR="00D03518" w:rsidRPr="00D03518">
        <w:rPr>
          <w:rFonts w:ascii="Arial" w:hAnsi="Arial" w:cs="Arial"/>
        </w:rPr>
        <w:t>Shah,</w:t>
      </w:r>
      <w:r w:rsidR="00D03518">
        <w:rPr>
          <w:rFonts w:ascii="Arial" w:hAnsi="Arial" w:cs="Arial"/>
        </w:rPr>
        <w:t xml:space="preserve"> 2004)</w:t>
      </w:r>
      <w:r w:rsidRPr="00AE385F">
        <w:rPr>
          <w:rFonts w:ascii="Arial" w:hAnsi="Arial" w:cs="Arial"/>
        </w:rPr>
        <w:t>.</w:t>
      </w:r>
    </w:p>
    <w:p w14:paraId="1F67A6F0" w14:textId="56D72BD5" w:rsidR="00AE385F" w:rsidRDefault="00AE385F" w:rsidP="00AE385F">
      <w:pPr>
        <w:spacing w:line="360" w:lineRule="auto"/>
        <w:jc w:val="both"/>
        <w:rPr>
          <w:rFonts w:ascii="Arial" w:hAnsi="Arial" w:cs="Arial"/>
        </w:rPr>
      </w:pPr>
      <w:r w:rsidRPr="00AE385F">
        <w:rPr>
          <w:rFonts w:ascii="Arial" w:hAnsi="Arial" w:cs="Arial"/>
        </w:rPr>
        <w:t xml:space="preserve">A growing health-and-wellness movement exists around the world and consumers are concerned with physical and mental wellness more than ever. This is speeding fast health and wellness growth. To sell supplements like OTC </w:t>
      </w:r>
      <w:r>
        <w:rPr>
          <w:rFonts w:ascii="Arial" w:hAnsi="Arial" w:cs="Arial"/>
        </w:rPr>
        <w:t>medicines</w:t>
      </w:r>
      <w:r w:rsidRPr="00AE385F">
        <w:rPr>
          <w:rFonts w:ascii="Arial" w:hAnsi="Arial" w:cs="Arial"/>
        </w:rPr>
        <w:t xml:space="preserve">, vitamins, </w:t>
      </w:r>
      <w:r w:rsidR="005966CB" w:rsidRPr="00AE385F">
        <w:rPr>
          <w:rFonts w:ascii="Arial" w:hAnsi="Arial" w:cs="Arial"/>
        </w:rPr>
        <w:t>supplements,</w:t>
      </w:r>
      <w:r w:rsidRPr="00AE385F">
        <w:rPr>
          <w:rFonts w:ascii="Arial" w:hAnsi="Arial" w:cs="Arial"/>
        </w:rPr>
        <w:t xml:space="preserve"> and medical devices is in line with Pharmacy2U’s current prescription services as many of their customers who order prescription </w:t>
      </w:r>
      <w:r>
        <w:rPr>
          <w:rFonts w:ascii="Arial" w:hAnsi="Arial" w:cs="Arial"/>
        </w:rPr>
        <w:t>medicine</w:t>
      </w:r>
      <w:r w:rsidRPr="00AE385F">
        <w:rPr>
          <w:rFonts w:ascii="Arial" w:hAnsi="Arial" w:cs="Arial"/>
        </w:rPr>
        <w:t xml:space="preserve"> also seek wellness products. Furthermore, health and wellness products tend to have greater profit margins compared to prescription medications which may also be an added bonus to Pharmacy2U’s overall profit</w:t>
      </w:r>
      <w:r w:rsidR="00447E49">
        <w:rPr>
          <w:rFonts w:ascii="Arial" w:hAnsi="Arial" w:cs="Arial"/>
        </w:rPr>
        <w:t xml:space="preserve"> (</w:t>
      </w:r>
      <w:r w:rsidR="00447E49" w:rsidRPr="00447E49">
        <w:rPr>
          <w:rFonts w:ascii="Arial" w:hAnsi="Arial" w:cs="Arial"/>
        </w:rPr>
        <w:t>Mintzberg,</w:t>
      </w:r>
      <w:r w:rsidR="00447E49">
        <w:rPr>
          <w:rFonts w:ascii="Arial" w:hAnsi="Arial" w:cs="Arial"/>
        </w:rPr>
        <w:t xml:space="preserve"> 2009)</w:t>
      </w:r>
      <w:r w:rsidRPr="00AE385F">
        <w:rPr>
          <w:rFonts w:ascii="Arial" w:hAnsi="Arial" w:cs="Arial"/>
        </w:rPr>
        <w:t>.</w:t>
      </w:r>
      <w:r w:rsidR="00447E49">
        <w:rPr>
          <w:rFonts w:ascii="Arial" w:hAnsi="Arial" w:cs="Arial"/>
        </w:rPr>
        <w:t xml:space="preserve"> </w:t>
      </w:r>
    </w:p>
    <w:p w14:paraId="64E3733E" w14:textId="23876E18" w:rsidR="00B205C3" w:rsidRDefault="00AE385F" w:rsidP="00AE385F">
      <w:pPr>
        <w:spacing w:line="360" w:lineRule="auto"/>
        <w:jc w:val="both"/>
        <w:rPr>
          <w:rFonts w:ascii="Arial" w:hAnsi="Arial" w:cs="Arial"/>
        </w:rPr>
      </w:pPr>
      <w:r w:rsidRPr="00AE385F">
        <w:rPr>
          <w:rFonts w:ascii="Arial" w:hAnsi="Arial" w:cs="Arial"/>
        </w:rPr>
        <w:lastRenderedPageBreak/>
        <w:t>Pharmacy2U would have to build good partnerships with trusted health and wellness product vendors to penetrate into this space, which is high quality and effective. Even though OTC products are not as regulated as prescription medicines, there</w:t>
      </w:r>
      <w:r>
        <w:rPr>
          <w:rFonts w:ascii="Arial" w:hAnsi="Arial" w:cs="Arial"/>
        </w:rPr>
        <w:t xml:space="preserve"> i</w:t>
      </w:r>
      <w:r w:rsidRPr="00AE385F">
        <w:rPr>
          <w:rFonts w:ascii="Arial" w:hAnsi="Arial" w:cs="Arial"/>
        </w:rPr>
        <w:t>s still a need to adhere to safety and advertising laws (especially when it comes to supplements and medical devices). Pharmacy2U can also work on educating consumers about the efficacy of wellness products and create the role of a trusted source for health information, to improve customer loyalty and brand image</w:t>
      </w:r>
      <w:r w:rsidR="00D03518">
        <w:rPr>
          <w:rFonts w:ascii="Arial" w:hAnsi="Arial" w:cs="Arial"/>
        </w:rPr>
        <w:t xml:space="preserve"> (</w:t>
      </w:r>
      <w:r w:rsidR="00D03518" w:rsidRPr="00D03518">
        <w:rPr>
          <w:rFonts w:ascii="Arial" w:hAnsi="Arial" w:cs="Arial"/>
        </w:rPr>
        <w:t>Teramae</w:t>
      </w:r>
      <w:r w:rsidR="00D03518">
        <w:rPr>
          <w:rFonts w:ascii="Arial" w:hAnsi="Arial" w:cs="Arial"/>
        </w:rPr>
        <w:t>, et.al., 2020)</w:t>
      </w:r>
      <w:r w:rsidRPr="00AE385F">
        <w:rPr>
          <w:rFonts w:ascii="Arial" w:hAnsi="Arial" w:cs="Arial"/>
        </w:rPr>
        <w:t>.</w:t>
      </w:r>
    </w:p>
    <w:p w14:paraId="754C0EE1" w14:textId="06F87633" w:rsidR="00AE385F" w:rsidRPr="00FD2BAB" w:rsidRDefault="00FD2BAB" w:rsidP="00FD2BAB">
      <w:pPr>
        <w:pStyle w:val="Heading2"/>
        <w:rPr>
          <w:b/>
          <w:bCs/>
          <w:color w:val="auto"/>
          <w:sz w:val="24"/>
          <w:szCs w:val="24"/>
        </w:rPr>
      </w:pPr>
      <w:bookmarkStart w:id="21" w:name="_Toc183039617"/>
      <w:r>
        <w:rPr>
          <w:b/>
          <w:bCs/>
          <w:color w:val="auto"/>
          <w:sz w:val="24"/>
          <w:szCs w:val="24"/>
        </w:rPr>
        <w:t>5</w:t>
      </w:r>
      <w:r w:rsidRPr="00FD2BAB">
        <w:rPr>
          <w:b/>
          <w:bCs/>
          <w:color w:val="auto"/>
          <w:sz w:val="24"/>
          <w:szCs w:val="24"/>
        </w:rPr>
        <w:t xml:space="preserve">.1 </w:t>
      </w:r>
      <w:r w:rsidR="00AE385F" w:rsidRPr="00FD2BAB">
        <w:rPr>
          <w:b/>
          <w:bCs/>
          <w:color w:val="auto"/>
          <w:sz w:val="24"/>
          <w:szCs w:val="24"/>
        </w:rPr>
        <w:t>Evaluating the Best Strategic Option</w:t>
      </w:r>
      <w:r w:rsidR="006B5EA1" w:rsidRPr="00FD2BAB">
        <w:rPr>
          <w:b/>
          <w:bCs/>
          <w:color w:val="auto"/>
          <w:sz w:val="24"/>
          <w:szCs w:val="24"/>
        </w:rPr>
        <w:t xml:space="preserve"> – Ansoff Matrix</w:t>
      </w:r>
      <w:bookmarkEnd w:id="21"/>
    </w:p>
    <w:p w14:paraId="2724886D" w14:textId="4EEB7A5E" w:rsidR="006B5EA1" w:rsidRDefault="006B5EA1" w:rsidP="006B5EA1">
      <w:pPr>
        <w:spacing w:line="360" w:lineRule="auto"/>
        <w:jc w:val="both"/>
        <w:rPr>
          <w:rFonts w:ascii="Arial" w:hAnsi="Arial" w:cs="Arial"/>
        </w:rPr>
      </w:pPr>
      <w:r w:rsidRPr="006B5EA1">
        <w:rPr>
          <w:rFonts w:ascii="Arial" w:hAnsi="Arial" w:cs="Arial"/>
        </w:rPr>
        <w:t xml:space="preserve">To analyse what growth option is the most apt for Pharmacy2U can </w:t>
      </w:r>
      <w:r>
        <w:rPr>
          <w:rFonts w:ascii="Arial" w:hAnsi="Arial" w:cs="Arial"/>
        </w:rPr>
        <w:t xml:space="preserve">be </w:t>
      </w:r>
      <w:r w:rsidRPr="006B5EA1">
        <w:rPr>
          <w:rFonts w:ascii="Arial" w:hAnsi="Arial" w:cs="Arial"/>
        </w:rPr>
        <w:t>use Ansoff Matrix which is a growth optimi</w:t>
      </w:r>
      <w:r>
        <w:rPr>
          <w:rFonts w:ascii="Arial" w:hAnsi="Arial" w:cs="Arial"/>
        </w:rPr>
        <w:t>s</w:t>
      </w:r>
      <w:r w:rsidRPr="006B5EA1">
        <w:rPr>
          <w:rFonts w:ascii="Arial" w:hAnsi="Arial" w:cs="Arial"/>
        </w:rPr>
        <w:t>ation framework for businesses that evaluates their growth prospects based on market and product development</w:t>
      </w:r>
      <w:r w:rsidR="00D03518">
        <w:rPr>
          <w:rFonts w:ascii="Arial" w:hAnsi="Arial" w:cs="Arial"/>
        </w:rPr>
        <w:t xml:space="preserve"> (</w:t>
      </w:r>
      <w:r w:rsidR="00D03518" w:rsidRPr="00D03518">
        <w:rPr>
          <w:rFonts w:ascii="Arial" w:hAnsi="Arial" w:cs="Arial"/>
        </w:rPr>
        <w:t>Zugay</w:t>
      </w:r>
      <w:r w:rsidR="00D03518">
        <w:rPr>
          <w:rFonts w:ascii="Arial" w:hAnsi="Arial" w:cs="Arial"/>
        </w:rPr>
        <w:t xml:space="preserve"> &amp;</w:t>
      </w:r>
      <w:r w:rsidR="00D03518" w:rsidRPr="00D03518">
        <w:rPr>
          <w:rFonts w:ascii="Arial" w:hAnsi="Arial" w:cs="Arial"/>
        </w:rPr>
        <w:t xml:space="preserve"> Zakaria, 2023</w:t>
      </w:r>
      <w:r w:rsidR="00D03518">
        <w:rPr>
          <w:rFonts w:ascii="Arial" w:hAnsi="Arial" w:cs="Arial"/>
        </w:rPr>
        <w:t>)</w:t>
      </w:r>
      <w:r w:rsidRPr="006B5EA1">
        <w:rPr>
          <w:rFonts w:ascii="Arial" w:hAnsi="Arial" w:cs="Arial"/>
        </w:rPr>
        <w:t>.</w:t>
      </w:r>
    </w:p>
    <w:p w14:paraId="1DFC3D60" w14:textId="2F7D13DC" w:rsidR="006B5EA1" w:rsidRPr="006B5EA1" w:rsidRDefault="007023D1" w:rsidP="007023D1">
      <w:pPr>
        <w:pStyle w:val="Caption"/>
        <w:jc w:val="center"/>
        <w:rPr>
          <w:rFonts w:ascii="Arial" w:hAnsi="Arial" w:cs="Arial"/>
        </w:rPr>
      </w:pPr>
      <w:bookmarkStart w:id="22" w:name="_Toc183040038"/>
      <w:r>
        <w:t xml:space="preserve">Table </w:t>
      </w:r>
      <w:fldSimple w:instr=" SEQ Table \* ARABIC ">
        <w:r w:rsidR="00EB76D9">
          <w:rPr>
            <w:noProof/>
          </w:rPr>
          <w:t>5</w:t>
        </w:r>
      </w:fldSimple>
      <w:r>
        <w:t xml:space="preserve"> </w:t>
      </w:r>
      <w:r w:rsidRPr="00E346E3">
        <w:t>Evaluating the Best Strategic Option</w:t>
      </w:r>
      <w:bookmarkEnd w:id="22"/>
    </w:p>
    <w:tbl>
      <w:tblPr>
        <w:tblStyle w:val="TableGrid"/>
        <w:tblW w:w="903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145"/>
        <w:gridCol w:w="3793"/>
        <w:gridCol w:w="3099"/>
      </w:tblGrid>
      <w:tr w:rsidR="006B5EA1" w14:paraId="7F52F17B" w14:textId="77777777" w:rsidTr="00DE465E">
        <w:trPr>
          <w:trHeight w:val="348"/>
        </w:trPr>
        <w:tc>
          <w:tcPr>
            <w:tcW w:w="2145" w:type="dxa"/>
            <w:shd w:val="clear" w:color="auto" w:fill="ADADAD" w:themeFill="background2" w:themeFillShade="BF"/>
          </w:tcPr>
          <w:p w14:paraId="1D454723" w14:textId="03A12864" w:rsidR="006B5EA1" w:rsidRPr="006B5EA1" w:rsidRDefault="006B5EA1" w:rsidP="007061FB">
            <w:pPr>
              <w:pStyle w:val="ListParagraph"/>
              <w:ind w:left="0"/>
              <w:rPr>
                <w:rFonts w:ascii="Arial" w:hAnsi="Arial" w:cs="Arial"/>
                <w:b/>
                <w:bCs/>
              </w:rPr>
            </w:pPr>
            <w:r w:rsidRPr="006B5EA1">
              <w:rPr>
                <w:rFonts w:ascii="Arial" w:hAnsi="Arial" w:cs="Arial"/>
                <w:b/>
                <w:bCs/>
              </w:rPr>
              <w:t>Market / Product</w:t>
            </w:r>
          </w:p>
        </w:tc>
        <w:tc>
          <w:tcPr>
            <w:tcW w:w="3793" w:type="dxa"/>
            <w:shd w:val="clear" w:color="auto" w:fill="ADADAD" w:themeFill="background2" w:themeFillShade="BF"/>
          </w:tcPr>
          <w:p w14:paraId="05C6D5C5" w14:textId="69828A52" w:rsidR="006B5EA1" w:rsidRPr="006B5EA1" w:rsidRDefault="006B5EA1" w:rsidP="007061FB">
            <w:pPr>
              <w:pStyle w:val="ListParagraph"/>
              <w:ind w:left="0"/>
              <w:rPr>
                <w:rFonts w:ascii="Arial" w:hAnsi="Arial" w:cs="Arial"/>
                <w:b/>
                <w:bCs/>
              </w:rPr>
            </w:pPr>
            <w:r w:rsidRPr="006B5EA1">
              <w:rPr>
                <w:rFonts w:ascii="Arial" w:hAnsi="Arial" w:cs="Arial"/>
                <w:b/>
                <w:bCs/>
              </w:rPr>
              <w:t>Existing Market</w:t>
            </w:r>
          </w:p>
        </w:tc>
        <w:tc>
          <w:tcPr>
            <w:tcW w:w="3099" w:type="dxa"/>
            <w:shd w:val="clear" w:color="auto" w:fill="ADADAD" w:themeFill="background2" w:themeFillShade="BF"/>
          </w:tcPr>
          <w:p w14:paraId="3803A80E" w14:textId="460E9026" w:rsidR="006B5EA1" w:rsidRPr="006B5EA1" w:rsidRDefault="006B5EA1" w:rsidP="007061FB">
            <w:pPr>
              <w:pStyle w:val="ListParagraph"/>
              <w:ind w:left="0"/>
              <w:rPr>
                <w:rFonts w:ascii="Arial" w:hAnsi="Arial" w:cs="Arial"/>
                <w:b/>
                <w:bCs/>
              </w:rPr>
            </w:pPr>
            <w:r w:rsidRPr="006B5EA1">
              <w:rPr>
                <w:rFonts w:ascii="Arial" w:hAnsi="Arial" w:cs="Arial"/>
                <w:b/>
                <w:bCs/>
              </w:rPr>
              <w:t>New Market</w:t>
            </w:r>
          </w:p>
        </w:tc>
      </w:tr>
      <w:tr w:rsidR="006B5EA1" w14:paraId="3EFE84B1" w14:textId="77777777" w:rsidTr="00DE465E">
        <w:trPr>
          <w:trHeight w:val="1139"/>
        </w:trPr>
        <w:tc>
          <w:tcPr>
            <w:tcW w:w="2145" w:type="dxa"/>
          </w:tcPr>
          <w:p w14:paraId="2C06F811" w14:textId="6FFF00FE" w:rsidR="006B5EA1" w:rsidRDefault="006B5EA1" w:rsidP="00DE465E">
            <w:pPr>
              <w:pStyle w:val="ListParagraph"/>
              <w:ind w:left="0"/>
              <w:jc w:val="center"/>
              <w:rPr>
                <w:rFonts w:ascii="Arial" w:hAnsi="Arial" w:cs="Arial"/>
              </w:rPr>
            </w:pPr>
            <w:r w:rsidRPr="006B5EA1">
              <w:rPr>
                <w:rFonts w:ascii="Arial" w:hAnsi="Arial" w:cs="Arial"/>
              </w:rPr>
              <w:t>Existing Products</w:t>
            </w:r>
          </w:p>
        </w:tc>
        <w:tc>
          <w:tcPr>
            <w:tcW w:w="3793" w:type="dxa"/>
          </w:tcPr>
          <w:p w14:paraId="22676BBC" w14:textId="016D9653" w:rsidR="006B5EA1" w:rsidRDefault="006B5EA1" w:rsidP="007061FB">
            <w:pPr>
              <w:pStyle w:val="ListParagraph"/>
              <w:ind w:left="0"/>
              <w:rPr>
                <w:rFonts w:ascii="Arial" w:hAnsi="Arial" w:cs="Arial"/>
              </w:rPr>
            </w:pPr>
            <w:r w:rsidRPr="006B5EA1">
              <w:rPr>
                <w:rFonts w:ascii="Arial" w:hAnsi="Arial" w:cs="Arial"/>
              </w:rPr>
              <w:br/>
              <w:t xml:space="preserve">Market Penetration (Increase market share in UK with enhanced customer acquisition, loyalty </w:t>
            </w:r>
            <w:proofErr w:type="gramStart"/>
            <w:r w:rsidRPr="006B5EA1">
              <w:rPr>
                <w:rFonts w:ascii="Arial" w:hAnsi="Arial" w:cs="Arial"/>
              </w:rPr>
              <w:t>etc.</w:t>
            </w:r>
            <w:proofErr w:type="gramEnd"/>
            <w:r w:rsidRPr="006B5EA1">
              <w:rPr>
                <w:rFonts w:ascii="Arial" w:hAnsi="Arial" w:cs="Arial"/>
              </w:rPr>
              <w:t>)</w:t>
            </w:r>
          </w:p>
        </w:tc>
        <w:tc>
          <w:tcPr>
            <w:tcW w:w="3099" w:type="dxa"/>
          </w:tcPr>
          <w:p w14:paraId="749CD0AD" w14:textId="01FE117C" w:rsidR="006B5EA1" w:rsidRDefault="006B5EA1" w:rsidP="007061FB">
            <w:pPr>
              <w:pStyle w:val="ListParagraph"/>
              <w:ind w:left="0"/>
              <w:rPr>
                <w:rFonts w:ascii="Arial" w:hAnsi="Arial" w:cs="Arial"/>
              </w:rPr>
            </w:pPr>
            <w:r w:rsidRPr="006B5EA1">
              <w:rPr>
                <w:rFonts w:ascii="Arial" w:hAnsi="Arial" w:cs="Arial"/>
              </w:rPr>
              <w:t>Geographic Expansion (Merge new foreign markets, such as the EU or US)</w:t>
            </w:r>
          </w:p>
        </w:tc>
      </w:tr>
      <w:tr w:rsidR="006B5EA1" w14:paraId="79EAC126" w14:textId="77777777" w:rsidTr="00DE465E">
        <w:trPr>
          <w:trHeight w:val="2092"/>
        </w:trPr>
        <w:tc>
          <w:tcPr>
            <w:tcW w:w="2145" w:type="dxa"/>
          </w:tcPr>
          <w:p w14:paraId="45356047" w14:textId="7599F6C7" w:rsidR="006B5EA1" w:rsidRDefault="006B5EA1" w:rsidP="00DE465E">
            <w:pPr>
              <w:pStyle w:val="ListParagraph"/>
              <w:ind w:left="0"/>
              <w:jc w:val="center"/>
              <w:rPr>
                <w:rFonts w:ascii="Arial" w:hAnsi="Arial" w:cs="Arial"/>
              </w:rPr>
            </w:pPr>
            <w:r w:rsidRPr="006B5EA1">
              <w:rPr>
                <w:rFonts w:ascii="Arial" w:hAnsi="Arial" w:cs="Arial"/>
              </w:rPr>
              <w:t>New Products</w:t>
            </w:r>
          </w:p>
        </w:tc>
        <w:tc>
          <w:tcPr>
            <w:tcW w:w="3793" w:type="dxa"/>
          </w:tcPr>
          <w:p w14:paraId="2BBB65CD" w14:textId="76EFAC79" w:rsidR="006B5EA1" w:rsidRDefault="006B5EA1" w:rsidP="007061FB">
            <w:pPr>
              <w:pStyle w:val="ListParagraph"/>
              <w:ind w:left="0"/>
              <w:rPr>
                <w:rFonts w:ascii="Arial" w:hAnsi="Arial" w:cs="Arial"/>
              </w:rPr>
            </w:pPr>
            <w:r w:rsidRPr="006B5EA1">
              <w:rPr>
                <w:rFonts w:ascii="Arial" w:hAnsi="Arial" w:cs="Arial"/>
              </w:rPr>
              <w:br/>
              <w:t>Diversification (Grow into health &amp; wellness)</w:t>
            </w:r>
          </w:p>
        </w:tc>
        <w:tc>
          <w:tcPr>
            <w:tcW w:w="3099" w:type="dxa"/>
          </w:tcPr>
          <w:p w14:paraId="4F3D336D" w14:textId="27FCC352" w:rsidR="006B5EA1" w:rsidRDefault="006B5EA1" w:rsidP="007061FB">
            <w:pPr>
              <w:pStyle w:val="ListParagraph"/>
              <w:ind w:left="0"/>
              <w:rPr>
                <w:rFonts w:ascii="Arial" w:hAnsi="Arial" w:cs="Arial"/>
              </w:rPr>
            </w:pPr>
            <w:r w:rsidRPr="006B5EA1">
              <w:rPr>
                <w:rFonts w:ascii="Arial" w:hAnsi="Arial" w:cs="Arial"/>
              </w:rPr>
              <w:t>Product Acquisition in New Markets (Export new products into new markets such as over-the-counter medicines or telemedical treatments)</w:t>
            </w:r>
          </w:p>
        </w:tc>
      </w:tr>
    </w:tbl>
    <w:p w14:paraId="79F28300" w14:textId="77777777" w:rsidR="007061FB" w:rsidRPr="007061FB" w:rsidRDefault="007061FB" w:rsidP="007061FB">
      <w:pPr>
        <w:pStyle w:val="ListParagraph"/>
        <w:rPr>
          <w:rFonts w:ascii="Arial" w:hAnsi="Arial" w:cs="Arial"/>
        </w:rPr>
      </w:pPr>
    </w:p>
    <w:p w14:paraId="7CBCC33A" w14:textId="4FD349C7" w:rsidR="00DE465E" w:rsidRPr="00DE465E" w:rsidRDefault="00DE465E" w:rsidP="00DE465E">
      <w:pPr>
        <w:spacing w:line="360" w:lineRule="auto"/>
        <w:jc w:val="both"/>
        <w:rPr>
          <w:rFonts w:ascii="Arial" w:hAnsi="Arial" w:cs="Arial"/>
        </w:rPr>
      </w:pPr>
      <w:r w:rsidRPr="00DE465E">
        <w:rPr>
          <w:rFonts w:ascii="Arial" w:hAnsi="Arial" w:cs="Arial"/>
        </w:rPr>
        <w:t xml:space="preserve">According to the analysis, entering telemedicine and digital health is the most strategic move for Pharmacy2U. The company’s strategy to be a more varied player and gain exposure to an ever-expanding market makes the global telehealth services demand an ideal opportunity. Pharmacy2U already has </w:t>
      </w:r>
      <w:r w:rsidR="005966CB" w:rsidRPr="00DE465E">
        <w:rPr>
          <w:rFonts w:ascii="Arial" w:hAnsi="Arial" w:cs="Arial"/>
        </w:rPr>
        <w:t>an extraordinarily strong</w:t>
      </w:r>
      <w:r w:rsidRPr="00DE465E">
        <w:rPr>
          <w:rFonts w:ascii="Arial" w:hAnsi="Arial" w:cs="Arial"/>
        </w:rPr>
        <w:t xml:space="preserve"> digital platform, </w:t>
      </w:r>
      <w:r w:rsidR="005966CB" w:rsidRPr="00DE465E">
        <w:rPr>
          <w:rFonts w:ascii="Arial" w:hAnsi="Arial" w:cs="Arial"/>
        </w:rPr>
        <w:t>which</w:t>
      </w:r>
      <w:r w:rsidRPr="00DE465E">
        <w:rPr>
          <w:rFonts w:ascii="Arial" w:hAnsi="Arial" w:cs="Arial"/>
        </w:rPr>
        <w:t xml:space="preserve"> can be expanded to offer telemedicine services with </w:t>
      </w:r>
      <w:r w:rsidR="005966CB" w:rsidRPr="00DE465E">
        <w:rPr>
          <w:rFonts w:ascii="Arial" w:hAnsi="Arial" w:cs="Arial"/>
        </w:rPr>
        <w:t>extraordinarily little</w:t>
      </w:r>
      <w:r w:rsidRPr="00DE465E">
        <w:rPr>
          <w:rFonts w:ascii="Arial" w:hAnsi="Arial" w:cs="Arial"/>
        </w:rPr>
        <w:t xml:space="preserve"> incremental investment, and so this expansion is both practical and cost-effective. There is also the strong backing of the UK government and NHS in terms of digital health projects allowing an open regulatory framework for telemedicine. Pharmacy2U can win the game by supplying both prescriptions and online consultation as a one-stop healthcare solution. It will not only bring in more customers but would drive users’ engagement and further solidify Pharmacy2U’s standing as a digital healthcare pioneer</w:t>
      </w:r>
      <w:r w:rsidR="00D03518">
        <w:rPr>
          <w:rFonts w:ascii="Arial" w:hAnsi="Arial" w:cs="Arial"/>
        </w:rPr>
        <w:t xml:space="preserve"> (Fittler., et., al, 2024)</w:t>
      </w:r>
      <w:r w:rsidRPr="00DE465E">
        <w:rPr>
          <w:rFonts w:ascii="Arial" w:hAnsi="Arial" w:cs="Arial"/>
        </w:rPr>
        <w:t>.</w:t>
      </w:r>
    </w:p>
    <w:p w14:paraId="753F422B" w14:textId="77777777" w:rsidR="00DE465E" w:rsidRDefault="00DE465E" w:rsidP="00DE465E">
      <w:pPr>
        <w:pStyle w:val="ListParagraph"/>
        <w:spacing w:line="360" w:lineRule="auto"/>
        <w:ind w:left="1080"/>
        <w:jc w:val="both"/>
        <w:rPr>
          <w:rFonts w:ascii="Arial" w:hAnsi="Arial" w:cs="Arial"/>
        </w:rPr>
      </w:pPr>
    </w:p>
    <w:p w14:paraId="786C9DE6" w14:textId="0506D122" w:rsidR="007061FB" w:rsidRPr="00FD2BAB" w:rsidRDefault="007061FB" w:rsidP="00FD2BAB">
      <w:pPr>
        <w:pStyle w:val="Heading1"/>
        <w:numPr>
          <w:ilvl w:val="0"/>
          <w:numId w:val="12"/>
        </w:numPr>
        <w:rPr>
          <w:color w:val="auto"/>
          <w:sz w:val="24"/>
          <w:szCs w:val="24"/>
        </w:rPr>
      </w:pPr>
      <w:bookmarkStart w:id="23" w:name="_Toc183039618"/>
      <w:r w:rsidRPr="00FD2BAB">
        <w:rPr>
          <w:color w:val="auto"/>
          <w:sz w:val="24"/>
          <w:szCs w:val="24"/>
        </w:rPr>
        <w:lastRenderedPageBreak/>
        <w:t>COMPETITOR</w:t>
      </w:r>
      <w:r w:rsidR="00F5482E">
        <w:rPr>
          <w:color w:val="auto"/>
          <w:sz w:val="24"/>
          <w:szCs w:val="24"/>
        </w:rPr>
        <w:t>S</w:t>
      </w:r>
      <w:r w:rsidRPr="00FD2BAB">
        <w:rPr>
          <w:color w:val="auto"/>
          <w:sz w:val="24"/>
          <w:szCs w:val="24"/>
        </w:rPr>
        <w:t xml:space="preserve"> REACTIONS AND COUNTERMEASURES</w:t>
      </w:r>
      <w:bookmarkEnd w:id="23"/>
    </w:p>
    <w:p w14:paraId="6C485013" w14:textId="65F95A1E" w:rsidR="007061FB" w:rsidRPr="00F05CF5" w:rsidRDefault="0044310D" w:rsidP="00F05CF5">
      <w:pPr>
        <w:spacing w:line="360" w:lineRule="auto"/>
        <w:jc w:val="both"/>
        <w:rPr>
          <w:rFonts w:ascii="Arial" w:hAnsi="Arial" w:cs="Arial"/>
        </w:rPr>
      </w:pPr>
      <w:r w:rsidRPr="0044310D">
        <w:rPr>
          <w:rFonts w:ascii="Arial" w:hAnsi="Arial" w:cs="Arial"/>
        </w:rPr>
        <w:t xml:space="preserve">Competitors in the pharmacy and healthcare </w:t>
      </w:r>
      <w:r>
        <w:rPr>
          <w:rFonts w:ascii="Arial" w:hAnsi="Arial" w:cs="Arial"/>
        </w:rPr>
        <w:t>industry</w:t>
      </w:r>
      <w:r w:rsidRPr="0044310D">
        <w:rPr>
          <w:rFonts w:ascii="Arial" w:hAnsi="Arial" w:cs="Arial"/>
        </w:rPr>
        <w:t xml:space="preserve"> like </w:t>
      </w:r>
      <w:r>
        <w:rPr>
          <w:rFonts w:ascii="Arial" w:hAnsi="Arial" w:cs="Arial"/>
        </w:rPr>
        <w:t>Lloyds Pharmacy</w:t>
      </w:r>
      <w:r w:rsidRPr="0044310D">
        <w:rPr>
          <w:rFonts w:ascii="Arial" w:hAnsi="Arial" w:cs="Arial"/>
        </w:rPr>
        <w:t xml:space="preserve"> or </w:t>
      </w:r>
      <w:r>
        <w:rPr>
          <w:rFonts w:ascii="Arial" w:hAnsi="Arial" w:cs="Arial"/>
        </w:rPr>
        <w:t>Amazon Pharmacy</w:t>
      </w:r>
      <w:r w:rsidRPr="0044310D">
        <w:rPr>
          <w:rFonts w:ascii="Arial" w:hAnsi="Arial" w:cs="Arial"/>
        </w:rPr>
        <w:t xml:space="preserve"> will certainly improve their digital offerings to Pharmacy2U’s. This can be as simple as setting up telemedicine and digital health programs to offer integrated care. Price </w:t>
      </w:r>
      <w:r>
        <w:rPr>
          <w:rFonts w:ascii="Arial" w:hAnsi="Arial" w:cs="Arial"/>
        </w:rPr>
        <w:t xml:space="preserve">competition </w:t>
      </w:r>
      <w:r w:rsidRPr="0044310D">
        <w:rPr>
          <w:rFonts w:ascii="Arial" w:hAnsi="Arial" w:cs="Arial"/>
        </w:rPr>
        <w:t>may only get heated as competitors use their platform and network to discount Pharmacy2U, especially in the OTC/wellness space. Competitors could also focus on user experience, upgrading their websites and apps with faster prescription delivery, telemedicine consultations and product recommendations to gain a larger share of the emerging digital healthcare space</w:t>
      </w:r>
      <w:r w:rsidR="00D03518">
        <w:rPr>
          <w:rFonts w:ascii="Arial" w:hAnsi="Arial" w:cs="Arial"/>
        </w:rPr>
        <w:t xml:space="preserve"> (Fittler., et., al, 2024)</w:t>
      </w:r>
      <w:r w:rsidRPr="0044310D">
        <w:rPr>
          <w:rFonts w:ascii="Arial" w:hAnsi="Arial" w:cs="Arial"/>
        </w:rPr>
        <w:t>.</w:t>
      </w:r>
    </w:p>
    <w:p w14:paraId="4B3285EA" w14:textId="5DCEBAF7" w:rsidR="007061FB" w:rsidRPr="00FD2BAB" w:rsidRDefault="007061FB" w:rsidP="00FD2BAB">
      <w:pPr>
        <w:pStyle w:val="Heading1"/>
        <w:numPr>
          <w:ilvl w:val="0"/>
          <w:numId w:val="12"/>
        </w:numPr>
        <w:rPr>
          <w:color w:val="auto"/>
          <w:sz w:val="24"/>
          <w:szCs w:val="24"/>
        </w:rPr>
      </w:pPr>
      <w:bookmarkStart w:id="24" w:name="_Toc183039619"/>
      <w:r w:rsidRPr="00FD2BAB">
        <w:rPr>
          <w:color w:val="auto"/>
          <w:sz w:val="24"/>
          <w:szCs w:val="24"/>
        </w:rPr>
        <w:t>STRATEGIC RECOMMENDATIONS</w:t>
      </w:r>
      <w:bookmarkEnd w:id="24"/>
    </w:p>
    <w:p w14:paraId="61A8487F" w14:textId="5477A2C8" w:rsidR="007061FB" w:rsidRPr="00F05CF5" w:rsidRDefault="00EE3B52" w:rsidP="00F05CF5">
      <w:pPr>
        <w:spacing w:line="360" w:lineRule="auto"/>
        <w:jc w:val="both"/>
        <w:rPr>
          <w:rFonts w:ascii="Arial" w:hAnsi="Arial" w:cs="Arial"/>
        </w:rPr>
      </w:pPr>
      <w:r w:rsidRPr="00EE3B52">
        <w:rPr>
          <w:rFonts w:ascii="Arial" w:hAnsi="Arial" w:cs="Arial"/>
        </w:rPr>
        <w:t>Strategic growth should be Pharmacy2U’s priority, through telemedicine integration, wellness product diversification and EU market expansion. Implementation must be rolled out in phases, with employee training and a strong change management (using Kotter’s Change Model) to support alignment and productivity. Telemedicine increases access, wellness product diversification capitali</w:t>
      </w:r>
      <w:r>
        <w:rPr>
          <w:rFonts w:ascii="Arial" w:hAnsi="Arial" w:cs="Arial"/>
        </w:rPr>
        <w:t>s</w:t>
      </w:r>
      <w:r w:rsidRPr="00EE3B52">
        <w:rPr>
          <w:rFonts w:ascii="Arial" w:hAnsi="Arial" w:cs="Arial"/>
        </w:rPr>
        <w:t xml:space="preserve">es on the promising preventive health market. Growth within the EU opens up other sources of revenue and lessens dependency on the UK. By using technology, </w:t>
      </w:r>
      <w:r w:rsidR="005966CB" w:rsidRPr="00EE3B52">
        <w:rPr>
          <w:rFonts w:ascii="Arial" w:hAnsi="Arial" w:cs="Arial"/>
        </w:rPr>
        <w:t>partnerships,</w:t>
      </w:r>
      <w:r w:rsidRPr="00EE3B52">
        <w:rPr>
          <w:rFonts w:ascii="Arial" w:hAnsi="Arial" w:cs="Arial"/>
        </w:rPr>
        <w:t xml:space="preserve"> and a customer-first mindset, Pharmacy2U can address the new demands of healthcare. These are all ways the company is set for long-term growth and dominance in digital healthcare</w:t>
      </w:r>
      <w:r w:rsidR="00F05CF5">
        <w:rPr>
          <w:rFonts w:ascii="Arial" w:hAnsi="Arial" w:cs="Arial"/>
        </w:rPr>
        <w:t xml:space="preserve"> (</w:t>
      </w:r>
      <w:r w:rsidR="00F05CF5" w:rsidRPr="00F05CF5">
        <w:rPr>
          <w:rFonts w:ascii="Arial" w:hAnsi="Arial" w:cs="Arial"/>
        </w:rPr>
        <w:t xml:space="preserve">Boxer </w:t>
      </w:r>
      <w:r w:rsidR="00F05CF5">
        <w:rPr>
          <w:rFonts w:ascii="Arial" w:hAnsi="Arial" w:cs="Arial"/>
        </w:rPr>
        <w:t>&amp;</w:t>
      </w:r>
      <w:r w:rsidR="00F05CF5" w:rsidRPr="00F05CF5">
        <w:rPr>
          <w:rFonts w:ascii="Arial" w:hAnsi="Arial" w:cs="Arial"/>
        </w:rPr>
        <w:t xml:space="preserve"> Ellimoottil, 2019</w:t>
      </w:r>
      <w:r w:rsidR="00F05CF5">
        <w:rPr>
          <w:rFonts w:ascii="Arial" w:hAnsi="Arial" w:cs="Arial"/>
        </w:rPr>
        <w:t>)</w:t>
      </w:r>
      <w:r w:rsidRPr="00EE3B52">
        <w:rPr>
          <w:rFonts w:ascii="Arial" w:hAnsi="Arial" w:cs="Arial"/>
        </w:rPr>
        <w:t>.</w:t>
      </w:r>
    </w:p>
    <w:p w14:paraId="35DFB179" w14:textId="7BDDB6CA" w:rsidR="007061FB" w:rsidRPr="00FD2BAB" w:rsidRDefault="007061FB" w:rsidP="00FD2BAB">
      <w:pPr>
        <w:pStyle w:val="Heading1"/>
        <w:numPr>
          <w:ilvl w:val="0"/>
          <w:numId w:val="12"/>
        </w:numPr>
        <w:rPr>
          <w:color w:val="auto"/>
          <w:sz w:val="24"/>
          <w:szCs w:val="24"/>
        </w:rPr>
      </w:pPr>
      <w:bookmarkStart w:id="25" w:name="_Toc183039620"/>
      <w:r w:rsidRPr="00FD2BAB">
        <w:rPr>
          <w:color w:val="auto"/>
          <w:sz w:val="24"/>
          <w:szCs w:val="24"/>
        </w:rPr>
        <w:t>CONCLUSION</w:t>
      </w:r>
      <w:bookmarkEnd w:id="25"/>
    </w:p>
    <w:p w14:paraId="42D6DE33" w14:textId="20BD7C25" w:rsidR="007061FB" w:rsidRDefault="00EE3B52" w:rsidP="00446836">
      <w:pPr>
        <w:spacing w:line="360" w:lineRule="auto"/>
        <w:jc w:val="both"/>
        <w:rPr>
          <w:rFonts w:ascii="Arial" w:hAnsi="Arial" w:cs="Arial"/>
        </w:rPr>
      </w:pPr>
      <w:r w:rsidRPr="00EE3B52">
        <w:rPr>
          <w:rFonts w:ascii="Arial" w:hAnsi="Arial" w:cs="Arial"/>
        </w:rPr>
        <w:t xml:space="preserve">In </w:t>
      </w:r>
      <w:r>
        <w:rPr>
          <w:rFonts w:ascii="Arial" w:hAnsi="Arial" w:cs="Arial"/>
        </w:rPr>
        <w:t>conclusion</w:t>
      </w:r>
      <w:r w:rsidRPr="00EE3B52">
        <w:rPr>
          <w:rFonts w:ascii="Arial" w:hAnsi="Arial" w:cs="Arial"/>
        </w:rPr>
        <w:t>, Pharmacy2U is the one company that can lead in the new digital healthcare industry by focusing on innovation and growth. Integrating telemedicine, growing into health and wellness products, and entering Europe can enable the company to gain competitive advantage as well as respond to the growing demand of consumers for convenient and accessible healthcare</w:t>
      </w:r>
      <w:r w:rsidR="00F05CF5">
        <w:rPr>
          <w:rFonts w:ascii="Arial" w:hAnsi="Arial" w:cs="Arial"/>
        </w:rPr>
        <w:t xml:space="preserve"> (</w:t>
      </w:r>
      <w:r w:rsidR="00F05CF5" w:rsidRPr="00D85994">
        <w:rPr>
          <w:rFonts w:ascii="Arial" w:hAnsi="Arial" w:cs="Arial"/>
        </w:rPr>
        <w:t>Wang,</w:t>
      </w:r>
      <w:r w:rsidR="00F05CF5">
        <w:rPr>
          <w:rFonts w:ascii="Arial" w:hAnsi="Arial" w:cs="Arial"/>
        </w:rPr>
        <w:t xml:space="preserve"> et., al., 2019)</w:t>
      </w:r>
      <w:r w:rsidR="00F05CF5" w:rsidRPr="00B205C3">
        <w:rPr>
          <w:rFonts w:ascii="Arial" w:hAnsi="Arial" w:cs="Arial"/>
        </w:rPr>
        <w:t>.</w:t>
      </w:r>
      <w:r w:rsidRPr="00EE3B52">
        <w:rPr>
          <w:rFonts w:ascii="Arial" w:hAnsi="Arial" w:cs="Arial"/>
        </w:rPr>
        <w:t> A good examination of its outer and inner worlds reveals the possibilities and risks behind these strategies. These measures are implemented through gradual rollouts, training of employees and proper change management, and you have successful operations. Such initiatives will guarantee Pharmacy2U’s long-term growth, viability, and market share in the digital pharmacy space</w:t>
      </w:r>
      <w:r w:rsidR="00F05CF5">
        <w:rPr>
          <w:rFonts w:ascii="Arial" w:hAnsi="Arial" w:cs="Arial"/>
        </w:rPr>
        <w:t xml:space="preserve"> (</w:t>
      </w:r>
      <w:r w:rsidR="00F05CF5" w:rsidRPr="00CE089F">
        <w:rPr>
          <w:rFonts w:ascii="Arial" w:hAnsi="Arial" w:cs="Arial"/>
        </w:rPr>
        <w:t>Lynch,</w:t>
      </w:r>
      <w:r w:rsidR="00F05CF5">
        <w:rPr>
          <w:rFonts w:ascii="Arial" w:hAnsi="Arial" w:cs="Arial"/>
        </w:rPr>
        <w:t xml:space="preserve"> 2018)</w:t>
      </w:r>
      <w:r w:rsidRPr="00EE3B52">
        <w:rPr>
          <w:rFonts w:ascii="Arial" w:hAnsi="Arial" w:cs="Arial"/>
        </w:rPr>
        <w:t>.</w:t>
      </w:r>
    </w:p>
    <w:p w14:paraId="3D507F80" w14:textId="77777777" w:rsidR="007061FB" w:rsidRDefault="007061FB" w:rsidP="00446836">
      <w:pPr>
        <w:spacing w:line="360" w:lineRule="auto"/>
        <w:jc w:val="both"/>
        <w:rPr>
          <w:rFonts w:ascii="Arial" w:hAnsi="Arial" w:cs="Arial"/>
        </w:rPr>
      </w:pPr>
    </w:p>
    <w:p w14:paraId="473F3E0A" w14:textId="77777777" w:rsidR="00F05CF5" w:rsidRDefault="00F05CF5" w:rsidP="00446836">
      <w:pPr>
        <w:spacing w:line="360" w:lineRule="auto"/>
        <w:jc w:val="both"/>
        <w:rPr>
          <w:rFonts w:ascii="Arial" w:hAnsi="Arial" w:cs="Arial"/>
        </w:rPr>
      </w:pPr>
    </w:p>
    <w:p w14:paraId="71B450C0" w14:textId="77777777" w:rsidR="00F05CF5" w:rsidRPr="00446836" w:rsidRDefault="00F05CF5" w:rsidP="00446836">
      <w:pPr>
        <w:spacing w:line="360" w:lineRule="auto"/>
        <w:jc w:val="both"/>
        <w:rPr>
          <w:rFonts w:ascii="Arial" w:hAnsi="Arial" w:cs="Arial"/>
        </w:rPr>
      </w:pPr>
    </w:p>
    <w:p w14:paraId="7085AE35" w14:textId="77777777" w:rsidR="000331A2" w:rsidRPr="000331A2" w:rsidRDefault="000331A2" w:rsidP="000331A2">
      <w:pPr>
        <w:pStyle w:val="ListParagraph"/>
        <w:ind w:left="1080"/>
        <w:rPr>
          <w:rFonts w:ascii="Arial" w:hAnsi="Arial" w:cs="Arial"/>
        </w:rPr>
      </w:pPr>
    </w:p>
    <w:p w14:paraId="0D8EB46B" w14:textId="0A7E9E6F" w:rsidR="000331A2" w:rsidRPr="00FD2BAB" w:rsidRDefault="00FD2BAB" w:rsidP="00F5482E">
      <w:pPr>
        <w:pStyle w:val="Heading1"/>
        <w:numPr>
          <w:ilvl w:val="0"/>
          <w:numId w:val="12"/>
        </w:numPr>
        <w:rPr>
          <w:color w:val="auto"/>
          <w:sz w:val="24"/>
          <w:szCs w:val="24"/>
        </w:rPr>
      </w:pPr>
      <w:bookmarkStart w:id="26" w:name="_Toc183039643"/>
      <w:r w:rsidRPr="00FD2BAB">
        <w:rPr>
          <w:color w:val="auto"/>
          <w:sz w:val="24"/>
          <w:szCs w:val="24"/>
        </w:rPr>
        <w:lastRenderedPageBreak/>
        <w:t>REFERENCES</w:t>
      </w:r>
      <w:bookmarkEnd w:id="26"/>
    </w:p>
    <w:p w14:paraId="1BBA33B4" w14:textId="77777777" w:rsidR="000331A2" w:rsidRPr="000331A2" w:rsidRDefault="000331A2" w:rsidP="000331A2">
      <w:pPr>
        <w:pStyle w:val="ListParagraph"/>
        <w:ind w:left="0"/>
        <w:rPr>
          <w:rFonts w:ascii="Arial" w:hAnsi="Arial" w:cs="Arial"/>
        </w:rPr>
      </w:pPr>
    </w:p>
    <w:p w14:paraId="06721A1C" w14:textId="77777777" w:rsidR="004670CE" w:rsidRDefault="004670CE" w:rsidP="001851D3">
      <w:pPr>
        <w:spacing w:line="360" w:lineRule="auto"/>
        <w:ind w:firstLine="720"/>
        <w:jc w:val="both"/>
        <w:rPr>
          <w:rFonts w:ascii="Arial" w:hAnsi="Arial" w:cs="Arial"/>
        </w:rPr>
      </w:pPr>
      <w:r w:rsidRPr="00B567DE">
        <w:rPr>
          <w:rFonts w:ascii="Arial" w:hAnsi="Arial" w:cs="Arial"/>
        </w:rPr>
        <w:t>Abdallah, S.</w:t>
      </w:r>
      <w:r>
        <w:rPr>
          <w:rFonts w:ascii="Arial" w:hAnsi="Arial" w:cs="Arial"/>
        </w:rPr>
        <w:t>,</w:t>
      </w:r>
      <w:r w:rsidRPr="00B567DE">
        <w:rPr>
          <w:rFonts w:ascii="Arial" w:hAnsi="Arial" w:cs="Arial"/>
        </w:rPr>
        <w:t xml:space="preserve"> </w:t>
      </w:r>
      <w:r>
        <w:rPr>
          <w:rFonts w:ascii="Arial" w:hAnsi="Arial" w:cs="Arial"/>
        </w:rPr>
        <w:t xml:space="preserve">&amp; </w:t>
      </w:r>
      <w:r w:rsidRPr="00B567DE">
        <w:rPr>
          <w:rFonts w:ascii="Arial" w:hAnsi="Arial" w:cs="Arial"/>
        </w:rPr>
        <w:t>Nizamuddin, N., 2023</w:t>
      </w:r>
      <w:r>
        <w:rPr>
          <w:rFonts w:ascii="Arial" w:hAnsi="Arial" w:cs="Arial"/>
        </w:rPr>
        <w:t>,</w:t>
      </w:r>
      <w:r w:rsidRPr="00B567DE">
        <w:rPr>
          <w:rFonts w:ascii="Arial" w:hAnsi="Arial" w:cs="Arial"/>
        </w:rPr>
        <w:t xml:space="preserve"> Blockchain-based solution for pharma supply chain industry. </w:t>
      </w:r>
      <w:r w:rsidRPr="00B567DE">
        <w:rPr>
          <w:rFonts w:ascii="Arial" w:hAnsi="Arial" w:cs="Arial"/>
          <w:i/>
          <w:iCs/>
        </w:rPr>
        <w:t>Computers &amp; Industrial Engineering</w:t>
      </w:r>
      <w:r w:rsidRPr="00B567DE">
        <w:rPr>
          <w:rFonts w:ascii="Arial" w:hAnsi="Arial" w:cs="Arial"/>
        </w:rPr>
        <w:t>, </w:t>
      </w:r>
      <w:r w:rsidRPr="00B567DE">
        <w:rPr>
          <w:rFonts w:ascii="Arial" w:hAnsi="Arial" w:cs="Arial"/>
          <w:i/>
          <w:iCs/>
        </w:rPr>
        <w:t>177</w:t>
      </w:r>
      <w:r w:rsidRPr="00B567DE">
        <w:rPr>
          <w:rFonts w:ascii="Arial" w:hAnsi="Arial" w:cs="Arial"/>
        </w:rPr>
        <w:t>, p.108997.</w:t>
      </w:r>
    </w:p>
    <w:p w14:paraId="62606489" w14:textId="5466E83D" w:rsidR="004670CE" w:rsidRDefault="004670CE" w:rsidP="001851D3">
      <w:pPr>
        <w:spacing w:line="360" w:lineRule="auto"/>
        <w:ind w:firstLine="720"/>
        <w:jc w:val="both"/>
        <w:rPr>
          <w:rFonts w:ascii="Arial" w:hAnsi="Arial" w:cs="Arial"/>
        </w:rPr>
      </w:pPr>
      <w:r w:rsidRPr="00D85994">
        <w:rPr>
          <w:rFonts w:ascii="Arial" w:hAnsi="Arial" w:cs="Arial"/>
        </w:rPr>
        <w:t xml:space="preserve">Applegate, L.M., Austin, </w:t>
      </w:r>
      <w:r w:rsidR="005966CB" w:rsidRPr="00D85994">
        <w:rPr>
          <w:rFonts w:ascii="Arial" w:hAnsi="Arial" w:cs="Arial"/>
        </w:rPr>
        <w:t>R.D.,</w:t>
      </w:r>
      <w:r w:rsidRPr="00D85994">
        <w:rPr>
          <w:rFonts w:ascii="Arial" w:hAnsi="Arial" w:cs="Arial"/>
        </w:rPr>
        <w:t xml:space="preserve"> and McFarlan, F.W., 2006</w:t>
      </w:r>
      <w:r>
        <w:rPr>
          <w:rFonts w:ascii="Arial" w:hAnsi="Arial" w:cs="Arial"/>
        </w:rPr>
        <w:t>,</w:t>
      </w:r>
      <w:r w:rsidRPr="00D85994">
        <w:rPr>
          <w:rFonts w:ascii="Arial" w:hAnsi="Arial" w:cs="Arial"/>
        </w:rPr>
        <w:t> </w:t>
      </w:r>
      <w:r w:rsidRPr="00D85994">
        <w:rPr>
          <w:rFonts w:ascii="Arial" w:hAnsi="Arial" w:cs="Arial"/>
          <w:i/>
          <w:iCs/>
        </w:rPr>
        <w:t>Corporate information strategy and management</w:t>
      </w:r>
      <w:r w:rsidRPr="00D85994">
        <w:rPr>
          <w:rFonts w:ascii="Arial" w:hAnsi="Arial" w:cs="Arial"/>
        </w:rPr>
        <w:t>. McGraw-Hill/Irwin Custom Publishing.</w:t>
      </w:r>
    </w:p>
    <w:p w14:paraId="26FDB6BC" w14:textId="77777777" w:rsidR="004670CE" w:rsidRDefault="004670CE" w:rsidP="00AA2B34">
      <w:pPr>
        <w:pStyle w:val="ListParagraph"/>
        <w:spacing w:line="360" w:lineRule="auto"/>
        <w:ind w:left="0"/>
        <w:jc w:val="both"/>
        <w:rPr>
          <w:rFonts w:ascii="Arial" w:hAnsi="Arial" w:cs="Arial"/>
        </w:rPr>
      </w:pPr>
      <w:r>
        <w:rPr>
          <w:rFonts w:ascii="Arial" w:hAnsi="Arial" w:cs="Arial"/>
        </w:rPr>
        <w:t xml:space="preserve">Available at: </w:t>
      </w:r>
      <w:hyperlink r:id="rId10" w:history="1">
        <w:r w:rsidRPr="000331A2">
          <w:rPr>
            <w:rStyle w:val="Hyperlink"/>
            <w:rFonts w:ascii="Arial" w:hAnsi="Arial" w:cs="Arial"/>
          </w:rPr>
          <w:t>Our History | Pharmacy2U NHS History | Pharmacy2U</w:t>
        </w:r>
      </w:hyperlink>
      <w:r>
        <w:rPr>
          <w:rFonts w:ascii="Arial" w:hAnsi="Arial" w:cs="Arial"/>
        </w:rPr>
        <w:t xml:space="preserve"> [Accessed 22/09/2024]</w:t>
      </w:r>
    </w:p>
    <w:p w14:paraId="6E581167" w14:textId="77777777" w:rsidR="004670CE" w:rsidRDefault="004670CE" w:rsidP="00AA2B34">
      <w:pPr>
        <w:pStyle w:val="ListParagraph"/>
        <w:spacing w:line="360" w:lineRule="auto"/>
        <w:ind w:left="0" w:firstLine="720"/>
        <w:jc w:val="both"/>
        <w:rPr>
          <w:rFonts w:ascii="Arial" w:hAnsi="Arial" w:cs="Arial"/>
        </w:rPr>
      </w:pPr>
      <w:r w:rsidRPr="00CE089F">
        <w:rPr>
          <w:rFonts w:ascii="Arial" w:hAnsi="Arial" w:cs="Arial"/>
        </w:rPr>
        <w:t>Barney, J.B.</w:t>
      </w:r>
      <w:r>
        <w:rPr>
          <w:rFonts w:ascii="Arial" w:hAnsi="Arial" w:cs="Arial"/>
        </w:rPr>
        <w:t>,</w:t>
      </w:r>
      <w:r w:rsidRPr="00CE089F">
        <w:rPr>
          <w:rFonts w:ascii="Arial" w:hAnsi="Arial" w:cs="Arial"/>
        </w:rPr>
        <w:t xml:space="preserve"> &amp; Hesterly, W.S.</w:t>
      </w:r>
      <w:r>
        <w:rPr>
          <w:rFonts w:ascii="Arial" w:hAnsi="Arial" w:cs="Arial"/>
        </w:rPr>
        <w:t>,</w:t>
      </w:r>
      <w:r w:rsidRPr="00CE089F">
        <w:rPr>
          <w:rFonts w:ascii="Arial" w:hAnsi="Arial" w:cs="Arial"/>
        </w:rPr>
        <w:t xml:space="preserve"> </w:t>
      </w:r>
      <w:r>
        <w:rPr>
          <w:rFonts w:ascii="Arial" w:hAnsi="Arial" w:cs="Arial"/>
        </w:rPr>
        <w:t>2</w:t>
      </w:r>
      <w:r w:rsidRPr="00CE089F">
        <w:rPr>
          <w:rFonts w:ascii="Arial" w:hAnsi="Arial" w:cs="Arial"/>
        </w:rPr>
        <w:t>018</w:t>
      </w:r>
      <w:r>
        <w:rPr>
          <w:rFonts w:ascii="Arial" w:hAnsi="Arial" w:cs="Arial"/>
        </w:rPr>
        <w:t>,</w:t>
      </w:r>
      <w:r w:rsidRPr="00CE089F">
        <w:rPr>
          <w:rFonts w:ascii="Arial" w:hAnsi="Arial" w:cs="Arial"/>
        </w:rPr>
        <w:t> </w:t>
      </w:r>
      <w:r w:rsidRPr="00CE089F">
        <w:rPr>
          <w:rFonts w:ascii="Arial" w:hAnsi="Arial" w:cs="Arial"/>
          <w:i/>
          <w:iCs/>
        </w:rPr>
        <w:t>Strategic management and competitive advantage: concepts and cases</w:t>
      </w:r>
      <w:r w:rsidRPr="00CE089F">
        <w:rPr>
          <w:rFonts w:ascii="Arial" w:hAnsi="Arial" w:cs="Arial"/>
        </w:rPr>
        <w:t>. Pearson Education.</w:t>
      </w:r>
    </w:p>
    <w:p w14:paraId="43A084B8" w14:textId="77777777" w:rsidR="004670CE" w:rsidRPr="00D04CCB" w:rsidRDefault="004670CE" w:rsidP="001851D3">
      <w:pPr>
        <w:spacing w:line="360" w:lineRule="auto"/>
        <w:ind w:firstLine="720"/>
        <w:jc w:val="both"/>
        <w:rPr>
          <w:rFonts w:ascii="Arial" w:hAnsi="Arial" w:cs="Arial"/>
        </w:rPr>
      </w:pPr>
      <w:r w:rsidRPr="00F05CF5">
        <w:rPr>
          <w:rFonts w:ascii="Arial" w:hAnsi="Arial" w:cs="Arial"/>
        </w:rPr>
        <w:t xml:space="preserve">Boxer, R.J. </w:t>
      </w:r>
      <w:r>
        <w:rPr>
          <w:rFonts w:ascii="Arial" w:hAnsi="Arial" w:cs="Arial"/>
        </w:rPr>
        <w:t>&amp;</w:t>
      </w:r>
      <w:r w:rsidRPr="00F05CF5">
        <w:rPr>
          <w:rFonts w:ascii="Arial" w:hAnsi="Arial" w:cs="Arial"/>
        </w:rPr>
        <w:t xml:space="preserve"> Ellimoottil, C.,</w:t>
      </w:r>
      <w:r>
        <w:rPr>
          <w:rFonts w:ascii="Arial" w:hAnsi="Arial" w:cs="Arial"/>
        </w:rPr>
        <w:t xml:space="preserve"> </w:t>
      </w:r>
      <w:r w:rsidRPr="00F05CF5">
        <w:rPr>
          <w:rFonts w:ascii="Arial" w:hAnsi="Arial" w:cs="Arial"/>
        </w:rPr>
        <w:t>2019</w:t>
      </w:r>
      <w:r>
        <w:rPr>
          <w:rFonts w:ascii="Arial" w:hAnsi="Arial" w:cs="Arial"/>
        </w:rPr>
        <w:t>,</w:t>
      </w:r>
      <w:r w:rsidRPr="00F05CF5">
        <w:rPr>
          <w:rFonts w:ascii="Arial" w:hAnsi="Arial" w:cs="Arial"/>
        </w:rPr>
        <w:t xml:space="preserve"> Advantages and utilization of telemedicine. </w:t>
      </w:r>
      <w:r w:rsidRPr="00F05CF5">
        <w:rPr>
          <w:rFonts w:ascii="Arial" w:hAnsi="Arial" w:cs="Arial"/>
          <w:i/>
          <w:iCs/>
        </w:rPr>
        <w:t>Mhealth</w:t>
      </w:r>
      <w:r w:rsidRPr="00F05CF5">
        <w:rPr>
          <w:rFonts w:ascii="Arial" w:hAnsi="Arial" w:cs="Arial"/>
        </w:rPr>
        <w:t>, </w:t>
      </w:r>
      <w:r w:rsidRPr="00F05CF5">
        <w:rPr>
          <w:rFonts w:ascii="Arial" w:hAnsi="Arial" w:cs="Arial"/>
          <w:i/>
          <w:iCs/>
        </w:rPr>
        <w:t>5</w:t>
      </w:r>
      <w:r w:rsidRPr="00F05CF5">
        <w:rPr>
          <w:rFonts w:ascii="Arial" w:hAnsi="Arial" w:cs="Arial"/>
        </w:rPr>
        <w:t>.</w:t>
      </w:r>
    </w:p>
    <w:p w14:paraId="00105AB1" w14:textId="77777777" w:rsidR="004670CE" w:rsidRDefault="004670CE" w:rsidP="001851D3">
      <w:pPr>
        <w:spacing w:line="360" w:lineRule="auto"/>
        <w:ind w:firstLine="720"/>
        <w:jc w:val="both"/>
        <w:rPr>
          <w:rFonts w:ascii="Arial" w:hAnsi="Arial" w:cs="Arial"/>
        </w:rPr>
      </w:pPr>
      <w:r w:rsidRPr="00CA5FC7">
        <w:rPr>
          <w:rFonts w:ascii="Arial" w:hAnsi="Arial" w:cs="Arial"/>
        </w:rPr>
        <w:t>Brugha, R</w:t>
      </w:r>
      <w:r>
        <w:rPr>
          <w:rFonts w:ascii="Arial" w:hAnsi="Arial" w:cs="Arial"/>
        </w:rPr>
        <w:t>., &amp;</w:t>
      </w:r>
      <w:r w:rsidRPr="00CA5FC7">
        <w:rPr>
          <w:rFonts w:ascii="Arial" w:hAnsi="Arial" w:cs="Arial"/>
        </w:rPr>
        <w:t xml:space="preserve"> Varvasovszky, Z., 2000</w:t>
      </w:r>
      <w:r>
        <w:rPr>
          <w:rFonts w:ascii="Arial" w:hAnsi="Arial" w:cs="Arial"/>
        </w:rPr>
        <w:t xml:space="preserve">, </w:t>
      </w:r>
      <w:r w:rsidRPr="00CA5FC7">
        <w:rPr>
          <w:rFonts w:ascii="Arial" w:hAnsi="Arial" w:cs="Arial"/>
        </w:rPr>
        <w:t>Stakeholder analysis: a review. </w:t>
      </w:r>
      <w:r w:rsidRPr="00CA5FC7">
        <w:rPr>
          <w:rFonts w:ascii="Arial" w:hAnsi="Arial" w:cs="Arial"/>
          <w:i/>
          <w:iCs/>
        </w:rPr>
        <w:t>Health policy and planning</w:t>
      </w:r>
      <w:r w:rsidRPr="00CA5FC7">
        <w:rPr>
          <w:rFonts w:ascii="Arial" w:hAnsi="Arial" w:cs="Arial"/>
        </w:rPr>
        <w:t>, </w:t>
      </w:r>
      <w:r w:rsidRPr="00CA5FC7">
        <w:rPr>
          <w:rFonts w:ascii="Arial" w:hAnsi="Arial" w:cs="Arial"/>
          <w:i/>
          <w:iCs/>
        </w:rPr>
        <w:t>15</w:t>
      </w:r>
      <w:r w:rsidRPr="00CA5FC7">
        <w:rPr>
          <w:rFonts w:ascii="Arial" w:hAnsi="Arial" w:cs="Arial"/>
        </w:rPr>
        <w:t>(3), pp.239-246.</w:t>
      </w:r>
    </w:p>
    <w:p w14:paraId="0E73F598" w14:textId="77777777" w:rsidR="004670CE" w:rsidRDefault="004670CE" w:rsidP="001851D3">
      <w:pPr>
        <w:spacing w:line="360" w:lineRule="auto"/>
        <w:ind w:firstLine="720"/>
        <w:jc w:val="both"/>
        <w:rPr>
          <w:rFonts w:ascii="Arial" w:hAnsi="Arial" w:cs="Arial"/>
        </w:rPr>
      </w:pPr>
      <w:r w:rsidRPr="001851D3">
        <w:rPr>
          <w:rFonts w:ascii="Arial" w:hAnsi="Arial" w:cs="Arial"/>
        </w:rPr>
        <w:t>Dacre, J., Francis, R., Cave, E., Charlesworth, A., Pearson, D., Peckham, S., Ashmed, N., Lyonette, M., Makarem, R., Nazar, H. and Onatade, R., 2023</w:t>
      </w:r>
      <w:r>
        <w:rPr>
          <w:rFonts w:ascii="Arial" w:hAnsi="Arial" w:cs="Arial"/>
        </w:rPr>
        <w:t>,</w:t>
      </w:r>
      <w:r w:rsidRPr="001851D3">
        <w:rPr>
          <w:rFonts w:ascii="Arial" w:hAnsi="Arial" w:cs="Arial"/>
        </w:rPr>
        <w:t xml:space="preserve"> Expert Panel: evaluation of the Government’s commitments in the area of pharmacy in England (Tenth Special Report of Session 2022–23).</w:t>
      </w:r>
    </w:p>
    <w:p w14:paraId="11A19207" w14:textId="206AF3B5" w:rsidR="004670CE" w:rsidRDefault="004670CE" w:rsidP="00AA2B34">
      <w:pPr>
        <w:pStyle w:val="ListParagraph"/>
        <w:spacing w:line="360" w:lineRule="auto"/>
        <w:ind w:left="0" w:firstLine="720"/>
        <w:jc w:val="both"/>
        <w:rPr>
          <w:rFonts w:ascii="Arial" w:hAnsi="Arial" w:cs="Arial"/>
        </w:rPr>
      </w:pPr>
      <w:r w:rsidRPr="00CA04D0">
        <w:rPr>
          <w:rFonts w:ascii="Arial" w:hAnsi="Arial" w:cs="Arial"/>
        </w:rPr>
        <w:t>Dälken, F., 2014</w:t>
      </w:r>
      <w:r>
        <w:rPr>
          <w:rFonts w:ascii="Arial" w:hAnsi="Arial" w:cs="Arial"/>
        </w:rPr>
        <w:t>,</w:t>
      </w:r>
      <w:r w:rsidRPr="00CA04D0">
        <w:rPr>
          <w:rFonts w:ascii="Arial" w:hAnsi="Arial" w:cs="Arial"/>
        </w:rPr>
        <w:t> Are porter’s five competitive forces still applicable? a critical examination concerning the relevance for today’s business (</w:t>
      </w:r>
      <w:r w:rsidR="005966CB" w:rsidRPr="00CA04D0">
        <w:rPr>
          <w:rFonts w:ascii="Arial" w:hAnsi="Arial" w:cs="Arial"/>
        </w:rPr>
        <w:t>bachelor’s</w:t>
      </w:r>
      <w:r w:rsidRPr="00CA04D0">
        <w:rPr>
          <w:rFonts w:ascii="Arial" w:hAnsi="Arial" w:cs="Arial"/>
        </w:rPr>
        <w:t xml:space="preserve"> thesis, University of Twente).</w:t>
      </w:r>
    </w:p>
    <w:p w14:paraId="7E6BD473" w14:textId="77777777" w:rsidR="004670CE" w:rsidRDefault="004670CE" w:rsidP="001851D3">
      <w:pPr>
        <w:spacing w:line="360" w:lineRule="auto"/>
        <w:ind w:firstLine="720"/>
        <w:jc w:val="both"/>
        <w:rPr>
          <w:rFonts w:ascii="Arial" w:hAnsi="Arial" w:cs="Arial"/>
        </w:rPr>
      </w:pPr>
      <w:r w:rsidRPr="00B567DE">
        <w:rPr>
          <w:rFonts w:ascii="Arial" w:hAnsi="Arial" w:cs="Arial"/>
        </w:rPr>
        <w:t>De Bussy, N.M.</w:t>
      </w:r>
      <w:r>
        <w:rPr>
          <w:rFonts w:ascii="Arial" w:hAnsi="Arial" w:cs="Arial"/>
        </w:rPr>
        <w:t>,</w:t>
      </w:r>
      <w:r w:rsidRPr="00B567DE">
        <w:rPr>
          <w:rFonts w:ascii="Arial" w:hAnsi="Arial" w:cs="Arial"/>
        </w:rPr>
        <w:t xml:space="preserve"> </w:t>
      </w:r>
      <w:r>
        <w:rPr>
          <w:rFonts w:ascii="Arial" w:hAnsi="Arial" w:cs="Arial"/>
        </w:rPr>
        <w:t>&amp;</w:t>
      </w:r>
      <w:r w:rsidRPr="00B567DE">
        <w:rPr>
          <w:rFonts w:ascii="Arial" w:hAnsi="Arial" w:cs="Arial"/>
        </w:rPr>
        <w:t xml:space="preserve"> Suprawan, L., 2012</w:t>
      </w:r>
      <w:r>
        <w:rPr>
          <w:rFonts w:ascii="Arial" w:hAnsi="Arial" w:cs="Arial"/>
        </w:rPr>
        <w:t>,</w:t>
      </w:r>
      <w:r w:rsidRPr="00B567DE">
        <w:rPr>
          <w:rFonts w:ascii="Arial" w:hAnsi="Arial" w:cs="Arial"/>
        </w:rPr>
        <w:t xml:space="preserve"> Most valuable stakeholders: The impact of employee orientation on corporate financial performance. </w:t>
      </w:r>
      <w:r w:rsidRPr="00B567DE">
        <w:rPr>
          <w:rFonts w:ascii="Arial" w:hAnsi="Arial" w:cs="Arial"/>
          <w:i/>
          <w:iCs/>
        </w:rPr>
        <w:t>Public Relations Review</w:t>
      </w:r>
      <w:r w:rsidRPr="00B567DE">
        <w:rPr>
          <w:rFonts w:ascii="Arial" w:hAnsi="Arial" w:cs="Arial"/>
        </w:rPr>
        <w:t>, </w:t>
      </w:r>
      <w:r w:rsidRPr="00B567DE">
        <w:rPr>
          <w:rFonts w:ascii="Arial" w:hAnsi="Arial" w:cs="Arial"/>
          <w:i/>
          <w:iCs/>
        </w:rPr>
        <w:t>38</w:t>
      </w:r>
      <w:r w:rsidRPr="00B567DE">
        <w:rPr>
          <w:rFonts w:ascii="Arial" w:hAnsi="Arial" w:cs="Arial"/>
        </w:rPr>
        <w:t>(2), pp.280-287.</w:t>
      </w:r>
    </w:p>
    <w:p w14:paraId="09C2397C" w14:textId="77777777" w:rsidR="004670CE" w:rsidRDefault="004670CE" w:rsidP="00AA2B34">
      <w:pPr>
        <w:pStyle w:val="ListParagraph"/>
        <w:spacing w:line="360" w:lineRule="auto"/>
        <w:ind w:left="0" w:firstLine="720"/>
        <w:jc w:val="both"/>
        <w:rPr>
          <w:rFonts w:ascii="Arial" w:hAnsi="Arial" w:cs="Arial"/>
        </w:rPr>
      </w:pPr>
      <w:r w:rsidRPr="00AE406C">
        <w:rPr>
          <w:rFonts w:ascii="Arial" w:hAnsi="Arial" w:cs="Arial"/>
        </w:rPr>
        <w:t>Evans, S., Vladimirova, D., Holgado, M., Van Fossen, K., Yang, M., Silva, E.A.</w:t>
      </w:r>
      <w:r>
        <w:rPr>
          <w:rFonts w:ascii="Arial" w:hAnsi="Arial" w:cs="Arial"/>
        </w:rPr>
        <w:t xml:space="preserve">, </w:t>
      </w:r>
      <w:r w:rsidRPr="00AE406C">
        <w:rPr>
          <w:rFonts w:ascii="Arial" w:hAnsi="Arial" w:cs="Arial"/>
        </w:rPr>
        <w:t>Barlow, C.Y., 2017</w:t>
      </w:r>
      <w:r>
        <w:rPr>
          <w:rFonts w:ascii="Arial" w:hAnsi="Arial" w:cs="Arial"/>
        </w:rPr>
        <w:t>,</w:t>
      </w:r>
      <w:r w:rsidRPr="00AE406C">
        <w:rPr>
          <w:rFonts w:ascii="Arial" w:hAnsi="Arial" w:cs="Arial"/>
        </w:rPr>
        <w:t xml:space="preserve"> Business model innovation for sustainability: Towards a unified perspective for creation of sustainable business models. Business strategy and the environment, 26(5), pp.597-608.</w:t>
      </w:r>
    </w:p>
    <w:p w14:paraId="7B23F521" w14:textId="2C3B020F" w:rsidR="004670CE" w:rsidRDefault="004670CE" w:rsidP="00AA2B34">
      <w:pPr>
        <w:pStyle w:val="ListParagraph"/>
        <w:spacing w:line="360" w:lineRule="auto"/>
        <w:ind w:left="0" w:firstLine="720"/>
        <w:jc w:val="both"/>
        <w:rPr>
          <w:rFonts w:ascii="Arial" w:hAnsi="Arial" w:cs="Arial"/>
        </w:rPr>
      </w:pPr>
      <w:r w:rsidRPr="005F1C78">
        <w:rPr>
          <w:rFonts w:ascii="Arial" w:hAnsi="Arial" w:cs="Arial"/>
        </w:rPr>
        <w:t>Fittler, A., Abanmy, N.O., Serefko, A., Rehman, I.U. and Vida, R.G., 2024</w:t>
      </w:r>
      <w:r>
        <w:rPr>
          <w:rFonts w:ascii="Arial" w:hAnsi="Arial" w:cs="Arial"/>
        </w:rPr>
        <w:t>,</w:t>
      </w:r>
      <w:r w:rsidRPr="005F1C78">
        <w:rPr>
          <w:rFonts w:ascii="Arial" w:hAnsi="Arial" w:cs="Arial"/>
        </w:rPr>
        <w:t xml:space="preserve"> Internet pharmacies and the online pharmacy market: trends, </w:t>
      </w:r>
      <w:r w:rsidR="005966CB" w:rsidRPr="005F1C78">
        <w:rPr>
          <w:rFonts w:ascii="Arial" w:hAnsi="Arial" w:cs="Arial"/>
        </w:rPr>
        <w:t>perspectives,</w:t>
      </w:r>
      <w:r w:rsidRPr="005F1C78">
        <w:rPr>
          <w:rFonts w:ascii="Arial" w:hAnsi="Arial" w:cs="Arial"/>
        </w:rPr>
        <w:t xml:space="preserve"> and challenges. </w:t>
      </w:r>
      <w:r w:rsidRPr="005F1C78">
        <w:rPr>
          <w:rFonts w:ascii="Arial" w:hAnsi="Arial" w:cs="Arial"/>
          <w:i/>
          <w:iCs/>
        </w:rPr>
        <w:t>Frontiers in Pharmacology</w:t>
      </w:r>
      <w:r w:rsidRPr="005F1C78">
        <w:rPr>
          <w:rFonts w:ascii="Arial" w:hAnsi="Arial" w:cs="Arial"/>
        </w:rPr>
        <w:t>, </w:t>
      </w:r>
      <w:r w:rsidRPr="005F1C78">
        <w:rPr>
          <w:rFonts w:ascii="Arial" w:hAnsi="Arial" w:cs="Arial"/>
          <w:i/>
          <w:iCs/>
        </w:rPr>
        <w:t>15</w:t>
      </w:r>
      <w:r w:rsidRPr="005F1C78">
        <w:rPr>
          <w:rFonts w:ascii="Arial" w:hAnsi="Arial" w:cs="Arial"/>
        </w:rPr>
        <w:t>, p.1489396.</w:t>
      </w:r>
    </w:p>
    <w:p w14:paraId="2D7FDDD6" w14:textId="77777777" w:rsidR="004670CE" w:rsidRDefault="004670CE" w:rsidP="00AA2B34">
      <w:pPr>
        <w:pStyle w:val="ListParagraph"/>
        <w:spacing w:line="360" w:lineRule="auto"/>
        <w:ind w:left="0" w:firstLine="720"/>
        <w:jc w:val="both"/>
        <w:rPr>
          <w:rFonts w:ascii="Arial" w:hAnsi="Arial" w:cs="Arial"/>
        </w:rPr>
      </w:pPr>
      <w:r w:rsidRPr="001851D3">
        <w:rPr>
          <w:rFonts w:ascii="Arial" w:hAnsi="Arial" w:cs="Arial"/>
        </w:rPr>
        <w:t>Freeman, R.E., 2010</w:t>
      </w:r>
      <w:r>
        <w:rPr>
          <w:rFonts w:ascii="Arial" w:hAnsi="Arial" w:cs="Arial"/>
        </w:rPr>
        <w:t>,</w:t>
      </w:r>
      <w:r w:rsidRPr="001851D3">
        <w:rPr>
          <w:rFonts w:ascii="Arial" w:hAnsi="Arial" w:cs="Arial"/>
        </w:rPr>
        <w:t> </w:t>
      </w:r>
      <w:r w:rsidRPr="001851D3">
        <w:rPr>
          <w:rFonts w:ascii="Arial" w:hAnsi="Arial" w:cs="Arial"/>
          <w:i/>
          <w:iCs/>
        </w:rPr>
        <w:t>Strategic management: A stakeholder approach</w:t>
      </w:r>
      <w:r w:rsidRPr="001851D3">
        <w:rPr>
          <w:rFonts w:ascii="Arial" w:hAnsi="Arial" w:cs="Arial"/>
        </w:rPr>
        <w:t>. Cambridge university press.</w:t>
      </w:r>
    </w:p>
    <w:p w14:paraId="1D6E357C" w14:textId="77777777" w:rsidR="004670CE" w:rsidRDefault="004670CE" w:rsidP="001851D3">
      <w:pPr>
        <w:spacing w:line="360" w:lineRule="auto"/>
        <w:ind w:firstLine="720"/>
        <w:jc w:val="both"/>
        <w:rPr>
          <w:rFonts w:ascii="Arial" w:hAnsi="Arial" w:cs="Arial"/>
        </w:rPr>
      </w:pPr>
      <w:r w:rsidRPr="00982E2E">
        <w:rPr>
          <w:rFonts w:ascii="Arial" w:hAnsi="Arial" w:cs="Arial"/>
        </w:rPr>
        <w:lastRenderedPageBreak/>
        <w:t>Gantenbein, P</w:t>
      </w:r>
      <w:r>
        <w:rPr>
          <w:rFonts w:ascii="Arial" w:hAnsi="Arial" w:cs="Arial"/>
        </w:rPr>
        <w:t>.,</w:t>
      </w:r>
      <w:r w:rsidRPr="00982E2E">
        <w:rPr>
          <w:rFonts w:ascii="Arial" w:hAnsi="Arial" w:cs="Arial"/>
        </w:rPr>
        <w:t xml:space="preserve"> Engelhardt, J., 2012</w:t>
      </w:r>
      <w:r>
        <w:rPr>
          <w:rFonts w:ascii="Arial" w:hAnsi="Arial" w:cs="Arial"/>
        </w:rPr>
        <w:t>,</w:t>
      </w:r>
      <w:r w:rsidRPr="00982E2E">
        <w:rPr>
          <w:rFonts w:ascii="Arial" w:hAnsi="Arial" w:cs="Arial"/>
        </w:rPr>
        <w:t xml:space="preserve"> The role of investors for early-stage companies. </w:t>
      </w:r>
      <w:r w:rsidRPr="00982E2E">
        <w:rPr>
          <w:rFonts w:ascii="Arial" w:hAnsi="Arial" w:cs="Arial"/>
          <w:i/>
          <w:iCs/>
        </w:rPr>
        <w:t>International Journal of Entrepreneurial Venturing</w:t>
      </w:r>
      <w:r w:rsidRPr="00982E2E">
        <w:rPr>
          <w:rFonts w:ascii="Arial" w:hAnsi="Arial" w:cs="Arial"/>
        </w:rPr>
        <w:t>, </w:t>
      </w:r>
      <w:r w:rsidRPr="00982E2E">
        <w:rPr>
          <w:rFonts w:ascii="Arial" w:hAnsi="Arial" w:cs="Arial"/>
          <w:i/>
          <w:iCs/>
        </w:rPr>
        <w:t>4</w:t>
      </w:r>
      <w:r w:rsidRPr="00982E2E">
        <w:rPr>
          <w:rFonts w:ascii="Arial" w:hAnsi="Arial" w:cs="Arial"/>
        </w:rPr>
        <w:t>(3), pp.276-289.</w:t>
      </w:r>
    </w:p>
    <w:p w14:paraId="28068840" w14:textId="77777777" w:rsidR="004670CE" w:rsidRDefault="004670CE" w:rsidP="00AA2B34">
      <w:pPr>
        <w:pStyle w:val="ListParagraph"/>
        <w:spacing w:line="360" w:lineRule="auto"/>
        <w:ind w:left="0" w:firstLine="720"/>
        <w:jc w:val="both"/>
        <w:rPr>
          <w:rFonts w:ascii="Arial" w:hAnsi="Arial" w:cs="Arial"/>
        </w:rPr>
      </w:pPr>
      <w:r w:rsidRPr="00AE406C">
        <w:rPr>
          <w:rFonts w:ascii="Arial" w:hAnsi="Arial" w:cs="Arial"/>
        </w:rPr>
        <w:t>Geissdoerfer, M., Vladimirova, D.</w:t>
      </w:r>
      <w:r>
        <w:rPr>
          <w:rFonts w:ascii="Arial" w:hAnsi="Arial" w:cs="Arial"/>
        </w:rPr>
        <w:t xml:space="preserve">, </w:t>
      </w:r>
      <w:r w:rsidRPr="00AE406C">
        <w:rPr>
          <w:rFonts w:ascii="Arial" w:hAnsi="Arial" w:cs="Arial"/>
        </w:rPr>
        <w:t>Evans, S., 2018</w:t>
      </w:r>
      <w:r>
        <w:rPr>
          <w:rFonts w:ascii="Arial" w:hAnsi="Arial" w:cs="Arial"/>
        </w:rPr>
        <w:t>,</w:t>
      </w:r>
      <w:r w:rsidRPr="00AE406C">
        <w:rPr>
          <w:rFonts w:ascii="Arial" w:hAnsi="Arial" w:cs="Arial"/>
        </w:rPr>
        <w:t xml:space="preserve"> Sustainable business model innovation: A review. </w:t>
      </w:r>
      <w:r w:rsidRPr="00AE406C">
        <w:rPr>
          <w:rFonts w:ascii="Arial" w:hAnsi="Arial" w:cs="Arial"/>
          <w:i/>
          <w:iCs/>
        </w:rPr>
        <w:t>Journal of cleaner production</w:t>
      </w:r>
      <w:r w:rsidRPr="00AE406C">
        <w:rPr>
          <w:rFonts w:ascii="Arial" w:hAnsi="Arial" w:cs="Arial"/>
        </w:rPr>
        <w:t>, </w:t>
      </w:r>
      <w:r w:rsidRPr="00AE406C">
        <w:rPr>
          <w:rFonts w:ascii="Arial" w:hAnsi="Arial" w:cs="Arial"/>
          <w:i/>
          <w:iCs/>
        </w:rPr>
        <w:t>198</w:t>
      </w:r>
      <w:r w:rsidRPr="00AE406C">
        <w:rPr>
          <w:rFonts w:ascii="Arial" w:hAnsi="Arial" w:cs="Arial"/>
        </w:rPr>
        <w:t>, pp.401-416.</w:t>
      </w:r>
    </w:p>
    <w:p w14:paraId="1DA5CD8D" w14:textId="77777777" w:rsidR="004670CE" w:rsidRDefault="004670CE" w:rsidP="00AA2B34">
      <w:pPr>
        <w:pStyle w:val="ListParagraph"/>
        <w:spacing w:line="360" w:lineRule="auto"/>
        <w:ind w:left="0" w:firstLine="720"/>
        <w:jc w:val="both"/>
        <w:rPr>
          <w:rFonts w:ascii="Arial" w:hAnsi="Arial" w:cs="Arial"/>
        </w:rPr>
      </w:pPr>
      <w:r w:rsidRPr="00CA04D0">
        <w:rPr>
          <w:rFonts w:ascii="Arial" w:hAnsi="Arial" w:cs="Arial"/>
        </w:rPr>
        <w:t xml:space="preserve">Gerard, H. </w:t>
      </w:r>
      <w:r>
        <w:rPr>
          <w:rFonts w:ascii="Arial" w:hAnsi="Arial" w:cs="Arial"/>
        </w:rPr>
        <w:t>&amp;</w:t>
      </w:r>
      <w:r w:rsidRPr="00CA04D0">
        <w:rPr>
          <w:rFonts w:ascii="Arial" w:hAnsi="Arial" w:cs="Arial"/>
        </w:rPr>
        <w:t xml:space="preserve"> Bruijl, T., 2019</w:t>
      </w:r>
      <w:r>
        <w:rPr>
          <w:rFonts w:ascii="Arial" w:hAnsi="Arial" w:cs="Arial"/>
        </w:rPr>
        <w:t>,</w:t>
      </w:r>
      <w:r w:rsidRPr="00CA04D0">
        <w:rPr>
          <w:rFonts w:ascii="Arial" w:hAnsi="Arial" w:cs="Arial"/>
        </w:rPr>
        <w:t> The relevance of Porter's five forces in today's innovative and changing business environment. SSRN.</w:t>
      </w:r>
    </w:p>
    <w:p w14:paraId="7CCB6CF1" w14:textId="77777777" w:rsidR="004670CE" w:rsidRDefault="004670CE" w:rsidP="001851D3">
      <w:pPr>
        <w:spacing w:line="360" w:lineRule="auto"/>
        <w:ind w:firstLine="720"/>
        <w:jc w:val="both"/>
        <w:rPr>
          <w:rFonts w:ascii="Arial" w:hAnsi="Arial" w:cs="Arial"/>
        </w:rPr>
      </w:pPr>
      <w:r w:rsidRPr="00D85994">
        <w:rPr>
          <w:rFonts w:ascii="Arial" w:hAnsi="Arial" w:cs="Arial"/>
        </w:rPr>
        <w:t>Haleem, A., Javaid, M., Singh, R.P. and Suman, R., 2021</w:t>
      </w:r>
      <w:r>
        <w:rPr>
          <w:rFonts w:ascii="Arial" w:hAnsi="Arial" w:cs="Arial"/>
        </w:rPr>
        <w:t>,</w:t>
      </w:r>
      <w:r w:rsidRPr="00D85994">
        <w:rPr>
          <w:rFonts w:ascii="Arial" w:hAnsi="Arial" w:cs="Arial"/>
        </w:rPr>
        <w:t xml:space="preserve"> Telemedicine for healthcare: Capabilities, features, barriers, and applications. </w:t>
      </w:r>
      <w:r w:rsidRPr="00D85994">
        <w:rPr>
          <w:rFonts w:ascii="Arial" w:hAnsi="Arial" w:cs="Arial"/>
          <w:i/>
          <w:iCs/>
        </w:rPr>
        <w:t>Sensors international</w:t>
      </w:r>
      <w:r w:rsidRPr="00D85994">
        <w:rPr>
          <w:rFonts w:ascii="Arial" w:hAnsi="Arial" w:cs="Arial"/>
        </w:rPr>
        <w:t>, </w:t>
      </w:r>
      <w:r w:rsidRPr="00D85994">
        <w:rPr>
          <w:rFonts w:ascii="Arial" w:hAnsi="Arial" w:cs="Arial"/>
          <w:i/>
          <w:iCs/>
        </w:rPr>
        <w:t>2</w:t>
      </w:r>
      <w:r w:rsidRPr="00D85994">
        <w:rPr>
          <w:rFonts w:ascii="Arial" w:hAnsi="Arial" w:cs="Arial"/>
        </w:rPr>
        <w:t>, p.100117.</w:t>
      </w:r>
    </w:p>
    <w:p w14:paraId="021131E7" w14:textId="77777777" w:rsidR="004670CE" w:rsidRDefault="004670CE" w:rsidP="00AA2B34">
      <w:pPr>
        <w:pStyle w:val="ListParagraph"/>
        <w:spacing w:line="360" w:lineRule="auto"/>
        <w:ind w:left="0" w:firstLine="720"/>
        <w:jc w:val="both"/>
        <w:rPr>
          <w:rFonts w:ascii="Arial" w:hAnsi="Arial" w:cs="Arial"/>
        </w:rPr>
      </w:pPr>
      <w:r w:rsidRPr="00AA2B34">
        <w:rPr>
          <w:rFonts w:ascii="Arial" w:hAnsi="Arial" w:cs="Arial"/>
        </w:rPr>
        <w:t>Hemphill, T.A., 2021</w:t>
      </w:r>
      <w:r>
        <w:rPr>
          <w:rFonts w:ascii="Arial" w:hAnsi="Arial" w:cs="Arial"/>
        </w:rPr>
        <w:t>,</w:t>
      </w:r>
      <w:r w:rsidRPr="00AA2B34">
        <w:rPr>
          <w:rFonts w:ascii="Arial" w:hAnsi="Arial" w:cs="Arial"/>
        </w:rPr>
        <w:t xml:space="preserve"> The U. S. Retail Pharmacy Industry: Drug Store Chains, 21st Century Competition, </w:t>
      </w:r>
      <w:r>
        <w:rPr>
          <w:rFonts w:ascii="Arial" w:hAnsi="Arial" w:cs="Arial"/>
        </w:rPr>
        <w:t>a</w:t>
      </w:r>
      <w:r w:rsidRPr="00AA2B34">
        <w:rPr>
          <w:rFonts w:ascii="Arial" w:hAnsi="Arial" w:cs="Arial"/>
        </w:rPr>
        <w:t>nd Innovative Business Models. Journal of Competitiveness Studies, 29(1), pp. 32-51.</w:t>
      </w:r>
    </w:p>
    <w:p w14:paraId="68B41C85" w14:textId="77777777" w:rsidR="004670CE" w:rsidRDefault="004670CE" w:rsidP="00AA2B34">
      <w:pPr>
        <w:pStyle w:val="ListParagraph"/>
        <w:spacing w:line="360" w:lineRule="auto"/>
        <w:ind w:left="0" w:firstLine="720"/>
        <w:jc w:val="both"/>
        <w:rPr>
          <w:rFonts w:ascii="Arial" w:hAnsi="Arial" w:cs="Arial"/>
        </w:rPr>
      </w:pPr>
      <w:r w:rsidRPr="00AE406C">
        <w:rPr>
          <w:rFonts w:ascii="Arial" w:hAnsi="Arial" w:cs="Arial"/>
        </w:rPr>
        <w:t>Kpangbala, G.Y., 2023</w:t>
      </w:r>
      <w:r>
        <w:rPr>
          <w:rFonts w:ascii="Arial" w:hAnsi="Arial" w:cs="Arial"/>
        </w:rPr>
        <w:t>,</w:t>
      </w:r>
      <w:r w:rsidRPr="00AE406C">
        <w:rPr>
          <w:rFonts w:ascii="Arial" w:hAnsi="Arial" w:cs="Arial"/>
        </w:rPr>
        <w:t xml:space="preserve"> The effect of inflation, exchange rate and consumer.</w:t>
      </w:r>
    </w:p>
    <w:p w14:paraId="60B6FD99" w14:textId="77777777" w:rsidR="004670CE" w:rsidRDefault="004670CE" w:rsidP="00AA2B34">
      <w:pPr>
        <w:pStyle w:val="ListParagraph"/>
        <w:spacing w:line="360" w:lineRule="auto"/>
        <w:ind w:left="0" w:firstLine="720"/>
        <w:jc w:val="both"/>
        <w:rPr>
          <w:rFonts w:ascii="Arial" w:hAnsi="Arial" w:cs="Arial"/>
        </w:rPr>
      </w:pPr>
      <w:r w:rsidRPr="00BA575B">
        <w:rPr>
          <w:rFonts w:ascii="Arial" w:hAnsi="Arial" w:cs="Arial"/>
        </w:rPr>
        <w:t>Lennon, M.R., Bouamrane, M.M., Devlin, A.M., O'connor, S., O'donnell, C., Chetty, U., Agbakoba, R., Bikker, A., Grieve, E., Finch, T. and Watson, N., 2017</w:t>
      </w:r>
      <w:r>
        <w:rPr>
          <w:rFonts w:ascii="Arial" w:hAnsi="Arial" w:cs="Arial"/>
        </w:rPr>
        <w:t>,</w:t>
      </w:r>
      <w:r w:rsidRPr="00BA575B">
        <w:rPr>
          <w:rFonts w:ascii="Arial" w:hAnsi="Arial" w:cs="Arial"/>
        </w:rPr>
        <w:t xml:space="preserve"> Readiness for delivering digital health at scale: lessons from a longitudinal qualitative evaluation of a national digital health innovation program in the United Kingdom. </w:t>
      </w:r>
      <w:r w:rsidRPr="00BA575B">
        <w:rPr>
          <w:rFonts w:ascii="Arial" w:hAnsi="Arial" w:cs="Arial"/>
          <w:i/>
          <w:iCs/>
        </w:rPr>
        <w:t>Journal of medical Internet research</w:t>
      </w:r>
      <w:r w:rsidRPr="00BA575B">
        <w:rPr>
          <w:rFonts w:ascii="Arial" w:hAnsi="Arial" w:cs="Arial"/>
        </w:rPr>
        <w:t>, </w:t>
      </w:r>
      <w:r w:rsidRPr="00BA575B">
        <w:rPr>
          <w:rFonts w:ascii="Arial" w:hAnsi="Arial" w:cs="Arial"/>
          <w:i/>
          <w:iCs/>
        </w:rPr>
        <w:t>19</w:t>
      </w:r>
      <w:r w:rsidRPr="00BA575B">
        <w:rPr>
          <w:rFonts w:ascii="Arial" w:hAnsi="Arial" w:cs="Arial"/>
        </w:rPr>
        <w:t>(2), p.e6900.</w:t>
      </w:r>
    </w:p>
    <w:p w14:paraId="672BBAE9" w14:textId="77777777" w:rsidR="004670CE" w:rsidRDefault="004670CE" w:rsidP="00AA2B34">
      <w:pPr>
        <w:pStyle w:val="ListParagraph"/>
        <w:spacing w:line="360" w:lineRule="auto"/>
        <w:ind w:left="0" w:firstLine="720"/>
        <w:jc w:val="both"/>
        <w:rPr>
          <w:rFonts w:ascii="Arial" w:hAnsi="Arial" w:cs="Arial"/>
        </w:rPr>
      </w:pPr>
      <w:r w:rsidRPr="00CE089F">
        <w:rPr>
          <w:rFonts w:ascii="Arial" w:hAnsi="Arial" w:cs="Arial"/>
        </w:rPr>
        <w:t>Lynch, R.</w:t>
      </w:r>
      <w:r>
        <w:rPr>
          <w:rFonts w:ascii="Arial" w:hAnsi="Arial" w:cs="Arial"/>
        </w:rPr>
        <w:t xml:space="preserve">, </w:t>
      </w:r>
      <w:r w:rsidRPr="00CE089F">
        <w:rPr>
          <w:rFonts w:ascii="Arial" w:hAnsi="Arial" w:cs="Arial"/>
        </w:rPr>
        <w:t>2018</w:t>
      </w:r>
      <w:r>
        <w:rPr>
          <w:rFonts w:ascii="Arial" w:hAnsi="Arial" w:cs="Arial"/>
        </w:rPr>
        <w:t xml:space="preserve">, </w:t>
      </w:r>
      <w:r w:rsidRPr="00CE089F">
        <w:rPr>
          <w:rFonts w:ascii="Arial" w:hAnsi="Arial" w:cs="Arial"/>
          <w:i/>
          <w:iCs/>
        </w:rPr>
        <w:t>Strategic management</w:t>
      </w:r>
      <w:r w:rsidRPr="00CE089F">
        <w:rPr>
          <w:rFonts w:ascii="Arial" w:hAnsi="Arial" w:cs="Arial"/>
        </w:rPr>
        <w:t>. Pearson Education.</w:t>
      </w:r>
    </w:p>
    <w:p w14:paraId="13AE5ECE" w14:textId="77777777" w:rsidR="004670CE" w:rsidRDefault="004670CE" w:rsidP="00BA575B">
      <w:pPr>
        <w:pStyle w:val="ListParagraph"/>
        <w:spacing w:line="360" w:lineRule="auto"/>
        <w:ind w:left="0" w:firstLine="720"/>
        <w:jc w:val="both"/>
        <w:rPr>
          <w:rFonts w:ascii="Arial" w:hAnsi="Arial" w:cs="Arial"/>
        </w:rPr>
      </w:pPr>
      <w:r w:rsidRPr="00BA575B">
        <w:rPr>
          <w:rFonts w:ascii="Arial" w:hAnsi="Arial" w:cs="Arial"/>
        </w:rPr>
        <w:t xml:space="preserve">  Marmol, T. Fey</w:t>
      </w:r>
      <w:r>
        <w:rPr>
          <w:rFonts w:ascii="Arial" w:hAnsi="Arial" w:cs="Arial"/>
        </w:rPr>
        <w:t xml:space="preserve">, </w:t>
      </w:r>
      <w:r w:rsidRPr="00BA575B">
        <w:rPr>
          <w:rFonts w:ascii="Arial" w:hAnsi="Arial" w:cs="Arial"/>
        </w:rPr>
        <w:t xml:space="preserve">B., Probert, C., </w:t>
      </w:r>
      <w:r>
        <w:rPr>
          <w:rFonts w:ascii="Arial" w:hAnsi="Arial" w:cs="Arial"/>
        </w:rPr>
        <w:t xml:space="preserve">2015, </w:t>
      </w:r>
      <w:r w:rsidRPr="00BA575B">
        <w:rPr>
          <w:rFonts w:ascii="Arial" w:hAnsi="Arial" w:cs="Arial"/>
        </w:rPr>
        <w:t>PESTLE</w:t>
      </w:r>
      <w:r w:rsidRPr="00BA575B">
        <w:rPr>
          <w:rFonts w:ascii="Arial" w:hAnsi="Arial" w:cs="Arial"/>
          <w:i/>
          <w:iCs/>
        </w:rPr>
        <w:t xml:space="preserve"> </w:t>
      </w:r>
      <w:r w:rsidRPr="00BA575B">
        <w:rPr>
          <w:rFonts w:ascii="Arial" w:hAnsi="Arial" w:cs="Arial"/>
        </w:rPr>
        <w:t>analysis. Translated by C. Probert. Namur: Lemaitre Publishing.</w:t>
      </w:r>
    </w:p>
    <w:p w14:paraId="2377B65E" w14:textId="77777777" w:rsidR="004670CE" w:rsidRDefault="004670CE" w:rsidP="00447E49">
      <w:pPr>
        <w:spacing w:line="360" w:lineRule="auto"/>
        <w:ind w:firstLine="720"/>
        <w:jc w:val="both"/>
        <w:rPr>
          <w:rFonts w:ascii="Arial" w:hAnsi="Arial" w:cs="Arial"/>
        </w:rPr>
      </w:pPr>
      <w:r w:rsidRPr="00447E49">
        <w:rPr>
          <w:rFonts w:ascii="Arial" w:hAnsi="Arial" w:cs="Arial"/>
        </w:rPr>
        <w:t>Mintzberg, H.</w:t>
      </w:r>
      <w:r>
        <w:rPr>
          <w:rFonts w:ascii="Arial" w:hAnsi="Arial" w:cs="Arial"/>
        </w:rPr>
        <w:t xml:space="preserve">, </w:t>
      </w:r>
      <w:r w:rsidRPr="00447E49">
        <w:rPr>
          <w:rFonts w:ascii="Arial" w:hAnsi="Arial" w:cs="Arial"/>
        </w:rPr>
        <w:t>2009</w:t>
      </w:r>
      <w:r>
        <w:rPr>
          <w:rFonts w:ascii="Arial" w:hAnsi="Arial" w:cs="Arial"/>
        </w:rPr>
        <w:t>,</w:t>
      </w:r>
      <w:r w:rsidRPr="00447E49">
        <w:rPr>
          <w:rFonts w:ascii="Arial" w:hAnsi="Arial" w:cs="Arial"/>
        </w:rPr>
        <w:t> </w:t>
      </w:r>
      <w:r w:rsidRPr="00447E49">
        <w:rPr>
          <w:rFonts w:ascii="Arial" w:hAnsi="Arial" w:cs="Arial"/>
          <w:i/>
          <w:iCs/>
        </w:rPr>
        <w:t>Strategy safari: the complete guide through the wilds of strategic management.</w:t>
      </w:r>
      <w:r w:rsidRPr="00447E49">
        <w:rPr>
          <w:rFonts w:ascii="Arial" w:hAnsi="Arial" w:cs="Arial"/>
        </w:rPr>
        <w:t xml:space="preserve"> Second edition. Harlow, UK: FT Prentice Hall.</w:t>
      </w:r>
    </w:p>
    <w:p w14:paraId="429BEA19" w14:textId="77777777" w:rsidR="004670CE" w:rsidRDefault="004670CE" w:rsidP="001851D3">
      <w:pPr>
        <w:spacing w:line="360" w:lineRule="auto"/>
        <w:ind w:firstLine="720"/>
        <w:jc w:val="both"/>
        <w:rPr>
          <w:rFonts w:ascii="Arial" w:hAnsi="Arial" w:cs="Arial"/>
        </w:rPr>
      </w:pPr>
      <w:r w:rsidRPr="00982E2E">
        <w:rPr>
          <w:rFonts w:ascii="Arial" w:hAnsi="Arial" w:cs="Arial"/>
        </w:rPr>
        <w:t>Murphy, D.F.</w:t>
      </w:r>
      <w:r>
        <w:rPr>
          <w:rFonts w:ascii="Arial" w:hAnsi="Arial" w:cs="Arial"/>
        </w:rPr>
        <w:t>,</w:t>
      </w:r>
      <w:r w:rsidRPr="00982E2E">
        <w:rPr>
          <w:rFonts w:ascii="Arial" w:hAnsi="Arial" w:cs="Arial"/>
        </w:rPr>
        <w:t xml:space="preserve"> </w:t>
      </w:r>
      <w:r>
        <w:rPr>
          <w:rFonts w:ascii="Arial" w:hAnsi="Arial" w:cs="Arial"/>
        </w:rPr>
        <w:t xml:space="preserve">&amp; </w:t>
      </w:r>
      <w:r w:rsidRPr="00982E2E">
        <w:rPr>
          <w:rFonts w:ascii="Arial" w:hAnsi="Arial" w:cs="Arial"/>
        </w:rPr>
        <w:t>Bendell, J., 1997</w:t>
      </w:r>
      <w:r>
        <w:rPr>
          <w:rFonts w:ascii="Arial" w:hAnsi="Arial" w:cs="Arial"/>
        </w:rPr>
        <w:t xml:space="preserve">, </w:t>
      </w:r>
      <w:r w:rsidRPr="00982E2E">
        <w:rPr>
          <w:rFonts w:ascii="Arial" w:hAnsi="Arial" w:cs="Arial"/>
          <w:i/>
          <w:iCs/>
        </w:rPr>
        <w:t>In the company of partners: business, environmental groups and sustainable development post-Rio</w:t>
      </w:r>
      <w:r w:rsidRPr="00982E2E">
        <w:rPr>
          <w:rFonts w:ascii="Arial" w:hAnsi="Arial" w:cs="Arial"/>
        </w:rPr>
        <w:t>. Policy Press.</w:t>
      </w:r>
    </w:p>
    <w:p w14:paraId="72709287" w14:textId="1075635D" w:rsidR="004670CE" w:rsidRDefault="004670CE" w:rsidP="001851D3">
      <w:pPr>
        <w:spacing w:line="360" w:lineRule="auto"/>
        <w:ind w:firstLine="720"/>
        <w:jc w:val="both"/>
        <w:rPr>
          <w:rFonts w:ascii="Arial" w:hAnsi="Arial" w:cs="Arial"/>
        </w:rPr>
      </w:pPr>
      <w:r w:rsidRPr="004D269B">
        <w:rPr>
          <w:rFonts w:ascii="Arial" w:hAnsi="Arial" w:cs="Arial"/>
        </w:rPr>
        <w:t xml:space="preserve">Nancy, P., Currie, </w:t>
      </w:r>
      <w:r w:rsidR="005966CB" w:rsidRPr="004D269B">
        <w:rPr>
          <w:rFonts w:ascii="Arial" w:hAnsi="Arial" w:cs="Arial"/>
        </w:rPr>
        <w:t>W.,</w:t>
      </w:r>
      <w:r w:rsidRPr="004D269B">
        <w:rPr>
          <w:rFonts w:ascii="Arial" w:hAnsi="Arial" w:cs="Arial"/>
        </w:rPr>
        <w:t xml:space="preserve"> and Whitley, E.A., 2016</w:t>
      </w:r>
      <w:r>
        <w:rPr>
          <w:rFonts w:ascii="Arial" w:hAnsi="Arial" w:cs="Arial"/>
        </w:rPr>
        <w:t>,</w:t>
      </w:r>
      <w:r w:rsidRPr="004D269B">
        <w:rPr>
          <w:rFonts w:ascii="Arial" w:hAnsi="Arial" w:cs="Arial"/>
        </w:rPr>
        <w:t xml:space="preserve"> Entangled stakeholder roles and perceptions in health information systems: a longitudinal study of the UK NHS N3 network. </w:t>
      </w:r>
      <w:r w:rsidRPr="004D269B">
        <w:rPr>
          <w:rFonts w:ascii="Arial" w:hAnsi="Arial" w:cs="Arial"/>
          <w:i/>
          <w:iCs/>
        </w:rPr>
        <w:t>Journal of the Association for Information Systems</w:t>
      </w:r>
      <w:r w:rsidRPr="004D269B">
        <w:rPr>
          <w:rFonts w:ascii="Arial" w:hAnsi="Arial" w:cs="Arial"/>
        </w:rPr>
        <w:t>, </w:t>
      </w:r>
      <w:r w:rsidRPr="004D269B">
        <w:rPr>
          <w:rFonts w:ascii="Arial" w:hAnsi="Arial" w:cs="Arial"/>
          <w:i/>
          <w:iCs/>
        </w:rPr>
        <w:t>17</w:t>
      </w:r>
      <w:r w:rsidRPr="004D269B">
        <w:rPr>
          <w:rFonts w:ascii="Arial" w:hAnsi="Arial" w:cs="Arial"/>
        </w:rPr>
        <w:t>(2), p.1.</w:t>
      </w:r>
    </w:p>
    <w:p w14:paraId="63B22FE4" w14:textId="77777777" w:rsidR="004670CE" w:rsidRDefault="004670CE" w:rsidP="00AA2B34">
      <w:pPr>
        <w:pStyle w:val="ListParagraph"/>
        <w:spacing w:line="360" w:lineRule="auto"/>
        <w:ind w:left="0" w:firstLine="720"/>
        <w:jc w:val="both"/>
        <w:rPr>
          <w:rFonts w:ascii="Arial" w:hAnsi="Arial" w:cs="Arial"/>
        </w:rPr>
      </w:pPr>
      <w:r w:rsidRPr="000F3ED5">
        <w:rPr>
          <w:rFonts w:ascii="Arial" w:hAnsi="Arial" w:cs="Arial"/>
        </w:rPr>
        <w:t>Narayanan, V.K.</w:t>
      </w:r>
      <w:r>
        <w:rPr>
          <w:rFonts w:ascii="Arial" w:hAnsi="Arial" w:cs="Arial"/>
        </w:rPr>
        <w:t>, &amp;</w:t>
      </w:r>
      <w:r w:rsidRPr="000F3ED5">
        <w:rPr>
          <w:rFonts w:ascii="Arial" w:hAnsi="Arial" w:cs="Arial"/>
        </w:rPr>
        <w:t xml:space="preserve"> Fahey, L., 2005</w:t>
      </w:r>
      <w:r>
        <w:rPr>
          <w:rFonts w:ascii="Arial" w:hAnsi="Arial" w:cs="Arial"/>
        </w:rPr>
        <w:t>,</w:t>
      </w:r>
      <w:r w:rsidRPr="000F3ED5">
        <w:rPr>
          <w:rFonts w:ascii="Arial" w:hAnsi="Arial" w:cs="Arial"/>
        </w:rPr>
        <w:t xml:space="preserve"> The relevance of the institutional underpinnings of Porter's five forces framework to emerging economies: An epistemological analysis. </w:t>
      </w:r>
      <w:r w:rsidRPr="000F3ED5">
        <w:rPr>
          <w:rFonts w:ascii="Arial" w:hAnsi="Arial" w:cs="Arial"/>
          <w:i/>
          <w:iCs/>
        </w:rPr>
        <w:t>Journal of Management Studies</w:t>
      </w:r>
      <w:r w:rsidRPr="000F3ED5">
        <w:rPr>
          <w:rFonts w:ascii="Arial" w:hAnsi="Arial" w:cs="Arial"/>
        </w:rPr>
        <w:t>, </w:t>
      </w:r>
      <w:r w:rsidRPr="000F3ED5">
        <w:rPr>
          <w:rFonts w:ascii="Arial" w:hAnsi="Arial" w:cs="Arial"/>
          <w:i/>
          <w:iCs/>
        </w:rPr>
        <w:t>42</w:t>
      </w:r>
      <w:r w:rsidRPr="000F3ED5">
        <w:rPr>
          <w:rFonts w:ascii="Arial" w:hAnsi="Arial" w:cs="Arial"/>
        </w:rPr>
        <w:t>(1), pp.207-223.</w:t>
      </w:r>
    </w:p>
    <w:p w14:paraId="45E41891" w14:textId="77777777" w:rsidR="004670CE" w:rsidRPr="00A54D1E" w:rsidRDefault="004670CE" w:rsidP="00AA2B34">
      <w:pPr>
        <w:pStyle w:val="ListParagraph"/>
        <w:spacing w:line="360" w:lineRule="auto"/>
        <w:rPr>
          <w:rFonts w:ascii="Arial" w:hAnsi="Arial" w:cs="Arial"/>
        </w:rPr>
      </w:pPr>
      <w:r w:rsidRPr="000331A2">
        <w:rPr>
          <w:rFonts w:ascii="Arial" w:hAnsi="Arial" w:cs="Arial"/>
        </w:rPr>
        <w:t>Pharmacy2U, 2024</w:t>
      </w:r>
      <w:r>
        <w:rPr>
          <w:rFonts w:ascii="Arial" w:hAnsi="Arial" w:cs="Arial"/>
        </w:rPr>
        <w:t xml:space="preserve">, </w:t>
      </w:r>
      <w:r w:rsidRPr="00A54D1E">
        <w:rPr>
          <w:rFonts w:ascii="Arial" w:hAnsi="Arial" w:cs="Arial"/>
        </w:rPr>
        <w:t>The history of prescriptions, Pharmacy2U, and our NHS</w:t>
      </w:r>
    </w:p>
    <w:p w14:paraId="5A8F4B3D" w14:textId="77777777" w:rsidR="004670CE" w:rsidRDefault="004670CE" w:rsidP="001851D3">
      <w:pPr>
        <w:spacing w:line="360" w:lineRule="auto"/>
        <w:ind w:firstLine="720"/>
        <w:jc w:val="both"/>
        <w:rPr>
          <w:rFonts w:ascii="Arial" w:hAnsi="Arial" w:cs="Arial"/>
        </w:rPr>
      </w:pPr>
      <w:r w:rsidRPr="00D85994">
        <w:rPr>
          <w:rFonts w:ascii="Arial" w:hAnsi="Arial" w:cs="Arial"/>
        </w:rPr>
        <w:lastRenderedPageBreak/>
        <w:t>Rangasamy, M., Balasubramaniam, Krishnarajan, D.E</w:t>
      </w:r>
      <w:r>
        <w:rPr>
          <w:rFonts w:ascii="Arial" w:hAnsi="Arial" w:cs="Arial"/>
        </w:rPr>
        <w:t xml:space="preserve">., </w:t>
      </w:r>
      <w:r w:rsidRPr="00D85994">
        <w:rPr>
          <w:rFonts w:ascii="Arial" w:hAnsi="Arial" w:cs="Arial"/>
        </w:rPr>
        <w:t>Raviteja, A., Kante, N.R. and Kumar, N.S., 2011</w:t>
      </w:r>
      <w:r>
        <w:rPr>
          <w:rFonts w:ascii="Arial" w:hAnsi="Arial" w:cs="Arial"/>
        </w:rPr>
        <w:t>,</w:t>
      </w:r>
      <w:r w:rsidRPr="00D85994">
        <w:rPr>
          <w:rFonts w:ascii="Arial" w:hAnsi="Arial" w:cs="Arial"/>
        </w:rPr>
        <w:t xml:space="preserve"> Role of telemedicine in health care system: a review. </w:t>
      </w:r>
      <w:r w:rsidRPr="00D85994">
        <w:rPr>
          <w:rFonts w:ascii="Arial" w:hAnsi="Arial" w:cs="Arial"/>
          <w:i/>
          <w:iCs/>
        </w:rPr>
        <w:t>Int J Recent Adv Pharma Res</w:t>
      </w:r>
      <w:r w:rsidRPr="00D85994">
        <w:rPr>
          <w:rFonts w:ascii="Arial" w:hAnsi="Arial" w:cs="Arial"/>
        </w:rPr>
        <w:t>, </w:t>
      </w:r>
      <w:r w:rsidRPr="00D85994">
        <w:rPr>
          <w:rFonts w:ascii="Arial" w:hAnsi="Arial" w:cs="Arial"/>
          <w:i/>
          <w:iCs/>
        </w:rPr>
        <w:t>2</w:t>
      </w:r>
      <w:r w:rsidRPr="00D85994">
        <w:rPr>
          <w:rFonts w:ascii="Arial" w:hAnsi="Arial" w:cs="Arial"/>
        </w:rPr>
        <w:t>, pp.1-10.</w:t>
      </w:r>
    </w:p>
    <w:p w14:paraId="464657D3" w14:textId="77777777" w:rsidR="004670CE" w:rsidRDefault="004670CE" w:rsidP="00AA2B34">
      <w:pPr>
        <w:pStyle w:val="ListParagraph"/>
        <w:spacing w:line="360" w:lineRule="auto"/>
        <w:ind w:left="0" w:firstLine="720"/>
        <w:jc w:val="both"/>
        <w:rPr>
          <w:rFonts w:ascii="Arial" w:hAnsi="Arial" w:cs="Arial"/>
        </w:rPr>
      </w:pPr>
      <w:r w:rsidRPr="00AE406C">
        <w:rPr>
          <w:rFonts w:ascii="Arial" w:hAnsi="Arial" w:cs="Arial"/>
        </w:rPr>
        <w:t>Rich, E., Miah, A</w:t>
      </w:r>
      <w:r>
        <w:rPr>
          <w:rFonts w:ascii="Arial" w:hAnsi="Arial" w:cs="Arial"/>
        </w:rPr>
        <w:t>., &amp;</w:t>
      </w:r>
      <w:r w:rsidRPr="00AE406C">
        <w:rPr>
          <w:rFonts w:ascii="Arial" w:hAnsi="Arial" w:cs="Arial"/>
        </w:rPr>
        <w:t xml:space="preserve"> Lewis, S., 2019</w:t>
      </w:r>
      <w:r>
        <w:rPr>
          <w:rFonts w:ascii="Arial" w:hAnsi="Arial" w:cs="Arial"/>
        </w:rPr>
        <w:t xml:space="preserve">, </w:t>
      </w:r>
      <w:r w:rsidRPr="00AE406C">
        <w:rPr>
          <w:rFonts w:ascii="Arial" w:hAnsi="Arial" w:cs="Arial"/>
        </w:rPr>
        <w:t>Is digital health care more equitable? The framing of health inequalities within England's digital health policy 2010–2017. </w:t>
      </w:r>
      <w:r w:rsidRPr="00AE406C">
        <w:rPr>
          <w:rFonts w:ascii="Arial" w:hAnsi="Arial" w:cs="Arial"/>
          <w:i/>
          <w:iCs/>
        </w:rPr>
        <w:t>Sociology of health &amp; illness</w:t>
      </w:r>
      <w:r w:rsidRPr="00AE406C">
        <w:rPr>
          <w:rFonts w:ascii="Arial" w:hAnsi="Arial" w:cs="Arial"/>
        </w:rPr>
        <w:t>, </w:t>
      </w:r>
      <w:r w:rsidRPr="00AE406C">
        <w:rPr>
          <w:rFonts w:ascii="Arial" w:hAnsi="Arial" w:cs="Arial"/>
          <w:i/>
          <w:iCs/>
        </w:rPr>
        <w:t>41</w:t>
      </w:r>
      <w:r w:rsidRPr="00AE406C">
        <w:rPr>
          <w:rFonts w:ascii="Arial" w:hAnsi="Arial" w:cs="Arial"/>
        </w:rPr>
        <w:t>, pp.31-49.</w:t>
      </w:r>
    </w:p>
    <w:p w14:paraId="13A40C60" w14:textId="77777777" w:rsidR="004670CE" w:rsidRDefault="004670CE" w:rsidP="001851D3">
      <w:pPr>
        <w:spacing w:line="360" w:lineRule="auto"/>
        <w:ind w:firstLine="720"/>
        <w:jc w:val="both"/>
        <w:rPr>
          <w:rFonts w:ascii="Arial" w:hAnsi="Arial" w:cs="Arial"/>
        </w:rPr>
      </w:pPr>
      <w:r w:rsidRPr="00D03518">
        <w:rPr>
          <w:rFonts w:ascii="Arial" w:hAnsi="Arial" w:cs="Arial"/>
        </w:rPr>
        <w:t>Shah, N., 2004</w:t>
      </w:r>
      <w:r>
        <w:rPr>
          <w:rFonts w:ascii="Arial" w:hAnsi="Arial" w:cs="Arial"/>
        </w:rPr>
        <w:t>,</w:t>
      </w:r>
      <w:r w:rsidRPr="00D03518">
        <w:rPr>
          <w:rFonts w:ascii="Arial" w:hAnsi="Arial" w:cs="Arial"/>
        </w:rPr>
        <w:t xml:space="preserve"> Pharmaceutical supply chains: key issues and strategies for optimisation. </w:t>
      </w:r>
      <w:r w:rsidRPr="00D03518">
        <w:rPr>
          <w:rFonts w:ascii="Arial" w:hAnsi="Arial" w:cs="Arial"/>
          <w:i/>
          <w:iCs/>
        </w:rPr>
        <w:t>Computers &amp; chemical engineering</w:t>
      </w:r>
      <w:r w:rsidRPr="00D03518">
        <w:rPr>
          <w:rFonts w:ascii="Arial" w:hAnsi="Arial" w:cs="Arial"/>
        </w:rPr>
        <w:t>, </w:t>
      </w:r>
      <w:r w:rsidRPr="00D03518">
        <w:rPr>
          <w:rFonts w:ascii="Arial" w:hAnsi="Arial" w:cs="Arial"/>
          <w:i/>
          <w:iCs/>
        </w:rPr>
        <w:t>28</w:t>
      </w:r>
      <w:r w:rsidRPr="00D03518">
        <w:rPr>
          <w:rFonts w:ascii="Arial" w:hAnsi="Arial" w:cs="Arial"/>
        </w:rPr>
        <w:t>(6-7), pp.929-941.</w:t>
      </w:r>
    </w:p>
    <w:p w14:paraId="177B86BC" w14:textId="77777777" w:rsidR="004670CE" w:rsidRDefault="004670CE" w:rsidP="001851D3">
      <w:pPr>
        <w:spacing w:line="360" w:lineRule="auto"/>
        <w:ind w:firstLine="720"/>
        <w:jc w:val="both"/>
        <w:rPr>
          <w:rFonts w:ascii="Arial" w:hAnsi="Arial" w:cs="Arial"/>
        </w:rPr>
      </w:pPr>
      <w:r w:rsidRPr="00D85994">
        <w:rPr>
          <w:rFonts w:ascii="Arial" w:hAnsi="Arial" w:cs="Arial"/>
        </w:rPr>
        <w:t>Sousa, R.T., Liu, S., Papageorgiou, L.G. and Shah, N., 2011</w:t>
      </w:r>
      <w:r>
        <w:rPr>
          <w:rFonts w:ascii="Arial" w:hAnsi="Arial" w:cs="Arial"/>
        </w:rPr>
        <w:t>,</w:t>
      </w:r>
      <w:r w:rsidRPr="00D85994">
        <w:rPr>
          <w:rFonts w:ascii="Arial" w:hAnsi="Arial" w:cs="Arial"/>
        </w:rPr>
        <w:t xml:space="preserve"> Global supply chain planning for pharmaceuticals. </w:t>
      </w:r>
      <w:r w:rsidRPr="00D85994">
        <w:rPr>
          <w:rFonts w:ascii="Arial" w:hAnsi="Arial" w:cs="Arial"/>
          <w:i/>
          <w:iCs/>
        </w:rPr>
        <w:t>Chemical engineering research and design</w:t>
      </w:r>
      <w:r w:rsidRPr="00D85994">
        <w:rPr>
          <w:rFonts w:ascii="Arial" w:hAnsi="Arial" w:cs="Arial"/>
        </w:rPr>
        <w:t>, </w:t>
      </w:r>
      <w:r w:rsidRPr="00D85994">
        <w:rPr>
          <w:rFonts w:ascii="Arial" w:hAnsi="Arial" w:cs="Arial"/>
          <w:i/>
          <w:iCs/>
        </w:rPr>
        <w:t>89</w:t>
      </w:r>
      <w:r w:rsidRPr="00D85994">
        <w:rPr>
          <w:rFonts w:ascii="Arial" w:hAnsi="Arial" w:cs="Arial"/>
        </w:rPr>
        <w:t>(11), pp.2396-2409.</w:t>
      </w:r>
    </w:p>
    <w:p w14:paraId="78EC9530" w14:textId="77777777" w:rsidR="004670CE" w:rsidRDefault="004670CE" w:rsidP="001851D3">
      <w:pPr>
        <w:spacing w:line="360" w:lineRule="auto"/>
        <w:ind w:firstLine="720"/>
        <w:jc w:val="both"/>
        <w:rPr>
          <w:rFonts w:ascii="Arial" w:hAnsi="Arial" w:cs="Arial"/>
        </w:rPr>
      </w:pPr>
      <w:r w:rsidRPr="00D03518">
        <w:rPr>
          <w:rFonts w:ascii="Arial" w:hAnsi="Arial" w:cs="Arial"/>
        </w:rPr>
        <w:t>Teramae, F., Makino, T., Lim, Y., Sengoku, S. and Kodama, K., 2020</w:t>
      </w:r>
      <w:r>
        <w:rPr>
          <w:rFonts w:ascii="Arial" w:hAnsi="Arial" w:cs="Arial"/>
        </w:rPr>
        <w:t>,</w:t>
      </w:r>
      <w:r w:rsidRPr="00D03518">
        <w:rPr>
          <w:rFonts w:ascii="Arial" w:hAnsi="Arial" w:cs="Arial"/>
        </w:rPr>
        <w:t xml:space="preserve"> Impact of research and development strategy on sustainable growth in multinational pharmaceutical companies. </w:t>
      </w:r>
      <w:r w:rsidRPr="00D03518">
        <w:rPr>
          <w:rFonts w:ascii="Arial" w:hAnsi="Arial" w:cs="Arial"/>
          <w:i/>
          <w:iCs/>
        </w:rPr>
        <w:t>Sustainability</w:t>
      </w:r>
      <w:r w:rsidRPr="00D03518">
        <w:rPr>
          <w:rFonts w:ascii="Arial" w:hAnsi="Arial" w:cs="Arial"/>
        </w:rPr>
        <w:t>, </w:t>
      </w:r>
      <w:r w:rsidRPr="00D03518">
        <w:rPr>
          <w:rFonts w:ascii="Arial" w:hAnsi="Arial" w:cs="Arial"/>
          <w:i/>
          <w:iCs/>
        </w:rPr>
        <w:t>12</w:t>
      </w:r>
      <w:r w:rsidRPr="00D03518">
        <w:rPr>
          <w:rFonts w:ascii="Arial" w:hAnsi="Arial" w:cs="Arial"/>
        </w:rPr>
        <w:t>(13), p.5358.</w:t>
      </w:r>
    </w:p>
    <w:p w14:paraId="272449CD" w14:textId="77777777" w:rsidR="004670CE" w:rsidRDefault="004670CE" w:rsidP="00AA2B34">
      <w:pPr>
        <w:pStyle w:val="ListParagraph"/>
        <w:spacing w:line="360" w:lineRule="auto"/>
        <w:ind w:left="0" w:firstLine="720"/>
        <w:jc w:val="both"/>
        <w:rPr>
          <w:rFonts w:ascii="Arial" w:hAnsi="Arial" w:cs="Arial"/>
        </w:rPr>
      </w:pPr>
      <w:r w:rsidRPr="001851D3">
        <w:rPr>
          <w:rFonts w:ascii="Arial" w:hAnsi="Arial" w:cs="Arial"/>
        </w:rPr>
        <w:t>Terry, N.P., 2017</w:t>
      </w:r>
      <w:r>
        <w:rPr>
          <w:rFonts w:ascii="Arial" w:hAnsi="Arial" w:cs="Arial"/>
        </w:rPr>
        <w:t>,</w:t>
      </w:r>
      <w:r w:rsidRPr="001851D3">
        <w:rPr>
          <w:rFonts w:ascii="Arial" w:hAnsi="Arial" w:cs="Arial"/>
        </w:rPr>
        <w:t xml:space="preserve"> Regulatory disruption and arbitrage in health-care data protection. </w:t>
      </w:r>
      <w:r w:rsidRPr="001851D3">
        <w:rPr>
          <w:rFonts w:ascii="Arial" w:hAnsi="Arial" w:cs="Arial"/>
          <w:i/>
          <w:iCs/>
        </w:rPr>
        <w:t>Yale J. Health Pol'y L. &amp; Ethics</w:t>
      </w:r>
      <w:r w:rsidRPr="001851D3">
        <w:rPr>
          <w:rFonts w:ascii="Arial" w:hAnsi="Arial" w:cs="Arial"/>
        </w:rPr>
        <w:t>, </w:t>
      </w:r>
      <w:r w:rsidRPr="001851D3">
        <w:rPr>
          <w:rFonts w:ascii="Arial" w:hAnsi="Arial" w:cs="Arial"/>
          <w:i/>
          <w:iCs/>
        </w:rPr>
        <w:t>17</w:t>
      </w:r>
      <w:r w:rsidRPr="001851D3">
        <w:rPr>
          <w:rFonts w:ascii="Arial" w:hAnsi="Arial" w:cs="Arial"/>
        </w:rPr>
        <w:t>, p.143.</w:t>
      </w:r>
    </w:p>
    <w:p w14:paraId="362FFE96" w14:textId="77777777" w:rsidR="004670CE" w:rsidRDefault="004670CE" w:rsidP="00AA2B34">
      <w:pPr>
        <w:pStyle w:val="ListParagraph"/>
        <w:spacing w:line="360" w:lineRule="auto"/>
        <w:ind w:left="0" w:firstLine="720"/>
        <w:jc w:val="both"/>
        <w:rPr>
          <w:rFonts w:ascii="Arial" w:hAnsi="Arial" w:cs="Arial"/>
        </w:rPr>
      </w:pPr>
      <w:r w:rsidRPr="005F1C78">
        <w:rPr>
          <w:rFonts w:ascii="Arial" w:hAnsi="Arial" w:cs="Arial"/>
        </w:rPr>
        <w:t>Tolley, C., Seymour, H., Watson, N., Nazar, H., Heed, J.</w:t>
      </w:r>
      <w:r>
        <w:rPr>
          <w:rFonts w:ascii="Arial" w:hAnsi="Arial" w:cs="Arial"/>
        </w:rPr>
        <w:t>,</w:t>
      </w:r>
      <w:r w:rsidRPr="005F1C78">
        <w:rPr>
          <w:rFonts w:ascii="Arial" w:hAnsi="Arial" w:cs="Arial"/>
        </w:rPr>
        <w:t xml:space="preserve"> and Belshaw, D., 2023</w:t>
      </w:r>
      <w:r>
        <w:rPr>
          <w:rFonts w:ascii="Arial" w:hAnsi="Arial" w:cs="Arial"/>
        </w:rPr>
        <w:t xml:space="preserve">, </w:t>
      </w:r>
      <w:r w:rsidRPr="005F1C78">
        <w:rPr>
          <w:rFonts w:ascii="Arial" w:hAnsi="Arial" w:cs="Arial"/>
        </w:rPr>
        <w:t>Barriers and opportunities for the use of Digital tools in medicines optimization across the interfaces of care: stakeholder interviews in the United Kingdom. </w:t>
      </w:r>
      <w:r w:rsidRPr="005F1C78">
        <w:rPr>
          <w:rFonts w:ascii="Arial" w:hAnsi="Arial" w:cs="Arial"/>
          <w:i/>
          <w:iCs/>
        </w:rPr>
        <w:t>JMIR Medical Informatics</w:t>
      </w:r>
      <w:r w:rsidRPr="005F1C78">
        <w:rPr>
          <w:rFonts w:ascii="Arial" w:hAnsi="Arial" w:cs="Arial"/>
        </w:rPr>
        <w:t>, </w:t>
      </w:r>
      <w:r w:rsidRPr="005F1C78">
        <w:rPr>
          <w:rFonts w:ascii="Arial" w:hAnsi="Arial" w:cs="Arial"/>
          <w:i/>
          <w:iCs/>
        </w:rPr>
        <w:t>11</w:t>
      </w:r>
      <w:r w:rsidRPr="005F1C78">
        <w:rPr>
          <w:rFonts w:ascii="Arial" w:hAnsi="Arial" w:cs="Arial"/>
        </w:rPr>
        <w:t>(1), p.e42458.</w:t>
      </w:r>
    </w:p>
    <w:p w14:paraId="6A469469" w14:textId="77777777" w:rsidR="004670CE" w:rsidRPr="00D04CCB" w:rsidRDefault="004670CE" w:rsidP="005F1C78">
      <w:pPr>
        <w:spacing w:line="360" w:lineRule="auto"/>
        <w:ind w:firstLine="720"/>
        <w:jc w:val="both"/>
        <w:rPr>
          <w:rFonts w:ascii="Arial" w:hAnsi="Arial" w:cs="Arial"/>
        </w:rPr>
      </w:pPr>
      <w:r w:rsidRPr="005F1C78">
        <w:rPr>
          <w:rFonts w:ascii="Arial" w:hAnsi="Arial" w:cs="Arial"/>
        </w:rPr>
        <w:t>Trenfield, S.J., Awad, A., McCoubrey, L.E., Elbadawi, M., Goyanes, A., Gaisford, S. and Basit, A.W., 2022</w:t>
      </w:r>
      <w:r>
        <w:rPr>
          <w:rFonts w:ascii="Arial" w:hAnsi="Arial" w:cs="Arial"/>
        </w:rPr>
        <w:t>,</w:t>
      </w:r>
      <w:r w:rsidRPr="005F1C78">
        <w:rPr>
          <w:rFonts w:ascii="Arial" w:hAnsi="Arial" w:cs="Arial"/>
        </w:rPr>
        <w:t xml:space="preserve"> Advancing pharmacy and healthcare with virtual digital technologies. Advanced Drug Delivery Reviews, 182, p.114098.</w:t>
      </w:r>
    </w:p>
    <w:p w14:paraId="30B86AC5" w14:textId="77777777" w:rsidR="004670CE" w:rsidRDefault="004670CE" w:rsidP="00AA2B34">
      <w:pPr>
        <w:pStyle w:val="ListParagraph"/>
        <w:spacing w:line="360" w:lineRule="auto"/>
        <w:ind w:left="0" w:firstLine="720"/>
        <w:jc w:val="both"/>
        <w:rPr>
          <w:rFonts w:ascii="Arial" w:hAnsi="Arial" w:cs="Arial"/>
        </w:rPr>
      </w:pPr>
      <w:r w:rsidRPr="0010660B">
        <w:rPr>
          <w:rFonts w:ascii="Arial" w:hAnsi="Arial" w:cs="Arial"/>
        </w:rPr>
        <w:t xml:space="preserve">Vaibhavi, C., </w:t>
      </w:r>
      <w:r>
        <w:rPr>
          <w:rFonts w:ascii="Arial" w:hAnsi="Arial" w:cs="Arial"/>
        </w:rPr>
        <w:t xml:space="preserve">2024, </w:t>
      </w:r>
      <w:r w:rsidRPr="0010660B">
        <w:rPr>
          <w:rFonts w:ascii="Arial" w:hAnsi="Arial" w:cs="Arial"/>
        </w:rPr>
        <w:t>Empowering Healthcare Accessibility with Seamless Ai-Integrated Pharmacy Services</w:t>
      </w:r>
      <w:r>
        <w:rPr>
          <w:rFonts w:ascii="Arial" w:hAnsi="Arial" w:cs="Arial"/>
        </w:rPr>
        <w:t>,</w:t>
      </w:r>
      <w:r w:rsidRPr="0010660B">
        <w:t xml:space="preserve"> </w:t>
      </w:r>
      <w:r w:rsidRPr="0010660B">
        <w:rPr>
          <w:rFonts w:ascii="Arial" w:hAnsi="Arial" w:cs="Arial"/>
        </w:rPr>
        <w:t>International Journal of Pharmacy and Herbal Technology- ISSN NO: 2583-8962</w:t>
      </w:r>
      <w:r>
        <w:rPr>
          <w:rFonts w:ascii="Arial" w:hAnsi="Arial" w:cs="Arial"/>
        </w:rPr>
        <w:t xml:space="preserve">, Vol.2. pp. </w:t>
      </w:r>
      <w:r w:rsidRPr="0010660B">
        <w:rPr>
          <w:rFonts w:ascii="Arial" w:hAnsi="Arial" w:cs="Arial"/>
        </w:rPr>
        <w:t>1531-1544</w:t>
      </w:r>
      <w:r>
        <w:rPr>
          <w:rFonts w:ascii="Arial" w:hAnsi="Arial" w:cs="Arial"/>
        </w:rPr>
        <w:t>.</w:t>
      </w:r>
    </w:p>
    <w:p w14:paraId="2DE4CD40" w14:textId="77777777" w:rsidR="004670CE" w:rsidRDefault="004670CE" w:rsidP="001851D3">
      <w:pPr>
        <w:spacing w:line="360" w:lineRule="auto"/>
        <w:ind w:firstLine="720"/>
        <w:jc w:val="both"/>
        <w:rPr>
          <w:rFonts w:ascii="Arial" w:hAnsi="Arial" w:cs="Arial"/>
        </w:rPr>
      </w:pPr>
      <w:r>
        <w:rPr>
          <w:rFonts w:ascii="Arial" w:hAnsi="Arial" w:cs="Arial"/>
        </w:rPr>
        <w:t>V</w:t>
      </w:r>
      <w:r w:rsidRPr="001851D3">
        <w:rPr>
          <w:rFonts w:ascii="Arial" w:hAnsi="Arial" w:cs="Arial"/>
        </w:rPr>
        <w:t>an Ginneken, E.J.M., 2009</w:t>
      </w:r>
      <w:r>
        <w:rPr>
          <w:rFonts w:ascii="Arial" w:hAnsi="Arial" w:cs="Arial"/>
        </w:rPr>
        <w:t>,</w:t>
      </w:r>
      <w:r w:rsidRPr="001851D3">
        <w:rPr>
          <w:rFonts w:ascii="Arial" w:hAnsi="Arial" w:cs="Arial"/>
        </w:rPr>
        <w:t> </w:t>
      </w:r>
      <w:r w:rsidRPr="001851D3">
        <w:rPr>
          <w:rFonts w:ascii="Arial" w:hAnsi="Arial" w:cs="Arial"/>
          <w:i/>
          <w:iCs/>
        </w:rPr>
        <w:t>Implications of future EU policy on the provision of medicines and on actors in the European pharmaceutical sector</w:t>
      </w:r>
      <w:r w:rsidRPr="001851D3">
        <w:rPr>
          <w:rFonts w:ascii="Arial" w:hAnsi="Arial" w:cs="Arial"/>
        </w:rPr>
        <w:t xml:space="preserve">. </w:t>
      </w:r>
    </w:p>
    <w:p w14:paraId="3DA2E73E" w14:textId="77777777" w:rsidR="004670CE" w:rsidRDefault="004670CE" w:rsidP="001851D3">
      <w:pPr>
        <w:spacing w:line="360" w:lineRule="auto"/>
        <w:ind w:firstLine="720"/>
        <w:jc w:val="both"/>
        <w:rPr>
          <w:rFonts w:ascii="Arial" w:hAnsi="Arial" w:cs="Arial"/>
        </w:rPr>
      </w:pPr>
      <w:r w:rsidRPr="00D85994">
        <w:rPr>
          <w:rFonts w:ascii="Arial" w:hAnsi="Arial" w:cs="Arial"/>
        </w:rPr>
        <w:t>Wang, X., Zhang, Z., Zhao, J. and Shi, Y., 2019</w:t>
      </w:r>
      <w:r>
        <w:rPr>
          <w:rFonts w:ascii="Arial" w:hAnsi="Arial" w:cs="Arial"/>
        </w:rPr>
        <w:t xml:space="preserve">, </w:t>
      </w:r>
      <w:r w:rsidRPr="00D85994">
        <w:rPr>
          <w:rFonts w:ascii="Arial" w:hAnsi="Arial" w:cs="Arial"/>
        </w:rPr>
        <w:t>Impact of telemedicine on healthcare service system considering patients’ choice. </w:t>
      </w:r>
      <w:r w:rsidRPr="00D85994">
        <w:rPr>
          <w:rFonts w:ascii="Arial" w:hAnsi="Arial" w:cs="Arial"/>
          <w:i/>
          <w:iCs/>
        </w:rPr>
        <w:t>Discrete Dynamics in Nature and Society</w:t>
      </w:r>
      <w:r w:rsidRPr="00D85994">
        <w:rPr>
          <w:rFonts w:ascii="Arial" w:hAnsi="Arial" w:cs="Arial"/>
        </w:rPr>
        <w:t>, </w:t>
      </w:r>
      <w:r w:rsidRPr="00D85994">
        <w:rPr>
          <w:rFonts w:ascii="Arial" w:hAnsi="Arial" w:cs="Arial"/>
          <w:i/>
          <w:iCs/>
        </w:rPr>
        <w:t>2019</w:t>
      </w:r>
      <w:r w:rsidRPr="00D85994">
        <w:rPr>
          <w:rFonts w:ascii="Arial" w:hAnsi="Arial" w:cs="Arial"/>
        </w:rPr>
        <w:t>(1), p.7642176.</w:t>
      </w:r>
    </w:p>
    <w:p w14:paraId="2D8E0AF1" w14:textId="77777777" w:rsidR="004670CE" w:rsidRDefault="004670CE" w:rsidP="00AA2B34">
      <w:pPr>
        <w:pStyle w:val="ListParagraph"/>
        <w:spacing w:line="360" w:lineRule="auto"/>
        <w:ind w:left="0" w:firstLine="720"/>
        <w:jc w:val="both"/>
        <w:rPr>
          <w:rFonts w:ascii="Arial" w:hAnsi="Arial" w:cs="Arial"/>
        </w:rPr>
      </w:pPr>
      <w:r w:rsidRPr="005F1C78">
        <w:rPr>
          <w:rFonts w:ascii="Arial" w:hAnsi="Arial" w:cs="Arial"/>
        </w:rPr>
        <w:lastRenderedPageBreak/>
        <w:t>Wick, A., Koczian, B. and Králiková, K., 2024</w:t>
      </w:r>
      <w:r>
        <w:rPr>
          <w:rFonts w:ascii="Arial" w:hAnsi="Arial" w:cs="Arial"/>
        </w:rPr>
        <w:t>,</w:t>
      </w:r>
      <w:r w:rsidRPr="005F1C78">
        <w:rPr>
          <w:rFonts w:ascii="Arial" w:hAnsi="Arial" w:cs="Arial"/>
        </w:rPr>
        <w:t xml:space="preserve"> Optimizing Retail Pharmacy Success: The Role of Multichannel Marketing Strategies. Administrative Sciences, 14(9), p.210.</w:t>
      </w:r>
    </w:p>
    <w:p w14:paraId="3D469C16" w14:textId="77777777" w:rsidR="004670CE" w:rsidRDefault="004670CE" w:rsidP="001851D3">
      <w:pPr>
        <w:spacing w:line="360" w:lineRule="auto"/>
        <w:ind w:firstLine="720"/>
        <w:jc w:val="both"/>
        <w:rPr>
          <w:rFonts w:ascii="Arial" w:hAnsi="Arial" w:cs="Arial"/>
        </w:rPr>
      </w:pPr>
      <w:r w:rsidRPr="00B567DE">
        <w:rPr>
          <w:rFonts w:ascii="Arial" w:hAnsi="Arial" w:cs="Arial"/>
        </w:rPr>
        <w:t>Xu, X., Wang, X., Li, Y. and Haghighi, M., 2017. Business intelligence in online customer textual reviews: Understanding consumer perceptions and influential factors. International Journal of information management, 37(6), pp.673-683., X., Wang, X., Li, Y. and Haghighi, M., 2017</w:t>
      </w:r>
      <w:r>
        <w:rPr>
          <w:rFonts w:ascii="Arial" w:hAnsi="Arial" w:cs="Arial"/>
        </w:rPr>
        <w:t>,</w:t>
      </w:r>
      <w:r w:rsidRPr="00B567DE">
        <w:rPr>
          <w:rFonts w:ascii="Arial" w:hAnsi="Arial" w:cs="Arial"/>
        </w:rPr>
        <w:t xml:space="preserve"> Business intelligence in online customer textual reviews: Understanding consumer perceptions and influential factors. </w:t>
      </w:r>
      <w:r w:rsidRPr="00B567DE">
        <w:rPr>
          <w:rFonts w:ascii="Arial" w:hAnsi="Arial" w:cs="Arial"/>
          <w:i/>
          <w:iCs/>
        </w:rPr>
        <w:t>International Journal of information management</w:t>
      </w:r>
      <w:r w:rsidRPr="00B567DE">
        <w:rPr>
          <w:rFonts w:ascii="Arial" w:hAnsi="Arial" w:cs="Arial"/>
        </w:rPr>
        <w:t>, </w:t>
      </w:r>
      <w:r w:rsidRPr="00B567DE">
        <w:rPr>
          <w:rFonts w:ascii="Arial" w:hAnsi="Arial" w:cs="Arial"/>
          <w:i/>
          <w:iCs/>
        </w:rPr>
        <w:t>37</w:t>
      </w:r>
      <w:r w:rsidRPr="00B567DE">
        <w:rPr>
          <w:rFonts w:ascii="Arial" w:hAnsi="Arial" w:cs="Arial"/>
        </w:rPr>
        <w:t>(6), pp.673-683.</w:t>
      </w:r>
    </w:p>
    <w:p w14:paraId="58DEDE58" w14:textId="77777777" w:rsidR="004670CE" w:rsidRPr="00BA575B" w:rsidRDefault="004670CE" w:rsidP="00BA575B">
      <w:pPr>
        <w:spacing w:line="360" w:lineRule="auto"/>
        <w:ind w:firstLine="720"/>
        <w:jc w:val="both"/>
        <w:rPr>
          <w:rFonts w:ascii="Arial" w:hAnsi="Arial" w:cs="Arial"/>
        </w:rPr>
      </w:pPr>
      <w:r w:rsidRPr="00D04CCB">
        <w:rPr>
          <w:rFonts w:ascii="Arial" w:hAnsi="Arial" w:cs="Arial"/>
        </w:rPr>
        <w:t xml:space="preserve">Yang, G. </w:t>
      </w:r>
      <w:r>
        <w:rPr>
          <w:rFonts w:ascii="Arial" w:hAnsi="Arial" w:cs="Arial"/>
        </w:rPr>
        <w:t>&amp;</w:t>
      </w:r>
      <w:r w:rsidRPr="00D04CCB">
        <w:rPr>
          <w:rFonts w:ascii="Arial" w:hAnsi="Arial" w:cs="Arial"/>
        </w:rPr>
        <w:t xml:space="preserve"> He, X., 2023</w:t>
      </w:r>
      <w:r>
        <w:rPr>
          <w:rFonts w:ascii="Arial" w:hAnsi="Arial" w:cs="Arial"/>
        </w:rPr>
        <w:t>,</w:t>
      </w:r>
      <w:r w:rsidRPr="00D04CCB">
        <w:rPr>
          <w:rFonts w:ascii="Arial" w:hAnsi="Arial" w:cs="Arial"/>
        </w:rPr>
        <w:t xml:space="preserve"> Enhancing the efficacy of pharmaceutical E-commerce through omni-channel coordination. </w:t>
      </w:r>
      <w:r w:rsidRPr="00D04CCB">
        <w:rPr>
          <w:rFonts w:ascii="Arial" w:hAnsi="Arial" w:cs="Arial"/>
          <w:i/>
          <w:iCs/>
        </w:rPr>
        <w:t>International Journal of Information Systems and Supply Chain Management (IJISSCM)</w:t>
      </w:r>
      <w:r w:rsidRPr="00D04CCB">
        <w:rPr>
          <w:rFonts w:ascii="Arial" w:hAnsi="Arial" w:cs="Arial"/>
        </w:rPr>
        <w:t>, </w:t>
      </w:r>
      <w:r w:rsidRPr="00D04CCB">
        <w:rPr>
          <w:rFonts w:ascii="Arial" w:hAnsi="Arial" w:cs="Arial"/>
          <w:i/>
          <w:iCs/>
        </w:rPr>
        <w:t>16</w:t>
      </w:r>
      <w:r w:rsidRPr="00D04CCB">
        <w:rPr>
          <w:rFonts w:ascii="Arial" w:hAnsi="Arial" w:cs="Arial"/>
        </w:rPr>
        <w:t>(1), pp.1-20.</w:t>
      </w:r>
    </w:p>
    <w:p w14:paraId="7904B473" w14:textId="77777777" w:rsidR="004670CE" w:rsidRDefault="004670CE" w:rsidP="00AA2B34">
      <w:pPr>
        <w:pStyle w:val="ListParagraph"/>
        <w:spacing w:line="360" w:lineRule="auto"/>
        <w:ind w:left="0" w:firstLine="720"/>
        <w:jc w:val="both"/>
        <w:rPr>
          <w:rFonts w:ascii="Arial" w:hAnsi="Arial" w:cs="Arial"/>
        </w:rPr>
      </w:pPr>
      <w:r w:rsidRPr="0010660B">
        <w:rPr>
          <w:rFonts w:ascii="Arial" w:hAnsi="Arial" w:cs="Arial"/>
        </w:rPr>
        <w:t>Yusuf, M.K., Danladi, A.J., Shombot, E., Dusserre, G., Odey, V.A., Baba-Ahmed, N.B., Bestak, R.</w:t>
      </w:r>
      <w:r>
        <w:rPr>
          <w:rFonts w:ascii="Arial" w:hAnsi="Arial" w:cs="Arial"/>
        </w:rPr>
        <w:t>,</w:t>
      </w:r>
      <w:r w:rsidRPr="0010660B">
        <w:rPr>
          <w:rFonts w:ascii="Arial" w:hAnsi="Arial" w:cs="Arial"/>
        </w:rPr>
        <w:t xml:space="preserve"> Lawan, M.I., 2024</w:t>
      </w:r>
      <w:r>
        <w:rPr>
          <w:rFonts w:ascii="Arial" w:hAnsi="Arial" w:cs="Arial"/>
        </w:rPr>
        <w:t>,</w:t>
      </w:r>
      <w:r w:rsidRPr="0010660B">
        <w:rPr>
          <w:rFonts w:ascii="Arial" w:hAnsi="Arial" w:cs="Arial"/>
        </w:rPr>
        <w:t xml:space="preserve"> The Growing Cybersecurity Crisis in Healthcare: A Call to Action. </w:t>
      </w:r>
      <w:r w:rsidRPr="0010660B">
        <w:rPr>
          <w:rFonts w:ascii="Arial" w:hAnsi="Arial" w:cs="Arial"/>
          <w:i/>
          <w:iCs/>
        </w:rPr>
        <w:t>American Journal of Innovation in Science and Engineering</w:t>
      </w:r>
      <w:r w:rsidRPr="0010660B">
        <w:rPr>
          <w:rFonts w:ascii="Arial" w:hAnsi="Arial" w:cs="Arial"/>
        </w:rPr>
        <w:t>, </w:t>
      </w:r>
      <w:r w:rsidRPr="0010660B">
        <w:rPr>
          <w:rFonts w:ascii="Arial" w:hAnsi="Arial" w:cs="Arial"/>
          <w:i/>
          <w:iCs/>
        </w:rPr>
        <w:t>3</w:t>
      </w:r>
      <w:r w:rsidRPr="0010660B">
        <w:rPr>
          <w:rFonts w:ascii="Arial" w:hAnsi="Arial" w:cs="Arial"/>
        </w:rPr>
        <w:t>(3), pp.55-68.</w:t>
      </w:r>
    </w:p>
    <w:p w14:paraId="448BA1DA" w14:textId="77777777" w:rsidR="004670CE" w:rsidRDefault="004670CE" w:rsidP="00AA2B34">
      <w:pPr>
        <w:pStyle w:val="ListParagraph"/>
        <w:spacing w:line="360" w:lineRule="auto"/>
        <w:ind w:left="0" w:firstLine="720"/>
        <w:jc w:val="both"/>
        <w:rPr>
          <w:rFonts w:ascii="Arial" w:hAnsi="Arial" w:cs="Arial"/>
        </w:rPr>
      </w:pPr>
      <w:r w:rsidRPr="00AE406C">
        <w:rPr>
          <w:rFonts w:ascii="Arial" w:hAnsi="Arial" w:cs="Arial"/>
        </w:rPr>
        <w:t>Zhang, J., Hassandoust, F.</w:t>
      </w:r>
      <w:r>
        <w:rPr>
          <w:rFonts w:ascii="Arial" w:hAnsi="Arial" w:cs="Arial"/>
        </w:rPr>
        <w:t xml:space="preserve">, </w:t>
      </w:r>
      <w:r w:rsidRPr="00AE406C">
        <w:rPr>
          <w:rFonts w:ascii="Arial" w:hAnsi="Arial" w:cs="Arial"/>
        </w:rPr>
        <w:t>Williams, J.E., 2020</w:t>
      </w:r>
      <w:r>
        <w:rPr>
          <w:rFonts w:ascii="Arial" w:hAnsi="Arial" w:cs="Arial"/>
        </w:rPr>
        <w:t>,</w:t>
      </w:r>
      <w:r w:rsidRPr="00AE406C">
        <w:rPr>
          <w:rFonts w:ascii="Arial" w:hAnsi="Arial" w:cs="Arial"/>
        </w:rPr>
        <w:t xml:space="preserve"> Online customer trust in the context of the general data protection regulation (GDPR). </w:t>
      </w:r>
      <w:r w:rsidRPr="00AE406C">
        <w:rPr>
          <w:rFonts w:ascii="Arial" w:hAnsi="Arial" w:cs="Arial"/>
          <w:i/>
          <w:iCs/>
        </w:rPr>
        <w:t>Pacific Asia Journal of the Association for Information Systems</w:t>
      </w:r>
      <w:r w:rsidRPr="00AE406C">
        <w:rPr>
          <w:rFonts w:ascii="Arial" w:hAnsi="Arial" w:cs="Arial"/>
        </w:rPr>
        <w:t>, </w:t>
      </w:r>
      <w:r w:rsidRPr="00AE406C">
        <w:rPr>
          <w:rFonts w:ascii="Arial" w:hAnsi="Arial" w:cs="Arial"/>
          <w:i/>
          <w:iCs/>
        </w:rPr>
        <w:t>12</w:t>
      </w:r>
      <w:r w:rsidRPr="00AE406C">
        <w:rPr>
          <w:rFonts w:ascii="Arial" w:hAnsi="Arial" w:cs="Arial"/>
        </w:rPr>
        <w:t>(1), p.4.</w:t>
      </w:r>
    </w:p>
    <w:p w14:paraId="3BCD0E9F" w14:textId="77777777" w:rsidR="004670CE" w:rsidRDefault="004670CE" w:rsidP="001851D3">
      <w:pPr>
        <w:spacing w:line="360" w:lineRule="auto"/>
        <w:ind w:firstLine="720"/>
        <w:jc w:val="both"/>
        <w:rPr>
          <w:rFonts w:ascii="Arial" w:hAnsi="Arial" w:cs="Arial"/>
        </w:rPr>
      </w:pPr>
      <w:r w:rsidRPr="00D03518">
        <w:rPr>
          <w:rFonts w:ascii="Arial" w:hAnsi="Arial" w:cs="Arial"/>
        </w:rPr>
        <w:t xml:space="preserve">Zugay, B. </w:t>
      </w:r>
      <w:r>
        <w:rPr>
          <w:rFonts w:ascii="Arial" w:hAnsi="Arial" w:cs="Arial"/>
        </w:rPr>
        <w:t>&amp;</w:t>
      </w:r>
      <w:r w:rsidRPr="00D03518">
        <w:rPr>
          <w:rFonts w:ascii="Arial" w:hAnsi="Arial" w:cs="Arial"/>
        </w:rPr>
        <w:t xml:space="preserve"> Zakaria, R., 2023</w:t>
      </w:r>
      <w:r>
        <w:rPr>
          <w:rFonts w:ascii="Arial" w:hAnsi="Arial" w:cs="Arial"/>
        </w:rPr>
        <w:t>,</w:t>
      </w:r>
      <w:r w:rsidRPr="00D03518">
        <w:rPr>
          <w:rFonts w:ascii="Arial" w:hAnsi="Arial" w:cs="Arial"/>
        </w:rPr>
        <w:t> </w:t>
      </w:r>
      <w:r w:rsidRPr="00D03518">
        <w:rPr>
          <w:rFonts w:ascii="Arial" w:hAnsi="Arial" w:cs="Arial"/>
          <w:i/>
          <w:iCs/>
        </w:rPr>
        <w:t>Ansoff matrix</w:t>
      </w:r>
      <w:r w:rsidRPr="00D03518">
        <w:rPr>
          <w:rFonts w:ascii="Arial" w:hAnsi="Arial" w:cs="Arial"/>
        </w:rPr>
        <w:t>. SAGE Publications, Inc.</w:t>
      </w:r>
    </w:p>
    <w:p w14:paraId="1A82A5F6" w14:textId="77777777" w:rsidR="007D2911" w:rsidRDefault="007D2911" w:rsidP="001851D3">
      <w:pPr>
        <w:spacing w:line="360" w:lineRule="auto"/>
        <w:ind w:firstLine="720"/>
        <w:jc w:val="both"/>
        <w:rPr>
          <w:rFonts w:ascii="Arial" w:hAnsi="Arial" w:cs="Arial"/>
        </w:rPr>
      </w:pPr>
    </w:p>
    <w:p w14:paraId="39968EC0" w14:textId="77777777" w:rsidR="007D2911" w:rsidRDefault="007D2911" w:rsidP="001851D3">
      <w:pPr>
        <w:spacing w:line="360" w:lineRule="auto"/>
        <w:ind w:firstLine="720"/>
        <w:jc w:val="both"/>
        <w:rPr>
          <w:rFonts w:ascii="Arial" w:hAnsi="Arial" w:cs="Arial"/>
        </w:rPr>
      </w:pPr>
    </w:p>
    <w:p w14:paraId="73465A60" w14:textId="77777777" w:rsidR="007D2911" w:rsidRDefault="007D2911" w:rsidP="001851D3">
      <w:pPr>
        <w:spacing w:line="360" w:lineRule="auto"/>
        <w:ind w:firstLine="720"/>
        <w:jc w:val="both"/>
        <w:rPr>
          <w:rFonts w:ascii="Arial" w:hAnsi="Arial" w:cs="Arial"/>
        </w:rPr>
      </w:pPr>
    </w:p>
    <w:p w14:paraId="39BCBF88" w14:textId="77777777" w:rsidR="007D2911" w:rsidRDefault="007D2911" w:rsidP="001851D3">
      <w:pPr>
        <w:spacing w:line="360" w:lineRule="auto"/>
        <w:ind w:firstLine="720"/>
        <w:jc w:val="both"/>
        <w:rPr>
          <w:rFonts w:ascii="Arial" w:hAnsi="Arial" w:cs="Arial"/>
        </w:rPr>
      </w:pPr>
    </w:p>
    <w:p w14:paraId="2C7135F2" w14:textId="77777777" w:rsidR="007D2911" w:rsidRDefault="007D2911" w:rsidP="001851D3">
      <w:pPr>
        <w:spacing w:line="360" w:lineRule="auto"/>
        <w:ind w:firstLine="720"/>
        <w:jc w:val="both"/>
        <w:rPr>
          <w:rFonts w:ascii="Arial" w:hAnsi="Arial" w:cs="Arial"/>
        </w:rPr>
      </w:pPr>
    </w:p>
    <w:p w14:paraId="48C18065" w14:textId="77777777" w:rsidR="007D2911" w:rsidRDefault="007D2911" w:rsidP="001851D3">
      <w:pPr>
        <w:spacing w:line="360" w:lineRule="auto"/>
        <w:ind w:firstLine="720"/>
        <w:jc w:val="both"/>
        <w:rPr>
          <w:rFonts w:ascii="Arial" w:hAnsi="Arial" w:cs="Arial"/>
        </w:rPr>
      </w:pPr>
    </w:p>
    <w:p w14:paraId="6E851EAA" w14:textId="77777777" w:rsidR="007D2911" w:rsidRDefault="007D2911" w:rsidP="001851D3">
      <w:pPr>
        <w:spacing w:line="360" w:lineRule="auto"/>
        <w:ind w:firstLine="720"/>
        <w:jc w:val="both"/>
        <w:rPr>
          <w:rFonts w:ascii="Arial" w:hAnsi="Arial" w:cs="Arial"/>
        </w:rPr>
      </w:pPr>
    </w:p>
    <w:p w14:paraId="625BE485" w14:textId="77777777" w:rsidR="007D2911" w:rsidRDefault="007D2911" w:rsidP="001851D3">
      <w:pPr>
        <w:spacing w:line="360" w:lineRule="auto"/>
        <w:ind w:firstLine="720"/>
        <w:jc w:val="both"/>
        <w:rPr>
          <w:rFonts w:ascii="Arial" w:hAnsi="Arial" w:cs="Arial"/>
        </w:rPr>
      </w:pPr>
    </w:p>
    <w:p w14:paraId="05AD5ABE" w14:textId="77777777" w:rsidR="007D2911" w:rsidRDefault="007D2911" w:rsidP="001851D3">
      <w:pPr>
        <w:spacing w:line="360" w:lineRule="auto"/>
        <w:ind w:firstLine="720"/>
        <w:jc w:val="both"/>
        <w:rPr>
          <w:rFonts w:ascii="Arial" w:hAnsi="Arial" w:cs="Arial"/>
        </w:rPr>
      </w:pPr>
    </w:p>
    <w:p w14:paraId="25150785" w14:textId="77777777" w:rsidR="007D2911" w:rsidRDefault="007D2911" w:rsidP="001851D3">
      <w:pPr>
        <w:spacing w:line="360" w:lineRule="auto"/>
        <w:ind w:firstLine="720"/>
        <w:jc w:val="both"/>
        <w:rPr>
          <w:rFonts w:ascii="Arial" w:hAnsi="Arial" w:cs="Arial"/>
        </w:rPr>
      </w:pPr>
    </w:p>
    <w:p w14:paraId="40672974" w14:textId="77777777" w:rsidR="007D2911" w:rsidRDefault="007D2911" w:rsidP="001851D3">
      <w:pPr>
        <w:spacing w:line="360" w:lineRule="auto"/>
        <w:ind w:firstLine="720"/>
        <w:jc w:val="both"/>
        <w:rPr>
          <w:rFonts w:ascii="Arial" w:hAnsi="Arial" w:cs="Arial"/>
        </w:rPr>
      </w:pPr>
    </w:p>
    <w:p w14:paraId="0F4CE17D" w14:textId="6839A8E2" w:rsidR="00026AA3" w:rsidRPr="00026AA3" w:rsidRDefault="00026AA3" w:rsidP="00026AA3">
      <w:pPr>
        <w:pStyle w:val="Heading1"/>
        <w:rPr>
          <w:color w:val="auto"/>
          <w:sz w:val="24"/>
          <w:szCs w:val="24"/>
        </w:rPr>
      </w:pPr>
      <w:bookmarkStart w:id="27" w:name="_Toc183039644"/>
      <w:r w:rsidRPr="00026AA3">
        <w:rPr>
          <w:color w:val="auto"/>
          <w:sz w:val="24"/>
          <w:szCs w:val="24"/>
        </w:rPr>
        <w:lastRenderedPageBreak/>
        <w:t>APPENDIX</w:t>
      </w:r>
      <w:bookmarkEnd w:id="27"/>
      <w:r w:rsidRPr="00026AA3">
        <w:rPr>
          <w:color w:val="auto"/>
          <w:sz w:val="24"/>
          <w:szCs w:val="24"/>
        </w:rPr>
        <w:t xml:space="preserve"> </w:t>
      </w:r>
    </w:p>
    <w:p w14:paraId="45F9E308" w14:textId="5518CFAA" w:rsidR="00026AA3" w:rsidRPr="000331A2" w:rsidRDefault="007D2911" w:rsidP="00AA2B34">
      <w:pPr>
        <w:pStyle w:val="ListParagraph"/>
        <w:spacing w:line="360" w:lineRule="auto"/>
        <w:ind w:left="0" w:firstLine="720"/>
        <w:jc w:val="both"/>
        <w:rPr>
          <w:rFonts w:ascii="Arial" w:hAnsi="Arial" w:cs="Arial"/>
        </w:rPr>
      </w:pPr>
      <w:r>
        <w:rPr>
          <w:rFonts w:ascii="Arial" w:hAnsi="Arial" w:cs="Arial"/>
          <w:noProof/>
        </w:rPr>
        <w:drawing>
          <wp:anchor distT="0" distB="0" distL="114300" distR="114300" simplePos="0" relativeHeight="251662336" behindDoc="0" locked="0" layoutInCell="1" allowOverlap="1" wp14:anchorId="33E399A1" wp14:editId="0B038D7A">
            <wp:simplePos x="1371600" y="1165860"/>
            <wp:positionH relativeFrom="margin">
              <wp:align>center</wp:align>
            </wp:positionH>
            <wp:positionV relativeFrom="margin">
              <wp:align>center</wp:align>
            </wp:positionV>
            <wp:extent cx="6417310" cy="3609648"/>
            <wp:effectExtent l="0" t="0" r="2540" b="0"/>
            <wp:wrapSquare wrapText="bothSides"/>
            <wp:docPr id="998893234" name="Picture 3" descr="A blue and white business model canva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893234" name="Picture 3" descr="A blue and white business model canva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17310" cy="3609648"/>
                    </a:xfrm>
                    <a:prstGeom prst="rect">
                      <a:avLst/>
                    </a:prstGeom>
                  </pic:spPr>
                </pic:pic>
              </a:graphicData>
            </a:graphic>
          </wp:anchor>
        </w:drawing>
      </w:r>
    </w:p>
    <w:sectPr w:rsidR="00026AA3" w:rsidRPr="000331A2" w:rsidSect="00B57FBD">
      <w:footerReference w:type="default" r:id="rId12"/>
      <w:pgSz w:w="11906" w:h="16838"/>
      <w:pgMar w:top="1440" w:right="1440" w:bottom="1440" w:left="1440" w:header="708" w:footer="708" w:gutter="0"/>
      <w:pgBorders w:offsetFrom="page">
        <w:top w:val="double" w:sz="4" w:space="24" w:color="auto" w:shadow="1"/>
        <w:left w:val="double" w:sz="4" w:space="24" w:color="auto" w:shadow="1"/>
        <w:bottom w:val="double" w:sz="4" w:space="24" w:color="auto" w:shadow="1"/>
        <w:right w:val="double" w:sz="4" w:space="24" w:color="auto" w:shadow="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E0CA24" w14:textId="77777777" w:rsidR="00882D1A" w:rsidRDefault="00882D1A" w:rsidP="00F5482E">
      <w:pPr>
        <w:spacing w:after="0" w:line="240" w:lineRule="auto"/>
      </w:pPr>
      <w:r>
        <w:separator/>
      </w:r>
    </w:p>
  </w:endnote>
  <w:endnote w:type="continuationSeparator" w:id="0">
    <w:p w14:paraId="42335EC9" w14:textId="77777777" w:rsidR="00882D1A" w:rsidRDefault="00882D1A" w:rsidP="00F548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09262233"/>
      <w:docPartObj>
        <w:docPartGallery w:val="Page Numbers (Bottom of Page)"/>
        <w:docPartUnique/>
      </w:docPartObj>
    </w:sdtPr>
    <w:sdtEndPr>
      <w:rPr>
        <w:noProof/>
      </w:rPr>
    </w:sdtEndPr>
    <w:sdtContent>
      <w:p w14:paraId="5F04A13D" w14:textId="68892D01" w:rsidR="00026AA3" w:rsidRDefault="00026AA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C8FDEF" w14:textId="77777777" w:rsidR="00026AA3" w:rsidRDefault="00026A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FF66F5" w14:textId="77777777" w:rsidR="00882D1A" w:rsidRDefault="00882D1A" w:rsidP="00F5482E">
      <w:pPr>
        <w:spacing w:after="0" w:line="240" w:lineRule="auto"/>
      </w:pPr>
      <w:r>
        <w:separator/>
      </w:r>
    </w:p>
  </w:footnote>
  <w:footnote w:type="continuationSeparator" w:id="0">
    <w:p w14:paraId="189EEE84" w14:textId="77777777" w:rsidR="00882D1A" w:rsidRDefault="00882D1A" w:rsidP="00F548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B756F"/>
    <w:multiLevelType w:val="hybridMultilevel"/>
    <w:tmpl w:val="02D043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DC635F"/>
    <w:multiLevelType w:val="hybridMultilevel"/>
    <w:tmpl w:val="628638F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E34AE3"/>
    <w:multiLevelType w:val="hybridMultilevel"/>
    <w:tmpl w:val="B79092CE"/>
    <w:lvl w:ilvl="0" w:tplc="64E2A10C">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C6210A"/>
    <w:multiLevelType w:val="multilevel"/>
    <w:tmpl w:val="5A40C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B512D6"/>
    <w:multiLevelType w:val="hybridMultilevel"/>
    <w:tmpl w:val="EA5A2DFE"/>
    <w:lvl w:ilvl="0" w:tplc="3D1A6EBE">
      <w:start w:val="2"/>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414548EC"/>
    <w:multiLevelType w:val="hybridMultilevel"/>
    <w:tmpl w:val="F97A4A48"/>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BDB4C27"/>
    <w:multiLevelType w:val="multilevel"/>
    <w:tmpl w:val="809EA89C"/>
    <w:lvl w:ilvl="0">
      <w:start w:val="1"/>
      <w:numFmt w:val="lowerLetter"/>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4BFC4D31"/>
    <w:multiLevelType w:val="hybridMultilevel"/>
    <w:tmpl w:val="4CE0B0B8"/>
    <w:lvl w:ilvl="0" w:tplc="A56CB3A4">
      <w:start w:val="3"/>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58502FBE"/>
    <w:multiLevelType w:val="multilevel"/>
    <w:tmpl w:val="21ECA814"/>
    <w:lvl w:ilvl="0">
      <w:start w:val="1"/>
      <w:numFmt w:val="decimal"/>
      <w:lvlText w:val="%1."/>
      <w:lvlJc w:val="left"/>
      <w:pPr>
        <w:ind w:left="1080" w:hanging="720"/>
      </w:pPr>
      <w:rPr>
        <w:rFonts w:hint="default"/>
      </w:rPr>
    </w:lvl>
    <w:lvl w:ilvl="1">
      <w:start w:val="1"/>
      <w:numFmt w:val="decimal"/>
      <w:isLgl/>
      <w:lvlText w:val="%1.%2"/>
      <w:lvlJc w:val="left"/>
      <w:pPr>
        <w:ind w:left="798"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5D43F44"/>
    <w:multiLevelType w:val="multilevel"/>
    <w:tmpl w:val="21ECA814"/>
    <w:lvl w:ilvl="0">
      <w:start w:val="1"/>
      <w:numFmt w:val="decimal"/>
      <w:lvlText w:val="%1."/>
      <w:lvlJc w:val="left"/>
      <w:pPr>
        <w:ind w:left="1080" w:hanging="720"/>
      </w:pPr>
      <w:rPr>
        <w:rFonts w:hint="default"/>
      </w:rPr>
    </w:lvl>
    <w:lvl w:ilvl="1">
      <w:start w:val="1"/>
      <w:numFmt w:val="decimal"/>
      <w:isLgl/>
      <w:lvlText w:val="%1.%2"/>
      <w:lvlJc w:val="left"/>
      <w:pPr>
        <w:ind w:left="798"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C7811EE"/>
    <w:multiLevelType w:val="hybridMultilevel"/>
    <w:tmpl w:val="2BCA7292"/>
    <w:lvl w:ilvl="0" w:tplc="B066C1D0">
      <w:start w:val="1"/>
      <w:numFmt w:val="upperLetter"/>
      <w:lvlText w:val="%1."/>
      <w:lvlJc w:val="left"/>
      <w:pPr>
        <w:ind w:left="502" w:hanging="360"/>
      </w:pPr>
      <w:rPr>
        <w:rFonts w:hint="default"/>
        <w:b/>
        <w:bCs/>
      </w:rPr>
    </w:lvl>
    <w:lvl w:ilvl="1" w:tplc="08090019" w:tentative="1">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11" w15:restartNumberingAfterBreak="0">
    <w:nsid w:val="73090202"/>
    <w:multiLevelType w:val="hybridMultilevel"/>
    <w:tmpl w:val="17A0D0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9877AE7"/>
    <w:multiLevelType w:val="hybridMultilevel"/>
    <w:tmpl w:val="533A4528"/>
    <w:lvl w:ilvl="0" w:tplc="E99E1044">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0382308">
    <w:abstractNumId w:val="9"/>
  </w:num>
  <w:num w:numId="2" w16cid:durableId="1039084693">
    <w:abstractNumId w:val="5"/>
  </w:num>
  <w:num w:numId="3" w16cid:durableId="766579444">
    <w:abstractNumId w:val="10"/>
  </w:num>
  <w:num w:numId="4" w16cid:durableId="329144371">
    <w:abstractNumId w:val="3"/>
  </w:num>
  <w:num w:numId="5" w16cid:durableId="372848627">
    <w:abstractNumId w:val="6"/>
  </w:num>
  <w:num w:numId="6" w16cid:durableId="1963001500">
    <w:abstractNumId w:val="1"/>
  </w:num>
  <w:num w:numId="7" w16cid:durableId="1664238249">
    <w:abstractNumId w:val="4"/>
  </w:num>
  <w:num w:numId="8" w16cid:durableId="636643546">
    <w:abstractNumId w:val="7"/>
  </w:num>
  <w:num w:numId="9" w16cid:durableId="1437405063">
    <w:abstractNumId w:val="8"/>
  </w:num>
  <w:num w:numId="10" w16cid:durableId="1600987838">
    <w:abstractNumId w:val="0"/>
  </w:num>
  <w:num w:numId="11" w16cid:durableId="288827674">
    <w:abstractNumId w:val="11"/>
  </w:num>
  <w:num w:numId="12" w16cid:durableId="1264454483">
    <w:abstractNumId w:val="2"/>
  </w:num>
  <w:num w:numId="13" w16cid:durableId="11115569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4E2"/>
    <w:rsid w:val="00021F55"/>
    <w:rsid w:val="00026AA3"/>
    <w:rsid w:val="00026D7E"/>
    <w:rsid w:val="000331A2"/>
    <w:rsid w:val="00041AEE"/>
    <w:rsid w:val="00041C23"/>
    <w:rsid w:val="00077610"/>
    <w:rsid w:val="000B2783"/>
    <w:rsid w:val="000F3ED5"/>
    <w:rsid w:val="0010660B"/>
    <w:rsid w:val="00172F9E"/>
    <w:rsid w:val="001851D3"/>
    <w:rsid w:val="001C1C10"/>
    <w:rsid w:val="001C6B83"/>
    <w:rsid w:val="001E2DFA"/>
    <w:rsid w:val="001F4EE0"/>
    <w:rsid w:val="00224DF1"/>
    <w:rsid w:val="00283DDC"/>
    <w:rsid w:val="00327B59"/>
    <w:rsid w:val="00403949"/>
    <w:rsid w:val="00406046"/>
    <w:rsid w:val="004304E2"/>
    <w:rsid w:val="0044310D"/>
    <w:rsid w:val="00446836"/>
    <w:rsid w:val="00447E49"/>
    <w:rsid w:val="004576C9"/>
    <w:rsid w:val="004670CE"/>
    <w:rsid w:val="004A7526"/>
    <w:rsid w:val="004C3BD1"/>
    <w:rsid w:val="004C3E76"/>
    <w:rsid w:val="004C50A0"/>
    <w:rsid w:val="004D269B"/>
    <w:rsid w:val="004E0BCA"/>
    <w:rsid w:val="00507FAD"/>
    <w:rsid w:val="00581918"/>
    <w:rsid w:val="005850B3"/>
    <w:rsid w:val="00592754"/>
    <w:rsid w:val="005966CB"/>
    <w:rsid w:val="005F1C78"/>
    <w:rsid w:val="006B5EA1"/>
    <w:rsid w:val="007023D1"/>
    <w:rsid w:val="007061FB"/>
    <w:rsid w:val="00775EE4"/>
    <w:rsid w:val="00776946"/>
    <w:rsid w:val="00792F58"/>
    <w:rsid w:val="007C4CC0"/>
    <w:rsid w:val="007D2911"/>
    <w:rsid w:val="00803301"/>
    <w:rsid w:val="00882D1A"/>
    <w:rsid w:val="009032D9"/>
    <w:rsid w:val="0096666F"/>
    <w:rsid w:val="00982E2E"/>
    <w:rsid w:val="009F7B02"/>
    <w:rsid w:val="00A52B43"/>
    <w:rsid w:val="00A54D1E"/>
    <w:rsid w:val="00A60E29"/>
    <w:rsid w:val="00A82F4D"/>
    <w:rsid w:val="00A8705E"/>
    <w:rsid w:val="00A9408A"/>
    <w:rsid w:val="00AA2B34"/>
    <w:rsid w:val="00AE385F"/>
    <w:rsid w:val="00AE406C"/>
    <w:rsid w:val="00AE58B9"/>
    <w:rsid w:val="00B205C3"/>
    <w:rsid w:val="00B567DE"/>
    <w:rsid w:val="00B57FBD"/>
    <w:rsid w:val="00BA575B"/>
    <w:rsid w:val="00C577F0"/>
    <w:rsid w:val="00C61EF4"/>
    <w:rsid w:val="00CA04D0"/>
    <w:rsid w:val="00CA5FC7"/>
    <w:rsid w:val="00CA79BE"/>
    <w:rsid w:val="00CB60B2"/>
    <w:rsid w:val="00CE089F"/>
    <w:rsid w:val="00D017EB"/>
    <w:rsid w:val="00D03518"/>
    <w:rsid w:val="00D04CCB"/>
    <w:rsid w:val="00D5081B"/>
    <w:rsid w:val="00D85994"/>
    <w:rsid w:val="00DA69E5"/>
    <w:rsid w:val="00DE465E"/>
    <w:rsid w:val="00DE7862"/>
    <w:rsid w:val="00E45FD9"/>
    <w:rsid w:val="00E54EE6"/>
    <w:rsid w:val="00E845A5"/>
    <w:rsid w:val="00E87932"/>
    <w:rsid w:val="00EB2FDE"/>
    <w:rsid w:val="00EB76D9"/>
    <w:rsid w:val="00ED2AFB"/>
    <w:rsid w:val="00ED5DCE"/>
    <w:rsid w:val="00EE3B52"/>
    <w:rsid w:val="00F05CF5"/>
    <w:rsid w:val="00F40696"/>
    <w:rsid w:val="00F5482E"/>
    <w:rsid w:val="00FD2BAB"/>
    <w:rsid w:val="00FE7C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E98C1F"/>
  <w15:chartTrackingRefBased/>
  <w15:docId w15:val="{E9BEC200-E7C2-4113-B045-63272783A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04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304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04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04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04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04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04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04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04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04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304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04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04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04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04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04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04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04E2"/>
    <w:rPr>
      <w:rFonts w:eastAsiaTheme="majorEastAsia" w:cstheme="majorBidi"/>
      <w:color w:val="272727" w:themeColor="text1" w:themeTint="D8"/>
    </w:rPr>
  </w:style>
  <w:style w:type="paragraph" w:styleId="Title">
    <w:name w:val="Title"/>
    <w:basedOn w:val="Normal"/>
    <w:next w:val="Normal"/>
    <w:link w:val="TitleChar"/>
    <w:uiPriority w:val="10"/>
    <w:qFormat/>
    <w:rsid w:val="004304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04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04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04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04E2"/>
    <w:pPr>
      <w:spacing w:before="160"/>
      <w:jc w:val="center"/>
    </w:pPr>
    <w:rPr>
      <w:i/>
      <w:iCs/>
      <w:color w:val="404040" w:themeColor="text1" w:themeTint="BF"/>
    </w:rPr>
  </w:style>
  <w:style w:type="character" w:customStyle="1" w:styleId="QuoteChar">
    <w:name w:val="Quote Char"/>
    <w:basedOn w:val="DefaultParagraphFont"/>
    <w:link w:val="Quote"/>
    <w:uiPriority w:val="29"/>
    <w:rsid w:val="004304E2"/>
    <w:rPr>
      <w:i/>
      <w:iCs/>
      <w:color w:val="404040" w:themeColor="text1" w:themeTint="BF"/>
    </w:rPr>
  </w:style>
  <w:style w:type="paragraph" w:styleId="ListParagraph">
    <w:name w:val="List Paragraph"/>
    <w:basedOn w:val="Normal"/>
    <w:uiPriority w:val="34"/>
    <w:qFormat/>
    <w:rsid w:val="004304E2"/>
    <w:pPr>
      <w:ind w:left="720"/>
      <w:contextualSpacing/>
    </w:pPr>
  </w:style>
  <w:style w:type="character" w:styleId="IntenseEmphasis">
    <w:name w:val="Intense Emphasis"/>
    <w:basedOn w:val="DefaultParagraphFont"/>
    <w:uiPriority w:val="21"/>
    <w:qFormat/>
    <w:rsid w:val="004304E2"/>
    <w:rPr>
      <w:i/>
      <w:iCs/>
      <w:color w:val="0F4761" w:themeColor="accent1" w:themeShade="BF"/>
    </w:rPr>
  </w:style>
  <w:style w:type="paragraph" w:styleId="IntenseQuote">
    <w:name w:val="Intense Quote"/>
    <w:basedOn w:val="Normal"/>
    <w:next w:val="Normal"/>
    <w:link w:val="IntenseQuoteChar"/>
    <w:uiPriority w:val="30"/>
    <w:qFormat/>
    <w:rsid w:val="004304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04E2"/>
    <w:rPr>
      <w:i/>
      <w:iCs/>
      <w:color w:val="0F4761" w:themeColor="accent1" w:themeShade="BF"/>
    </w:rPr>
  </w:style>
  <w:style w:type="character" w:styleId="IntenseReference">
    <w:name w:val="Intense Reference"/>
    <w:basedOn w:val="DefaultParagraphFont"/>
    <w:uiPriority w:val="32"/>
    <w:qFormat/>
    <w:rsid w:val="004304E2"/>
    <w:rPr>
      <w:b/>
      <w:bCs/>
      <w:smallCaps/>
      <w:color w:val="0F4761" w:themeColor="accent1" w:themeShade="BF"/>
      <w:spacing w:val="5"/>
    </w:rPr>
  </w:style>
  <w:style w:type="character" w:styleId="Hyperlink">
    <w:name w:val="Hyperlink"/>
    <w:basedOn w:val="DefaultParagraphFont"/>
    <w:uiPriority w:val="99"/>
    <w:unhideWhenUsed/>
    <w:rsid w:val="000331A2"/>
    <w:rPr>
      <w:color w:val="467886" w:themeColor="hyperlink"/>
      <w:u w:val="single"/>
    </w:rPr>
  </w:style>
  <w:style w:type="character" w:styleId="UnresolvedMention">
    <w:name w:val="Unresolved Mention"/>
    <w:basedOn w:val="DefaultParagraphFont"/>
    <w:uiPriority w:val="99"/>
    <w:semiHidden/>
    <w:unhideWhenUsed/>
    <w:rsid w:val="000331A2"/>
    <w:rPr>
      <w:color w:val="605E5C"/>
      <w:shd w:val="clear" w:color="auto" w:fill="E1DFDD"/>
    </w:rPr>
  </w:style>
  <w:style w:type="table" w:styleId="TableGrid">
    <w:name w:val="Table Grid"/>
    <w:basedOn w:val="TableNormal"/>
    <w:uiPriority w:val="39"/>
    <w:rsid w:val="00DA69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A69E5"/>
    <w:pPr>
      <w:spacing w:after="200" w:line="240" w:lineRule="auto"/>
    </w:pPr>
    <w:rPr>
      <w:i/>
      <w:iCs/>
      <w:color w:val="0E2841" w:themeColor="text2"/>
      <w:sz w:val="18"/>
      <w:szCs w:val="18"/>
    </w:rPr>
  </w:style>
  <w:style w:type="paragraph" w:styleId="NormalWeb">
    <w:name w:val="Normal (Web)"/>
    <w:basedOn w:val="Normal"/>
    <w:uiPriority w:val="99"/>
    <w:semiHidden/>
    <w:unhideWhenUsed/>
    <w:rsid w:val="00CB60B2"/>
    <w:rPr>
      <w:rFonts w:ascii="Times New Roman" w:hAnsi="Times New Roman" w:cs="Times New Roman"/>
      <w:sz w:val="24"/>
      <w:szCs w:val="24"/>
    </w:rPr>
  </w:style>
  <w:style w:type="character" w:styleId="Strong">
    <w:name w:val="Strong"/>
    <w:basedOn w:val="DefaultParagraphFont"/>
    <w:uiPriority w:val="22"/>
    <w:qFormat/>
    <w:rsid w:val="00327B59"/>
    <w:rPr>
      <w:b/>
      <w:bCs/>
    </w:rPr>
  </w:style>
  <w:style w:type="paragraph" w:styleId="TOCHeading">
    <w:name w:val="TOC Heading"/>
    <w:basedOn w:val="Heading1"/>
    <w:next w:val="Normal"/>
    <w:uiPriority w:val="39"/>
    <w:unhideWhenUsed/>
    <w:qFormat/>
    <w:rsid w:val="00F5482E"/>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5482E"/>
    <w:pPr>
      <w:spacing w:after="100"/>
    </w:pPr>
  </w:style>
  <w:style w:type="paragraph" w:styleId="TOC2">
    <w:name w:val="toc 2"/>
    <w:basedOn w:val="Normal"/>
    <w:next w:val="Normal"/>
    <w:autoRedefine/>
    <w:uiPriority w:val="39"/>
    <w:unhideWhenUsed/>
    <w:rsid w:val="00F5482E"/>
    <w:pPr>
      <w:spacing w:after="100"/>
      <w:ind w:left="220"/>
    </w:pPr>
  </w:style>
  <w:style w:type="paragraph" w:styleId="Header">
    <w:name w:val="header"/>
    <w:basedOn w:val="Normal"/>
    <w:link w:val="HeaderChar"/>
    <w:uiPriority w:val="99"/>
    <w:unhideWhenUsed/>
    <w:rsid w:val="00F548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482E"/>
  </w:style>
  <w:style w:type="paragraph" w:styleId="Footer">
    <w:name w:val="footer"/>
    <w:basedOn w:val="Normal"/>
    <w:link w:val="FooterChar"/>
    <w:uiPriority w:val="99"/>
    <w:unhideWhenUsed/>
    <w:rsid w:val="00F548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482E"/>
  </w:style>
  <w:style w:type="paragraph" w:styleId="TableofFigures">
    <w:name w:val="table of figures"/>
    <w:basedOn w:val="Normal"/>
    <w:next w:val="Normal"/>
    <w:uiPriority w:val="99"/>
    <w:unhideWhenUsed/>
    <w:rsid w:val="00F5482E"/>
    <w:pPr>
      <w:spacing w:after="0"/>
    </w:pPr>
    <w:rPr>
      <w:i/>
      <w:iCs/>
      <w:sz w:val="20"/>
      <w:szCs w:val="20"/>
    </w:rPr>
  </w:style>
  <w:style w:type="paragraph" w:styleId="NoSpacing">
    <w:name w:val="No Spacing"/>
    <w:link w:val="NoSpacingChar"/>
    <w:uiPriority w:val="1"/>
    <w:qFormat/>
    <w:rsid w:val="00026AA3"/>
    <w:pPr>
      <w:spacing w:after="0" w:line="240" w:lineRule="auto"/>
    </w:pPr>
  </w:style>
  <w:style w:type="paragraph" w:styleId="TOC3">
    <w:name w:val="toc 3"/>
    <w:basedOn w:val="Normal"/>
    <w:next w:val="Normal"/>
    <w:autoRedefine/>
    <w:uiPriority w:val="39"/>
    <w:unhideWhenUsed/>
    <w:rsid w:val="00026AA3"/>
    <w:pPr>
      <w:spacing w:after="100"/>
      <w:ind w:left="440"/>
    </w:pPr>
    <w:rPr>
      <w:rFonts w:eastAsiaTheme="minorEastAsia" w:cs="Times New Roman"/>
      <w:kern w:val="0"/>
      <w:lang w:val="en-US"/>
      <w14:ligatures w14:val="none"/>
    </w:rPr>
  </w:style>
  <w:style w:type="character" w:customStyle="1" w:styleId="NoSpacingChar">
    <w:name w:val="No Spacing Char"/>
    <w:basedOn w:val="DefaultParagraphFont"/>
    <w:link w:val="NoSpacing"/>
    <w:uiPriority w:val="1"/>
    <w:rsid w:val="004C3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320722">
      <w:bodyDiv w:val="1"/>
      <w:marLeft w:val="0"/>
      <w:marRight w:val="0"/>
      <w:marTop w:val="0"/>
      <w:marBottom w:val="0"/>
      <w:divBdr>
        <w:top w:val="none" w:sz="0" w:space="0" w:color="auto"/>
        <w:left w:val="none" w:sz="0" w:space="0" w:color="auto"/>
        <w:bottom w:val="none" w:sz="0" w:space="0" w:color="auto"/>
        <w:right w:val="none" w:sz="0" w:space="0" w:color="auto"/>
      </w:divBdr>
      <w:divsChild>
        <w:div w:id="155994638">
          <w:marLeft w:val="0"/>
          <w:marRight w:val="0"/>
          <w:marTop w:val="0"/>
          <w:marBottom w:val="0"/>
          <w:divBdr>
            <w:top w:val="none" w:sz="0" w:space="0" w:color="auto"/>
            <w:left w:val="none" w:sz="0" w:space="0" w:color="auto"/>
            <w:bottom w:val="none" w:sz="0" w:space="0" w:color="auto"/>
            <w:right w:val="none" w:sz="0" w:space="0" w:color="auto"/>
          </w:divBdr>
          <w:divsChild>
            <w:div w:id="75609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672903">
      <w:bodyDiv w:val="1"/>
      <w:marLeft w:val="0"/>
      <w:marRight w:val="0"/>
      <w:marTop w:val="0"/>
      <w:marBottom w:val="0"/>
      <w:divBdr>
        <w:top w:val="none" w:sz="0" w:space="0" w:color="auto"/>
        <w:left w:val="none" w:sz="0" w:space="0" w:color="auto"/>
        <w:bottom w:val="none" w:sz="0" w:space="0" w:color="auto"/>
        <w:right w:val="none" w:sz="0" w:space="0" w:color="auto"/>
      </w:divBdr>
    </w:div>
    <w:div w:id="249852624">
      <w:bodyDiv w:val="1"/>
      <w:marLeft w:val="0"/>
      <w:marRight w:val="0"/>
      <w:marTop w:val="0"/>
      <w:marBottom w:val="0"/>
      <w:divBdr>
        <w:top w:val="none" w:sz="0" w:space="0" w:color="auto"/>
        <w:left w:val="none" w:sz="0" w:space="0" w:color="auto"/>
        <w:bottom w:val="none" w:sz="0" w:space="0" w:color="auto"/>
        <w:right w:val="none" w:sz="0" w:space="0" w:color="auto"/>
      </w:divBdr>
    </w:div>
    <w:div w:id="413016337">
      <w:bodyDiv w:val="1"/>
      <w:marLeft w:val="0"/>
      <w:marRight w:val="0"/>
      <w:marTop w:val="0"/>
      <w:marBottom w:val="0"/>
      <w:divBdr>
        <w:top w:val="none" w:sz="0" w:space="0" w:color="auto"/>
        <w:left w:val="none" w:sz="0" w:space="0" w:color="auto"/>
        <w:bottom w:val="none" w:sz="0" w:space="0" w:color="auto"/>
        <w:right w:val="none" w:sz="0" w:space="0" w:color="auto"/>
      </w:divBdr>
    </w:div>
    <w:div w:id="523251412">
      <w:bodyDiv w:val="1"/>
      <w:marLeft w:val="0"/>
      <w:marRight w:val="0"/>
      <w:marTop w:val="0"/>
      <w:marBottom w:val="0"/>
      <w:divBdr>
        <w:top w:val="none" w:sz="0" w:space="0" w:color="auto"/>
        <w:left w:val="none" w:sz="0" w:space="0" w:color="auto"/>
        <w:bottom w:val="none" w:sz="0" w:space="0" w:color="auto"/>
        <w:right w:val="none" w:sz="0" w:space="0" w:color="auto"/>
      </w:divBdr>
    </w:div>
    <w:div w:id="669531110">
      <w:bodyDiv w:val="1"/>
      <w:marLeft w:val="0"/>
      <w:marRight w:val="0"/>
      <w:marTop w:val="0"/>
      <w:marBottom w:val="0"/>
      <w:divBdr>
        <w:top w:val="none" w:sz="0" w:space="0" w:color="auto"/>
        <w:left w:val="none" w:sz="0" w:space="0" w:color="auto"/>
        <w:bottom w:val="none" w:sz="0" w:space="0" w:color="auto"/>
        <w:right w:val="none" w:sz="0" w:space="0" w:color="auto"/>
      </w:divBdr>
    </w:div>
    <w:div w:id="767390707">
      <w:bodyDiv w:val="1"/>
      <w:marLeft w:val="0"/>
      <w:marRight w:val="0"/>
      <w:marTop w:val="0"/>
      <w:marBottom w:val="0"/>
      <w:divBdr>
        <w:top w:val="none" w:sz="0" w:space="0" w:color="auto"/>
        <w:left w:val="none" w:sz="0" w:space="0" w:color="auto"/>
        <w:bottom w:val="none" w:sz="0" w:space="0" w:color="auto"/>
        <w:right w:val="none" w:sz="0" w:space="0" w:color="auto"/>
      </w:divBdr>
      <w:divsChild>
        <w:div w:id="1331253277">
          <w:marLeft w:val="0"/>
          <w:marRight w:val="0"/>
          <w:marTop w:val="300"/>
          <w:marBottom w:val="150"/>
          <w:divBdr>
            <w:top w:val="none" w:sz="0" w:space="0" w:color="auto"/>
            <w:left w:val="none" w:sz="0" w:space="0" w:color="auto"/>
            <w:bottom w:val="none" w:sz="0" w:space="0" w:color="auto"/>
            <w:right w:val="none" w:sz="0" w:space="0" w:color="auto"/>
          </w:divBdr>
          <w:divsChild>
            <w:div w:id="2017803010">
              <w:marLeft w:val="0"/>
              <w:marRight w:val="0"/>
              <w:marTop w:val="0"/>
              <w:marBottom w:val="0"/>
              <w:divBdr>
                <w:top w:val="none" w:sz="0" w:space="0" w:color="auto"/>
                <w:left w:val="none" w:sz="0" w:space="0" w:color="auto"/>
                <w:bottom w:val="none" w:sz="0" w:space="0" w:color="auto"/>
                <w:right w:val="none" w:sz="0" w:space="0" w:color="auto"/>
              </w:divBdr>
            </w:div>
          </w:divsChild>
        </w:div>
        <w:div w:id="344013733">
          <w:marLeft w:val="0"/>
          <w:marRight w:val="0"/>
          <w:marTop w:val="0"/>
          <w:marBottom w:val="0"/>
          <w:divBdr>
            <w:top w:val="none" w:sz="0" w:space="0" w:color="auto"/>
            <w:left w:val="none" w:sz="0" w:space="0" w:color="auto"/>
            <w:bottom w:val="none" w:sz="0" w:space="0" w:color="auto"/>
            <w:right w:val="none" w:sz="0" w:space="0" w:color="auto"/>
          </w:divBdr>
          <w:divsChild>
            <w:div w:id="203931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953041">
      <w:bodyDiv w:val="1"/>
      <w:marLeft w:val="0"/>
      <w:marRight w:val="0"/>
      <w:marTop w:val="0"/>
      <w:marBottom w:val="0"/>
      <w:divBdr>
        <w:top w:val="none" w:sz="0" w:space="0" w:color="auto"/>
        <w:left w:val="none" w:sz="0" w:space="0" w:color="auto"/>
        <w:bottom w:val="none" w:sz="0" w:space="0" w:color="auto"/>
        <w:right w:val="none" w:sz="0" w:space="0" w:color="auto"/>
      </w:divBdr>
      <w:divsChild>
        <w:div w:id="1330254786">
          <w:marLeft w:val="0"/>
          <w:marRight w:val="0"/>
          <w:marTop w:val="0"/>
          <w:marBottom w:val="0"/>
          <w:divBdr>
            <w:top w:val="none" w:sz="0" w:space="0" w:color="auto"/>
            <w:left w:val="none" w:sz="0" w:space="0" w:color="auto"/>
            <w:bottom w:val="none" w:sz="0" w:space="0" w:color="auto"/>
            <w:right w:val="none" w:sz="0" w:space="0" w:color="auto"/>
          </w:divBdr>
        </w:div>
      </w:divsChild>
    </w:div>
    <w:div w:id="848133767">
      <w:bodyDiv w:val="1"/>
      <w:marLeft w:val="0"/>
      <w:marRight w:val="0"/>
      <w:marTop w:val="0"/>
      <w:marBottom w:val="0"/>
      <w:divBdr>
        <w:top w:val="none" w:sz="0" w:space="0" w:color="auto"/>
        <w:left w:val="none" w:sz="0" w:space="0" w:color="auto"/>
        <w:bottom w:val="none" w:sz="0" w:space="0" w:color="auto"/>
        <w:right w:val="none" w:sz="0" w:space="0" w:color="auto"/>
      </w:divBdr>
    </w:div>
    <w:div w:id="982462725">
      <w:bodyDiv w:val="1"/>
      <w:marLeft w:val="0"/>
      <w:marRight w:val="0"/>
      <w:marTop w:val="0"/>
      <w:marBottom w:val="0"/>
      <w:divBdr>
        <w:top w:val="none" w:sz="0" w:space="0" w:color="auto"/>
        <w:left w:val="none" w:sz="0" w:space="0" w:color="auto"/>
        <w:bottom w:val="none" w:sz="0" w:space="0" w:color="auto"/>
        <w:right w:val="none" w:sz="0" w:space="0" w:color="auto"/>
      </w:divBdr>
      <w:divsChild>
        <w:div w:id="1882667400">
          <w:marLeft w:val="0"/>
          <w:marRight w:val="0"/>
          <w:marTop w:val="300"/>
          <w:marBottom w:val="150"/>
          <w:divBdr>
            <w:top w:val="none" w:sz="0" w:space="0" w:color="auto"/>
            <w:left w:val="none" w:sz="0" w:space="0" w:color="auto"/>
            <w:bottom w:val="none" w:sz="0" w:space="0" w:color="auto"/>
            <w:right w:val="none" w:sz="0" w:space="0" w:color="auto"/>
          </w:divBdr>
          <w:divsChild>
            <w:div w:id="1429735170">
              <w:marLeft w:val="0"/>
              <w:marRight w:val="0"/>
              <w:marTop w:val="0"/>
              <w:marBottom w:val="0"/>
              <w:divBdr>
                <w:top w:val="none" w:sz="0" w:space="0" w:color="auto"/>
                <w:left w:val="none" w:sz="0" w:space="0" w:color="auto"/>
                <w:bottom w:val="none" w:sz="0" w:space="0" w:color="auto"/>
                <w:right w:val="none" w:sz="0" w:space="0" w:color="auto"/>
              </w:divBdr>
            </w:div>
          </w:divsChild>
        </w:div>
        <w:div w:id="859466931">
          <w:marLeft w:val="0"/>
          <w:marRight w:val="0"/>
          <w:marTop w:val="0"/>
          <w:marBottom w:val="0"/>
          <w:divBdr>
            <w:top w:val="none" w:sz="0" w:space="0" w:color="auto"/>
            <w:left w:val="none" w:sz="0" w:space="0" w:color="auto"/>
            <w:bottom w:val="none" w:sz="0" w:space="0" w:color="auto"/>
            <w:right w:val="none" w:sz="0" w:space="0" w:color="auto"/>
          </w:divBdr>
          <w:divsChild>
            <w:div w:id="102840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609774">
      <w:bodyDiv w:val="1"/>
      <w:marLeft w:val="0"/>
      <w:marRight w:val="0"/>
      <w:marTop w:val="0"/>
      <w:marBottom w:val="0"/>
      <w:divBdr>
        <w:top w:val="none" w:sz="0" w:space="0" w:color="auto"/>
        <w:left w:val="none" w:sz="0" w:space="0" w:color="auto"/>
        <w:bottom w:val="none" w:sz="0" w:space="0" w:color="auto"/>
        <w:right w:val="none" w:sz="0" w:space="0" w:color="auto"/>
      </w:divBdr>
      <w:divsChild>
        <w:div w:id="1820805142">
          <w:marLeft w:val="0"/>
          <w:marRight w:val="0"/>
          <w:marTop w:val="300"/>
          <w:marBottom w:val="150"/>
          <w:divBdr>
            <w:top w:val="none" w:sz="0" w:space="0" w:color="auto"/>
            <w:left w:val="none" w:sz="0" w:space="0" w:color="auto"/>
            <w:bottom w:val="none" w:sz="0" w:space="0" w:color="auto"/>
            <w:right w:val="none" w:sz="0" w:space="0" w:color="auto"/>
          </w:divBdr>
          <w:divsChild>
            <w:div w:id="1459448429">
              <w:marLeft w:val="0"/>
              <w:marRight w:val="0"/>
              <w:marTop w:val="0"/>
              <w:marBottom w:val="0"/>
              <w:divBdr>
                <w:top w:val="none" w:sz="0" w:space="0" w:color="auto"/>
                <w:left w:val="none" w:sz="0" w:space="0" w:color="auto"/>
                <w:bottom w:val="none" w:sz="0" w:space="0" w:color="auto"/>
                <w:right w:val="none" w:sz="0" w:space="0" w:color="auto"/>
              </w:divBdr>
            </w:div>
          </w:divsChild>
        </w:div>
        <w:div w:id="1426917887">
          <w:marLeft w:val="0"/>
          <w:marRight w:val="0"/>
          <w:marTop w:val="0"/>
          <w:marBottom w:val="0"/>
          <w:divBdr>
            <w:top w:val="none" w:sz="0" w:space="0" w:color="auto"/>
            <w:left w:val="none" w:sz="0" w:space="0" w:color="auto"/>
            <w:bottom w:val="none" w:sz="0" w:space="0" w:color="auto"/>
            <w:right w:val="none" w:sz="0" w:space="0" w:color="auto"/>
          </w:divBdr>
          <w:divsChild>
            <w:div w:id="5505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918959">
      <w:bodyDiv w:val="1"/>
      <w:marLeft w:val="0"/>
      <w:marRight w:val="0"/>
      <w:marTop w:val="0"/>
      <w:marBottom w:val="0"/>
      <w:divBdr>
        <w:top w:val="none" w:sz="0" w:space="0" w:color="auto"/>
        <w:left w:val="none" w:sz="0" w:space="0" w:color="auto"/>
        <w:bottom w:val="none" w:sz="0" w:space="0" w:color="auto"/>
        <w:right w:val="none" w:sz="0" w:space="0" w:color="auto"/>
      </w:divBdr>
    </w:div>
    <w:div w:id="1382754331">
      <w:bodyDiv w:val="1"/>
      <w:marLeft w:val="0"/>
      <w:marRight w:val="0"/>
      <w:marTop w:val="0"/>
      <w:marBottom w:val="0"/>
      <w:divBdr>
        <w:top w:val="none" w:sz="0" w:space="0" w:color="auto"/>
        <w:left w:val="none" w:sz="0" w:space="0" w:color="auto"/>
        <w:bottom w:val="none" w:sz="0" w:space="0" w:color="auto"/>
        <w:right w:val="none" w:sz="0" w:space="0" w:color="auto"/>
      </w:divBdr>
    </w:div>
    <w:div w:id="1406142470">
      <w:bodyDiv w:val="1"/>
      <w:marLeft w:val="0"/>
      <w:marRight w:val="0"/>
      <w:marTop w:val="0"/>
      <w:marBottom w:val="0"/>
      <w:divBdr>
        <w:top w:val="none" w:sz="0" w:space="0" w:color="auto"/>
        <w:left w:val="none" w:sz="0" w:space="0" w:color="auto"/>
        <w:bottom w:val="none" w:sz="0" w:space="0" w:color="auto"/>
        <w:right w:val="none" w:sz="0" w:space="0" w:color="auto"/>
      </w:divBdr>
      <w:divsChild>
        <w:div w:id="1078745887">
          <w:marLeft w:val="0"/>
          <w:marRight w:val="0"/>
          <w:marTop w:val="0"/>
          <w:marBottom w:val="0"/>
          <w:divBdr>
            <w:top w:val="single" w:sz="2" w:space="0" w:color="E5E7EB"/>
            <w:left w:val="single" w:sz="2" w:space="0" w:color="E5E7EB"/>
            <w:bottom w:val="single" w:sz="2" w:space="0" w:color="E5E7EB"/>
            <w:right w:val="single" w:sz="2" w:space="0" w:color="E5E7EB"/>
          </w:divBdr>
          <w:divsChild>
            <w:div w:id="1608537185">
              <w:marLeft w:val="0"/>
              <w:marRight w:val="0"/>
              <w:marTop w:val="0"/>
              <w:marBottom w:val="0"/>
              <w:divBdr>
                <w:top w:val="single" w:sz="2" w:space="0" w:color="E5E7EB"/>
                <w:left w:val="single" w:sz="2" w:space="0" w:color="E5E7EB"/>
                <w:bottom w:val="single" w:sz="2" w:space="0" w:color="E5E7EB"/>
                <w:right w:val="single" w:sz="2" w:space="0" w:color="E5E7EB"/>
              </w:divBdr>
              <w:divsChild>
                <w:div w:id="6503308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887380653">
          <w:marLeft w:val="0"/>
          <w:marRight w:val="0"/>
          <w:marTop w:val="0"/>
          <w:marBottom w:val="0"/>
          <w:divBdr>
            <w:top w:val="single" w:sz="2" w:space="0" w:color="E5E7EB"/>
            <w:left w:val="single" w:sz="2" w:space="0" w:color="E5E7EB"/>
            <w:bottom w:val="single" w:sz="2" w:space="0" w:color="E5E7EB"/>
            <w:right w:val="single" w:sz="2" w:space="0" w:color="E5E7EB"/>
          </w:divBdr>
          <w:divsChild>
            <w:div w:id="172648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744372">
      <w:bodyDiv w:val="1"/>
      <w:marLeft w:val="0"/>
      <w:marRight w:val="0"/>
      <w:marTop w:val="0"/>
      <w:marBottom w:val="0"/>
      <w:divBdr>
        <w:top w:val="none" w:sz="0" w:space="0" w:color="auto"/>
        <w:left w:val="none" w:sz="0" w:space="0" w:color="auto"/>
        <w:bottom w:val="none" w:sz="0" w:space="0" w:color="auto"/>
        <w:right w:val="none" w:sz="0" w:space="0" w:color="auto"/>
      </w:divBdr>
      <w:divsChild>
        <w:div w:id="2109352989">
          <w:marLeft w:val="0"/>
          <w:marRight w:val="0"/>
          <w:marTop w:val="0"/>
          <w:marBottom w:val="0"/>
          <w:divBdr>
            <w:top w:val="none" w:sz="0" w:space="0" w:color="auto"/>
            <w:left w:val="none" w:sz="0" w:space="0" w:color="auto"/>
            <w:bottom w:val="none" w:sz="0" w:space="0" w:color="auto"/>
            <w:right w:val="none" w:sz="0" w:space="0" w:color="auto"/>
          </w:divBdr>
          <w:divsChild>
            <w:div w:id="6293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129074">
      <w:bodyDiv w:val="1"/>
      <w:marLeft w:val="0"/>
      <w:marRight w:val="0"/>
      <w:marTop w:val="0"/>
      <w:marBottom w:val="0"/>
      <w:divBdr>
        <w:top w:val="none" w:sz="0" w:space="0" w:color="auto"/>
        <w:left w:val="none" w:sz="0" w:space="0" w:color="auto"/>
        <w:bottom w:val="none" w:sz="0" w:space="0" w:color="auto"/>
        <w:right w:val="none" w:sz="0" w:space="0" w:color="auto"/>
      </w:divBdr>
    </w:div>
    <w:div w:id="1615482184">
      <w:bodyDiv w:val="1"/>
      <w:marLeft w:val="0"/>
      <w:marRight w:val="0"/>
      <w:marTop w:val="0"/>
      <w:marBottom w:val="0"/>
      <w:divBdr>
        <w:top w:val="none" w:sz="0" w:space="0" w:color="auto"/>
        <w:left w:val="none" w:sz="0" w:space="0" w:color="auto"/>
        <w:bottom w:val="none" w:sz="0" w:space="0" w:color="auto"/>
        <w:right w:val="none" w:sz="0" w:space="0" w:color="auto"/>
      </w:divBdr>
      <w:divsChild>
        <w:div w:id="271322060">
          <w:marLeft w:val="0"/>
          <w:marRight w:val="0"/>
          <w:marTop w:val="0"/>
          <w:marBottom w:val="0"/>
          <w:divBdr>
            <w:top w:val="single" w:sz="2" w:space="0" w:color="E5E7EB"/>
            <w:left w:val="single" w:sz="2" w:space="0" w:color="E5E7EB"/>
            <w:bottom w:val="single" w:sz="2" w:space="0" w:color="E5E7EB"/>
            <w:right w:val="single" w:sz="2" w:space="0" w:color="E5E7EB"/>
          </w:divBdr>
          <w:divsChild>
            <w:div w:id="1361980059">
              <w:marLeft w:val="0"/>
              <w:marRight w:val="0"/>
              <w:marTop w:val="0"/>
              <w:marBottom w:val="0"/>
              <w:divBdr>
                <w:top w:val="single" w:sz="2" w:space="0" w:color="E5E7EB"/>
                <w:left w:val="single" w:sz="2" w:space="0" w:color="E5E7EB"/>
                <w:bottom w:val="single" w:sz="2" w:space="0" w:color="E5E7EB"/>
                <w:right w:val="single" w:sz="2" w:space="0" w:color="E5E7EB"/>
              </w:divBdr>
              <w:divsChild>
                <w:div w:id="19409421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072313991">
          <w:marLeft w:val="0"/>
          <w:marRight w:val="0"/>
          <w:marTop w:val="0"/>
          <w:marBottom w:val="0"/>
          <w:divBdr>
            <w:top w:val="single" w:sz="2" w:space="0" w:color="E5E7EB"/>
            <w:left w:val="single" w:sz="2" w:space="0" w:color="E5E7EB"/>
            <w:bottom w:val="single" w:sz="2" w:space="0" w:color="E5E7EB"/>
            <w:right w:val="single" w:sz="2" w:space="0" w:color="E5E7EB"/>
          </w:divBdr>
          <w:divsChild>
            <w:div w:id="692682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183917">
      <w:bodyDiv w:val="1"/>
      <w:marLeft w:val="0"/>
      <w:marRight w:val="0"/>
      <w:marTop w:val="0"/>
      <w:marBottom w:val="0"/>
      <w:divBdr>
        <w:top w:val="none" w:sz="0" w:space="0" w:color="auto"/>
        <w:left w:val="none" w:sz="0" w:space="0" w:color="auto"/>
        <w:bottom w:val="none" w:sz="0" w:space="0" w:color="auto"/>
        <w:right w:val="none" w:sz="0" w:space="0" w:color="auto"/>
      </w:divBdr>
      <w:divsChild>
        <w:div w:id="15926705">
          <w:marLeft w:val="0"/>
          <w:marRight w:val="0"/>
          <w:marTop w:val="0"/>
          <w:marBottom w:val="0"/>
          <w:divBdr>
            <w:top w:val="single" w:sz="2" w:space="0" w:color="E5E7EB"/>
            <w:left w:val="single" w:sz="2" w:space="0" w:color="E5E7EB"/>
            <w:bottom w:val="single" w:sz="2" w:space="0" w:color="E5E7EB"/>
            <w:right w:val="single" w:sz="2" w:space="0" w:color="E5E7EB"/>
          </w:divBdr>
          <w:divsChild>
            <w:div w:id="467941066">
              <w:marLeft w:val="0"/>
              <w:marRight w:val="0"/>
              <w:marTop w:val="0"/>
              <w:marBottom w:val="0"/>
              <w:divBdr>
                <w:top w:val="single" w:sz="2" w:space="0" w:color="E5E7EB"/>
                <w:left w:val="single" w:sz="2" w:space="0" w:color="E5E7EB"/>
                <w:bottom w:val="single" w:sz="2" w:space="0" w:color="E5E7EB"/>
                <w:right w:val="single" w:sz="2" w:space="0" w:color="E5E7EB"/>
              </w:divBdr>
              <w:divsChild>
                <w:div w:id="9898632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588854855">
          <w:marLeft w:val="0"/>
          <w:marRight w:val="0"/>
          <w:marTop w:val="0"/>
          <w:marBottom w:val="0"/>
          <w:divBdr>
            <w:top w:val="single" w:sz="2" w:space="0" w:color="E5E7EB"/>
            <w:left w:val="single" w:sz="2" w:space="0" w:color="E5E7EB"/>
            <w:bottom w:val="single" w:sz="2" w:space="0" w:color="E5E7EB"/>
            <w:right w:val="single" w:sz="2" w:space="0" w:color="E5E7EB"/>
          </w:divBdr>
          <w:divsChild>
            <w:div w:id="1310673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119135">
      <w:bodyDiv w:val="1"/>
      <w:marLeft w:val="0"/>
      <w:marRight w:val="0"/>
      <w:marTop w:val="0"/>
      <w:marBottom w:val="0"/>
      <w:divBdr>
        <w:top w:val="none" w:sz="0" w:space="0" w:color="auto"/>
        <w:left w:val="none" w:sz="0" w:space="0" w:color="auto"/>
        <w:bottom w:val="none" w:sz="0" w:space="0" w:color="auto"/>
        <w:right w:val="none" w:sz="0" w:space="0" w:color="auto"/>
      </w:divBdr>
    </w:div>
    <w:div w:id="1820032161">
      <w:bodyDiv w:val="1"/>
      <w:marLeft w:val="0"/>
      <w:marRight w:val="0"/>
      <w:marTop w:val="0"/>
      <w:marBottom w:val="0"/>
      <w:divBdr>
        <w:top w:val="none" w:sz="0" w:space="0" w:color="auto"/>
        <w:left w:val="none" w:sz="0" w:space="0" w:color="auto"/>
        <w:bottom w:val="none" w:sz="0" w:space="0" w:color="auto"/>
        <w:right w:val="none" w:sz="0" w:space="0" w:color="auto"/>
      </w:divBdr>
      <w:divsChild>
        <w:div w:id="1375079170">
          <w:marLeft w:val="0"/>
          <w:marRight w:val="0"/>
          <w:marTop w:val="0"/>
          <w:marBottom w:val="0"/>
          <w:divBdr>
            <w:top w:val="single" w:sz="2" w:space="0" w:color="E5E7EB"/>
            <w:left w:val="single" w:sz="2" w:space="0" w:color="E5E7EB"/>
            <w:bottom w:val="single" w:sz="2" w:space="0" w:color="E5E7EB"/>
            <w:right w:val="single" w:sz="2" w:space="0" w:color="E5E7EB"/>
          </w:divBdr>
          <w:divsChild>
            <w:div w:id="367410806">
              <w:marLeft w:val="0"/>
              <w:marRight w:val="0"/>
              <w:marTop w:val="0"/>
              <w:marBottom w:val="0"/>
              <w:divBdr>
                <w:top w:val="single" w:sz="2" w:space="0" w:color="E5E7EB"/>
                <w:left w:val="single" w:sz="2" w:space="0" w:color="E5E7EB"/>
                <w:bottom w:val="single" w:sz="2" w:space="0" w:color="E5E7EB"/>
                <w:right w:val="single" w:sz="2" w:space="0" w:color="E5E7EB"/>
              </w:divBdr>
              <w:divsChild>
                <w:div w:id="10506162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97455781">
          <w:marLeft w:val="0"/>
          <w:marRight w:val="0"/>
          <w:marTop w:val="0"/>
          <w:marBottom w:val="0"/>
          <w:divBdr>
            <w:top w:val="single" w:sz="2" w:space="0" w:color="E5E7EB"/>
            <w:left w:val="single" w:sz="2" w:space="0" w:color="E5E7EB"/>
            <w:bottom w:val="single" w:sz="2" w:space="0" w:color="E5E7EB"/>
            <w:right w:val="single" w:sz="2" w:space="0" w:color="E5E7EB"/>
          </w:divBdr>
          <w:divsChild>
            <w:div w:id="162846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870710">
      <w:bodyDiv w:val="1"/>
      <w:marLeft w:val="0"/>
      <w:marRight w:val="0"/>
      <w:marTop w:val="0"/>
      <w:marBottom w:val="0"/>
      <w:divBdr>
        <w:top w:val="none" w:sz="0" w:space="0" w:color="auto"/>
        <w:left w:val="none" w:sz="0" w:space="0" w:color="auto"/>
        <w:bottom w:val="none" w:sz="0" w:space="0" w:color="auto"/>
        <w:right w:val="none" w:sz="0" w:space="0" w:color="auto"/>
      </w:divBdr>
      <w:divsChild>
        <w:div w:id="310794799">
          <w:marLeft w:val="0"/>
          <w:marRight w:val="0"/>
          <w:marTop w:val="0"/>
          <w:marBottom w:val="0"/>
          <w:divBdr>
            <w:top w:val="single" w:sz="2" w:space="0" w:color="E5E7EB"/>
            <w:left w:val="single" w:sz="2" w:space="0" w:color="E5E7EB"/>
            <w:bottom w:val="single" w:sz="2" w:space="0" w:color="E5E7EB"/>
            <w:right w:val="single" w:sz="2" w:space="0" w:color="E5E7EB"/>
          </w:divBdr>
          <w:divsChild>
            <w:div w:id="1088842383">
              <w:marLeft w:val="0"/>
              <w:marRight w:val="0"/>
              <w:marTop w:val="0"/>
              <w:marBottom w:val="0"/>
              <w:divBdr>
                <w:top w:val="single" w:sz="2" w:space="0" w:color="E5E7EB"/>
                <w:left w:val="single" w:sz="2" w:space="0" w:color="E5E7EB"/>
                <w:bottom w:val="single" w:sz="2" w:space="0" w:color="E5E7EB"/>
                <w:right w:val="single" w:sz="2" w:space="0" w:color="E5E7EB"/>
              </w:divBdr>
              <w:divsChild>
                <w:div w:id="18852892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801582703">
          <w:marLeft w:val="0"/>
          <w:marRight w:val="0"/>
          <w:marTop w:val="0"/>
          <w:marBottom w:val="0"/>
          <w:divBdr>
            <w:top w:val="single" w:sz="2" w:space="0" w:color="E5E7EB"/>
            <w:left w:val="single" w:sz="2" w:space="0" w:color="E5E7EB"/>
            <w:bottom w:val="single" w:sz="2" w:space="0" w:color="E5E7EB"/>
            <w:right w:val="single" w:sz="2" w:space="0" w:color="E5E7EB"/>
          </w:divBdr>
          <w:divsChild>
            <w:div w:id="172668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526205">
      <w:bodyDiv w:val="1"/>
      <w:marLeft w:val="0"/>
      <w:marRight w:val="0"/>
      <w:marTop w:val="0"/>
      <w:marBottom w:val="0"/>
      <w:divBdr>
        <w:top w:val="none" w:sz="0" w:space="0" w:color="auto"/>
        <w:left w:val="none" w:sz="0" w:space="0" w:color="auto"/>
        <w:bottom w:val="none" w:sz="0" w:space="0" w:color="auto"/>
        <w:right w:val="none" w:sz="0" w:space="0" w:color="auto"/>
      </w:divBdr>
      <w:divsChild>
        <w:div w:id="1982493645">
          <w:marLeft w:val="0"/>
          <w:marRight w:val="0"/>
          <w:marTop w:val="0"/>
          <w:marBottom w:val="0"/>
          <w:divBdr>
            <w:top w:val="single" w:sz="2" w:space="0" w:color="E5E7EB"/>
            <w:left w:val="single" w:sz="2" w:space="0" w:color="E5E7EB"/>
            <w:bottom w:val="single" w:sz="2" w:space="0" w:color="E5E7EB"/>
            <w:right w:val="single" w:sz="2" w:space="0" w:color="E5E7EB"/>
          </w:divBdr>
          <w:divsChild>
            <w:div w:id="584068172">
              <w:marLeft w:val="0"/>
              <w:marRight w:val="0"/>
              <w:marTop w:val="0"/>
              <w:marBottom w:val="0"/>
              <w:divBdr>
                <w:top w:val="single" w:sz="2" w:space="0" w:color="E5E7EB"/>
                <w:left w:val="single" w:sz="2" w:space="0" w:color="E5E7EB"/>
                <w:bottom w:val="single" w:sz="2" w:space="0" w:color="E5E7EB"/>
                <w:right w:val="single" w:sz="2" w:space="0" w:color="E5E7EB"/>
              </w:divBdr>
              <w:divsChild>
                <w:div w:id="13103980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470709169">
          <w:marLeft w:val="0"/>
          <w:marRight w:val="0"/>
          <w:marTop w:val="0"/>
          <w:marBottom w:val="0"/>
          <w:divBdr>
            <w:top w:val="single" w:sz="2" w:space="0" w:color="E5E7EB"/>
            <w:left w:val="single" w:sz="2" w:space="0" w:color="E5E7EB"/>
            <w:bottom w:val="single" w:sz="2" w:space="0" w:color="E5E7EB"/>
            <w:right w:val="single" w:sz="2" w:space="0" w:color="E5E7EB"/>
          </w:divBdr>
          <w:divsChild>
            <w:div w:id="507252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878697">
      <w:bodyDiv w:val="1"/>
      <w:marLeft w:val="0"/>
      <w:marRight w:val="0"/>
      <w:marTop w:val="0"/>
      <w:marBottom w:val="0"/>
      <w:divBdr>
        <w:top w:val="none" w:sz="0" w:space="0" w:color="auto"/>
        <w:left w:val="none" w:sz="0" w:space="0" w:color="auto"/>
        <w:bottom w:val="none" w:sz="0" w:space="0" w:color="auto"/>
        <w:right w:val="none" w:sz="0" w:space="0" w:color="auto"/>
      </w:divBdr>
      <w:divsChild>
        <w:div w:id="1482774010">
          <w:marLeft w:val="0"/>
          <w:marRight w:val="0"/>
          <w:marTop w:val="300"/>
          <w:marBottom w:val="150"/>
          <w:divBdr>
            <w:top w:val="none" w:sz="0" w:space="0" w:color="auto"/>
            <w:left w:val="none" w:sz="0" w:space="0" w:color="auto"/>
            <w:bottom w:val="none" w:sz="0" w:space="0" w:color="auto"/>
            <w:right w:val="none" w:sz="0" w:space="0" w:color="auto"/>
          </w:divBdr>
          <w:divsChild>
            <w:div w:id="1844854684">
              <w:marLeft w:val="0"/>
              <w:marRight w:val="0"/>
              <w:marTop w:val="0"/>
              <w:marBottom w:val="0"/>
              <w:divBdr>
                <w:top w:val="none" w:sz="0" w:space="0" w:color="auto"/>
                <w:left w:val="none" w:sz="0" w:space="0" w:color="auto"/>
                <w:bottom w:val="none" w:sz="0" w:space="0" w:color="auto"/>
                <w:right w:val="none" w:sz="0" w:space="0" w:color="auto"/>
              </w:divBdr>
            </w:div>
          </w:divsChild>
        </w:div>
        <w:div w:id="2076271303">
          <w:marLeft w:val="0"/>
          <w:marRight w:val="0"/>
          <w:marTop w:val="0"/>
          <w:marBottom w:val="0"/>
          <w:divBdr>
            <w:top w:val="none" w:sz="0" w:space="0" w:color="auto"/>
            <w:left w:val="none" w:sz="0" w:space="0" w:color="auto"/>
            <w:bottom w:val="none" w:sz="0" w:space="0" w:color="auto"/>
            <w:right w:val="none" w:sz="0" w:space="0" w:color="auto"/>
          </w:divBdr>
          <w:divsChild>
            <w:div w:id="194892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harmacy2u.co.uk/about/the-history-of-prescriptions-Pharmacy2U-and-our-NH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EE01BCE49E0429C89B316735DF89807"/>
        <w:category>
          <w:name w:val="General"/>
          <w:gallery w:val="placeholder"/>
        </w:category>
        <w:types>
          <w:type w:val="bbPlcHdr"/>
        </w:types>
        <w:behaviors>
          <w:behavior w:val="content"/>
        </w:behaviors>
        <w:guid w:val="{63325B04-2E3B-48CD-8702-D9C7836409DA}"/>
      </w:docPartPr>
      <w:docPartBody>
        <w:p w:rsidR="001B1235" w:rsidRDefault="000F74F5" w:rsidP="000F74F5">
          <w:pPr>
            <w:pStyle w:val="6EE01BCE49E0429C89B316735DF89807"/>
          </w:pPr>
          <w:r>
            <w:rPr>
              <w:rFonts w:asciiTheme="majorHAnsi" w:eastAsiaTheme="majorEastAsia" w:hAnsiTheme="majorHAnsi" w:cstheme="majorBidi"/>
              <w:caps/>
              <w:color w:val="156082" w:themeColor="accent1"/>
              <w:sz w:val="80"/>
              <w:szCs w:val="80"/>
            </w:rPr>
            <w:t>[Document title]</w:t>
          </w:r>
        </w:p>
      </w:docPartBody>
    </w:docPart>
    <w:docPart>
      <w:docPartPr>
        <w:name w:val="93694DB1AD7B4B09820BF0DE83AFD4BB"/>
        <w:category>
          <w:name w:val="General"/>
          <w:gallery w:val="placeholder"/>
        </w:category>
        <w:types>
          <w:type w:val="bbPlcHdr"/>
        </w:types>
        <w:behaviors>
          <w:behavior w:val="content"/>
        </w:behaviors>
        <w:guid w:val="{9F5C6B7F-E634-4C5D-B31D-23012874ED2D}"/>
      </w:docPartPr>
      <w:docPartBody>
        <w:p w:rsidR="001B1235" w:rsidRDefault="000F74F5" w:rsidP="000F74F5">
          <w:pPr>
            <w:pStyle w:val="93694DB1AD7B4B09820BF0DE83AFD4BB"/>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4F5"/>
    <w:rsid w:val="000F74F5"/>
    <w:rsid w:val="00112749"/>
    <w:rsid w:val="001B1235"/>
    <w:rsid w:val="004C3E76"/>
    <w:rsid w:val="004E356A"/>
    <w:rsid w:val="00A52B43"/>
    <w:rsid w:val="00AE58B9"/>
    <w:rsid w:val="00E548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EE01BCE49E0429C89B316735DF89807">
    <w:name w:val="6EE01BCE49E0429C89B316735DF89807"/>
    <w:rsid w:val="000F74F5"/>
  </w:style>
  <w:style w:type="paragraph" w:customStyle="1" w:styleId="93694DB1AD7B4B09820BF0DE83AFD4BB">
    <w:name w:val="93694DB1AD7B4B09820BF0DE83AFD4BB"/>
    <w:rsid w:val="000F74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C455D15-6099-477D-A54B-8B29341CC550}">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8BF9CBD-84B4-4368-8ED7-120BCB485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1908</TotalTime>
  <Pages>21</Pages>
  <Words>6364</Words>
  <Characters>38636</Characters>
  <Application>Microsoft Office Word</Application>
  <DocSecurity>0</DocSecurity>
  <Lines>715</Lines>
  <Paragraphs>264</Paragraphs>
  <ScaleCrop>false</ScaleCrop>
  <HeadingPairs>
    <vt:vector size="2" baseType="variant">
      <vt:variant>
        <vt:lpstr>Title</vt:lpstr>
      </vt:variant>
      <vt:variant>
        <vt:i4>1</vt:i4>
      </vt:variant>
    </vt:vector>
  </HeadingPairs>
  <TitlesOfParts>
    <vt:vector size="1" baseType="lpstr">
      <vt:lpstr>Strategic Growth and Innovation for Pharmacy2U: Navigating the Future of Digital Healthcare</vt:lpstr>
    </vt:vector>
  </TitlesOfParts>
  <Company/>
  <LinksUpToDate>false</LinksUpToDate>
  <CharactersWithSpaces>44736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Growth and Innovation for Pharmacy2U: Navigating the Future of Digital Healthcare</dc:title>
  <dc:subject>Strategic Management for SMEs (BMSW6104_BIRM)</dc:subject>
  <dc:creator>Alexandra Ghita (2127554)</dc:creator>
  <cp:keywords/>
  <dc:description/>
  <cp:lastModifiedBy>Alexandra Ghita (2127554)</cp:lastModifiedBy>
  <cp:revision>32</cp:revision>
  <dcterms:created xsi:type="dcterms:W3CDTF">2024-09-22T08:41:00Z</dcterms:created>
  <dcterms:modified xsi:type="dcterms:W3CDTF">2024-11-21T00:07:00Z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6f121ac1c75bbc7b234ebb8376f50bd6636305f01b6477750d3ff2c03105cc44</vt:lpwstr>
  </property>
</Properties>
</file>