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E06674" w14:textId="5DEC08B5" w:rsidR="006B5D36" w:rsidRDefault="00E90213">
      <w:pPr>
        <w:spacing w:line="276" w:lineRule="auto"/>
        <w:jc w:val="left"/>
      </w:pPr>
      <w:r>
        <w:rPr>
          <w:noProof/>
        </w:rPr>
        <w:drawing>
          <wp:anchor distT="0" distB="0" distL="114300" distR="114300" simplePos="0" relativeHeight="251659264" behindDoc="0" locked="0" layoutInCell="1" allowOverlap="1" wp14:anchorId="62A7CB05" wp14:editId="0EEE89C8">
            <wp:simplePos x="0" y="0"/>
            <wp:positionH relativeFrom="column">
              <wp:posOffset>456565</wp:posOffset>
            </wp:positionH>
            <wp:positionV relativeFrom="paragraph">
              <wp:posOffset>105410</wp:posOffset>
            </wp:positionV>
            <wp:extent cx="5196205" cy="1802130"/>
            <wp:effectExtent l="0" t="0" r="4445" b="7620"/>
            <wp:wrapTopAndBottom/>
            <wp:docPr id="1209593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593944" name="Picture 1209593944"/>
                    <pic:cNvPicPr/>
                  </pic:nvPicPr>
                  <pic:blipFill>
                    <a:blip r:embed="rId7">
                      <a:extLst>
                        <a:ext uri="{28A0092B-C50C-407E-A947-70E740481C1C}">
                          <a14:useLocalDpi xmlns:a14="http://schemas.microsoft.com/office/drawing/2010/main" val="0"/>
                        </a:ext>
                      </a:extLst>
                    </a:blip>
                    <a:stretch>
                      <a:fillRect/>
                    </a:stretch>
                  </pic:blipFill>
                  <pic:spPr>
                    <a:xfrm>
                      <a:off x="0" y="0"/>
                      <a:ext cx="5196205" cy="1802130"/>
                    </a:xfrm>
                    <a:prstGeom prst="rect">
                      <a:avLst/>
                    </a:prstGeom>
                  </pic:spPr>
                </pic:pic>
              </a:graphicData>
            </a:graphic>
            <wp14:sizeRelH relativeFrom="margin">
              <wp14:pctWidth>0</wp14:pctWidth>
            </wp14:sizeRelH>
            <wp14:sizeRelV relativeFrom="margin">
              <wp14:pctHeight>0</wp14:pctHeight>
            </wp14:sizeRelV>
          </wp:anchor>
        </w:drawing>
      </w:r>
    </w:p>
    <w:p w14:paraId="49C766E7" w14:textId="77777777" w:rsidR="006B5D36" w:rsidRDefault="006B5D36">
      <w:pPr>
        <w:spacing w:line="276" w:lineRule="auto"/>
        <w:jc w:val="left"/>
      </w:pPr>
    </w:p>
    <w:p w14:paraId="01C381F1" w14:textId="3F348C02" w:rsidR="006B5D36" w:rsidRDefault="006B5D36">
      <w:pPr>
        <w:spacing w:line="276" w:lineRule="auto"/>
        <w:jc w:val="left"/>
      </w:pPr>
    </w:p>
    <w:p w14:paraId="445C9BBE" w14:textId="77777777" w:rsidR="006B5D36" w:rsidRDefault="006B5D36">
      <w:pPr>
        <w:spacing w:line="276" w:lineRule="auto"/>
        <w:jc w:val="left"/>
      </w:pPr>
    </w:p>
    <w:p w14:paraId="2FCFB3C6" w14:textId="77777777" w:rsidR="006B5D36" w:rsidRDefault="006B5D36">
      <w:pPr>
        <w:spacing w:line="276" w:lineRule="auto"/>
        <w:jc w:val="left"/>
      </w:pPr>
    </w:p>
    <w:p w14:paraId="4E30850D" w14:textId="77777777" w:rsidR="006B5D36" w:rsidRDefault="006B5D36">
      <w:pPr>
        <w:spacing w:line="276" w:lineRule="auto"/>
        <w:jc w:val="left"/>
      </w:pPr>
    </w:p>
    <w:p w14:paraId="366D208F" w14:textId="77777777" w:rsidR="006B5D36" w:rsidRDefault="006B5D36">
      <w:pPr>
        <w:spacing w:line="276" w:lineRule="auto"/>
        <w:jc w:val="left"/>
      </w:pPr>
    </w:p>
    <w:p w14:paraId="1386E9D0" w14:textId="77777777" w:rsidR="007C5875" w:rsidRDefault="007C5875" w:rsidP="007C5875">
      <w:pPr>
        <w:pStyle w:val="NormalWeb"/>
        <w:jc w:val="center"/>
      </w:pPr>
      <w:r>
        <w:rPr>
          <w:rStyle w:val="Strong"/>
          <w:rFonts w:eastAsiaTheme="majorEastAsia"/>
        </w:rPr>
        <w:t>Understanding Age-Related Health Inequalities in Tower Hamlets</w:t>
      </w:r>
    </w:p>
    <w:p w14:paraId="39C49E90" w14:textId="77777777" w:rsidR="006B5D36" w:rsidRPr="006B5D36" w:rsidRDefault="006B5D36" w:rsidP="006B5D36">
      <w:pPr>
        <w:jc w:val="center"/>
        <w:rPr>
          <w:b/>
        </w:rPr>
      </w:pPr>
    </w:p>
    <w:p w14:paraId="455EC007" w14:textId="77777777" w:rsidR="002C6052" w:rsidRDefault="006B5D36" w:rsidP="006B5D36">
      <w:pPr>
        <w:jc w:val="center"/>
      </w:pPr>
      <w:r>
        <w:t>Student name</w:t>
      </w:r>
      <w:r w:rsidR="00D55A05">
        <w:t xml:space="preserve"> : </w:t>
      </w:r>
      <w:r w:rsidR="00D55A05" w:rsidRPr="00D55A05">
        <w:t>ASHVINBHAI RAYMALBHAI CHAUDHARY</w:t>
      </w:r>
    </w:p>
    <w:p w14:paraId="79700804" w14:textId="4E9423A9" w:rsidR="006B5D36" w:rsidRDefault="006B5D36" w:rsidP="006B5D36">
      <w:pPr>
        <w:jc w:val="center"/>
      </w:pPr>
      <w:r>
        <w:t>Student id</w:t>
      </w:r>
      <w:r w:rsidR="002C6052">
        <w:t xml:space="preserve"> : </w:t>
      </w:r>
      <w:r w:rsidR="00523486">
        <w:t>2408901</w:t>
      </w:r>
    </w:p>
    <w:p w14:paraId="59F08793" w14:textId="0933BCAE" w:rsidR="006B5D36" w:rsidRDefault="00C71A0A" w:rsidP="006B5D36">
      <w:pPr>
        <w:jc w:val="center"/>
      </w:pPr>
      <w:r>
        <w:t>Module code : LCHS7000</w:t>
      </w:r>
      <w:r w:rsidR="00412904">
        <w:t xml:space="preserve"> (Component 2) </w:t>
      </w:r>
    </w:p>
    <w:p w14:paraId="705A5536" w14:textId="72E92E85" w:rsidR="00787354" w:rsidRDefault="00787354" w:rsidP="00787354">
      <w:pPr>
        <w:jc w:val="center"/>
      </w:pPr>
      <w:r>
        <w:t>Module name : Social Epidemiology and Public Health Development</w:t>
      </w:r>
    </w:p>
    <w:p w14:paraId="0F760F25" w14:textId="7221B293" w:rsidR="006B5D36" w:rsidRPr="006B5D36" w:rsidRDefault="00787354" w:rsidP="006B5D36">
      <w:pPr>
        <w:jc w:val="center"/>
      </w:pPr>
      <w:r>
        <w:t xml:space="preserve">  Lecturer name :  Jolly </w:t>
      </w:r>
      <w:proofErr w:type="spellStart"/>
      <w:r>
        <w:t>Nwankwo</w:t>
      </w:r>
      <w:proofErr w:type="spellEnd"/>
      <w:r w:rsidR="006B5D36">
        <w:br w:type="page"/>
      </w:r>
    </w:p>
    <w:sdt>
      <w:sdtPr>
        <w:rPr>
          <w:rFonts w:ascii="Times New Roman" w:eastAsiaTheme="minorHAnsi" w:hAnsi="Times New Roman" w:cstheme="minorBidi"/>
          <w:b w:val="0"/>
          <w:bCs w:val="0"/>
          <w:color w:val="auto"/>
          <w:sz w:val="24"/>
          <w:szCs w:val="22"/>
        </w:rPr>
        <w:id w:val="17715955"/>
        <w:docPartObj>
          <w:docPartGallery w:val="Table of Contents"/>
          <w:docPartUnique/>
        </w:docPartObj>
      </w:sdtPr>
      <w:sdtEndPr/>
      <w:sdtContent>
        <w:p w14:paraId="3F2FC3E6" w14:textId="77777777" w:rsidR="006B5D36" w:rsidRDefault="006B5D36" w:rsidP="006B5D36">
          <w:pPr>
            <w:pStyle w:val="TOCHeading"/>
            <w:jc w:val="center"/>
          </w:pPr>
          <w:r>
            <w:t>Table of Contents</w:t>
          </w:r>
        </w:p>
        <w:p w14:paraId="267B3702" w14:textId="77777777" w:rsidR="00EB0CEC" w:rsidRDefault="00B15150">
          <w:pPr>
            <w:pStyle w:val="TOC1"/>
            <w:tabs>
              <w:tab w:val="right" w:leader="dot" w:pos="9350"/>
            </w:tabs>
            <w:rPr>
              <w:rFonts w:asciiTheme="minorHAnsi" w:eastAsiaTheme="minorEastAsia" w:hAnsiTheme="minorHAnsi"/>
              <w:noProof/>
              <w:sz w:val="22"/>
            </w:rPr>
          </w:pPr>
          <w:r>
            <w:fldChar w:fldCharType="begin"/>
          </w:r>
          <w:r w:rsidR="006B5D36">
            <w:instrText xml:space="preserve"> TOC \o "1-3" \h \z \u </w:instrText>
          </w:r>
          <w:r>
            <w:fldChar w:fldCharType="separate"/>
          </w:r>
          <w:hyperlink w:anchor="_Toc215933328" w:history="1">
            <w:r w:rsidR="00EB0CEC" w:rsidRPr="002C2841">
              <w:rPr>
                <w:rStyle w:val="Hyperlink"/>
                <w:noProof/>
              </w:rPr>
              <w:t>TASK 1 — SOCIAL EPIDEMIOLOGICAL ANALYSIS</w:t>
            </w:r>
            <w:r w:rsidR="00EB0CEC">
              <w:rPr>
                <w:noProof/>
                <w:webHidden/>
              </w:rPr>
              <w:tab/>
            </w:r>
            <w:r w:rsidR="00EB0CEC">
              <w:rPr>
                <w:noProof/>
                <w:webHidden/>
              </w:rPr>
              <w:fldChar w:fldCharType="begin"/>
            </w:r>
            <w:r w:rsidR="00EB0CEC">
              <w:rPr>
                <w:noProof/>
                <w:webHidden/>
              </w:rPr>
              <w:instrText xml:space="preserve"> PAGEREF _Toc215933328 \h </w:instrText>
            </w:r>
            <w:r w:rsidR="00EB0CEC">
              <w:rPr>
                <w:noProof/>
                <w:webHidden/>
              </w:rPr>
            </w:r>
            <w:r w:rsidR="00EB0CEC">
              <w:rPr>
                <w:noProof/>
                <w:webHidden/>
              </w:rPr>
              <w:fldChar w:fldCharType="separate"/>
            </w:r>
            <w:r w:rsidR="00EB0CEC">
              <w:rPr>
                <w:noProof/>
                <w:webHidden/>
              </w:rPr>
              <w:t>3</w:t>
            </w:r>
            <w:r w:rsidR="00EB0CEC">
              <w:rPr>
                <w:noProof/>
                <w:webHidden/>
              </w:rPr>
              <w:fldChar w:fldCharType="end"/>
            </w:r>
          </w:hyperlink>
        </w:p>
        <w:p w14:paraId="5FFA0325" w14:textId="77777777" w:rsidR="00EB0CEC" w:rsidRDefault="00EB0CEC">
          <w:pPr>
            <w:pStyle w:val="TOC2"/>
            <w:tabs>
              <w:tab w:val="right" w:leader="dot" w:pos="9350"/>
            </w:tabs>
            <w:rPr>
              <w:rFonts w:asciiTheme="minorHAnsi" w:eastAsiaTheme="minorEastAsia" w:hAnsiTheme="minorHAnsi"/>
              <w:noProof/>
              <w:sz w:val="22"/>
            </w:rPr>
          </w:pPr>
          <w:hyperlink w:anchor="_Toc215933329" w:history="1">
            <w:r w:rsidRPr="002C2841">
              <w:rPr>
                <w:rStyle w:val="Hyperlink"/>
                <w:noProof/>
              </w:rPr>
              <w:t>1. Introduction</w:t>
            </w:r>
            <w:r>
              <w:rPr>
                <w:noProof/>
                <w:webHidden/>
              </w:rPr>
              <w:tab/>
            </w:r>
            <w:r>
              <w:rPr>
                <w:noProof/>
                <w:webHidden/>
              </w:rPr>
              <w:fldChar w:fldCharType="begin"/>
            </w:r>
            <w:r>
              <w:rPr>
                <w:noProof/>
                <w:webHidden/>
              </w:rPr>
              <w:instrText xml:space="preserve"> PAGEREF _Toc215933329 \h </w:instrText>
            </w:r>
            <w:r>
              <w:rPr>
                <w:noProof/>
                <w:webHidden/>
              </w:rPr>
            </w:r>
            <w:r>
              <w:rPr>
                <w:noProof/>
                <w:webHidden/>
              </w:rPr>
              <w:fldChar w:fldCharType="separate"/>
            </w:r>
            <w:r>
              <w:rPr>
                <w:noProof/>
                <w:webHidden/>
              </w:rPr>
              <w:t>3</w:t>
            </w:r>
            <w:r>
              <w:rPr>
                <w:noProof/>
                <w:webHidden/>
              </w:rPr>
              <w:fldChar w:fldCharType="end"/>
            </w:r>
          </w:hyperlink>
        </w:p>
        <w:p w14:paraId="15577DDB" w14:textId="77777777" w:rsidR="00EB0CEC" w:rsidRDefault="00EB0CEC">
          <w:pPr>
            <w:pStyle w:val="TOC2"/>
            <w:tabs>
              <w:tab w:val="right" w:leader="dot" w:pos="9350"/>
            </w:tabs>
            <w:rPr>
              <w:rFonts w:asciiTheme="minorHAnsi" w:eastAsiaTheme="minorEastAsia" w:hAnsiTheme="minorHAnsi"/>
              <w:noProof/>
              <w:sz w:val="22"/>
            </w:rPr>
          </w:pPr>
          <w:hyperlink w:anchor="_Toc215933330" w:history="1">
            <w:r w:rsidRPr="002C2841">
              <w:rPr>
                <w:rStyle w:val="Hyperlink"/>
                <w:noProof/>
              </w:rPr>
              <w:t>2. Disease and Illness Inequalities</w:t>
            </w:r>
            <w:r>
              <w:rPr>
                <w:noProof/>
                <w:webHidden/>
              </w:rPr>
              <w:tab/>
            </w:r>
            <w:r>
              <w:rPr>
                <w:noProof/>
                <w:webHidden/>
              </w:rPr>
              <w:fldChar w:fldCharType="begin"/>
            </w:r>
            <w:r>
              <w:rPr>
                <w:noProof/>
                <w:webHidden/>
              </w:rPr>
              <w:instrText xml:space="preserve"> PAGEREF _Toc215933330 \h </w:instrText>
            </w:r>
            <w:r>
              <w:rPr>
                <w:noProof/>
                <w:webHidden/>
              </w:rPr>
            </w:r>
            <w:r>
              <w:rPr>
                <w:noProof/>
                <w:webHidden/>
              </w:rPr>
              <w:fldChar w:fldCharType="separate"/>
            </w:r>
            <w:r>
              <w:rPr>
                <w:noProof/>
                <w:webHidden/>
              </w:rPr>
              <w:t>4</w:t>
            </w:r>
            <w:r>
              <w:rPr>
                <w:noProof/>
                <w:webHidden/>
              </w:rPr>
              <w:fldChar w:fldCharType="end"/>
            </w:r>
          </w:hyperlink>
        </w:p>
        <w:p w14:paraId="5884051C" w14:textId="77777777" w:rsidR="00EB0CEC" w:rsidRDefault="00EB0CEC">
          <w:pPr>
            <w:pStyle w:val="TOC2"/>
            <w:tabs>
              <w:tab w:val="right" w:leader="dot" w:pos="9350"/>
            </w:tabs>
            <w:rPr>
              <w:rFonts w:asciiTheme="minorHAnsi" w:eastAsiaTheme="minorEastAsia" w:hAnsiTheme="minorHAnsi"/>
              <w:noProof/>
              <w:sz w:val="22"/>
            </w:rPr>
          </w:pPr>
          <w:hyperlink w:anchor="_Toc215933331" w:history="1">
            <w:r w:rsidRPr="002C2841">
              <w:rPr>
                <w:rStyle w:val="Hyperlink"/>
                <w:noProof/>
              </w:rPr>
              <w:t>3. Social Determinants Shaping Age-Based Inequalities</w:t>
            </w:r>
            <w:r>
              <w:rPr>
                <w:noProof/>
                <w:webHidden/>
              </w:rPr>
              <w:tab/>
            </w:r>
            <w:r>
              <w:rPr>
                <w:noProof/>
                <w:webHidden/>
              </w:rPr>
              <w:fldChar w:fldCharType="begin"/>
            </w:r>
            <w:r>
              <w:rPr>
                <w:noProof/>
                <w:webHidden/>
              </w:rPr>
              <w:instrText xml:space="preserve"> PAGEREF _Toc215933331 \h </w:instrText>
            </w:r>
            <w:r>
              <w:rPr>
                <w:noProof/>
                <w:webHidden/>
              </w:rPr>
            </w:r>
            <w:r>
              <w:rPr>
                <w:noProof/>
                <w:webHidden/>
              </w:rPr>
              <w:fldChar w:fldCharType="separate"/>
            </w:r>
            <w:r>
              <w:rPr>
                <w:noProof/>
                <w:webHidden/>
              </w:rPr>
              <w:t>5</w:t>
            </w:r>
            <w:r>
              <w:rPr>
                <w:noProof/>
                <w:webHidden/>
              </w:rPr>
              <w:fldChar w:fldCharType="end"/>
            </w:r>
          </w:hyperlink>
        </w:p>
        <w:p w14:paraId="5BC4F91C" w14:textId="77777777" w:rsidR="00EB0CEC" w:rsidRDefault="00EB0CEC">
          <w:pPr>
            <w:pStyle w:val="TOC2"/>
            <w:tabs>
              <w:tab w:val="right" w:leader="dot" w:pos="9350"/>
            </w:tabs>
            <w:rPr>
              <w:rFonts w:asciiTheme="minorHAnsi" w:eastAsiaTheme="minorEastAsia" w:hAnsiTheme="minorHAnsi"/>
              <w:noProof/>
              <w:sz w:val="22"/>
            </w:rPr>
          </w:pPr>
          <w:hyperlink w:anchor="_Toc215933332" w:history="1">
            <w:r w:rsidRPr="002C2841">
              <w:rPr>
                <w:rStyle w:val="Hyperlink"/>
                <w:noProof/>
              </w:rPr>
              <w:t>4. National and Local Policy Responses</w:t>
            </w:r>
            <w:r>
              <w:rPr>
                <w:noProof/>
                <w:webHidden/>
              </w:rPr>
              <w:tab/>
            </w:r>
            <w:r>
              <w:rPr>
                <w:noProof/>
                <w:webHidden/>
              </w:rPr>
              <w:fldChar w:fldCharType="begin"/>
            </w:r>
            <w:r>
              <w:rPr>
                <w:noProof/>
                <w:webHidden/>
              </w:rPr>
              <w:instrText xml:space="preserve"> PAGEREF _Toc215933332 \h </w:instrText>
            </w:r>
            <w:r>
              <w:rPr>
                <w:noProof/>
                <w:webHidden/>
              </w:rPr>
            </w:r>
            <w:r>
              <w:rPr>
                <w:noProof/>
                <w:webHidden/>
              </w:rPr>
              <w:fldChar w:fldCharType="separate"/>
            </w:r>
            <w:r>
              <w:rPr>
                <w:noProof/>
                <w:webHidden/>
              </w:rPr>
              <w:t>6</w:t>
            </w:r>
            <w:r>
              <w:rPr>
                <w:noProof/>
                <w:webHidden/>
              </w:rPr>
              <w:fldChar w:fldCharType="end"/>
            </w:r>
          </w:hyperlink>
        </w:p>
        <w:p w14:paraId="2E957D44" w14:textId="77777777" w:rsidR="00EB0CEC" w:rsidRDefault="00EB0CEC">
          <w:pPr>
            <w:pStyle w:val="TOC2"/>
            <w:tabs>
              <w:tab w:val="right" w:leader="dot" w:pos="9350"/>
            </w:tabs>
            <w:rPr>
              <w:rFonts w:asciiTheme="minorHAnsi" w:eastAsiaTheme="minorEastAsia" w:hAnsiTheme="minorHAnsi"/>
              <w:noProof/>
              <w:sz w:val="22"/>
            </w:rPr>
          </w:pPr>
          <w:hyperlink w:anchor="_Toc215933333" w:history="1">
            <w:r w:rsidRPr="002C2841">
              <w:rPr>
                <w:rStyle w:val="Hyperlink"/>
                <w:noProof/>
              </w:rPr>
              <w:t>5. Voluntary Sector Support</w:t>
            </w:r>
            <w:r>
              <w:rPr>
                <w:noProof/>
                <w:webHidden/>
              </w:rPr>
              <w:tab/>
            </w:r>
            <w:r>
              <w:rPr>
                <w:noProof/>
                <w:webHidden/>
              </w:rPr>
              <w:fldChar w:fldCharType="begin"/>
            </w:r>
            <w:r>
              <w:rPr>
                <w:noProof/>
                <w:webHidden/>
              </w:rPr>
              <w:instrText xml:space="preserve"> PAGEREF _Toc215933333 \h </w:instrText>
            </w:r>
            <w:r>
              <w:rPr>
                <w:noProof/>
                <w:webHidden/>
              </w:rPr>
            </w:r>
            <w:r>
              <w:rPr>
                <w:noProof/>
                <w:webHidden/>
              </w:rPr>
              <w:fldChar w:fldCharType="separate"/>
            </w:r>
            <w:r>
              <w:rPr>
                <w:noProof/>
                <w:webHidden/>
              </w:rPr>
              <w:t>8</w:t>
            </w:r>
            <w:r>
              <w:rPr>
                <w:noProof/>
                <w:webHidden/>
              </w:rPr>
              <w:fldChar w:fldCharType="end"/>
            </w:r>
          </w:hyperlink>
        </w:p>
        <w:p w14:paraId="37F3683B" w14:textId="77777777" w:rsidR="00EB0CEC" w:rsidRDefault="00EB0CEC">
          <w:pPr>
            <w:pStyle w:val="TOC2"/>
            <w:tabs>
              <w:tab w:val="right" w:leader="dot" w:pos="9350"/>
            </w:tabs>
            <w:rPr>
              <w:rFonts w:asciiTheme="minorHAnsi" w:eastAsiaTheme="minorEastAsia" w:hAnsiTheme="minorHAnsi"/>
              <w:noProof/>
              <w:sz w:val="22"/>
            </w:rPr>
          </w:pPr>
          <w:hyperlink w:anchor="_Toc215933334" w:history="1">
            <w:r w:rsidRPr="002C2841">
              <w:rPr>
                <w:rStyle w:val="Hyperlink"/>
                <w:noProof/>
              </w:rPr>
              <w:t>6. Conclusion</w:t>
            </w:r>
            <w:r>
              <w:rPr>
                <w:noProof/>
                <w:webHidden/>
              </w:rPr>
              <w:tab/>
            </w:r>
            <w:r>
              <w:rPr>
                <w:noProof/>
                <w:webHidden/>
              </w:rPr>
              <w:fldChar w:fldCharType="begin"/>
            </w:r>
            <w:r>
              <w:rPr>
                <w:noProof/>
                <w:webHidden/>
              </w:rPr>
              <w:instrText xml:space="preserve"> PAGEREF _Toc215933334 \h </w:instrText>
            </w:r>
            <w:r>
              <w:rPr>
                <w:noProof/>
                <w:webHidden/>
              </w:rPr>
            </w:r>
            <w:r>
              <w:rPr>
                <w:noProof/>
                <w:webHidden/>
              </w:rPr>
              <w:fldChar w:fldCharType="separate"/>
            </w:r>
            <w:r>
              <w:rPr>
                <w:noProof/>
                <w:webHidden/>
              </w:rPr>
              <w:t>9</w:t>
            </w:r>
            <w:r>
              <w:rPr>
                <w:noProof/>
                <w:webHidden/>
              </w:rPr>
              <w:fldChar w:fldCharType="end"/>
            </w:r>
          </w:hyperlink>
        </w:p>
        <w:p w14:paraId="0FF260B3" w14:textId="77777777" w:rsidR="00EB0CEC" w:rsidRDefault="00EB0CEC">
          <w:pPr>
            <w:pStyle w:val="TOC1"/>
            <w:tabs>
              <w:tab w:val="right" w:leader="dot" w:pos="9350"/>
            </w:tabs>
            <w:rPr>
              <w:rFonts w:asciiTheme="minorHAnsi" w:eastAsiaTheme="minorEastAsia" w:hAnsiTheme="minorHAnsi"/>
              <w:noProof/>
              <w:sz w:val="22"/>
            </w:rPr>
          </w:pPr>
          <w:hyperlink w:anchor="_Toc215933335" w:history="1">
            <w:r w:rsidRPr="002C2841">
              <w:rPr>
                <w:rStyle w:val="Hyperlink"/>
                <w:noProof/>
              </w:rPr>
              <w:t>TASK 2 — EPIDEMIOLOGICAL ANALYSIS</w:t>
            </w:r>
            <w:r>
              <w:rPr>
                <w:noProof/>
                <w:webHidden/>
              </w:rPr>
              <w:tab/>
            </w:r>
            <w:r>
              <w:rPr>
                <w:noProof/>
                <w:webHidden/>
              </w:rPr>
              <w:fldChar w:fldCharType="begin"/>
            </w:r>
            <w:r>
              <w:rPr>
                <w:noProof/>
                <w:webHidden/>
              </w:rPr>
              <w:instrText xml:space="preserve"> PAGEREF _Toc215933335 \h </w:instrText>
            </w:r>
            <w:r>
              <w:rPr>
                <w:noProof/>
                <w:webHidden/>
              </w:rPr>
            </w:r>
            <w:r>
              <w:rPr>
                <w:noProof/>
                <w:webHidden/>
              </w:rPr>
              <w:fldChar w:fldCharType="separate"/>
            </w:r>
            <w:r>
              <w:rPr>
                <w:noProof/>
                <w:webHidden/>
              </w:rPr>
              <w:t>9</w:t>
            </w:r>
            <w:r>
              <w:rPr>
                <w:noProof/>
                <w:webHidden/>
              </w:rPr>
              <w:fldChar w:fldCharType="end"/>
            </w:r>
          </w:hyperlink>
        </w:p>
        <w:p w14:paraId="60746E85" w14:textId="77777777" w:rsidR="00EB0CEC" w:rsidRDefault="00EB0CEC">
          <w:pPr>
            <w:pStyle w:val="TOC2"/>
            <w:tabs>
              <w:tab w:val="right" w:leader="dot" w:pos="9350"/>
            </w:tabs>
            <w:rPr>
              <w:rFonts w:asciiTheme="minorHAnsi" w:eastAsiaTheme="minorEastAsia" w:hAnsiTheme="minorHAnsi"/>
              <w:noProof/>
              <w:sz w:val="22"/>
            </w:rPr>
          </w:pPr>
          <w:hyperlink w:anchor="_Toc215933336" w:history="1">
            <w:r w:rsidRPr="002C2841">
              <w:rPr>
                <w:rStyle w:val="Hyperlink"/>
                <w:noProof/>
              </w:rPr>
              <w:t>7. Introduction</w:t>
            </w:r>
            <w:r>
              <w:rPr>
                <w:noProof/>
                <w:webHidden/>
              </w:rPr>
              <w:tab/>
            </w:r>
            <w:r>
              <w:rPr>
                <w:noProof/>
                <w:webHidden/>
              </w:rPr>
              <w:fldChar w:fldCharType="begin"/>
            </w:r>
            <w:r>
              <w:rPr>
                <w:noProof/>
                <w:webHidden/>
              </w:rPr>
              <w:instrText xml:space="preserve"> PAGEREF _Toc215933336 \h </w:instrText>
            </w:r>
            <w:r>
              <w:rPr>
                <w:noProof/>
                <w:webHidden/>
              </w:rPr>
            </w:r>
            <w:r>
              <w:rPr>
                <w:noProof/>
                <w:webHidden/>
              </w:rPr>
              <w:fldChar w:fldCharType="separate"/>
            </w:r>
            <w:r>
              <w:rPr>
                <w:noProof/>
                <w:webHidden/>
              </w:rPr>
              <w:t>9</w:t>
            </w:r>
            <w:r>
              <w:rPr>
                <w:noProof/>
                <w:webHidden/>
              </w:rPr>
              <w:fldChar w:fldCharType="end"/>
            </w:r>
          </w:hyperlink>
        </w:p>
        <w:p w14:paraId="6DC0C6B2" w14:textId="77777777" w:rsidR="00EB0CEC" w:rsidRDefault="00EB0CEC">
          <w:pPr>
            <w:pStyle w:val="TOC2"/>
            <w:tabs>
              <w:tab w:val="right" w:leader="dot" w:pos="9350"/>
            </w:tabs>
            <w:rPr>
              <w:rFonts w:asciiTheme="minorHAnsi" w:eastAsiaTheme="minorEastAsia" w:hAnsiTheme="minorHAnsi"/>
              <w:noProof/>
              <w:sz w:val="22"/>
            </w:rPr>
          </w:pPr>
          <w:hyperlink w:anchor="_Toc215933337" w:history="1">
            <w:r w:rsidRPr="002C2841">
              <w:rPr>
                <w:rStyle w:val="Hyperlink"/>
                <w:noProof/>
              </w:rPr>
              <w:t>8. Public Health Measures and Interventions</w:t>
            </w:r>
            <w:r>
              <w:rPr>
                <w:noProof/>
                <w:webHidden/>
              </w:rPr>
              <w:tab/>
            </w:r>
            <w:r>
              <w:rPr>
                <w:noProof/>
                <w:webHidden/>
              </w:rPr>
              <w:fldChar w:fldCharType="begin"/>
            </w:r>
            <w:r>
              <w:rPr>
                <w:noProof/>
                <w:webHidden/>
              </w:rPr>
              <w:instrText xml:space="preserve"> PAGEREF _Toc215933337 \h </w:instrText>
            </w:r>
            <w:r>
              <w:rPr>
                <w:noProof/>
                <w:webHidden/>
              </w:rPr>
            </w:r>
            <w:r>
              <w:rPr>
                <w:noProof/>
                <w:webHidden/>
              </w:rPr>
              <w:fldChar w:fldCharType="separate"/>
            </w:r>
            <w:r>
              <w:rPr>
                <w:noProof/>
                <w:webHidden/>
              </w:rPr>
              <w:t>11</w:t>
            </w:r>
            <w:r>
              <w:rPr>
                <w:noProof/>
                <w:webHidden/>
              </w:rPr>
              <w:fldChar w:fldCharType="end"/>
            </w:r>
          </w:hyperlink>
        </w:p>
        <w:p w14:paraId="17938776" w14:textId="77777777" w:rsidR="00EB0CEC" w:rsidRDefault="00EB0CEC">
          <w:pPr>
            <w:pStyle w:val="TOC2"/>
            <w:tabs>
              <w:tab w:val="right" w:leader="dot" w:pos="9350"/>
            </w:tabs>
            <w:rPr>
              <w:rFonts w:asciiTheme="minorHAnsi" w:eastAsiaTheme="minorEastAsia" w:hAnsiTheme="minorHAnsi"/>
              <w:noProof/>
              <w:sz w:val="22"/>
            </w:rPr>
          </w:pPr>
          <w:hyperlink w:anchor="_Toc215933338" w:history="1">
            <w:r w:rsidRPr="002C2841">
              <w:rPr>
                <w:rStyle w:val="Hyperlink"/>
                <w:noProof/>
              </w:rPr>
              <w:t>9. Determinants and Risk Factors</w:t>
            </w:r>
            <w:r>
              <w:rPr>
                <w:noProof/>
                <w:webHidden/>
              </w:rPr>
              <w:tab/>
            </w:r>
            <w:r>
              <w:rPr>
                <w:noProof/>
                <w:webHidden/>
              </w:rPr>
              <w:fldChar w:fldCharType="begin"/>
            </w:r>
            <w:r>
              <w:rPr>
                <w:noProof/>
                <w:webHidden/>
              </w:rPr>
              <w:instrText xml:space="preserve"> PAGEREF _Toc215933338 \h </w:instrText>
            </w:r>
            <w:r>
              <w:rPr>
                <w:noProof/>
                <w:webHidden/>
              </w:rPr>
            </w:r>
            <w:r>
              <w:rPr>
                <w:noProof/>
                <w:webHidden/>
              </w:rPr>
              <w:fldChar w:fldCharType="separate"/>
            </w:r>
            <w:r>
              <w:rPr>
                <w:noProof/>
                <w:webHidden/>
              </w:rPr>
              <w:t>12</w:t>
            </w:r>
            <w:r>
              <w:rPr>
                <w:noProof/>
                <w:webHidden/>
              </w:rPr>
              <w:fldChar w:fldCharType="end"/>
            </w:r>
          </w:hyperlink>
        </w:p>
        <w:p w14:paraId="11C089D2" w14:textId="77777777" w:rsidR="00EB0CEC" w:rsidRDefault="00EB0CEC">
          <w:pPr>
            <w:pStyle w:val="TOC2"/>
            <w:tabs>
              <w:tab w:val="right" w:leader="dot" w:pos="9350"/>
            </w:tabs>
            <w:rPr>
              <w:rFonts w:asciiTheme="minorHAnsi" w:eastAsiaTheme="minorEastAsia" w:hAnsiTheme="minorHAnsi"/>
              <w:noProof/>
              <w:sz w:val="22"/>
            </w:rPr>
          </w:pPr>
          <w:hyperlink w:anchor="_Toc215933339" w:history="1">
            <w:r w:rsidRPr="002C2841">
              <w:rPr>
                <w:rStyle w:val="Hyperlink"/>
                <w:noProof/>
              </w:rPr>
              <w:t>10. Epidemiological Evidence and Health Needs Assessment</w:t>
            </w:r>
            <w:r>
              <w:rPr>
                <w:noProof/>
                <w:webHidden/>
              </w:rPr>
              <w:tab/>
            </w:r>
            <w:r>
              <w:rPr>
                <w:noProof/>
                <w:webHidden/>
              </w:rPr>
              <w:fldChar w:fldCharType="begin"/>
            </w:r>
            <w:r>
              <w:rPr>
                <w:noProof/>
                <w:webHidden/>
              </w:rPr>
              <w:instrText xml:space="preserve"> PAGEREF _Toc215933339 \h </w:instrText>
            </w:r>
            <w:r>
              <w:rPr>
                <w:noProof/>
                <w:webHidden/>
              </w:rPr>
            </w:r>
            <w:r>
              <w:rPr>
                <w:noProof/>
                <w:webHidden/>
              </w:rPr>
              <w:fldChar w:fldCharType="separate"/>
            </w:r>
            <w:r>
              <w:rPr>
                <w:noProof/>
                <w:webHidden/>
              </w:rPr>
              <w:t>15</w:t>
            </w:r>
            <w:r>
              <w:rPr>
                <w:noProof/>
                <w:webHidden/>
              </w:rPr>
              <w:fldChar w:fldCharType="end"/>
            </w:r>
          </w:hyperlink>
        </w:p>
        <w:p w14:paraId="2273E980" w14:textId="77777777" w:rsidR="00EB0CEC" w:rsidRDefault="00EB0CEC">
          <w:pPr>
            <w:pStyle w:val="TOC2"/>
            <w:tabs>
              <w:tab w:val="right" w:leader="dot" w:pos="9350"/>
            </w:tabs>
            <w:rPr>
              <w:rFonts w:asciiTheme="minorHAnsi" w:eastAsiaTheme="minorEastAsia" w:hAnsiTheme="minorHAnsi"/>
              <w:noProof/>
              <w:sz w:val="22"/>
            </w:rPr>
          </w:pPr>
          <w:hyperlink w:anchor="_Toc215933340" w:history="1">
            <w:r w:rsidRPr="002C2841">
              <w:rPr>
                <w:rStyle w:val="Hyperlink"/>
                <w:noProof/>
              </w:rPr>
              <w:t>11. Monitoring and Surveillance</w:t>
            </w:r>
            <w:r>
              <w:rPr>
                <w:noProof/>
                <w:webHidden/>
              </w:rPr>
              <w:tab/>
            </w:r>
            <w:r>
              <w:rPr>
                <w:noProof/>
                <w:webHidden/>
              </w:rPr>
              <w:fldChar w:fldCharType="begin"/>
            </w:r>
            <w:r>
              <w:rPr>
                <w:noProof/>
                <w:webHidden/>
              </w:rPr>
              <w:instrText xml:space="preserve"> PAGEREF _Toc215933340 \h </w:instrText>
            </w:r>
            <w:r>
              <w:rPr>
                <w:noProof/>
                <w:webHidden/>
              </w:rPr>
            </w:r>
            <w:r>
              <w:rPr>
                <w:noProof/>
                <w:webHidden/>
              </w:rPr>
              <w:fldChar w:fldCharType="separate"/>
            </w:r>
            <w:r>
              <w:rPr>
                <w:noProof/>
                <w:webHidden/>
              </w:rPr>
              <w:t>15</w:t>
            </w:r>
            <w:r>
              <w:rPr>
                <w:noProof/>
                <w:webHidden/>
              </w:rPr>
              <w:fldChar w:fldCharType="end"/>
            </w:r>
          </w:hyperlink>
        </w:p>
        <w:p w14:paraId="53D18D6B" w14:textId="77777777" w:rsidR="00EB0CEC" w:rsidRDefault="00EB0CEC">
          <w:pPr>
            <w:pStyle w:val="TOC2"/>
            <w:tabs>
              <w:tab w:val="right" w:leader="dot" w:pos="9350"/>
            </w:tabs>
            <w:rPr>
              <w:rFonts w:asciiTheme="minorHAnsi" w:eastAsiaTheme="minorEastAsia" w:hAnsiTheme="minorHAnsi"/>
              <w:noProof/>
              <w:sz w:val="22"/>
            </w:rPr>
          </w:pPr>
          <w:hyperlink w:anchor="_Toc215933341" w:history="1">
            <w:r w:rsidRPr="002C2841">
              <w:rPr>
                <w:rStyle w:val="Hyperlink"/>
                <w:noProof/>
              </w:rPr>
              <w:t>12. Public Health Impact</w:t>
            </w:r>
            <w:r>
              <w:rPr>
                <w:noProof/>
                <w:webHidden/>
              </w:rPr>
              <w:tab/>
            </w:r>
            <w:r>
              <w:rPr>
                <w:noProof/>
                <w:webHidden/>
              </w:rPr>
              <w:fldChar w:fldCharType="begin"/>
            </w:r>
            <w:r>
              <w:rPr>
                <w:noProof/>
                <w:webHidden/>
              </w:rPr>
              <w:instrText xml:space="preserve"> PAGEREF _Toc215933341 \h </w:instrText>
            </w:r>
            <w:r>
              <w:rPr>
                <w:noProof/>
                <w:webHidden/>
              </w:rPr>
            </w:r>
            <w:r>
              <w:rPr>
                <w:noProof/>
                <w:webHidden/>
              </w:rPr>
              <w:fldChar w:fldCharType="separate"/>
            </w:r>
            <w:r>
              <w:rPr>
                <w:noProof/>
                <w:webHidden/>
              </w:rPr>
              <w:t>16</w:t>
            </w:r>
            <w:r>
              <w:rPr>
                <w:noProof/>
                <w:webHidden/>
              </w:rPr>
              <w:fldChar w:fldCharType="end"/>
            </w:r>
          </w:hyperlink>
        </w:p>
        <w:p w14:paraId="292B2B5F" w14:textId="77777777" w:rsidR="00EB0CEC" w:rsidRDefault="00EB0CEC">
          <w:pPr>
            <w:pStyle w:val="TOC2"/>
            <w:tabs>
              <w:tab w:val="right" w:leader="dot" w:pos="9350"/>
            </w:tabs>
            <w:rPr>
              <w:rFonts w:asciiTheme="minorHAnsi" w:eastAsiaTheme="minorEastAsia" w:hAnsiTheme="minorHAnsi"/>
              <w:noProof/>
              <w:sz w:val="22"/>
            </w:rPr>
          </w:pPr>
          <w:hyperlink w:anchor="_Toc215933342" w:history="1">
            <w:r w:rsidRPr="002C2841">
              <w:rPr>
                <w:rStyle w:val="Hyperlink"/>
                <w:noProof/>
              </w:rPr>
              <w:t>13. Public Health Intervention: Age Strong Tower Hamlets</w:t>
            </w:r>
            <w:r>
              <w:rPr>
                <w:noProof/>
                <w:webHidden/>
              </w:rPr>
              <w:tab/>
            </w:r>
            <w:r>
              <w:rPr>
                <w:noProof/>
                <w:webHidden/>
              </w:rPr>
              <w:fldChar w:fldCharType="begin"/>
            </w:r>
            <w:r>
              <w:rPr>
                <w:noProof/>
                <w:webHidden/>
              </w:rPr>
              <w:instrText xml:space="preserve"> PAGEREF _Toc215933342 \h </w:instrText>
            </w:r>
            <w:r>
              <w:rPr>
                <w:noProof/>
                <w:webHidden/>
              </w:rPr>
            </w:r>
            <w:r>
              <w:rPr>
                <w:noProof/>
                <w:webHidden/>
              </w:rPr>
              <w:fldChar w:fldCharType="separate"/>
            </w:r>
            <w:r>
              <w:rPr>
                <w:noProof/>
                <w:webHidden/>
              </w:rPr>
              <w:t>16</w:t>
            </w:r>
            <w:r>
              <w:rPr>
                <w:noProof/>
                <w:webHidden/>
              </w:rPr>
              <w:fldChar w:fldCharType="end"/>
            </w:r>
          </w:hyperlink>
        </w:p>
        <w:p w14:paraId="782BABC2" w14:textId="77777777" w:rsidR="00EB0CEC" w:rsidRDefault="00EB0CEC">
          <w:pPr>
            <w:pStyle w:val="TOC2"/>
            <w:tabs>
              <w:tab w:val="right" w:leader="dot" w:pos="9350"/>
            </w:tabs>
            <w:rPr>
              <w:rFonts w:asciiTheme="minorHAnsi" w:eastAsiaTheme="minorEastAsia" w:hAnsiTheme="minorHAnsi"/>
              <w:noProof/>
              <w:sz w:val="22"/>
            </w:rPr>
          </w:pPr>
          <w:hyperlink w:anchor="_Toc215933343" w:history="1">
            <w:r w:rsidRPr="002C2841">
              <w:rPr>
                <w:rStyle w:val="Hyperlink"/>
                <w:noProof/>
              </w:rPr>
              <w:t>14. Conclusion</w:t>
            </w:r>
            <w:r>
              <w:rPr>
                <w:noProof/>
                <w:webHidden/>
              </w:rPr>
              <w:tab/>
            </w:r>
            <w:r>
              <w:rPr>
                <w:noProof/>
                <w:webHidden/>
              </w:rPr>
              <w:fldChar w:fldCharType="begin"/>
            </w:r>
            <w:r>
              <w:rPr>
                <w:noProof/>
                <w:webHidden/>
              </w:rPr>
              <w:instrText xml:space="preserve"> PAGEREF _Toc215933343 \h </w:instrText>
            </w:r>
            <w:r>
              <w:rPr>
                <w:noProof/>
                <w:webHidden/>
              </w:rPr>
            </w:r>
            <w:r>
              <w:rPr>
                <w:noProof/>
                <w:webHidden/>
              </w:rPr>
              <w:fldChar w:fldCharType="separate"/>
            </w:r>
            <w:r>
              <w:rPr>
                <w:noProof/>
                <w:webHidden/>
              </w:rPr>
              <w:t>17</w:t>
            </w:r>
            <w:r>
              <w:rPr>
                <w:noProof/>
                <w:webHidden/>
              </w:rPr>
              <w:fldChar w:fldCharType="end"/>
            </w:r>
          </w:hyperlink>
        </w:p>
        <w:p w14:paraId="3E691FEC" w14:textId="77777777" w:rsidR="00EB0CEC" w:rsidRDefault="00EB0CEC">
          <w:pPr>
            <w:pStyle w:val="TOC1"/>
            <w:tabs>
              <w:tab w:val="right" w:leader="dot" w:pos="9350"/>
            </w:tabs>
            <w:rPr>
              <w:rFonts w:asciiTheme="minorHAnsi" w:eastAsiaTheme="minorEastAsia" w:hAnsiTheme="minorHAnsi"/>
              <w:noProof/>
              <w:sz w:val="22"/>
            </w:rPr>
          </w:pPr>
          <w:hyperlink w:anchor="_Toc215933344" w:history="1">
            <w:r w:rsidRPr="002C2841">
              <w:rPr>
                <w:rStyle w:val="Hyperlink"/>
                <w:rFonts w:eastAsia="Times New Roman"/>
                <w:noProof/>
              </w:rPr>
              <w:t>References list</w:t>
            </w:r>
            <w:r>
              <w:rPr>
                <w:noProof/>
                <w:webHidden/>
              </w:rPr>
              <w:tab/>
            </w:r>
            <w:r>
              <w:rPr>
                <w:noProof/>
                <w:webHidden/>
              </w:rPr>
              <w:fldChar w:fldCharType="begin"/>
            </w:r>
            <w:r>
              <w:rPr>
                <w:noProof/>
                <w:webHidden/>
              </w:rPr>
              <w:instrText xml:space="preserve"> PAGEREF _Toc215933344 \h </w:instrText>
            </w:r>
            <w:r>
              <w:rPr>
                <w:noProof/>
                <w:webHidden/>
              </w:rPr>
            </w:r>
            <w:r>
              <w:rPr>
                <w:noProof/>
                <w:webHidden/>
              </w:rPr>
              <w:fldChar w:fldCharType="separate"/>
            </w:r>
            <w:r>
              <w:rPr>
                <w:noProof/>
                <w:webHidden/>
              </w:rPr>
              <w:t>18</w:t>
            </w:r>
            <w:r>
              <w:rPr>
                <w:noProof/>
                <w:webHidden/>
              </w:rPr>
              <w:fldChar w:fldCharType="end"/>
            </w:r>
          </w:hyperlink>
        </w:p>
        <w:p w14:paraId="61FA7088" w14:textId="77777777" w:rsidR="00EB0CEC" w:rsidRDefault="00EB0CEC">
          <w:pPr>
            <w:pStyle w:val="TOC1"/>
            <w:tabs>
              <w:tab w:val="right" w:leader="dot" w:pos="9350"/>
            </w:tabs>
            <w:rPr>
              <w:rFonts w:asciiTheme="minorHAnsi" w:eastAsiaTheme="minorEastAsia" w:hAnsiTheme="minorHAnsi"/>
              <w:noProof/>
              <w:sz w:val="22"/>
            </w:rPr>
          </w:pPr>
          <w:hyperlink w:anchor="_Toc215933345" w:history="1">
            <w:r w:rsidRPr="002C2841">
              <w:rPr>
                <w:rStyle w:val="Hyperlink"/>
                <w:noProof/>
              </w:rPr>
              <w:t>Image references</w:t>
            </w:r>
            <w:r>
              <w:rPr>
                <w:noProof/>
                <w:webHidden/>
              </w:rPr>
              <w:tab/>
            </w:r>
            <w:r>
              <w:rPr>
                <w:noProof/>
                <w:webHidden/>
              </w:rPr>
              <w:fldChar w:fldCharType="begin"/>
            </w:r>
            <w:r>
              <w:rPr>
                <w:noProof/>
                <w:webHidden/>
              </w:rPr>
              <w:instrText xml:space="preserve"> PAGEREF _Toc215933345 \h </w:instrText>
            </w:r>
            <w:r>
              <w:rPr>
                <w:noProof/>
                <w:webHidden/>
              </w:rPr>
            </w:r>
            <w:r>
              <w:rPr>
                <w:noProof/>
                <w:webHidden/>
              </w:rPr>
              <w:fldChar w:fldCharType="separate"/>
            </w:r>
            <w:r>
              <w:rPr>
                <w:noProof/>
                <w:webHidden/>
              </w:rPr>
              <w:t>22</w:t>
            </w:r>
            <w:r>
              <w:rPr>
                <w:noProof/>
                <w:webHidden/>
              </w:rPr>
              <w:fldChar w:fldCharType="end"/>
            </w:r>
          </w:hyperlink>
        </w:p>
        <w:p w14:paraId="5FBBFC67" w14:textId="77777777" w:rsidR="006B5D36" w:rsidRPr="00887651" w:rsidRDefault="00B15150" w:rsidP="00887651">
          <w:r>
            <w:fldChar w:fldCharType="end"/>
          </w:r>
        </w:p>
      </w:sdtContent>
    </w:sdt>
    <w:p w14:paraId="49CEE3F1" w14:textId="77777777" w:rsidR="006B5D36" w:rsidRPr="006B5D36" w:rsidRDefault="006B5D36" w:rsidP="006B5D36">
      <w:pPr>
        <w:pStyle w:val="Heading1"/>
      </w:pPr>
      <w:bookmarkStart w:id="0" w:name="_Toc215933328"/>
      <w:r w:rsidRPr="006B5D36">
        <w:lastRenderedPageBreak/>
        <w:t>TASK 1 — SOCIAL EPIDEMIOLOGICAL ANALYSIS</w:t>
      </w:r>
      <w:bookmarkEnd w:id="0"/>
    </w:p>
    <w:p w14:paraId="210B7D4E" w14:textId="77777777" w:rsidR="006B5D36" w:rsidRPr="006B5D36" w:rsidRDefault="006B5D36" w:rsidP="006B5D36">
      <w:pPr>
        <w:pStyle w:val="Heading2"/>
      </w:pPr>
      <w:bookmarkStart w:id="1" w:name="_Toc215933329"/>
      <w:r>
        <w:t>1.</w:t>
      </w:r>
      <w:r w:rsidRPr="006B5D36">
        <w:t xml:space="preserve"> Introduction</w:t>
      </w:r>
      <w:bookmarkEnd w:id="1"/>
    </w:p>
    <w:p w14:paraId="50D2CA43" w14:textId="77777777" w:rsidR="006B5D36" w:rsidRPr="007C5875" w:rsidRDefault="000B72B8" w:rsidP="007C5875">
      <w:pPr>
        <w:rPr>
          <w:rFonts w:eastAsia="Times New Roman" w:cs="Times New Roman"/>
          <w:szCs w:val="24"/>
        </w:rPr>
      </w:pPr>
      <w:r w:rsidRPr="000B72B8">
        <w:t>Age and health disparities are unjust and preventable health dissimilarities that disproportionately impact older adults. They are a result of older age, chronic illness, social economic status, and barriers to accessing adequate care. The elderly living in underprivileged areas of the city are more exposed to health hazards and have limited opportunities to remain self-reliant. The borough of Tower Hamlets in England is one of the most deprived in the country; the older people in the region tend to have low income, poor housing, restricted mobility, language barriers and are socially isolated. The presence of such overlapping problems implies increased morbidity and increased demand of complicated health and social care assistance. In this section, the authors consider the key age-related health disparities in a</w:t>
      </w:r>
      <w:r w:rsidR="00887651">
        <w:t xml:space="preserve">dults over 65 in Tower Hamlets </w:t>
      </w:r>
      <w:r w:rsidR="007C5875" w:rsidRPr="007C5875">
        <w:rPr>
          <w:rFonts w:eastAsia="Times New Roman" w:cs="Times New Roman"/>
          <w:szCs w:val="24"/>
        </w:rPr>
        <w:t xml:space="preserve">(Westwood and </w:t>
      </w:r>
      <w:proofErr w:type="spellStart"/>
      <w:r w:rsidR="007C5875" w:rsidRPr="007C5875">
        <w:rPr>
          <w:rFonts w:eastAsia="Times New Roman" w:cs="Times New Roman"/>
          <w:szCs w:val="24"/>
        </w:rPr>
        <w:t>Knauer</w:t>
      </w:r>
      <w:proofErr w:type="spellEnd"/>
      <w:r w:rsidR="007C5875" w:rsidRPr="007C5875">
        <w:rPr>
          <w:rFonts w:eastAsia="Times New Roman" w:cs="Times New Roman"/>
          <w:szCs w:val="24"/>
        </w:rPr>
        <w:t>, 2024)</w:t>
      </w:r>
      <w:r w:rsidR="007C5875">
        <w:rPr>
          <w:rFonts w:eastAsia="Times New Roman" w:cs="Times New Roman"/>
          <w:szCs w:val="24"/>
        </w:rPr>
        <w:t>.</w:t>
      </w:r>
    </w:p>
    <w:p w14:paraId="41A65DA2" w14:textId="77777777" w:rsidR="000B72B8" w:rsidRDefault="000B72B8" w:rsidP="000B72B8">
      <w:r>
        <w:t>Naturally, age and health disparities imply that the group of older individuals tends to be poorer in terms of health in comparison to the rest of the population. These variations are a result of ageing, chronic diseases, reduced income, substandard accommodation and reduced access to services. Continued poverty and exclusion by the society also increase the health risks and hence older people are more prone to become sick, disabled or lead a poorer life.</w:t>
      </w:r>
    </w:p>
    <w:p w14:paraId="2662DBE8" w14:textId="77777777" w:rsidR="006B5D36" w:rsidRPr="007C5875" w:rsidRDefault="000B72B8" w:rsidP="000B72B8">
      <w:pPr>
        <w:rPr>
          <w:rFonts w:eastAsia="Times New Roman" w:cs="Times New Roman"/>
          <w:szCs w:val="24"/>
        </w:rPr>
      </w:pPr>
      <w:r>
        <w:t>The target market is individuals aged 65 and above who reside in Tower Hamlets. Most of them are experiencing financial issues, poor or congested households, poor English language and are being isolated. These issues render them less easy to remain healthy, live independently and participate in their community. This part explains the significant health disparities that impact older individuals in Tower</w:t>
      </w:r>
      <w:r>
        <w:rPr>
          <w:rFonts w:ascii="Cambria Math" w:hAnsi="Cambria Math" w:cs="Cambria Math"/>
        </w:rPr>
        <w:t>⁻</w:t>
      </w:r>
      <w:r>
        <w:rPr>
          <w:rFonts w:cs="Times New Roman"/>
        </w:rPr>
        <w:t xml:space="preserve"> Hamlets, namely, long-term illness, dementia and frailty, as well as the social determ</w:t>
      </w:r>
      <w:r w:rsidR="00887651">
        <w:rPr>
          <w:rFonts w:cs="Times New Roman"/>
        </w:rPr>
        <w:t xml:space="preserve">inants to the specified issues </w:t>
      </w:r>
      <w:r w:rsidR="007C5875" w:rsidRPr="007C5875">
        <w:rPr>
          <w:rFonts w:eastAsia="Times New Roman" w:cs="Times New Roman"/>
          <w:szCs w:val="24"/>
        </w:rPr>
        <w:t>(Gao et al., 2021)</w:t>
      </w:r>
      <w:r w:rsidR="007C5875">
        <w:rPr>
          <w:rFonts w:eastAsia="Times New Roman" w:cs="Times New Roman"/>
          <w:szCs w:val="24"/>
        </w:rPr>
        <w:t>.</w:t>
      </w:r>
    </w:p>
    <w:p w14:paraId="399B14C5" w14:textId="77777777" w:rsidR="006B5D36" w:rsidRPr="006B5D36" w:rsidRDefault="006B5D36" w:rsidP="007C5875">
      <w:pPr>
        <w:pStyle w:val="Heading2"/>
      </w:pPr>
      <w:bookmarkStart w:id="2" w:name="_Toc215933330"/>
      <w:r>
        <w:lastRenderedPageBreak/>
        <w:t>2.</w:t>
      </w:r>
      <w:r w:rsidRPr="006B5D36">
        <w:t xml:space="preserve"> Disease and Illness Inequalities</w:t>
      </w:r>
      <w:bookmarkEnd w:id="2"/>
    </w:p>
    <w:p w14:paraId="0D7899F8" w14:textId="77777777" w:rsidR="006B5D36" w:rsidRPr="006B5D36" w:rsidRDefault="006B5D36" w:rsidP="006B5D36">
      <w:pPr>
        <w:rPr>
          <w:b/>
          <w:bCs/>
        </w:rPr>
      </w:pPr>
      <w:r w:rsidRPr="006B5D36">
        <w:rPr>
          <w:b/>
          <w:bCs/>
        </w:rPr>
        <w:t>2.1 High Burden of Chronic Illnesses in Older Age</w:t>
      </w:r>
    </w:p>
    <w:p w14:paraId="66B76EBF" w14:textId="77777777" w:rsidR="006B5D36" w:rsidRPr="007C5875" w:rsidRDefault="000B72B8" w:rsidP="006B5D36">
      <w:pPr>
        <w:rPr>
          <w:rFonts w:eastAsia="Times New Roman" w:cs="Times New Roman"/>
          <w:szCs w:val="24"/>
        </w:rPr>
      </w:pPr>
      <w:r w:rsidRPr="000B72B8">
        <w:t>The long-term health issues of older adults in Tower Hamlets include diabetes, heart disease, lung diseases, and arthritis. These issues are associated with poverty, overcrowding of houses and lack of parks or open spaces where individuals can walk. Most of the elderly people have multiple conditions and thus the process of their care is more complex and they consume more health services. The need to dedicate excessive time to medicine, insufficient command of the main language, and the inability to work with computers complicate the process of taking care of their own health. The situation is even worse not having good food, warm houses, and preventive care. This causes avoidable h</w:t>
      </w:r>
      <w:r>
        <w:t xml:space="preserve">ospitalization and independence </w:t>
      </w:r>
      <w:r w:rsidR="007C5875">
        <w:rPr>
          <w:rFonts w:eastAsia="Times New Roman" w:cs="Times New Roman"/>
          <w:szCs w:val="24"/>
        </w:rPr>
        <w:t>(Carrier, 2022).</w:t>
      </w:r>
    </w:p>
    <w:p w14:paraId="2620834F" w14:textId="77777777" w:rsidR="006B5D36" w:rsidRPr="006B5D36" w:rsidRDefault="006B5D36" w:rsidP="006B5D36">
      <w:pPr>
        <w:rPr>
          <w:b/>
          <w:bCs/>
        </w:rPr>
      </w:pPr>
      <w:r w:rsidRPr="006B5D36">
        <w:rPr>
          <w:b/>
          <w:bCs/>
        </w:rPr>
        <w:t>2.2 Increased Prevalence of Dementia and Cognitive Decline</w:t>
      </w:r>
    </w:p>
    <w:p w14:paraId="485A3315" w14:textId="77777777" w:rsidR="006B5D36" w:rsidRPr="007C5875" w:rsidRDefault="000B72B8" w:rsidP="006B5D36">
      <w:pPr>
        <w:rPr>
          <w:rFonts w:eastAsia="Times New Roman" w:cs="Times New Roman"/>
          <w:szCs w:val="24"/>
        </w:rPr>
      </w:pPr>
      <w:r w:rsidRPr="000B72B8">
        <w:t>Tower Hamlets is experiencing an increase in the number of aged persons (65 years and above) with dementia. Thinking problems are more likely in case of poverty, heart disease, low education, smoking, and loneliness. When a person is not good at speaking English and there is a cultural stigma, it may be harder to observe the symptoms and access the memory services. Dementia complicates the normal life of the individuals, increases their reliance and creates an enormous burden on the caregivers. The local services should be assisted and be able to adapt to provide</w:t>
      </w:r>
      <w:r>
        <w:t xml:space="preserve"> culturally appropriate support </w:t>
      </w:r>
      <w:r w:rsidR="007C5875">
        <w:rPr>
          <w:rFonts w:eastAsia="Times New Roman" w:cs="Times New Roman"/>
          <w:szCs w:val="24"/>
        </w:rPr>
        <w:t>(Stevenson-Hoare et al., 2023).</w:t>
      </w:r>
    </w:p>
    <w:p w14:paraId="47668E1C" w14:textId="77777777" w:rsidR="006B5D36" w:rsidRPr="006B5D36" w:rsidRDefault="006B5D36" w:rsidP="006B5D36">
      <w:pPr>
        <w:rPr>
          <w:b/>
          <w:bCs/>
        </w:rPr>
      </w:pPr>
      <w:r w:rsidRPr="006B5D36">
        <w:rPr>
          <w:b/>
          <w:bCs/>
        </w:rPr>
        <w:t>2.3 Greater Risk of Frailty, Falls, and Mobility Issues</w:t>
      </w:r>
    </w:p>
    <w:p w14:paraId="4466AE13" w14:textId="77777777" w:rsidR="006B5D36" w:rsidRDefault="000B72B8" w:rsidP="006B5D36">
      <w:pPr>
        <w:rPr>
          <w:rFonts w:eastAsia="Times New Roman" w:cs="Times New Roman"/>
          <w:szCs w:val="24"/>
        </w:rPr>
      </w:pPr>
      <w:r w:rsidRPr="000B72B8">
        <w:t xml:space="preserve">The older adults in Tower Hamlets experience frailty and mobility issues. Functional decline is caused by low strength, malnutrition, chronic disease, and lack of access to safe outdoor areas. Falls are known to result in fractures, hospitalization, and lack of confidence. Poor housing, such </w:t>
      </w:r>
      <w:r w:rsidRPr="000B72B8">
        <w:lastRenderedPageBreak/>
        <w:t xml:space="preserve">as uneven floors, cramped rooms, are also a risk factor. People can be prevented because of limited access to exercise </w:t>
      </w:r>
      <w:proofErr w:type="spellStart"/>
      <w:r w:rsidRPr="000B72B8">
        <w:t>programmes</w:t>
      </w:r>
      <w:proofErr w:type="spellEnd"/>
      <w:r w:rsidRPr="000B72B8">
        <w:t xml:space="preserve"> and distinct financial constraints. Subsequently, weakness diminishes autonomy and burdens the</w:t>
      </w:r>
      <w:r>
        <w:t xml:space="preserve"> health and social care sectors </w:t>
      </w:r>
      <w:r w:rsidR="007C5875" w:rsidRPr="007C5875">
        <w:rPr>
          <w:rFonts w:eastAsia="Times New Roman" w:cs="Times New Roman"/>
          <w:szCs w:val="24"/>
        </w:rPr>
        <w:t>(Tang et al., 2022)</w:t>
      </w:r>
      <w:r w:rsidR="007C5875">
        <w:rPr>
          <w:rFonts w:eastAsia="Times New Roman" w:cs="Times New Roman"/>
          <w:szCs w:val="24"/>
        </w:rPr>
        <w:t>.</w:t>
      </w:r>
    </w:p>
    <w:p w14:paraId="3230E9F1" w14:textId="77777777" w:rsidR="007C5875" w:rsidRDefault="007C5875" w:rsidP="007C5875">
      <w:pPr>
        <w:jc w:val="center"/>
        <w:rPr>
          <w:rFonts w:eastAsia="Times New Roman" w:cs="Times New Roman"/>
          <w:szCs w:val="24"/>
        </w:rPr>
      </w:pPr>
      <w:r>
        <w:rPr>
          <w:rFonts w:eastAsia="Times New Roman" w:cs="Times New Roman"/>
          <w:noProof/>
          <w:szCs w:val="24"/>
        </w:rPr>
        <w:drawing>
          <wp:inline distT="0" distB="0" distL="0" distR="0" wp14:anchorId="48C6D9C8" wp14:editId="0F9DA720">
            <wp:extent cx="5943600" cy="3902268"/>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3902268"/>
                    </a:xfrm>
                    <a:prstGeom prst="rect">
                      <a:avLst/>
                    </a:prstGeom>
                    <a:noFill/>
                    <a:ln w="9525">
                      <a:noFill/>
                      <a:miter lim="800000"/>
                      <a:headEnd/>
                      <a:tailEnd/>
                    </a:ln>
                  </pic:spPr>
                </pic:pic>
              </a:graphicData>
            </a:graphic>
          </wp:inline>
        </w:drawing>
      </w:r>
    </w:p>
    <w:p w14:paraId="198B90A1" w14:textId="77777777" w:rsidR="007C5875" w:rsidRPr="007C5875" w:rsidRDefault="007C5875" w:rsidP="007C5875">
      <w:pPr>
        <w:spacing w:after="0" w:line="240" w:lineRule="auto"/>
        <w:jc w:val="center"/>
        <w:rPr>
          <w:rFonts w:eastAsia="Times New Roman" w:cs="Times New Roman"/>
          <w:b/>
          <w:szCs w:val="24"/>
        </w:rPr>
      </w:pPr>
      <w:r w:rsidRPr="007C5875">
        <w:rPr>
          <w:rFonts w:eastAsia="Times New Roman" w:cs="Times New Roman"/>
          <w:b/>
          <w:szCs w:val="24"/>
        </w:rPr>
        <w:t>Figure: 1 (Faculty of Public Health, 2017)</w:t>
      </w:r>
    </w:p>
    <w:p w14:paraId="1A382E4F" w14:textId="77777777" w:rsidR="006B5D36" w:rsidRPr="006B5D36" w:rsidRDefault="006B5D36" w:rsidP="006B5D36">
      <w:pPr>
        <w:pStyle w:val="Heading2"/>
      </w:pPr>
      <w:bookmarkStart w:id="3" w:name="_Toc215933331"/>
      <w:r>
        <w:t>3.</w:t>
      </w:r>
      <w:r w:rsidRPr="006B5D36">
        <w:t xml:space="preserve"> Social Determinants Shaping Age-Based Inequalities</w:t>
      </w:r>
      <w:bookmarkEnd w:id="3"/>
    </w:p>
    <w:p w14:paraId="78553A8D" w14:textId="77777777" w:rsidR="006B5D36" w:rsidRPr="006B5D36" w:rsidRDefault="006B5D36" w:rsidP="006B5D36">
      <w:pPr>
        <w:rPr>
          <w:b/>
          <w:bCs/>
        </w:rPr>
      </w:pPr>
      <w:r w:rsidRPr="006B5D36">
        <w:rPr>
          <w:b/>
          <w:bCs/>
        </w:rPr>
        <w:t>3.1 Income Insecurity and Financial Strain</w:t>
      </w:r>
    </w:p>
    <w:p w14:paraId="78B439B7" w14:textId="77777777" w:rsidR="006B5D36" w:rsidRPr="007C5875" w:rsidRDefault="000B72B8" w:rsidP="006B5D36">
      <w:pPr>
        <w:rPr>
          <w:rFonts w:eastAsia="Times New Roman" w:cs="Times New Roman"/>
          <w:szCs w:val="24"/>
        </w:rPr>
      </w:pPr>
      <w:r w:rsidRPr="000B72B8">
        <w:t xml:space="preserve">There are several older adults in the borough who live on small pensions or benefits having worked several years in low paid or unsecure jobs. Problems with money prevent them to eat and live healthy, to keep their houses warm and to attend social events and as well as to get transport to the medical offers. They may not be able to have a secure home or afford drugs. The suffering is more so in the case of older women and individuals of ethnic minority groups since they lack gaps in </w:t>
      </w:r>
      <w:r w:rsidRPr="000B72B8">
        <w:lastRenderedPageBreak/>
        <w:t>their work history and have less pension rights. The continuous financial concerns are stressful, negatively affect mental health, and influence individuals to depend on the serv</w:t>
      </w:r>
      <w:r>
        <w:t xml:space="preserve">ices provided by the state more </w:t>
      </w:r>
      <w:r w:rsidR="007C5875">
        <w:rPr>
          <w:rFonts w:eastAsia="Times New Roman" w:cs="Times New Roman"/>
          <w:szCs w:val="24"/>
        </w:rPr>
        <w:t>(</w:t>
      </w:r>
      <w:proofErr w:type="spellStart"/>
      <w:r w:rsidR="007C5875">
        <w:rPr>
          <w:rFonts w:eastAsia="Times New Roman" w:cs="Times New Roman"/>
          <w:szCs w:val="24"/>
        </w:rPr>
        <w:t>Bucelli</w:t>
      </w:r>
      <w:proofErr w:type="spellEnd"/>
      <w:r w:rsidR="007C5875">
        <w:rPr>
          <w:rFonts w:eastAsia="Times New Roman" w:cs="Times New Roman"/>
          <w:szCs w:val="24"/>
        </w:rPr>
        <w:t xml:space="preserve"> and Henderson, 2025).</w:t>
      </w:r>
    </w:p>
    <w:p w14:paraId="3517237B" w14:textId="77777777" w:rsidR="006B5D36" w:rsidRPr="006B5D36" w:rsidRDefault="006B5D36" w:rsidP="006B5D36">
      <w:pPr>
        <w:rPr>
          <w:b/>
          <w:bCs/>
        </w:rPr>
      </w:pPr>
      <w:r w:rsidRPr="006B5D36">
        <w:rPr>
          <w:b/>
          <w:bCs/>
        </w:rPr>
        <w:t>3.2 Social Isolation and Reduced Community Participation</w:t>
      </w:r>
    </w:p>
    <w:p w14:paraId="53B90537" w14:textId="77777777" w:rsidR="006B5D36" w:rsidRPr="007C5875" w:rsidRDefault="000B72B8" w:rsidP="006B5D36">
      <w:pPr>
        <w:rPr>
          <w:rFonts w:eastAsia="Times New Roman" w:cs="Times New Roman"/>
          <w:szCs w:val="24"/>
        </w:rPr>
      </w:pPr>
      <w:r w:rsidRPr="000B72B8">
        <w:t xml:space="preserve">Social isolation is a common phenomenon among many individuals particularly when they are living on their own, widowed, or have relatives far out. Problems making it difficult to move, language barriers, and cultural regulations may prevent people to attend community activities. Loneliness can result in depression, memory loss, poor health of the body and people can take excessive time to seek help. A lower level of involvement makes people feel weaker and less willing to work </w:t>
      </w:r>
      <w:r>
        <w:t xml:space="preserve">out; accelerating health issues </w:t>
      </w:r>
      <w:r w:rsidR="007C5875">
        <w:rPr>
          <w:rFonts w:eastAsia="Times New Roman" w:cs="Times New Roman"/>
          <w:szCs w:val="24"/>
        </w:rPr>
        <w:t>(</w:t>
      </w:r>
      <w:proofErr w:type="spellStart"/>
      <w:r w:rsidR="007C5875">
        <w:rPr>
          <w:rFonts w:eastAsia="Times New Roman" w:cs="Times New Roman"/>
          <w:szCs w:val="24"/>
        </w:rPr>
        <w:t>Biosca</w:t>
      </w:r>
      <w:proofErr w:type="spellEnd"/>
      <w:r w:rsidR="007C5875">
        <w:rPr>
          <w:rFonts w:eastAsia="Times New Roman" w:cs="Times New Roman"/>
          <w:szCs w:val="24"/>
        </w:rPr>
        <w:t xml:space="preserve"> et al., 2024).</w:t>
      </w:r>
    </w:p>
    <w:p w14:paraId="7C09FF85" w14:textId="77777777" w:rsidR="006B5D36" w:rsidRPr="006B5D36" w:rsidRDefault="006B5D36" w:rsidP="006B5D36">
      <w:pPr>
        <w:rPr>
          <w:b/>
          <w:bCs/>
        </w:rPr>
      </w:pPr>
      <w:r w:rsidRPr="006B5D36">
        <w:rPr>
          <w:b/>
          <w:bCs/>
        </w:rPr>
        <w:t>3.3 Barriers to Accessing Age-Appropriate Health and Social Care</w:t>
      </w:r>
    </w:p>
    <w:p w14:paraId="269C8AC7" w14:textId="77777777" w:rsidR="006B5D36" w:rsidRPr="007C5875" w:rsidRDefault="000B72B8" w:rsidP="006B5D36">
      <w:pPr>
        <w:rPr>
          <w:rFonts w:eastAsia="Times New Roman" w:cs="Times New Roman"/>
          <w:szCs w:val="24"/>
        </w:rPr>
      </w:pPr>
      <w:r w:rsidRPr="000B72B8">
        <w:t>Elderly people have long queues, complex schedules, and an increasing inclination to go online with their services which many cannot access. The lack of cultural awareness in the services and language barriers can demoralize the people to engage. The issues with mobility complicate attending clinics or groups. The fear of being left alone or turned into a liability is also one of those reasons that can prevent people to seek help. The barriers result in late diagnosis, insufficient management of chronic diseas</w:t>
      </w:r>
      <w:r>
        <w:t xml:space="preserve">es, and avoidable deterioration </w:t>
      </w:r>
      <w:r w:rsidR="007C5875" w:rsidRPr="007C5875">
        <w:rPr>
          <w:rFonts w:eastAsia="Times New Roman" w:cs="Times New Roman"/>
          <w:szCs w:val="24"/>
        </w:rPr>
        <w:t>(Money et al., 2023)</w:t>
      </w:r>
      <w:r w:rsidR="007C5875">
        <w:rPr>
          <w:rFonts w:eastAsia="Times New Roman" w:cs="Times New Roman"/>
          <w:szCs w:val="24"/>
        </w:rPr>
        <w:t>.</w:t>
      </w:r>
    </w:p>
    <w:p w14:paraId="5E84B8B3" w14:textId="77777777" w:rsidR="006B5D36" w:rsidRPr="006B5D36" w:rsidRDefault="006B5D36" w:rsidP="006B5D36">
      <w:pPr>
        <w:pStyle w:val="Heading2"/>
      </w:pPr>
      <w:bookmarkStart w:id="4" w:name="_Toc215933332"/>
      <w:r>
        <w:t>4.</w:t>
      </w:r>
      <w:r w:rsidRPr="006B5D36">
        <w:t xml:space="preserve"> National and Local Policy Responses</w:t>
      </w:r>
      <w:bookmarkEnd w:id="4"/>
    </w:p>
    <w:p w14:paraId="24AEA503" w14:textId="77777777" w:rsidR="006B5D36" w:rsidRPr="006B5D36" w:rsidRDefault="006B5D36" w:rsidP="006B5D36">
      <w:pPr>
        <w:rPr>
          <w:b/>
          <w:bCs/>
        </w:rPr>
      </w:pPr>
      <w:r w:rsidRPr="006B5D36">
        <w:rPr>
          <w:b/>
          <w:bCs/>
        </w:rPr>
        <w:t>4.1 NHS Long Term Plan and Ageing Better Framework</w:t>
      </w:r>
    </w:p>
    <w:p w14:paraId="5AFD32D7" w14:textId="77777777" w:rsidR="006B5D36" w:rsidRPr="00EB32DA" w:rsidRDefault="00EB32DA" w:rsidP="00EB32DA">
      <w:r>
        <w:t xml:space="preserve">The NHS Long Term Plan is promoting the early detection of frailty, community care collaboration, and provide more assistance to dementia. It is centered on preventing issues, frailty checking at every regular check-in, and empowering primary care teams. The Ageing Better </w:t>
      </w:r>
      <w:r>
        <w:lastRenderedPageBreak/>
        <w:t xml:space="preserve">Framework also enables individuals to become active and reduce loneliness as they age. It allows the aged to spend longer at home </w:t>
      </w:r>
      <w:r w:rsidR="007C5875" w:rsidRPr="007C5875">
        <w:rPr>
          <w:rFonts w:eastAsia="Times New Roman" w:cs="Times New Roman"/>
          <w:szCs w:val="24"/>
        </w:rPr>
        <w:t>(Khan, Randhawa and Hewson, 2023)</w:t>
      </w:r>
      <w:r w:rsidR="007C5875">
        <w:rPr>
          <w:rFonts w:eastAsia="Times New Roman" w:cs="Times New Roman"/>
          <w:szCs w:val="24"/>
        </w:rPr>
        <w:t>.</w:t>
      </w:r>
    </w:p>
    <w:p w14:paraId="3E943846" w14:textId="77777777" w:rsidR="007C5875" w:rsidRDefault="007C5875" w:rsidP="007C5875">
      <w:pPr>
        <w:jc w:val="center"/>
        <w:rPr>
          <w:rFonts w:eastAsia="Times New Roman" w:cs="Times New Roman"/>
          <w:szCs w:val="24"/>
        </w:rPr>
      </w:pPr>
      <w:r>
        <w:rPr>
          <w:rFonts w:eastAsia="Times New Roman" w:cs="Times New Roman"/>
          <w:noProof/>
          <w:szCs w:val="24"/>
        </w:rPr>
        <w:drawing>
          <wp:inline distT="0" distB="0" distL="0" distR="0" wp14:anchorId="2E212575" wp14:editId="48A6C123">
            <wp:extent cx="5705475" cy="3933825"/>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705475" cy="3933825"/>
                    </a:xfrm>
                    <a:prstGeom prst="rect">
                      <a:avLst/>
                    </a:prstGeom>
                    <a:noFill/>
                    <a:ln w="9525">
                      <a:noFill/>
                      <a:miter lim="800000"/>
                      <a:headEnd/>
                      <a:tailEnd/>
                    </a:ln>
                  </pic:spPr>
                </pic:pic>
              </a:graphicData>
            </a:graphic>
          </wp:inline>
        </w:drawing>
      </w:r>
    </w:p>
    <w:p w14:paraId="573FAAEC" w14:textId="77777777" w:rsidR="007C5875" w:rsidRPr="007C5875" w:rsidRDefault="007C5875" w:rsidP="007C5875">
      <w:pPr>
        <w:spacing w:after="0" w:line="240" w:lineRule="auto"/>
        <w:jc w:val="center"/>
        <w:rPr>
          <w:rFonts w:eastAsia="Times New Roman" w:cs="Times New Roman"/>
          <w:b/>
          <w:szCs w:val="24"/>
        </w:rPr>
      </w:pPr>
      <w:r w:rsidRPr="007C5875">
        <w:rPr>
          <w:rFonts w:eastAsia="Times New Roman" w:cs="Times New Roman"/>
          <w:b/>
          <w:szCs w:val="24"/>
        </w:rPr>
        <w:t>Figure: 2(Ham and Murray, 2018)</w:t>
      </w:r>
    </w:p>
    <w:p w14:paraId="408D033D" w14:textId="77777777" w:rsidR="007C5875" w:rsidRPr="007C5875" w:rsidRDefault="007C5875" w:rsidP="006B5D36">
      <w:pPr>
        <w:rPr>
          <w:rFonts w:eastAsia="Times New Roman" w:cs="Times New Roman"/>
          <w:szCs w:val="24"/>
        </w:rPr>
      </w:pPr>
    </w:p>
    <w:p w14:paraId="7CC21D63" w14:textId="77777777" w:rsidR="006B5D36" w:rsidRPr="006B5D36" w:rsidRDefault="006B5D36" w:rsidP="006B5D36">
      <w:pPr>
        <w:rPr>
          <w:b/>
          <w:bCs/>
        </w:rPr>
      </w:pPr>
      <w:r w:rsidRPr="006B5D36">
        <w:rPr>
          <w:b/>
          <w:bCs/>
        </w:rPr>
        <w:t>4.2 UKHSA and Local Active Ageing Initiatives</w:t>
      </w:r>
    </w:p>
    <w:p w14:paraId="3DEE6430" w14:textId="77777777" w:rsidR="006B5D36" w:rsidRDefault="00EB32DA" w:rsidP="006B5D36">
      <w:pPr>
        <w:rPr>
          <w:rFonts w:eastAsia="Times New Roman" w:cs="Times New Roman"/>
          <w:szCs w:val="24"/>
        </w:rPr>
      </w:pPr>
      <w:r w:rsidRPr="00EB32DA">
        <w:t>UKHSA and local authorities promote physical activity among older adults, prevent falls, and health checks in older adults. Tower Hamlets Council promotes physical activity classes, activities to help individuals make friends and special outreach to vulnerable residents. This is done to reduce weaknesses linked to old age and assist individuals to age h</w:t>
      </w:r>
      <w:r>
        <w:t xml:space="preserve">ealthily in diverse communities </w:t>
      </w:r>
      <w:r w:rsidR="007C5875">
        <w:rPr>
          <w:rFonts w:eastAsia="Times New Roman" w:cs="Times New Roman"/>
          <w:szCs w:val="24"/>
        </w:rPr>
        <w:t>(Elliott et al., 2022).</w:t>
      </w:r>
    </w:p>
    <w:p w14:paraId="7D865DA0" w14:textId="77777777" w:rsidR="007C5875" w:rsidRDefault="007C5875" w:rsidP="007C5875">
      <w:pPr>
        <w:jc w:val="center"/>
        <w:rPr>
          <w:rFonts w:eastAsia="Times New Roman" w:cs="Times New Roman"/>
          <w:szCs w:val="24"/>
        </w:rPr>
      </w:pPr>
      <w:r>
        <w:rPr>
          <w:rFonts w:eastAsia="Times New Roman" w:cs="Times New Roman"/>
          <w:noProof/>
          <w:szCs w:val="24"/>
        </w:rPr>
        <w:lastRenderedPageBreak/>
        <w:drawing>
          <wp:inline distT="0" distB="0" distL="0" distR="0" wp14:anchorId="404C2811" wp14:editId="44A9F189">
            <wp:extent cx="4838700" cy="396240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4838700" cy="3962400"/>
                    </a:xfrm>
                    <a:prstGeom prst="rect">
                      <a:avLst/>
                    </a:prstGeom>
                    <a:noFill/>
                    <a:ln w="9525">
                      <a:noFill/>
                      <a:miter lim="800000"/>
                      <a:headEnd/>
                      <a:tailEnd/>
                    </a:ln>
                  </pic:spPr>
                </pic:pic>
              </a:graphicData>
            </a:graphic>
          </wp:inline>
        </w:drawing>
      </w:r>
    </w:p>
    <w:p w14:paraId="26C2BB50" w14:textId="77777777" w:rsidR="007C5875" w:rsidRPr="007C5875" w:rsidRDefault="007C5875" w:rsidP="007C5875">
      <w:pPr>
        <w:spacing w:after="0" w:line="240" w:lineRule="auto"/>
        <w:jc w:val="center"/>
        <w:rPr>
          <w:rFonts w:eastAsia="Times New Roman" w:cs="Times New Roman"/>
          <w:b/>
          <w:szCs w:val="24"/>
        </w:rPr>
      </w:pPr>
      <w:r w:rsidRPr="007C5875">
        <w:rPr>
          <w:rFonts w:eastAsia="Times New Roman" w:cs="Times New Roman"/>
          <w:b/>
          <w:szCs w:val="24"/>
        </w:rPr>
        <w:t>Figure: 3 (</w:t>
      </w:r>
      <w:proofErr w:type="spellStart"/>
      <w:r w:rsidRPr="007C5875">
        <w:rPr>
          <w:rFonts w:eastAsia="Times New Roman" w:cs="Times New Roman"/>
          <w:b/>
          <w:szCs w:val="24"/>
        </w:rPr>
        <w:t>Naah</w:t>
      </w:r>
      <w:proofErr w:type="spellEnd"/>
      <w:r w:rsidRPr="007C5875">
        <w:rPr>
          <w:rFonts w:eastAsia="Times New Roman" w:cs="Times New Roman"/>
          <w:b/>
          <w:szCs w:val="24"/>
        </w:rPr>
        <w:t xml:space="preserve">, </w:t>
      </w:r>
      <w:proofErr w:type="spellStart"/>
      <w:r w:rsidRPr="007C5875">
        <w:rPr>
          <w:rFonts w:eastAsia="Times New Roman" w:cs="Times New Roman"/>
          <w:b/>
          <w:szCs w:val="24"/>
        </w:rPr>
        <w:t>Njong</w:t>
      </w:r>
      <w:proofErr w:type="spellEnd"/>
      <w:r w:rsidRPr="007C5875">
        <w:rPr>
          <w:rFonts w:eastAsia="Times New Roman" w:cs="Times New Roman"/>
          <w:b/>
          <w:szCs w:val="24"/>
        </w:rPr>
        <w:t xml:space="preserve"> and </w:t>
      </w:r>
      <w:proofErr w:type="spellStart"/>
      <w:r w:rsidRPr="007C5875">
        <w:rPr>
          <w:rFonts w:eastAsia="Times New Roman" w:cs="Times New Roman"/>
          <w:b/>
          <w:szCs w:val="24"/>
        </w:rPr>
        <w:t>Kimengsi</w:t>
      </w:r>
      <w:proofErr w:type="spellEnd"/>
      <w:r w:rsidRPr="007C5875">
        <w:rPr>
          <w:rFonts w:eastAsia="Times New Roman" w:cs="Times New Roman"/>
          <w:b/>
          <w:szCs w:val="24"/>
        </w:rPr>
        <w:t>, 2020)</w:t>
      </w:r>
    </w:p>
    <w:p w14:paraId="1798AD07" w14:textId="77777777" w:rsidR="006B5D36" w:rsidRPr="006B5D36" w:rsidRDefault="006B5D36" w:rsidP="006B5D36">
      <w:pPr>
        <w:pStyle w:val="Heading2"/>
      </w:pPr>
      <w:bookmarkStart w:id="5" w:name="_Toc215933333"/>
      <w:r>
        <w:t>5.</w:t>
      </w:r>
      <w:r w:rsidRPr="006B5D36">
        <w:t xml:space="preserve"> Voluntary Sector Support</w:t>
      </w:r>
      <w:bookmarkEnd w:id="5"/>
    </w:p>
    <w:p w14:paraId="5732AB86" w14:textId="77777777" w:rsidR="006B5D36" w:rsidRPr="006B5D36" w:rsidRDefault="006B5D36" w:rsidP="006B5D36">
      <w:pPr>
        <w:rPr>
          <w:b/>
          <w:bCs/>
        </w:rPr>
      </w:pPr>
      <w:r w:rsidRPr="006B5D36">
        <w:rPr>
          <w:b/>
          <w:bCs/>
        </w:rPr>
        <w:t>5.1 Role of Age UK and Independent Age</w:t>
      </w:r>
    </w:p>
    <w:p w14:paraId="4DEB268B" w14:textId="77777777" w:rsidR="006B5D36" w:rsidRPr="007C5875" w:rsidRDefault="00EB32DA" w:rsidP="006B5D36">
      <w:pPr>
        <w:rPr>
          <w:rFonts w:eastAsia="Times New Roman" w:cs="Times New Roman"/>
          <w:szCs w:val="24"/>
        </w:rPr>
      </w:pPr>
      <w:r w:rsidRPr="00EB32DA">
        <w:t>Age UK and Independent Age provide advice on benefits, provide friendship, exercise classes, and health and social care. Their community services contribute to being less lonely, gaining confidence, and assisting individuals living alone. They tend to access the older population who are unwilling or unabl</w:t>
      </w:r>
      <w:r>
        <w:t xml:space="preserve">e to access government services </w:t>
      </w:r>
      <w:r w:rsidR="007C5875" w:rsidRPr="007C5875">
        <w:rPr>
          <w:rFonts w:eastAsia="Times New Roman" w:cs="Times New Roman"/>
          <w:szCs w:val="24"/>
        </w:rPr>
        <w:t>(</w:t>
      </w:r>
      <w:proofErr w:type="spellStart"/>
      <w:r w:rsidR="007C5875" w:rsidRPr="007C5875">
        <w:rPr>
          <w:rFonts w:eastAsia="Times New Roman" w:cs="Times New Roman"/>
          <w:szCs w:val="24"/>
        </w:rPr>
        <w:t>Giebel</w:t>
      </w:r>
      <w:proofErr w:type="spellEnd"/>
      <w:r w:rsidR="007C5875" w:rsidRPr="007C5875">
        <w:rPr>
          <w:rFonts w:eastAsia="Times New Roman" w:cs="Times New Roman"/>
          <w:szCs w:val="24"/>
        </w:rPr>
        <w:t xml:space="preserve"> et al., 2020)</w:t>
      </w:r>
      <w:r w:rsidR="007C5875">
        <w:rPr>
          <w:rFonts w:eastAsia="Times New Roman" w:cs="Times New Roman"/>
          <w:szCs w:val="24"/>
        </w:rPr>
        <w:t>.</w:t>
      </w:r>
    </w:p>
    <w:p w14:paraId="51328DCB" w14:textId="77777777" w:rsidR="006B5D36" w:rsidRPr="006B5D36" w:rsidRDefault="006B5D36" w:rsidP="006B5D36">
      <w:pPr>
        <w:rPr>
          <w:b/>
          <w:bCs/>
        </w:rPr>
      </w:pPr>
      <w:r w:rsidRPr="006B5D36">
        <w:rPr>
          <w:b/>
          <w:bCs/>
        </w:rPr>
        <w:t>5.2 Advocacy and Health Equity</w:t>
      </w:r>
    </w:p>
    <w:p w14:paraId="1B7682C9" w14:textId="77777777" w:rsidR="006B5D36" w:rsidRPr="006B5D36" w:rsidRDefault="00EB32DA" w:rsidP="00EB32DA">
      <w:r>
        <w:t xml:space="preserve">The issues raised by these </w:t>
      </w:r>
      <w:proofErr w:type="spellStart"/>
      <w:r>
        <w:t>organisations</w:t>
      </w:r>
      <w:proofErr w:type="spellEnd"/>
      <w:r>
        <w:t xml:space="preserve"> include poor housing, absence of internet access, and absence of social care services, and they affect local and national regulations. In reaching out and </w:t>
      </w:r>
      <w:r>
        <w:lastRenderedPageBreak/>
        <w:t>collaborating with others, they can provide help, respecting culture, reduce barriers, and help individuals centered care on the needs of older adults</w:t>
      </w:r>
      <w:r w:rsidR="006B5D36" w:rsidRPr="006B5D36">
        <w:t>.</w:t>
      </w:r>
    </w:p>
    <w:p w14:paraId="2C840AEC" w14:textId="77777777" w:rsidR="006B5D36" w:rsidRPr="006B5D36" w:rsidRDefault="006B5D36" w:rsidP="006B5D36">
      <w:pPr>
        <w:pStyle w:val="Heading2"/>
      </w:pPr>
      <w:bookmarkStart w:id="6" w:name="_Toc215933334"/>
      <w:r>
        <w:t>6.</w:t>
      </w:r>
      <w:r w:rsidRPr="006B5D36">
        <w:t xml:space="preserve"> Conclusion</w:t>
      </w:r>
      <w:bookmarkEnd w:id="6"/>
    </w:p>
    <w:p w14:paraId="60A3D886" w14:textId="77777777" w:rsidR="006B5D36" w:rsidRPr="007C5875" w:rsidRDefault="00EB32DA" w:rsidP="007C5875">
      <w:pPr>
        <w:rPr>
          <w:rFonts w:eastAsia="Times New Roman" w:cs="Times New Roman"/>
          <w:szCs w:val="24"/>
        </w:rPr>
      </w:pPr>
      <w:r w:rsidRPr="00EB32DA">
        <w:t xml:space="preserve">These are the issues that old age in Tower Hamlets encounters; long-term illness, memory, weakness, lack of finances, and solitude. These issues render the health disparities huge. The gaps are further widened by things in the society and the manner in which services are established. The national and local plans provide regulations on prevention and assistance of people, and charities make attempts to address the unmet needs and demand the change. However, to make things better </w:t>
      </w:r>
      <w:r w:rsidR="001B249E">
        <w:t>they</w:t>
      </w:r>
      <w:r w:rsidRPr="00EB32DA">
        <w:t xml:space="preserve"> still require stable money, enhanced teamwork and methods that wou</w:t>
      </w:r>
      <w:r w:rsidR="00887651">
        <w:t xml:space="preserve">ld suit the cultures of people </w:t>
      </w:r>
      <w:r w:rsidR="007C5875" w:rsidRPr="007C5875">
        <w:rPr>
          <w:rFonts w:eastAsia="Times New Roman" w:cs="Times New Roman"/>
          <w:szCs w:val="24"/>
        </w:rPr>
        <w:t>(</w:t>
      </w:r>
      <w:proofErr w:type="spellStart"/>
      <w:r w:rsidR="007C5875" w:rsidRPr="007C5875">
        <w:rPr>
          <w:rFonts w:eastAsia="Times New Roman" w:cs="Times New Roman"/>
          <w:szCs w:val="24"/>
        </w:rPr>
        <w:t>Chitalu</w:t>
      </w:r>
      <w:proofErr w:type="spellEnd"/>
      <w:r w:rsidR="007C5875" w:rsidRPr="007C5875">
        <w:rPr>
          <w:rFonts w:eastAsia="Times New Roman" w:cs="Times New Roman"/>
          <w:szCs w:val="24"/>
        </w:rPr>
        <w:t xml:space="preserve">, </w:t>
      </w:r>
      <w:proofErr w:type="spellStart"/>
      <w:r w:rsidR="007C5875" w:rsidRPr="007C5875">
        <w:rPr>
          <w:rFonts w:eastAsia="Times New Roman" w:cs="Times New Roman"/>
          <w:szCs w:val="24"/>
        </w:rPr>
        <w:t>Petronella</w:t>
      </w:r>
      <w:proofErr w:type="spellEnd"/>
      <w:r w:rsidR="007C5875" w:rsidRPr="007C5875">
        <w:rPr>
          <w:rFonts w:eastAsia="Times New Roman" w:cs="Times New Roman"/>
          <w:szCs w:val="24"/>
        </w:rPr>
        <w:t xml:space="preserve"> Natasha, 2024)</w:t>
      </w:r>
      <w:r w:rsidR="007C5875">
        <w:rPr>
          <w:rFonts w:eastAsia="Times New Roman" w:cs="Times New Roman"/>
          <w:szCs w:val="24"/>
        </w:rPr>
        <w:t>.</w:t>
      </w:r>
    </w:p>
    <w:p w14:paraId="08B66FE3" w14:textId="77777777" w:rsidR="006B5D36" w:rsidRPr="006B5D36" w:rsidRDefault="006B5D36" w:rsidP="006B5D36">
      <w:pPr>
        <w:pStyle w:val="Heading1"/>
      </w:pPr>
      <w:bookmarkStart w:id="7" w:name="_Toc215933335"/>
      <w:r w:rsidRPr="006B5D36">
        <w:t>TASK 2 — EPIDEMIOLOGICAL ANALYSIS</w:t>
      </w:r>
      <w:bookmarkEnd w:id="7"/>
    </w:p>
    <w:p w14:paraId="59EF1DD2" w14:textId="77777777" w:rsidR="006B5D36" w:rsidRPr="006B5D36" w:rsidRDefault="006B5D36" w:rsidP="006B5D36">
      <w:pPr>
        <w:pStyle w:val="Heading2"/>
      </w:pPr>
      <w:bookmarkStart w:id="8" w:name="_Toc215933336"/>
      <w:r>
        <w:t xml:space="preserve">7. </w:t>
      </w:r>
      <w:r w:rsidRPr="006B5D36">
        <w:t>Introduction</w:t>
      </w:r>
      <w:bookmarkEnd w:id="8"/>
    </w:p>
    <w:p w14:paraId="4557F0A2" w14:textId="77777777" w:rsidR="006B5D36" w:rsidRPr="00EB32DA" w:rsidRDefault="00EB32DA" w:rsidP="00EB32DA">
      <w:r>
        <w:t xml:space="preserve">Frailty is a condition that implies that an aged individual possesses less strong muscles, reduced energy, and reduced capacity in managing illness. It increases their chances of becoming ill, injured, or incapacitated. Long-term illness, inadequate diet, lack of physical activity and social deprivation are associated with frailty. Functional decline refers to the inability of a person to perform some daily activities such as walking, dressing, shopping groceries, or taking care of themselves. Frailty normally accompanies functional decline. Frailty is perceived as a significant health issue in the world and in </w:t>
      </w:r>
      <w:r w:rsidR="001B249E">
        <w:t>the</w:t>
      </w:r>
      <w:r>
        <w:t xml:space="preserve"> country since it leads to more hospitalizations, protracted stay, and long-term care. The UK has frailty that is more prevalent in the poor and in the elderly with numerous health issues. Tower Hamlets is a major example since it is highly poverty stricken, long term illness stricken and socially isolated. Numerous elders in the community there are also </w:t>
      </w:r>
      <w:r>
        <w:lastRenderedPageBreak/>
        <w:t>struggling with language differences, congested households and cultural disdain of sickness and assistance</w:t>
      </w:r>
      <w:r w:rsidR="00887651">
        <w:t xml:space="preserve"> </w:t>
      </w:r>
      <w:r w:rsidR="007C5875" w:rsidRPr="007C5875">
        <w:rPr>
          <w:rFonts w:eastAsia="Times New Roman" w:cs="Times New Roman"/>
          <w:szCs w:val="24"/>
        </w:rPr>
        <w:t>(</w:t>
      </w:r>
      <w:proofErr w:type="spellStart"/>
      <w:r w:rsidR="007C5875" w:rsidRPr="007C5875">
        <w:rPr>
          <w:rFonts w:eastAsia="Times New Roman" w:cs="Times New Roman"/>
          <w:szCs w:val="24"/>
        </w:rPr>
        <w:t>Kwak</w:t>
      </w:r>
      <w:proofErr w:type="spellEnd"/>
      <w:r w:rsidR="007C5875" w:rsidRPr="007C5875">
        <w:rPr>
          <w:rFonts w:eastAsia="Times New Roman" w:cs="Times New Roman"/>
          <w:szCs w:val="24"/>
        </w:rPr>
        <w:t xml:space="preserve"> and Thompson, 2020)</w:t>
      </w:r>
      <w:r w:rsidR="007C5875">
        <w:rPr>
          <w:rFonts w:eastAsia="Times New Roman" w:cs="Times New Roman"/>
          <w:szCs w:val="24"/>
        </w:rPr>
        <w:t>.</w:t>
      </w:r>
    </w:p>
    <w:p w14:paraId="59B74D8B" w14:textId="77777777" w:rsidR="006B5D36" w:rsidRPr="006B5D36" w:rsidRDefault="006B5D36" w:rsidP="006B5D36">
      <w:pPr>
        <w:rPr>
          <w:b/>
          <w:bCs/>
        </w:rPr>
      </w:pPr>
      <w:r w:rsidRPr="006B5D36">
        <w:rPr>
          <w:b/>
          <w:bCs/>
        </w:rPr>
        <w:t>7.1 Overview of Frailty and Functional Decline</w:t>
      </w:r>
    </w:p>
    <w:p w14:paraId="6826AD67" w14:textId="77777777" w:rsidR="006B5D36" w:rsidRPr="007C5875" w:rsidRDefault="00EB32DA" w:rsidP="006B5D36">
      <w:pPr>
        <w:rPr>
          <w:rFonts w:eastAsia="Times New Roman" w:cs="Times New Roman"/>
          <w:szCs w:val="24"/>
        </w:rPr>
      </w:pPr>
      <w:r w:rsidRPr="00EB32DA">
        <w:t xml:space="preserve">Frailty refers to the fact that </w:t>
      </w:r>
      <w:r w:rsidR="001B249E">
        <w:t>they</w:t>
      </w:r>
      <w:r w:rsidRPr="00EB32DA">
        <w:t xml:space="preserve"> are made more susceptible and hence even minor stress can become significant health issues. It manifests itself in the form of problems with daily activities, the necessity to be supported by other people, and decreased mobility. Such problems become more difficult with the course of time and are complicated by chronic diseases, improper nutrition, loneliness, and lack of activity. At Tower Hamlets, the situation is accelerated by local conditions and social pressures to enhance frailty and promote the need of help and ser</w:t>
      </w:r>
      <w:r>
        <w:t>vices</w:t>
      </w:r>
      <w:r w:rsidR="007C5875">
        <w:t xml:space="preserve"> </w:t>
      </w:r>
      <w:r w:rsidR="007C5875" w:rsidRPr="007C5875">
        <w:rPr>
          <w:rFonts w:eastAsia="Times New Roman" w:cs="Times New Roman"/>
          <w:szCs w:val="24"/>
        </w:rPr>
        <w:t>(</w:t>
      </w:r>
      <w:proofErr w:type="spellStart"/>
      <w:r w:rsidR="007C5875" w:rsidRPr="007C5875">
        <w:rPr>
          <w:rFonts w:eastAsia="Times New Roman" w:cs="Times New Roman"/>
          <w:szCs w:val="24"/>
        </w:rPr>
        <w:t>Sciacchitano</w:t>
      </w:r>
      <w:proofErr w:type="spellEnd"/>
      <w:r w:rsidR="007C5875" w:rsidRPr="007C5875">
        <w:rPr>
          <w:rFonts w:eastAsia="Times New Roman" w:cs="Times New Roman"/>
          <w:szCs w:val="24"/>
        </w:rPr>
        <w:t xml:space="preserve"> et al., 2024)</w:t>
      </w:r>
      <w:r w:rsidR="007C5875">
        <w:rPr>
          <w:rFonts w:eastAsia="Times New Roman" w:cs="Times New Roman"/>
          <w:szCs w:val="24"/>
        </w:rPr>
        <w:t>.</w:t>
      </w:r>
    </w:p>
    <w:p w14:paraId="2ED73571" w14:textId="77777777" w:rsidR="006B5D36" w:rsidRPr="006B5D36" w:rsidRDefault="006B5D36" w:rsidP="006B5D36">
      <w:pPr>
        <w:rPr>
          <w:b/>
          <w:bCs/>
        </w:rPr>
      </w:pPr>
      <w:r w:rsidRPr="006B5D36">
        <w:rPr>
          <w:b/>
          <w:bCs/>
        </w:rPr>
        <w:t xml:space="preserve">7.2 </w:t>
      </w:r>
      <w:r w:rsidR="007C5875" w:rsidRPr="006B5D36">
        <w:rPr>
          <w:b/>
          <w:bCs/>
        </w:rPr>
        <w:t>Global, UK, and Local Burden of Frailty</w:t>
      </w:r>
    </w:p>
    <w:p w14:paraId="1129EE8B" w14:textId="77777777" w:rsidR="006B5D36" w:rsidRPr="00EB32DA" w:rsidRDefault="00EB32DA" w:rsidP="00EB32DA">
      <w:r>
        <w:t xml:space="preserve">Research in most countries demonstrates that approximately 10 percent of individuals who are 65 years and above and as many as 50 percent who are above 85 years are frail. The frailty is higher in the poor inner-city </w:t>
      </w:r>
      <w:proofErr w:type="spellStart"/>
      <w:r>
        <w:t>neighbourhoods</w:t>
      </w:r>
      <w:proofErr w:type="spellEnd"/>
      <w:r>
        <w:t xml:space="preserve"> in the UK. Frailty in Tower Hamlets is a significant issue as the long-term illness, disability, and falls are high. The data related to general practitioners indicate that moderate and severe frailty is increasing, particularly among the older population with numerous health issues and the individuals who reside a</w:t>
      </w:r>
      <w:r w:rsidR="00887651">
        <w:t xml:space="preserve">lone </w:t>
      </w:r>
      <w:r w:rsidR="007C5875" w:rsidRPr="007C5875">
        <w:rPr>
          <w:rFonts w:eastAsia="Times New Roman" w:cs="Times New Roman"/>
          <w:szCs w:val="24"/>
        </w:rPr>
        <w:t>(Gordon et al., 2025)</w:t>
      </w:r>
      <w:r w:rsidR="007C5875">
        <w:rPr>
          <w:rFonts w:eastAsia="Times New Roman" w:cs="Times New Roman"/>
          <w:szCs w:val="24"/>
        </w:rPr>
        <w:t>.</w:t>
      </w:r>
    </w:p>
    <w:p w14:paraId="10B110B5" w14:textId="77777777" w:rsidR="006B5D36" w:rsidRPr="006B5D36" w:rsidRDefault="006B5D36" w:rsidP="006B5D36">
      <w:pPr>
        <w:rPr>
          <w:b/>
          <w:bCs/>
        </w:rPr>
      </w:pPr>
      <w:r w:rsidRPr="006B5D36">
        <w:rPr>
          <w:b/>
          <w:bCs/>
        </w:rPr>
        <w:t>7.3 Social and Economic Implications for Older Adults</w:t>
      </w:r>
    </w:p>
    <w:p w14:paraId="73DAAACB" w14:textId="77777777" w:rsidR="006B5D36" w:rsidRPr="006B5D36" w:rsidRDefault="00EB32DA" w:rsidP="006B5D36">
      <w:r w:rsidRPr="00EB32DA">
        <w:t>Weakness results in worse living conditions and decreased independence. It further enhances the probability of sadness, anxiety or drifting away. Care giving families become stressed and have financial problems. Both formal and informal support is more demanded in communities.</w:t>
      </w:r>
    </w:p>
    <w:p w14:paraId="26D7330C" w14:textId="77777777" w:rsidR="006B5D36" w:rsidRPr="006B5D36" w:rsidRDefault="006B5D36" w:rsidP="006B5D36">
      <w:pPr>
        <w:rPr>
          <w:b/>
          <w:bCs/>
        </w:rPr>
      </w:pPr>
      <w:r w:rsidRPr="006B5D36">
        <w:rPr>
          <w:b/>
          <w:bCs/>
        </w:rPr>
        <w:lastRenderedPageBreak/>
        <w:t>7.4 Aim and Scope of the Assessment</w:t>
      </w:r>
    </w:p>
    <w:p w14:paraId="28CE0C3B" w14:textId="77777777" w:rsidR="006B5D36" w:rsidRPr="006B5D36" w:rsidRDefault="00EB32DA" w:rsidP="006B5D36">
      <w:r w:rsidRPr="00EB32DA">
        <w:t>This evaluation examines causes of frailty in older adults, consequences, surveillance measures and interventions of frailty among older adults in Tower Hamlets with the aim of informing local population health intervention</w:t>
      </w:r>
      <w:r w:rsidR="006B5D36" w:rsidRPr="006B5D36">
        <w:t>.</w:t>
      </w:r>
    </w:p>
    <w:p w14:paraId="03B8081B" w14:textId="77777777" w:rsidR="006B5D36" w:rsidRPr="006B5D36" w:rsidRDefault="006B5D36" w:rsidP="006B5D36">
      <w:pPr>
        <w:pStyle w:val="Heading2"/>
      </w:pPr>
      <w:bookmarkStart w:id="9" w:name="_Toc215933337"/>
      <w:r>
        <w:t>8.</w:t>
      </w:r>
      <w:r w:rsidRPr="006B5D36">
        <w:t xml:space="preserve"> Public Health Measures and Interventions</w:t>
      </w:r>
      <w:bookmarkEnd w:id="9"/>
    </w:p>
    <w:p w14:paraId="461BB106" w14:textId="77777777" w:rsidR="006B5D36" w:rsidRPr="006B5D36" w:rsidRDefault="006B5D36" w:rsidP="006B5D36">
      <w:pPr>
        <w:rPr>
          <w:b/>
          <w:bCs/>
        </w:rPr>
      </w:pPr>
      <w:r w:rsidRPr="006B5D36">
        <w:rPr>
          <w:b/>
          <w:bCs/>
        </w:rPr>
        <w:t>8.1 Primary Prevention</w:t>
      </w:r>
    </w:p>
    <w:p w14:paraId="2F631C61" w14:textId="77777777" w:rsidR="006B5D36" w:rsidRPr="00EB32DA" w:rsidRDefault="00EB32DA" w:rsidP="00EB32DA">
      <w:r>
        <w:t xml:space="preserve">Primary prevention is aimed at preventing or preventing frailty by maintaining people in the state of being strong, balanced and well fed. Balance classes, community exercise groups and walking schemes are the means to keep the older adults active and confident. Those who might be below the nutritional threshold are assisted by nutrition guidelines and meal provision. In Tower Hamlets, it is observed that a good number of the older population have issues to deal with in terms of money and environment and therefore, </w:t>
      </w:r>
      <w:proofErr w:type="spellStart"/>
      <w:r>
        <w:t>programmes</w:t>
      </w:r>
      <w:proofErr w:type="spellEnd"/>
      <w:r>
        <w:t xml:space="preserve"> that are conveniently located and are within their cultural setting are required </w:t>
      </w:r>
      <w:r w:rsidR="007C5875" w:rsidRPr="007C5875">
        <w:rPr>
          <w:rFonts w:eastAsia="Times New Roman" w:cs="Times New Roman"/>
          <w:szCs w:val="24"/>
        </w:rPr>
        <w:t xml:space="preserve">(Ni </w:t>
      </w:r>
      <w:proofErr w:type="spellStart"/>
      <w:r w:rsidR="007C5875" w:rsidRPr="007C5875">
        <w:rPr>
          <w:rFonts w:eastAsia="Times New Roman" w:cs="Times New Roman"/>
          <w:szCs w:val="24"/>
        </w:rPr>
        <w:t>Lochlainn</w:t>
      </w:r>
      <w:proofErr w:type="spellEnd"/>
      <w:r w:rsidR="007C5875" w:rsidRPr="007C5875">
        <w:rPr>
          <w:rFonts w:eastAsia="Times New Roman" w:cs="Times New Roman"/>
          <w:szCs w:val="24"/>
        </w:rPr>
        <w:t xml:space="preserve"> et al., 2021)</w:t>
      </w:r>
      <w:r w:rsidR="007C5875">
        <w:rPr>
          <w:rFonts w:eastAsia="Times New Roman" w:cs="Times New Roman"/>
          <w:szCs w:val="24"/>
        </w:rPr>
        <w:t>.</w:t>
      </w:r>
    </w:p>
    <w:p w14:paraId="08448FFB" w14:textId="77777777" w:rsidR="006B5D36" w:rsidRPr="006B5D36" w:rsidRDefault="006B5D36" w:rsidP="006B5D36">
      <w:pPr>
        <w:rPr>
          <w:b/>
          <w:bCs/>
        </w:rPr>
      </w:pPr>
      <w:r w:rsidRPr="006B5D36">
        <w:rPr>
          <w:b/>
          <w:bCs/>
        </w:rPr>
        <w:t>8.2 Secondary Prevention</w:t>
      </w:r>
    </w:p>
    <w:p w14:paraId="49544263" w14:textId="77777777" w:rsidR="006B5D36" w:rsidRPr="006B5D36" w:rsidRDefault="00EB32DA" w:rsidP="006B5D36">
      <w:r w:rsidRPr="00EB32DA">
        <w:t xml:space="preserve">Secondary prevention will seek weaknesses at an early stage in the offices of physicians, nursing homes, and within the community. Early signs of frailty can be identified by tools such as the electronic Frailty Index and the help initiated immediately. Treatment can include checking medicines, long-term illness care, checking falls and personal care plan. </w:t>
      </w:r>
    </w:p>
    <w:p w14:paraId="40839E44" w14:textId="77777777" w:rsidR="006B5D36" w:rsidRPr="006B5D36" w:rsidRDefault="006B5D36" w:rsidP="006B5D36">
      <w:pPr>
        <w:rPr>
          <w:b/>
          <w:bCs/>
        </w:rPr>
      </w:pPr>
      <w:r w:rsidRPr="006B5D36">
        <w:rPr>
          <w:b/>
          <w:bCs/>
        </w:rPr>
        <w:t>8.3 Tertiary Prevention</w:t>
      </w:r>
    </w:p>
    <w:p w14:paraId="145B696D" w14:textId="77777777" w:rsidR="006B5D36" w:rsidRPr="00EB32DA" w:rsidRDefault="00EB32DA" w:rsidP="00EB32DA">
      <w:r>
        <w:t xml:space="preserve">Tertiary prevention pays attention to individuals who are already weak. It tries to prevent the worsening of their health. Physiotherapy, occupational therapy, and </w:t>
      </w:r>
      <w:proofErr w:type="spellStart"/>
      <w:r>
        <w:t>reablement</w:t>
      </w:r>
      <w:proofErr w:type="spellEnd"/>
      <w:r>
        <w:t xml:space="preserve"> services assist </w:t>
      </w:r>
      <w:r>
        <w:lastRenderedPageBreak/>
        <w:t xml:space="preserve">older adults to regain their capacity following their fall ill or injuring themselves. Adaptations and helpful technology can also make homes safer to prevent falls and ensure that people can live safely at home. It has been demonstrated by the increased demand of these services in Tower Hamlets that </w:t>
      </w:r>
      <w:r w:rsidR="001B249E">
        <w:t>they</w:t>
      </w:r>
      <w:r>
        <w:t xml:space="preserve"> should find improved methods of integrating health and social care </w:t>
      </w:r>
      <w:r w:rsidR="007C5875" w:rsidRPr="007C5875">
        <w:rPr>
          <w:rFonts w:eastAsia="Times New Roman" w:cs="Times New Roman"/>
          <w:szCs w:val="24"/>
        </w:rPr>
        <w:t>(Brennan et al., 2024)</w:t>
      </w:r>
      <w:r w:rsidR="007C5875">
        <w:rPr>
          <w:rFonts w:eastAsia="Times New Roman" w:cs="Times New Roman"/>
          <w:szCs w:val="24"/>
        </w:rPr>
        <w:t>.</w:t>
      </w:r>
    </w:p>
    <w:p w14:paraId="11E84275" w14:textId="77777777" w:rsidR="006B5D36" w:rsidRPr="006B5D36" w:rsidRDefault="006B5D36" w:rsidP="006B5D36">
      <w:pPr>
        <w:pStyle w:val="Heading2"/>
      </w:pPr>
      <w:bookmarkStart w:id="10" w:name="_Toc215933338"/>
      <w:r>
        <w:t>9.</w:t>
      </w:r>
      <w:r w:rsidRPr="006B5D36">
        <w:t xml:space="preserve"> Determinants and Risk Factors</w:t>
      </w:r>
      <w:bookmarkEnd w:id="10"/>
    </w:p>
    <w:p w14:paraId="164A3D67" w14:textId="77777777" w:rsidR="006B5D36" w:rsidRPr="006B5D36" w:rsidRDefault="006B5D36" w:rsidP="006B5D36">
      <w:pPr>
        <w:rPr>
          <w:b/>
          <w:bCs/>
        </w:rPr>
      </w:pPr>
      <w:r w:rsidRPr="006B5D36">
        <w:rPr>
          <w:b/>
          <w:bCs/>
        </w:rPr>
        <w:t>9.1 Biological Changes</w:t>
      </w:r>
    </w:p>
    <w:p w14:paraId="3922430E" w14:textId="77777777" w:rsidR="006B5D36" w:rsidRDefault="00ED112B" w:rsidP="006B5D36">
      <w:r w:rsidRPr="00ED112B">
        <w:t>They lose muscle, take longer to get better after being sick, their bones become weaker, and they might have balance and thinking problems as they get older. Constant inflammation and numerous diseases may also complicate the process of recovery. These are physical changes along with the lifestyle that people lead socially and personally which dictate the</w:t>
      </w:r>
      <w:r>
        <w:t>ir probability of becoming weak</w:t>
      </w:r>
      <w:r w:rsidR="00EB32DA" w:rsidRPr="00EB32DA">
        <w:t>.</w:t>
      </w:r>
    </w:p>
    <w:p w14:paraId="7273311F" w14:textId="77777777" w:rsidR="007C5875" w:rsidRDefault="007C5875" w:rsidP="007C5875">
      <w:pPr>
        <w:jc w:val="center"/>
      </w:pPr>
      <w:r>
        <w:rPr>
          <w:noProof/>
        </w:rPr>
        <w:drawing>
          <wp:inline distT="0" distB="0" distL="0" distR="0" wp14:anchorId="46A3FB0C" wp14:editId="1BE2D2E1">
            <wp:extent cx="5286375" cy="4000500"/>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5286375" cy="4000500"/>
                    </a:xfrm>
                    <a:prstGeom prst="rect">
                      <a:avLst/>
                    </a:prstGeom>
                    <a:noFill/>
                    <a:ln w="9525">
                      <a:noFill/>
                      <a:miter lim="800000"/>
                      <a:headEnd/>
                      <a:tailEnd/>
                    </a:ln>
                  </pic:spPr>
                </pic:pic>
              </a:graphicData>
            </a:graphic>
          </wp:inline>
        </w:drawing>
      </w:r>
    </w:p>
    <w:p w14:paraId="48306594" w14:textId="77777777" w:rsidR="007C5875" w:rsidRPr="007C5875" w:rsidRDefault="007C5875" w:rsidP="007C5875">
      <w:pPr>
        <w:spacing w:after="0" w:line="240" w:lineRule="auto"/>
        <w:jc w:val="center"/>
        <w:rPr>
          <w:rFonts w:eastAsia="Times New Roman" w:cs="Times New Roman"/>
          <w:b/>
          <w:szCs w:val="24"/>
        </w:rPr>
      </w:pPr>
      <w:r w:rsidRPr="007C5875">
        <w:rPr>
          <w:rFonts w:eastAsia="Times New Roman" w:cs="Times New Roman"/>
          <w:b/>
          <w:szCs w:val="24"/>
        </w:rPr>
        <w:lastRenderedPageBreak/>
        <w:t>Figure: 4(</w:t>
      </w:r>
      <w:proofErr w:type="spellStart"/>
      <w:r w:rsidRPr="007C5875">
        <w:rPr>
          <w:rFonts w:eastAsia="Times New Roman" w:cs="Times New Roman"/>
          <w:b/>
          <w:szCs w:val="24"/>
        </w:rPr>
        <w:t>Mariod</w:t>
      </w:r>
      <w:proofErr w:type="spellEnd"/>
      <w:r w:rsidRPr="007C5875">
        <w:rPr>
          <w:rFonts w:eastAsia="Times New Roman" w:cs="Times New Roman"/>
          <w:b/>
          <w:szCs w:val="24"/>
        </w:rPr>
        <w:t xml:space="preserve"> and Tahir, 2022)</w:t>
      </w:r>
    </w:p>
    <w:p w14:paraId="03B5A73A" w14:textId="77777777" w:rsidR="006B5D36" w:rsidRPr="006B5D36" w:rsidRDefault="006B5D36" w:rsidP="006B5D36">
      <w:pPr>
        <w:rPr>
          <w:b/>
          <w:bCs/>
        </w:rPr>
      </w:pPr>
      <w:r w:rsidRPr="006B5D36">
        <w:rPr>
          <w:b/>
          <w:bCs/>
        </w:rPr>
        <w:t>9.2 Social and Environmental Determinants</w:t>
      </w:r>
    </w:p>
    <w:p w14:paraId="6ADD01FB" w14:textId="77777777" w:rsidR="006B5D36" w:rsidRPr="00EB32DA" w:rsidRDefault="00EB32DA" w:rsidP="00EB32DA">
      <w:r>
        <w:t xml:space="preserve">The people in Tower Hamlets are more susceptible due to the lack of money, sub-par housing, fewer parks, and pollution. Loneliness is destructive to the psyche and spirit of an individual, and lack of friends and assistance. An inability to speak the same language, unfair treatment, and shame that people experience about requiring assistance may prevent them requesting assistance and consume less of the services </w:t>
      </w:r>
      <w:r w:rsidR="007C5875">
        <w:rPr>
          <w:rFonts w:eastAsia="Times New Roman" w:cs="Times New Roman"/>
          <w:szCs w:val="24"/>
        </w:rPr>
        <w:t>(</w:t>
      </w:r>
      <w:proofErr w:type="spellStart"/>
      <w:r w:rsidR="007C5875">
        <w:rPr>
          <w:rFonts w:eastAsia="Times New Roman" w:cs="Times New Roman"/>
          <w:szCs w:val="24"/>
        </w:rPr>
        <w:t>Pettersen</w:t>
      </w:r>
      <w:proofErr w:type="spellEnd"/>
      <w:r w:rsidR="007C5875">
        <w:rPr>
          <w:rFonts w:eastAsia="Times New Roman" w:cs="Times New Roman"/>
          <w:szCs w:val="24"/>
        </w:rPr>
        <w:t xml:space="preserve"> and </w:t>
      </w:r>
      <w:proofErr w:type="spellStart"/>
      <w:r w:rsidR="007C5875">
        <w:rPr>
          <w:rFonts w:eastAsia="Times New Roman" w:cs="Times New Roman"/>
          <w:szCs w:val="24"/>
        </w:rPr>
        <w:t>Debesay</w:t>
      </w:r>
      <w:proofErr w:type="spellEnd"/>
      <w:r w:rsidR="007C5875">
        <w:rPr>
          <w:rFonts w:eastAsia="Times New Roman" w:cs="Times New Roman"/>
          <w:szCs w:val="24"/>
        </w:rPr>
        <w:t>, 2023).</w:t>
      </w:r>
    </w:p>
    <w:p w14:paraId="3BA1F6F1" w14:textId="77777777" w:rsidR="007C5875" w:rsidRDefault="007C5875" w:rsidP="007C5875">
      <w:pPr>
        <w:jc w:val="center"/>
        <w:rPr>
          <w:rFonts w:eastAsia="Times New Roman" w:cs="Times New Roman"/>
          <w:szCs w:val="24"/>
        </w:rPr>
      </w:pPr>
      <w:r>
        <w:rPr>
          <w:rFonts w:eastAsia="Times New Roman" w:cs="Times New Roman"/>
          <w:noProof/>
          <w:szCs w:val="24"/>
        </w:rPr>
        <w:drawing>
          <wp:inline distT="0" distB="0" distL="0" distR="0" wp14:anchorId="67C0BB35" wp14:editId="67DAC64E">
            <wp:extent cx="5943600" cy="2931856"/>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srcRect/>
                    <a:stretch>
                      <a:fillRect/>
                    </a:stretch>
                  </pic:blipFill>
                  <pic:spPr bwMode="auto">
                    <a:xfrm>
                      <a:off x="0" y="0"/>
                      <a:ext cx="5943600" cy="2931856"/>
                    </a:xfrm>
                    <a:prstGeom prst="rect">
                      <a:avLst/>
                    </a:prstGeom>
                    <a:noFill/>
                    <a:ln w="9525">
                      <a:noFill/>
                      <a:miter lim="800000"/>
                      <a:headEnd/>
                      <a:tailEnd/>
                    </a:ln>
                  </pic:spPr>
                </pic:pic>
              </a:graphicData>
            </a:graphic>
          </wp:inline>
        </w:drawing>
      </w:r>
    </w:p>
    <w:p w14:paraId="4F8B3FA9" w14:textId="77777777" w:rsidR="007C5875" w:rsidRPr="007C5875" w:rsidRDefault="007C5875" w:rsidP="007C5875">
      <w:pPr>
        <w:spacing w:after="0" w:line="240" w:lineRule="auto"/>
        <w:jc w:val="center"/>
        <w:rPr>
          <w:rFonts w:eastAsia="Times New Roman" w:cs="Times New Roman"/>
          <w:b/>
          <w:szCs w:val="24"/>
        </w:rPr>
      </w:pPr>
      <w:r w:rsidRPr="007C5875">
        <w:rPr>
          <w:rFonts w:eastAsia="Times New Roman" w:cs="Times New Roman"/>
          <w:b/>
          <w:szCs w:val="24"/>
        </w:rPr>
        <w:t>Figure: 5(Page, 2022)</w:t>
      </w:r>
    </w:p>
    <w:p w14:paraId="2C161482" w14:textId="77777777" w:rsidR="006B5D36" w:rsidRPr="006B5D36" w:rsidRDefault="006B5D36" w:rsidP="006B5D36">
      <w:pPr>
        <w:rPr>
          <w:b/>
          <w:bCs/>
        </w:rPr>
      </w:pPr>
      <w:r w:rsidRPr="006B5D36">
        <w:rPr>
          <w:b/>
          <w:bCs/>
        </w:rPr>
        <w:t xml:space="preserve">9.3 </w:t>
      </w:r>
      <w:proofErr w:type="spellStart"/>
      <w:r w:rsidRPr="006B5D36">
        <w:rPr>
          <w:b/>
          <w:bCs/>
        </w:rPr>
        <w:t>Behavioural</w:t>
      </w:r>
      <w:proofErr w:type="spellEnd"/>
      <w:r w:rsidRPr="006B5D36">
        <w:rPr>
          <w:b/>
          <w:bCs/>
        </w:rPr>
        <w:t xml:space="preserve"> Risk Factors</w:t>
      </w:r>
    </w:p>
    <w:p w14:paraId="661D7818" w14:textId="77777777" w:rsidR="006B5D36" w:rsidRDefault="00EB32DA" w:rsidP="006B5D36">
      <w:r w:rsidRPr="00EB32DA">
        <w:t>Lack of movement, eating poorly, smoking, and excessive consumption of alcohol accelerate weakness and dysfunction. It is even more difficult not to sleep and be under stress, to remain strong. The older generation struggles to change due to their painful, painful, or limited mobility, and lack of money, therefore, assistance should</w:t>
      </w:r>
      <w:r>
        <w:t xml:space="preserve"> be understanding and realistic</w:t>
      </w:r>
      <w:r w:rsidR="006B5D36" w:rsidRPr="006B5D36">
        <w:t>.</w:t>
      </w:r>
    </w:p>
    <w:p w14:paraId="13952BC1" w14:textId="77777777" w:rsidR="007C5875" w:rsidRDefault="007C5875" w:rsidP="007C5875">
      <w:pPr>
        <w:jc w:val="center"/>
      </w:pPr>
      <w:r>
        <w:rPr>
          <w:noProof/>
        </w:rPr>
        <w:lastRenderedPageBreak/>
        <w:drawing>
          <wp:inline distT="0" distB="0" distL="0" distR="0" wp14:anchorId="4EF6874F" wp14:editId="62B1CDE5">
            <wp:extent cx="5943600" cy="3210819"/>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3"/>
                    <a:srcRect/>
                    <a:stretch>
                      <a:fillRect/>
                    </a:stretch>
                  </pic:blipFill>
                  <pic:spPr bwMode="auto">
                    <a:xfrm>
                      <a:off x="0" y="0"/>
                      <a:ext cx="5943600" cy="3210819"/>
                    </a:xfrm>
                    <a:prstGeom prst="rect">
                      <a:avLst/>
                    </a:prstGeom>
                    <a:noFill/>
                    <a:ln w="9525">
                      <a:noFill/>
                      <a:miter lim="800000"/>
                      <a:headEnd/>
                      <a:tailEnd/>
                    </a:ln>
                  </pic:spPr>
                </pic:pic>
              </a:graphicData>
            </a:graphic>
          </wp:inline>
        </w:drawing>
      </w:r>
    </w:p>
    <w:p w14:paraId="5CBC4854" w14:textId="77777777" w:rsidR="007C5875" w:rsidRPr="007C5875" w:rsidRDefault="007C5875" w:rsidP="007C5875">
      <w:pPr>
        <w:spacing w:after="0" w:line="240" w:lineRule="auto"/>
        <w:jc w:val="center"/>
        <w:rPr>
          <w:rFonts w:eastAsia="Times New Roman" w:cs="Times New Roman"/>
          <w:b/>
          <w:szCs w:val="24"/>
        </w:rPr>
      </w:pPr>
      <w:r w:rsidRPr="007C5875">
        <w:rPr>
          <w:rFonts w:eastAsia="Times New Roman" w:cs="Times New Roman"/>
          <w:b/>
          <w:szCs w:val="24"/>
        </w:rPr>
        <w:t xml:space="preserve">Figure: 5(Stephens, Randolph and </w:t>
      </w:r>
      <w:proofErr w:type="spellStart"/>
      <w:r w:rsidRPr="007C5875">
        <w:rPr>
          <w:rFonts w:eastAsia="Times New Roman" w:cs="Times New Roman"/>
          <w:b/>
          <w:szCs w:val="24"/>
        </w:rPr>
        <w:t>Leissa</w:t>
      </w:r>
      <w:proofErr w:type="spellEnd"/>
      <w:r w:rsidRPr="007C5875">
        <w:rPr>
          <w:rFonts w:eastAsia="Times New Roman" w:cs="Times New Roman"/>
          <w:b/>
          <w:szCs w:val="24"/>
        </w:rPr>
        <w:t>, 2024)</w:t>
      </w:r>
    </w:p>
    <w:p w14:paraId="3E2FA7B7" w14:textId="77777777" w:rsidR="006B5D36" w:rsidRPr="006B5D36" w:rsidRDefault="006B5D36" w:rsidP="006B5D36">
      <w:pPr>
        <w:pStyle w:val="Heading2"/>
      </w:pPr>
      <w:bookmarkStart w:id="11" w:name="_Toc215933339"/>
      <w:r>
        <w:t>10.</w:t>
      </w:r>
      <w:r w:rsidRPr="006B5D36">
        <w:t xml:space="preserve"> Epidemiological Evidence and Health Needs Assessment</w:t>
      </w:r>
      <w:bookmarkEnd w:id="11"/>
    </w:p>
    <w:p w14:paraId="4541F238" w14:textId="77777777" w:rsidR="006B5D36" w:rsidRPr="00EB32DA" w:rsidRDefault="00EB32DA" w:rsidP="00EB32DA">
      <w:r>
        <w:t>According to national research, frailty is highly associated with poverty, chronic diseases, and a low level of education. Research establishes that older people in poor boroughs like Tower Hamlets experience more mobility issues, chronic illness, malnutrition, and memory loss. Local statistics reveal common emergency admissions of falls and fractures, growing use of the care home and more frailty documentation in GP records. Health Needs Assessment utilizes the information to determine the most at risk individuals and where the services should be directed. The priority groups in Tower Hamlets are older adults who live alone, poor housing, and lack of English or good social sup</w:t>
      </w:r>
      <w:r w:rsidR="00887651">
        <w:t xml:space="preserve">port </w:t>
      </w:r>
      <w:r w:rsidR="007C5875" w:rsidRPr="007C5875">
        <w:rPr>
          <w:rFonts w:eastAsia="Times New Roman" w:cs="Times New Roman"/>
          <w:szCs w:val="24"/>
        </w:rPr>
        <w:t>(Watchorn, 2024)</w:t>
      </w:r>
      <w:r w:rsidR="007C5875">
        <w:rPr>
          <w:rFonts w:eastAsia="Times New Roman" w:cs="Times New Roman"/>
          <w:szCs w:val="24"/>
        </w:rPr>
        <w:t>.</w:t>
      </w:r>
    </w:p>
    <w:p w14:paraId="0DF626EA" w14:textId="77777777" w:rsidR="006B5D36" w:rsidRPr="006B5D36" w:rsidRDefault="006B5D36" w:rsidP="006B5D36">
      <w:pPr>
        <w:pStyle w:val="Heading2"/>
      </w:pPr>
      <w:bookmarkStart w:id="12" w:name="_Toc215933340"/>
      <w:r>
        <w:t>11.</w:t>
      </w:r>
      <w:r w:rsidRPr="006B5D36">
        <w:t xml:space="preserve"> Monitoring and Surveillance</w:t>
      </w:r>
      <w:bookmarkEnd w:id="12"/>
    </w:p>
    <w:p w14:paraId="373F86F2" w14:textId="77777777" w:rsidR="006B5D36" w:rsidRPr="00927CC3" w:rsidRDefault="00927CC3" w:rsidP="00927CC3">
      <w:r>
        <w:t xml:space="preserve">According to national research, frailty is highly associated with poverty, chronic diseases, and a low level of education. Research establishes that older people in poor boroughs like Tower Hamlets experience more mobility issues, chronic illness, malnutrition, and memory loss. Local </w:t>
      </w:r>
      <w:r>
        <w:lastRenderedPageBreak/>
        <w:t xml:space="preserve">statistics reveal common emergency admissions of falls and fractures, growing use of the care home and more frailty documentation in GP records. Health Needs Assessment utilizes the information to determine the most at risk individuals and where the services should be directed. The priority groups in Tower Hamlets are older adults who live alone, poor housing, and lack of English or good social support. The HNA points to deficits in the screening at an early age, culturally specific exercise and diet </w:t>
      </w:r>
      <w:proofErr w:type="spellStart"/>
      <w:r>
        <w:t>programm</w:t>
      </w:r>
      <w:r w:rsidR="00887651">
        <w:t>es</w:t>
      </w:r>
      <w:proofErr w:type="spellEnd"/>
      <w:r w:rsidR="00887651">
        <w:t xml:space="preserve">, and rehabilitation at home </w:t>
      </w:r>
      <w:r w:rsidR="007C5875">
        <w:rPr>
          <w:rFonts w:eastAsia="Times New Roman" w:cs="Times New Roman"/>
          <w:szCs w:val="24"/>
        </w:rPr>
        <w:t>(Hughes et al., 2024).</w:t>
      </w:r>
    </w:p>
    <w:p w14:paraId="1B28C4A3" w14:textId="77777777" w:rsidR="006B5D36" w:rsidRPr="006B5D36" w:rsidRDefault="006B5D36" w:rsidP="006B5D36">
      <w:pPr>
        <w:pStyle w:val="Heading2"/>
      </w:pPr>
      <w:bookmarkStart w:id="13" w:name="_Toc215933341"/>
      <w:r>
        <w:t>12.</w:t>
      </w:r>
      <w:r w:rsidRPr="006B5D36">
        <w:t xml:space="preserve"> Public Health Impact</w:t>
      </w:r>
      <w:bookmarkEnd w:id="13"/>
    </w:p>
    <w:p w14:paraId="060C6913" w14:textId="77777777" w:rsidR="006B5D36" w:rsidRPr="006B5D36" w:rsidRDefault="00927CC3" w:rsidP="006B5D36">
      <w:r w:rsidRPr="00927CC3">
        <w:t>Frailty leads to more sickness, pain, disability, as well as less satisfaction with life at a personal level. Caregivers can be stressed, lonely, and have financial issues, particularly as far as money is concerned. At the national level, frailty results in increased hospital admissions, extended hospital stay and increased long-term care, which place NHS and soc</w:t>
      </w:r>
      <w:r w:rsidR="00887651">
        <w:t>ial care budgets under pressure</w:t>
      </w:r>
      <w:r w:rsidR="006B5D36" w:rsidRPr="006B5D36">
        <w:t>.</w:t>
      </w:r>
    </w:p>
    <w:p w14:paraId="2527B8CC" w14:textId="77777777" w:rsidR="006B5D36" w:rsidRPr="006B5D36" w:rsidRDefault="006B5D36" w:rsidP="006B5D36">
      <w:pPr>
        <w:pStyle w:val="Heading2"/>
      </w:pPr>
      <w:bookmarkStart w:id="14" w:name="_Toc215933342"/>
      <w:r>
        <w:t>13.</w:t>
      </w:r>
      <w:r w:rsidRPr="006B5D36">
        <w:t xml:space="preserve"> Public Health Intervention: Age Strong Tower Hamlets</w:t>
      </w:r>
      <w:bookmarkEnd w:id="14"/>
    </w:p>
    <w:p w14:paraId="7FE93B1A" w14:textId="77777777" w:rsidR="006B5D36" w:rsidRPr="007C5875" w:rsidRDefault="00927CC3" w:rsidP="006B5D36">
      <w:pPr>
        <w:rPr>
          <w:rFonts w:eastAsia="Times New Roman" w:cs="Times New Roman"/>
          <w:szCs w:val="24"/>
        </w:rPr>
      </w:pPr>
      <w:r w:rsidRPr="00927CC3">
        <w:t xml:space="preserve">Age Strong Tower Hamlets is an initiative that targets individuals above 65 years. It will combine exercise and balance classes within the community, assist with nutrition, screen conditions of frailty, and social activities. Individual field teams will prepare personal care plans and collaborate with community organizations. The community centers, home visits, and convenient digital tools will be used in the program as even individuals with difficulty moving or being isolated will be able to participate. To enhance the program as time goes on, </w:t>
      </w:r>
      <w:r w:rsidR="001B249E">
        <w:t>they</w:t>
      </w:r>
      <w:r w:rsidRPr="00927CC3">
        <w:t xml:space="preserve"> will monitor the number of individuals joining the program, the movement of these people, falls, frequency of service utilization, and level of </w:t>
      </w:r>
      <w:r>
        <w:t>satisfaction</w:t>
      </w:r>
      <w:r w:rsidR="007C5875">
        <w:t xml:space="preserve"> </w:t>
      </w:r>
      <w:r w:rsidR="007C5875">
        <w:rPr>
          <w:rFonts w:eastAsia="Times New Roman" w:cs="Times New Roman"/>
          <w:szCs w:val="24"/>
        </w:rPr>
        <w:t>(Kingston et al., 2021).</w:t>
      </w:r>
    </w:p>
    <w:p w14:paraId="318D6236" w14:textId="77777777" w:rsidR="006B5D36" w:rsidRPr="006B5D36" w:rsidRDefault="006B5D36" w:rsidP="006B5D36">
      <w:pPr>
        <w:pStyle w:val="Heading2"/>
      </w:pPr>
      <w:bookmarkStart w:id="15" w:name="_Toc215933343"/>
      <w:r>
        <w:t>14.</w:t>
      </w:r>
      <w:r w:rsidRPr="006B5D36">
        <w:t xml:space="preserve"> Conclusion</w:t>
      </w:r>
      <w:bookmarkEnd w:id="15"/>
    </w:p>
    <w:p w14:paraId="17FD7E92" w14:textId="77777777" w:rsidR="006B5D36" w:rsidRDefault="008A5B88" w:rsidP="006B5D36">
      <w:pPr>
        <w:rPr>
          <w:rFonts w:eastAsia="Times New Roman" w:cs="Times New Roman"/>
          <w:szCs w:val="24"/>
        </w:rPr>
      </w:pPr>
      <w:r w:rsidRPr="008A5B88">
        <w:t xml:space="preserve">The frailty of adults aged 65 years and above in Tower Hamlets occurs due to the combination of old age, poverty, long-term illness, loneliness and risky habits. It is painful to people and families </w:t>
      </w:r>
      <w:r w:rsidRPr="008A5B88">
        <w:lastRenderedPageBreak/>
        <w:t>and it puts the local services on their toes. Research indicates that high cost preventive measures, early identification of issues, and integrative care are a good concept in the local communities. The unfair difference, which may be lowered to make people independent and age in healthier ways, could be reduced through a program named Age Strong Tower Hamlets which could be tailored to fit the various</w:t>
      </w:r>
      <w:r>
        <w:t xml:space="preserve"> older residents of the borough </w:t>
      </w:r>
      <w:r w:rsidR="007C5875" w:rsidRPr="007C5875">
        <w:rPr>
          <w:rFonts w:eastAsia="Times New Roman" w:cs="Times New Roman"/>
          <w:szCs w:val="24"/>
        </w:rPr>
        <w:t>(Campbell, 2023)</w:t>
      </w:r>
      <w:r w:rsidR="007C5875">
        <w:rPr>
          <w:rFonts w:eastAsia="Times New Roman" w:cs="Times New Roman"/>
          <w:szCs w:val="24"/>
        </w:rPr>
        <w:t>.</w:t>
      </w:r>
    </w:p>
    <w:p w14:paraId="72ED6F6B" w14:textId="77777777" w:rsidR="007C5875" w:rsidRDefault="007C5875">
      <w:pPr>
        <w:spacing w:line="276" w:lineRule="auto"/>
        <w:jc w:val="left"/>
        <w:rPr>
          <w:rFonts w:eastAsia="Times New Roman" w:cs="Times New Roman"/>
          <w:szCs w:val="24"/>
        </w:rPr>
      </w:pPr>
      <w:r>
        <w:rPr>
          <w:rFonts w:eastAsia="Times New Roman" w:cs="Times New Roman"/>
          <w:szCs w:val="24"/>
        </w:rPr>
        <w:br w:type="page"/>
      </w:r>
    </w:p>
    <w:p w14:paraId="19D8478C" w14:textId="77777777" w:rsidR="007C5875" w:rsidRDefault="007C5875" w:rsidP="007C5875">
      <w:pPr>
        <w:pStyle w:val="Heading1"/>
        <w:rPr>
          <w:rFonts w:eastAsia="Times New Roman"/>
        </w:rPr>
      </w:pPr>
      <w:bookmarkStart w:id="16" w:name="_Toc215933344"/>
      <w:r>
        <w:rPr>
          <w:rFonts w:eastAsia="Times New Roman"/>
        </w:rPr>
        <w:lastRenderedPageBreak/>
        <w:t>References list</w:t>
      </w:r>
      <w:bookmarkEnd w:id="16"/>
      <w:r>
        <w:rPr>
          <w:rFonts w:eastAsia="Times New Roman"/>
        </w:rPr>
        <w:t xml:space="preserve"> </w:t>
      </w:r>
    </w:p>
    <w:p w14:paraId="193D7A16" w14:textId="77777777" w:rsidR="007C5875" w:rsidRDefault="007C5875" w:rsidP="007C5875">
      <w:pPr>
        <w:pStyle w:val="NormalWeb"/>
        <w:spacing w:before="0" w:beforeAutospacing="0" w:after="240" w:afterAutospacing="0" w:line="360" w:lineRule="auto"/>
      </w:pPr>
      <w:proofErr w:type="spellStart"/>
      <w:r>
        <w:t>Biosca</w:t>
      </w:r>
      <w:proofErr w:type="spellEnd"/>
      <w:r>
        <w:t xml:space="preserve">, O., Enrico </w:t>
      </w:r>
      <w:proofErr w:type="spellStart"/>
      <w:r>
        <w:t>Bellazzecca</w:t>
      </w:r>
      <w:proofErr w:type="spellEnd"/>
      <w:r>
        <w:t xml:space="preserve">, Donaldson, C., </w:t>
      </w:r>
      <w:proofErr w:type="spellStart"/>
      <w:r>
        <w:t>Bala</w:t>
      </w:r>
      <w:proofErr w:type="spellEnd"/>
      <w:r>
        <w:t xml:space="preserve">, A., </w:t>
      </w:r>
      <w:proofErr w:type="spellStart"/>
      <w:r>
        <w:t>Mojarrieta</w:t>
      </w:r>
      <w:proofErr w:type="spellEnd"/>
      <w:r>
        <w:t xml:space="preserve">, M., White, G., McHugh, N., Baker, R. and </w:t>
      </w:r>
      <w:proofErr w:type="spellStart"/>
      <w:r>
        <w:t>Morduch</w:t>
      </w:r>
      <w:proofErr w:type="spellEnd"/>
      <w:r>
        <w:t xml:space="preserve">, J. (2024). Living on low-incomes with multiple long-term health conditions: A new method to explore the complex interaction between finance and health. </w:t>
      </w:r>
      <w:proofErr w:type="spellStart"/>
      <w:r>
        <w:rPr>
          <w:i/>
          <w:iCs/>
        </w:rPr>
        <w:t>PloS</w:t>
      </w:r>
      <w:proofErr w:type="spellEnd"/>
      <w:r>
        <w:rPr>
          <w:i/>
          <w:iCs/>
        </w:rPr>
        <w:t xml:space="preserve"> one</w:t>
      </w:r>
      <w:r>
        <w:t xml:space="preserve">, 19(6), pp.e0305827–e0305827. </w:t>
      </w:r>
      <w:proofErr w:type="spellStart"/>
      <w:r>
        <w:t>doi</w:t>
      </w:r>
      <w:proofErr w:type="spellEnd"/>
      <w:r>
        <w:t xml:space="preserve">: </w:t>
      </w:r>
      <w:hyperlink r:id="rId14" w:history="1">
        <w:r w:rsidRPr="00D25FF7">
          <w:rPr>
            <w:rStyle w:val="Hyperlink"/>
          </w:rPr>
          <w:t>https://doi.org/10.1371/journal.pone.0305827</w:t>
        </w:r>
      </w:hyperlink>
      <w:r>
        <w:t>.</w:t>
      </w:r>
    </w:p>
    <w:p w14:paraId="6681689E" w14:textId="77777777" w:rsidR="007C5875" w:rsidRDefault="007C5875" w:rsidP="007C5875">
      <w:pPr>
        <w:pStyle w:val="NormalWeb"/>
        <w:spacing w:before="0" w:beforeAutospacing="0" w:after="240" w:afterAutospacing="0" w:line="360" w:lineRule="auto"/>
      </w:pPr>
      <w:r>
        <w:t xml:space="preserve">Brennan, T.H., Lewis, L.K., Gordon, S.J. and Prichard, I. (2024). Effectiveness of interventions to prevent or reverse pre-frailty and frailty in middle-aged community dwelling adults: A systematic review. </w:t>
      </w:r>
      <w:r>
        <w:rPr>
          <w:i/>
          <w:iCs/>
        </w:rPr>
        <w:t>Preventive Medicine</w:t>
      </w:r>
      <w:r>
        <w:t xml:space="preserve">, [online] 185, pp.108008–108008. </w:t>
      </w:r>
      <w:proofErr w:type="spellStart"/>
      <w:r>
        <w:t>doi</w:t>
      </w:r>
      <w:proofErr w:type="spellEnd"/>
      <w:r>
        <w:t xml:space="preserve">: </w:t>
      </w:r>
      <w:hyperlink r:id="rId15" w:history="1">
        <w:r w:rsidRPr="00D25FF7">
          <w:rPr>
            <w:rStyle w:val="Hyperlink"/>
          </w:rPr>
          <w:t>https://doi.org/10.1016/j.ypmed.2024.108008</w:t>
        </w:r>
      </w:hyperlink>
      <w:r>
        <w:t>.</w:t>
      </w:r>
    </w:p>
    <w:p w14:paraId="0D97724F" w14:textId="77777777" w:rsidR="007C5875" w:rsidRDefault="007C5875" w:rsidP="007C5875">
      <w:pPr>
        <w:pStyle w:val="NormalWeb"/>
        <w:spacing w:before="0" w:beforeAutospacing="0" w:after="240" w:afterAutospacing="0" w:line="360" w:lineRule="auto"/>
      </w:pPr>
      <w:proofErr w:type="spellStart"/>
      <w:r>
        <w:t>Bucelli</w:t>
      </w:r>
      <w:proofErr w:type="spellEnd"/>
      <w:r>
        <w:t xml:space="preserve">, I. and Henderson, S. (2025). </w:t>
      </w:r>
      <w:r>
        <w:rPr>
          <w:i/>
          <w:iCs/>
        </w:rPr>
        <w:t>Insecure lives and the policy disconnect: overview of the literature on measures, trends, impact and mechanisms for six dimensions of insecurity</w:t>
      </w:r>
      <w:r>
        <w:t xml:space="preserve">. [online] Available at: </w:t>
      </w:r>
      <w:hyperlink r:id="rId16" w:history="1">
        <w:r w:rsidRPr="00D25FF7">
          <w:rPr>
            <w:rStyle w:val="Hyperlink"/>
          </w:rPr>
          <w:t>https://sticerd.lse.ac.uk/dps/case/cr/casereport162.pdf</w:t>
        </w:r>
      </w:hyperlink>
      <w:r>
        <w:t>.</w:t>
      </w:r>
    </w:p>
    <w:p w14:paraId="0608EC50" w14:textId="77777777" w:rsidR="007C5875" w:rsidRDefault="007C5875" w:rsidP="007C5875">
      <w:pPr>
        <w:pStyle w:val="NormalWeb"/>
        <w:spacing w:before="0" w:beforeAutospacing="0" w:after="240" w:afterAutospacing="0" w:line="360" w:lineRule="auto"/>
      </w:pPr>
      <w:r>
        <w:t xml:space="preserve">Campbell, C.L. (2023). A biosocial approach to healthy ageing: the interplay between social isolation and inflammation - UCL Discovery. </w:t>
      </w:r>
      <w:r>
        <w:rPr>
          <w:i/>
          <w:iCs/>
        </w:rPr>
        <w:t>Ucl.ac.uk</w:t>
      </w:r>
      <w:r>
        <w:t xml:space="preserve">. [online] </w:t>
      </w:r>
      <w:proofErr w:type="spellStart"/>
      <w:r>
        <w:t>doi</w:t>
      </w:r>
      <w:proofErr w:type="spellEnd"/>
      <w:r>
        <w:t xml:space="preserve">: </w:t>
      </w:r>
      <w:hyperlink r:id="rId17" w:history="1">
        <w:r w:rsidRPr="00D25FF7">
          <w:rPr>
            <w:rStyle w:val="Hyperlink"/>
          </w:rPr>
          <w:t>https://discovery.ucl.ac.uk/id/eprint/10175692/2/CCampbell%20thesis.pdf</w:t>
        </w:r>
      </w:hyperlink>
      <w:r>
        <w:t>.</w:t>
      </w:r>
    </w:p>
    <w:p w14:paraId="1F5E619A" w14:textId="77777777" w:rsidR="007C5875" w:rsidRDefault="007C5875" w:rsidP="007C5875">
      <w:pPr>
        <w:pStyle w:val="NormalWeb"/>
        <w:spacing w:before="0" w:beforeAutospacing="0" w:after="240" w:afterAutospacing="0" w:line="360" w:lineRule="auto"/>
      </w:pPr>
      <w:r>
        <w:t xml:space="preserve">Carrier, J. (2022). Physical, psychological and psychosocial impact of living with a long-term condition and social influences on health. </w:t>
      </w:r>
      <w:r>
        <w:rPr>
          <w:i/>
          <w:iCs/>
        </w:rPr>
        <w:t>Routledge eBooks</w:t>
      </w:r>
      <w:r>
        <w:t xml:space="preserve">, pp.18–34. </w:t>
      </w:r>
      <w:proofErr w:type="spellStart"/>
      <w:r>
        <w:t>doi</w:t>
      </w:r>
      <w:proofErr w:type="spellEnd"/>
      <w:r>
        <w:t xml:space="preserve">: </w:t>
      </w:r>
      <w:hyperlink r:id="rId18" w:history="1">
        <w:r w:rsidRPr="00D25FF7">
          <w:rPr>
            <w:rStyle w:val="Hyperlink"/>
          </w:rPr>
          <w:t>https://doi.org/10.4324/9781003020653-2</w:t>
        </w:r>
      </w:hyperlink>
      <w:r>
        <w:t>.</w:t>
      </w:r>
    </w:p>
    <w:p w14:paraId="02D30EB1" w14:textId="77777777" w:rsidR="007C5875" w:rsidRDefault="007C5875" w:rsidP="007C5875">
      <w:pPr>
        <w:pStyle w:val="NormalWeb"/>
        <w:spacing w:before="0" w:beforeAutospacing="0" w:after="240" w:afterAutospacing="0" w:line="360" w:lineRule="auto"/>
      </w:pPr>
      <w:proofErr w:type="spellStart"/>
      <w:r>
        <w:t>Chitalu</w:t>
      </w:r>
      <w:proofErr w:type="spellEnd"/>
      <w:r>
        <w:t xml:space="preserve">, </w:t>
      </w:r>
      <w:proofErr w:type="spellStart"/>
      <w:r>
        <w:t>Petronella</w:t>
      </w:r>
      <w:proofErr w:type="spellEnd"/>
      <w:r>
        <w:t xml:space="preserve"> Natasha (2024). Evaluating services for older adults with </w:t>
      </w:r>
      <w:proofErr w:type="spellStart"/>
      <w:r>
        <w:t>multimorbidity</w:t>
      </w:r>
      <w:proofErr w:type="spellEnd"/>
      <w:r>
        <w:t xml:space="preserve"> across health and social care - UCL Discovery. </w:t>
      </w:r>
      <w:r>
        <w:rPr>
          <w:i/>
          <w:iCs/>
        </w:rPr>
        <w:t>Ucl.ac.uk</w:t>
      </w:r>
      <w:r>
        <w:t xml:space="preserve">. [online] </w:t>
      </w:r>
      <w:proofErr w:type="spellStart"/>
      <w:r>
        <w:t>doi</w:t>
      </w:r>
      <w:proofErr w:type="spellEnd"/>
      <w:r>
        <w:t xml:space="preserve">: </w:t>
      </w:r>
      <w:hyperlink r:id="rId19" w:history="1">
        <w:r w:rsidRPr="00D25FF7">
          <w:rPr>
            <w:rStyle w:val="Hyperlink"/>
          </w:rPr>
          <w:t>https://discovery.ucl.ac.uk/id/eprint/10195763/1/final20195623.pdf</w:t>
        </w:r>
      </w:hyperlink>
      <w:r>
        <w:t>.</w:t>
      </w:r>
    </w:p>
    <w:p w14:paraId="75E74330" w14:textId="77777777" w:rsidR="007C5875" w:rsidRDefault="007C5875" w:rsidP="007C5875">
      <w:pPr>
        <w:pStyle w:val="NormalWeb"/>
        <w:spacing w:before="0" w:beforeAutospacing="0" w:after="240" w:afterAutospacing="0" w:line="360" w:lineRule="auto"/>
      </w:pPr>
      <w:r>
        <w:t xml:space="preserve">Elliott, J., Munford, L., Ahmed, S., </w:t>
      </w:r>
      <w:proofErr w:type="spellStart"/>
      <w:r>
        <w:t>Littlewood</w:t>
      </w:r>
      <w:proofErr w:type="spellEnd"/>
      <w:r>
        <w:t xml:space="preserve">, A. and Todd, C. (2022). The impact of COVID-19 lockdowns on physical activity amongst older adults: evidence from longitudinal data in the UK. </w:t>
      </w:r>
      <w:r>
        <w:rPr>
          <w:i/>
          <w:iCs/>
        </w:rPr>
        <w:t>BMC Public Health</w:t>
      </w:r>
      <w:r>
        <w:t xml:space="preserve">, 22(1). </w:t>
      </w:r>
      <w:proofErr w:type="spellStart"/>
      <w:r>
        <w:t>doi</w:t>
      </w:r>
      <w:proofErr w:type="spellEnd"/>
      <w:r>
        <w:t xml:space="preserve">: </w:t>
      </w:r>
      <w:hyperlink r:id="rId20" w:history="1">
        <w:r w:rsidRPr="00D25FF7">
          <w:rPr>
            <w:rStyle w:val="Hyperlink"/>
          </w:rPr>
          <w:t>https://doi.org/10.1186/s12889-022-14156-y</w:t>
        </w:r>
      </w:hyperlink>
      <w:r>
        <w:t>.</w:t>
      </w:r>
    </w:p>
    <w:p w14:paraId="44096CB2" w14:textId="77777777" w:rsidR="007C5875" w:rsidRDefault="007C5875" w:rsidP="007C5875">
      <w:pPr>
        <w:pStyle w:val="NormalWeb"/>
        <w:spacing w:before="0" w:beforeAutospacing="0" w:after="240" w:afterAutospacing="0" w:line="360" w:lineRule="auto"/>
      </w:pPr>
      <w:r>
        <w:t xml:space="preserve">Gao, Q., </w:t>
      </w:r>
      <w:proofErr w:type="spellStart"/>
      <w:r>
        <w:t>Prina</w:t>
      </w:r>
      <w:proofErr w:type="spellEnd"/>
      <w:r>
        <w:t xml:space="preserve">, A.M., Ma, Y., </w:t>
      </w:r>
      <w:proofErr w:type="spellStart"/>
      <w:r>
        <w:t>Aceituno</w:t>
      </w:r>
      <w:proofErr w:type="spellEnd"/>
      <w:r>
        <w:t xml:space="preserve">, D. and </w:t>
      </w:r>
      <w:proofErr w:type="spellStart"/>
      <w:r>
        <w:t>Mayston</w:t>
      </w:r>
      <w:proofErr w:type="spellEnd"/>
      <w:r>
        <w:t xml:space="preserve">, R. (2021). Inequalities in Older age and Primary Health Care Utilization in Low- and Middle-Income Countries: A Systematic </w:t>
      </w:r>
      <w:r>
        <w:lastRenderedPageBreak/>
        <w:t xml:space="preserve">Review. </w:t>
      </w:r>
      <w:r>
        <w:rPr>
          <w:i/>
          <w:iCs/>
        </w:rPr>
        <w:t>International Journal of Health Services</w:t>
      </w:r>
      <w:r>
        <w:t xml:space="preserve">, 52(1), pp.99–114. </w:t>
      </w:r>
      <w:proofErr w:type="spellStart"/>
      <w:r>
        <w:t>doi</w:t>
      </w:r>
      <w:proofErr w:type="spellEnd"/>
      <w:r>
        <w:t xml:space="preserve">: </w:t>
      </w:r>
      <w:hyperlink r:id="rId21" w:history="1">
        <w:r w:rsidRPr="00D25FF7">
          <w:rPr>
            <w:rStyle w:val="Hyperlink"/>
          </w:rPr>
          <w:t>https://doi.org/10.1177/00207314211041234</w:t>
        </w:r>
      </w:hyperlink>
      <w:r>
        <w:t>.</w:t>
      </w:r>
    </w:p>
    <w:p w14:paraId="389BB46B" w14:textId="77777777" w:rsidR="007C5875" w:rsidRDefault="007C5875" w:rsidP="007C5875">
      <w:pPr>
        <w:pStyle w:val="NormalWeb"/>
        <w:spacing w:before="0" w:beforeAutospacing="0" w:after="240" w:afterAutospacing="0" w:line="360" w:lineRule="auto"/>
      </w:pPr>
      <w:proofErr w:type="spellStart"/>
      <w:r>
        <w:t>Giebel</w:t>
      </w:r>
      <w:proofErr w:type="spellEnd"/>
      <w:r>
        <w:t xml:space="preserve">, C., Hassan, S., Harvey, G., Devitt, C., Harper, L. and </w:t>
      </w:r>
      <w:proofErr w:type="spellStart"/>
      <w:r>
        <w:t>Simmill</w:t>
      </w:r>
      <w:proofErr w:type="spellEnd"/>
      <w:r>
        <w:t xml:space="preserve">‐Binning, C. (2020). Enabling middle‐aged and older adults accessing community services to reduce social isolation: Community Connectors. </w:t>
      </w:r>
      <w:r>
        <w:rPr>
          <w:i/>
          <w:iCs/>
        </w:rPr>
        <w:t>Health &amp; Social Care in the Community</w:t>
      </w:r>
      <w:r>
        <w:t xml:space="preserve">, 30(2). </w:t>
      </w:r>
      <w:proofErr w:type="spellStart"/>
      <w:r>
        <w:t>doi</w:t>
      </w:r>
      <w:proofErr w:type="spellEnd"/>
      <w:r>
        <w:t xml:space="preserve">: </w:t>
      </w:r>
      <w:hyperlink r:id="rId22" w:history="1">
        <w:r w:rsidRPr="00D25FF7">
          <w:rPr>
            <w:rStyle w:val="Hyperlink"/>
          </w:rPr>
          <w:t>https://doi.org/10.1111/hsc.13228</w:t>
        </w:r>
      </w:hyperlink>
      <w:r>
        <w:t>.</w:t>
      </w:r>
    </w:p>
    <w:p w14:paraId="486538D9" w14:textId="77777777" w:rsidR="007C5875" w:rsidRDefault="007C5875" w:rsidP="007C5875">
      <w:pPr>
        <w:pStyle w:val="NormalWeb"/>
        <w:spacing w:before="0" w:beforeAutospacing="0" w:after="240" w:afterAutospacing="0" w:line="360" w:lineRule="auto"/>
      </w:pPr>
      <w:r>
        <w:t xml:space="preserve">Gordon, S.J., Baker, N., Marin, T.S. and Steffens, M. (2025). Health Deficits Among People Experiencing Homelessness in an Australian Capital City: An Observational Study. </w:t>
      </w:r>
      <w:r>
        <w:rPr>
          <w:i/>
          <w:iCs/>
        </w:rPr>
        <w:t>International Journal of Environmental Research and Public Health</w:t>
      </w:r>
      <w:r>
        <w:t xml:space="preserve">, [online] 22(2), pp.135–135. </w:t>
      </w:r>
      <w:proofErr w:type="spellStart"/>
      <w:r>
        <w:t>doi</w:t>
      </w:r>
      <w:proofErr w:type="spellEnd"/>
      <w:r>
        <w:t xml:space="preserve">: </w:t>
      </w:r>
      <w:hyperlink r:id="rId23" w:history="1">
        <w:r w:rsidRPr="00D25FF7">
          <w:rPr>
            <w:rStyle w:val="Hyperlink"/>
          </w:rPr>
          <w:t>https://doi.org/10.3390/ijerph22020135</w:t>
        </w:r>
      </w:hyperlink>
      <w:r>
        <w:t>.</w:t>
      </w:r>
    </w:p>
    <w:p w14:paraId="6E42BDB6" w14:textId="77777777" w:rsidR="007C5875" w:rsidRDefault="007C5875" w:rsidP="007C5875">
      <w:pPr>
        <w:pStyle w:val="NormalWeb"/>
        <w:spacing w:before="0" w:beforeAutospacing="0" w:after="240" w:afterAutospacing="0" w:line="360" w:lineRule="auto"/>
      </w:pPr>
      <w:r>
        <w:t xml:space="preserve">Hughes, L., Verity, T., </w:t>
      </w:r>
      <w:proofErr w:type="spellStart"/>
      <w:r>
        <w:t>Gompertz</w:t>
      </w:r>
      <w:proofErr w:type="spellEnd"/>
      <w:r>
        <w:t xml:space="preserve">, D., Lawn, L. and Aldridge, L. (2024). Be proactive : delivering proactive care for older people with frailty. </w:t>
      </w:r>
      <w:r>
        <w:rPr>
          <w:i/>
          <w:iCs/>
        </w:rPr>
        <w:t>St-andrews.ac.uk</w:t>
      </w:r>
      <w:r>
        <w:t xml:space="preserve">. [online] </w:t>
      </w:r>
      <w:proofErr w:type="spellStart"/>
      <w:r>
        <w:t>doi</w:t>
      </w:r>
      <w:proofErr w:type="spellEnd"/>
      <w:r>
        <w:t xml:space="preserve">: </w:t>
      </w:r>
      <w:hyperlink r:id="rId24" w:history="1">
        <w:r w:rsidRPr="00D25FF7">
          <w:rPr>
            <w:rStyle w:val="Hyperlink"/>
          </w:rPr>
          <w:t>https://doi.org/310715428</w:t>
        </w:r>
      </w:hyperlink>
      <w:r>
        <w:t>.</w:t>
      </w:r>
    </w:p>
    <w:p w14:paraId="1174EA01" w14:textId="77777777" w:rsidR="007C5875" w:rsidRDefault="007C5875" w:rsidP="007C5875">
      <w:pPr>
        <w:pStyle w:val="NormalWeb"/>
        <w:spacing w:before="0" w:beforeAutospacing="0" w:after="240" w:afterAutospacing="0" w:line="360" w:lineRule="auto"/>
      </w:pPr>
      <w:r>
        <w:t xml:space="preserve">Khan, N., Randhawa, G. and Hewson, D. (2023). Integrated Care for Older People with Different Frailty Levels: A Qualitative Study of Local Implementation of a National Policy in </w:t>
      </w:r>
      <w:proofErr w:type="spellStart"/>
      <w:r>
        <w:t>Luton</w:t>
      </w:r>
      <w:proofErr w:type="spellEnd"/>
      <w:r>
        <w:t xml:space="preserve">, England. </w:t>
      </w:r>
      <w:r>
        <w:rPr>
          <w:i/>
          <w:iCs/>
        </w:rPr>
        <w:t>International Journal of Integrated Care</w:t>
      </w:r>
      <w:r>
        <w:t xml:space="preserve">, 23(1). </w:t>
      </w:r>
      <w:proofErr w:type="spellStart"/>
      <w:r>
        <w:t>doi</w:t>
      </w:r>
      <w:proofErr w:type="spellEnd"/>
      <w:r>
        <w:t xml:space="preserve">: </w:t>
      </w:r>
      <w:hyperlink r:id="rId25" w:history="1">
        <w:r w:rsidRPr="00D25FF7">
          <w:rPr>
            <w:rStyle w:val="Hyperlink"/>
          </w:rPr>
          <w:t>https://doi.org/10.5334/ijic.6537</w:t>
        </w:r>
      </w:hyperlink>
      <w:r>
        <w:t>.</w:t>
      </w:r>
    </w:p>
    <w:p w14:paraId="4D41D7A4" w14:textId="77777777" w:rsidR="007C5875" w:rsidRDefault="007C5875" w:rsidP="007C5875">
      <w:pPr>
        <w:pStyle w:val="NormalWeb"/>
        <w:spacing w:before="0" w:beforeAutospacing="0" w:after="240" w:afterAutospacing="0" w:line="360" w:lineRule="auto"/>
      </w:pPr>
      <w:r>
        <w:t xml:space="preserve">Kingston, P., Blain, J., </w:t>
      </w:r>
      <w:proofErr w:type="spellStart"/>
      <w:r>
        <w:t>Eost</w:t>
      </w:r>
      <w:proofErr w:type="spellEnd"/>
      <w:r>
        <w:t xml:space="preserve">-Telling, C. and Stevens, D. (2021). </w:t>
      </w:r>
      <w:r>
        <w:rPr>
          <w:i/>
          <w:iCs/>
        </w:rPr>
        <w:t>AGE-FRIENDLY CHESHIRE WEST Baseline Assessment Report Baseline Assessment Report 2</w:t>
      </w:r>
      <w:r>
        <w:t xml:space="preserve">. [online] Available at: </w:t>
      </w:r>
      <w:hyperlink r:id="rId26" w:history="1">
        <w:r w:rsidRPr="00D25FF7">
          <w:rPr>
            <w:rStyle w:val="Hyperlink"/>
          </w:rPr>
          <w:t>https://extranet.who.int/agefriendlyworld/wp-content/uploads/2018/05/AF-Baseline-assessment-2020-Final-Version.pdf</w:t>
        </w:r>
      </w:hyperlink>
      <w:r>
        <w:t xml:space="preserve"> [Accessed 6 May 2025].</w:t>
      </w:r>
    </w:p>
    <w:p w14:paraId="71FAA004" w14:textId="77777777" w:rsidR="007C5875" w:rsidRDefault="007C5875" w:rsidP="007C5875">
      <w:pPr>
        <w:pStyle w:val="NormalWeb"/>
        <w:spacing w:before="0" w:beforeAutospacing="0" w:after="240" w:afterAutospacing="0" w:line="360" w:lineRule="auto"/>
      </w:pPr>
      <w:proofErr w:type="spellStart"/>
      <w:r>
        <w:t>Kwak</w:t>
      </w:r>
      <w:proofErr w:type="spellEnd"/>
      <w:r>
        <w:t xml:space="preserve">, D. and Thompson, L.V. (2020). Frailty: Past, Present, and Future? </w:t>
      </w:r>
      <w:r>
        <w:rPr>
          <w:i/>
          <w:iCs/>
        </w:rPr>
        <w:t>Sports Medicine and Health Science</w:t>
      </w:r>
      <w:r>
        <w:t xml:space="preserve">, 3(1). </w:t>
      </w:r>
      <w:proofErr w:type="spellStart"/>
      <w:r>
        <w:t>doi</w:t>
      </w:r>
      <w:proofErr w:type="spellEnd"/>
      <w:r>
        <w:t xml:space="preserve">: </w:t>
      </w:r>
      <w:hyperlink r:id="rId27" w:history="1">
        <w:r w:rsidRPr="00D25FF7">
          <w:rPr>
            <w:rStyle w:val="Hyperlink"/>
          </w:rPr>
          <w:t>https://doi.org/10.1016/j.smhs.2020.11.005</w:t>
        </w:r>
      </w:hyperlink>
      <w:r>
        <w:t>.</w:t>
      </w:r>
    </w:p>
    <w:p w14:paraId="36D9B9CE" w14:textId="77777777" w:rsidR="007C5875" w:rsidRDefault="007C5875" w:rsidP="007C5875">
      <w:pPr>
        <w:pStyle w:val="NormalWeb"/>
        <w:spacing w:before="0" w:beforeAutospacing="0" w:after="240" w:afterAutospacing="0" w:line="360" w:lineRule="auto"/>
      </w:pPr>
      <w:r>
        <w:t xml:space="preserve">Money, A., Hall, A., Harris, D., </w:t>
      </w:r>
      <w:proofErr w:type="spellStart"/>
      <w:r>
        <w:t>Eost</w:t>
      </w:r>
      <w:proofErr w:type="spellEnd"/>
      <w:r>
        <w:t xml:space="preserve">-Telling, C., McDermott, J. and Todd, C. (2023). Barriers and facilitators to older people’s engagement with online services: a qualitative study of adults aged 75+ years (Preprint). </w:t>
      </w:r>
      <w:r>
        <w:rPr>
          <w:i/>
          <w:iCs/>
        </w:rPr>
        <w:t>JMIR aging</w:t>
      </w:r>
      <w:r>
        <w:t xml:space="preserve">, 7. </w:t>
      </w:r>
      <w:proofErr w:type="spellStart"/>
      <w:r>
        <w:t>doi</w:t>
      </w:r>
      <w:proofErr w:type="spellEnd"/>
      <w:r>
        <w:t xml:space="preserve">: </w:t>
      </w:r>
      <w:hyperlink r:id="rId28" w:history="1">
        <w:r w:rsidRPr="00D25FF7">
          <w:rPr>
            <w:rStyle w:val="Hyperlink"/>
          </w:rPr>
          <w:t>https://doi.org/10.2196/46522</w:t>
        </w:r>
      </w:hyperlink>
      <w:r>
        <w:t>.</w:t>
      </w:r>
    </w:p>
    <w:p w14:paraId="59B9F385" w14:textId="77777777" w:rsidR="007C5875" w:rsidRDefault="007C5875" w:rsidP="007C5875">
      <w:pPr>
        <w:pStyle w:val="NormalWeb"/>
        <w:spacing w:before="0" w:beforeAutospacing="0" w:after="240" w:afterAutospacing="0" w:line="360" w:lineRule="auto"/>
      </w:pPr>
      <w:r>
        <w:t xml:space="preserve">Ni </w:t>
      </w:r>
      <w:proofErr w:type="spellStart"/>
      <w:r>
        <w:t>Lochlainn</w:t>
      </w:r>
      <w:proofErr w:type="spellEnd"/>
      <w:r>
        <w:t xml:space="preserve">, M., Cox, N.J., Wilson, T., </w:t>
      </w:r>
      <w:proofErr w:type="spellStart"/>
      <w:r>
        <w:t>Hayhoe</w:t>
      </w:r>
      <w:proofErr w:type="spellEnd"/>
      <w:r>
        <w:t xml:space="preserve">, R.P.G., Ramsay, S.E., </w:t>
      </w:r>
      <w:proofErr w:type="spellStart"/>
      <w:r>
        <w:t>Granic</w:t>
      </w:r>
      <w:proofErr w:type="spellEnd"/>
      <w:r>
        <w:t xml:space="preserve">, A., </w:t>
      </w:r>
      <w:proofErr w:type="spellStart"/>
      <w:r>
        <w:t>Isanejad</w:t>
      </w:r>
      <w:proofErr w:type="spellEnd"/>
      <w:r>
        <w:t xml:space="preserve">, M., Roberts, H.C., Wilson, D., Welch, C., Hurst, C., Atkins, J.L., </w:t>
      </w:r>
      <w:proofErr w:type="spellStart"/>
      <w:r>
        <w:t>Mendonça</w:t>
      </w:r>
      <w:proofErr w:type="spellEnd"/>
      <w:r>
        <w:t xml:space="preserve">, N., Horner, K., </w:t>
      </w:r>
      <w:proofErr w:type="spellStart"/>
      <w:r>
        <w:lastRenderedPageBreak/>
        <w:t>Tuttiett</w:t>
      </w:r>
      <w:proofErr w:type="spellEnd"/>
      <w:r>
        <w:t xml:space="preserve">, E.R., Morgan, Y., </w:t>
      </w:r>
      <w:proofErr w:type="spellStart"/>
      <w:r>
        <w:t>Heslop</w:t>
      </w:r>
      <w:proofErr w:type="spellEnd"/>
      <w:r>
        <w:t xml:space="preserve">, P., Williams, E.A., </w:t>
      </w:r>
      <w:proofErr w:type="spellStart"/>
      <w:r>
        <w:t>Steves</w:t>
      </w:r>
      <w:proofErr w:type="spellEnd"/>
      <w:r>
        <w:t xml:space="preserve">, C.J. and </w:t>
      </w:r>
      <w:proofErr w:type="spellStart"/>
      <w:r>
        <w:t>Greig</w:t>
      </w:r>
      <w:proofErr w:type="spellEnd"/>
      <w:r>
        <w:t xml:space="preserve">, C. (2021). Nutrition and Frailty: Opportunities for Prevention and Treatment. </w:t>
      </w:r>
      <w:r>
        <w:rPr>
          <w:i/>
          <w:iCs/>
        </w:rPr>
        <w:t>Nutrients</w:t>
      </w:r>
      <w:r>
        <w:t xml:space="preserve">, [online] 13(7), p.2349. </w:t>
      </w:r>
      <w:proofErr w:type="spellStart"/>
      <w:r>
        <w:t>doi</w:t>
      </w:r>
      <w:proofErr w:type="spellEnd"/>
      <w:r>
        <w:t xml:space="preserve">: </w:t>
      </w:r>
      <w:hyperlink r:id="rId29" w:history="1">
        <w:r w:rsidRPr="00D25FF7">
          <w:rPr>
            <w:rStyle w:val="Hyperlink"/>
          </w:rPr>
          <w:t>https://doi.org/10.3390/nu13072349</w:t>
        </w:r>
      </w:hyperlink>
      <w:r>
        <w:t>.</w:t>
      </w:r>
    </w:p>
    <w:p w14:paraId="4DC00D6E" w14:textId="77777777" w:rsidR="007C5875" w:rsidRDefault="007C5875" w:rsidP="007C5875">
      <w:pPr>
        <w:pStyle w:val="NormalWeb"/>
        <w:spacing w:before="0" w:beforeAutospacing="0" w:after="240" w:afterAutospacing="0" w:line="360" w:lineRule="auto"/>
      </w:pPr>
      <w:proofErr w:type="spellStart"/>
      <w:r>
        <w:t>Pettersen</w:t>
      </w:r>
      <w:proofErr w:type="spellEnd"/>
      <w:r>
        <w:t xml:space="preserve">, R.J. and </w:t>
      </w:r>
      <w:proofErr w:type="spellStart"/>
      <w:r>
        <w:t>Debesay</w:t>
      </w:r>
      <w:proofErr w:type="spellEnd"/>
      <w:r>
        <w:t xml:space="preserve">, J. (2023). Substance use and help-seeking barriers: a qualitative study of East African migrants’ experiences of access to Norwegian healthcare services. </w:t>
      </w:r>
      <w:r>
        <w:rPr>
          <w:i/>
          <w:iCs/>
        </w:rPr>
        <w:t>BMC Health Services Research</w:t>
      </w:r>
      <w:r>
        <w:t xml:space="preserve">, 23(1). </w:t>
      </w:r>
      <w:proofErr w:type="spellStart"/>
      <w:r>
        <w:t>doi</w:t>
      </w:r>
      <w:proofErr w:type="spellEnd"/>
      <w:r>
        <w:t xml:space="preserve">: </w:t>
      </w:r>
      <w:hyperlink r:id="rId30" w:history="1">
        <w:r w:rsidRPr="00D25FF7">
          <w:rPr>
            <w:rStyle w:val="Hyperlink"/>
          </w:rPr>
          <w:t>https://doi.org/10.1186/s12913-023-09110-6</w:t>
        </w:r>
      </w:hyperlink>
      <w:r>
        <w:t>.</w:t>
      </w:r>
    </w:p>
    <w:p w14:paraId="5BD0262D" w14:textId="77777777" w:rsidR="007C5875" w:rsidRDefault="007C5875" w:rsidP="007C5875">
      <w:pPr>
        <w:pStyle w:val="NormalWeb"/>
        <w:spacing w:before="0" w:beforeAutospacing="0" w:after="240" w:afterAutospacing="0" w:line="360" w:lineRule="auto"/>
      </w:pPr>
      <w:proofErr w:type="spellStart"/>
      <w:r>
        <w:t>Sciacchitano</w:t>
      </w:r>
      <w:proofErr w:type="spellEnd"/>
      <w:r>
        <w:t xml:space="preserve">, S., </w:t>
      </w:r>
      <w:proofErr w:type="spellStart"/>
      <w:r>
        <w:t>Carola</w:t>
      </w:r>
      <w:proofErr w:type="spellEnd"/>
      <w:r>
        <w:t xml:space="preserve">, V., </w:t>
      </w:r>
      <w:proofErr w:type="spellStart"/>
      <w:r>
        <w:t>Nicolais</w:t>
      </w:r>
      <w:proofErr w:type="spellEnd"/>
      <w:r>
        <w:t xml:space="preserve">, G., </w:t>
      </w:r>
      <w:proofErr w:type="spellStart"/>
      <w:r>
        <w:t>Sciacchitano</w:t>
      </w:r>
      <w:proofErr w:type="spellEnd"/>
      <w:r>
        <w:t xml:space="preserve">, S., Napoli, C., Mancini, R., Rocco, M. and </w:t>
      </w:r>
      <w:proofErr w:type="spellStart"/>
      <w:r>
        <w:t>Coluzzi</w:t>
      </w:r>
      <w:proofErr w:type="spellEnd"/>
      <w:r>
        <w:t xml:space="preserve">, F. (2024). To Be Frail or Not to Be Frail: This Is the Question—A Critical Narrative Review of Frailty. </w:t>
      </w:r>
      <w:r>
        <w:rPr>
          <w:i/>
          <w:iCs/>
        </w:rPr>
        <w:t>Journal of Clinical Medicine</w:t>
      </w:r>
      <w:r>
        <w:t xml:space="preserve">, [online] 13(3), p.721. </w:t>
      </w:r>
      <w:proofErr w:type="spellStart"/>
      <w:r>
        <w:t>doi</w:t>
      </w:r>
      <w:proofErr w:type="spellEnd"/>
      <w:r>
        <w:t xml:space="preserve">: </w:t>
      </w:r>
      <w:hyperlink r:id="rId31" w:history="1">
        <w:r w:rsidRPr="00D25FF7">
          <w:rPr>
            <w:rStyle w:val="Hyperlink"/>
          </w:rPr>
          <w:t>https://doi.org/10.3390/jcm13030721</w:t>
        </w:r>
      </w:hyperlink>
      <w:r>
        <w:t>.</w:t>
      </w:r>
    </w:p>
    <w:p w14:paraId="5B5577CB" w14:textId="77777777" w:rsidR="007C5875" w:rsidRDefault="007C5875" w:rsidP="007C5875">
      <w:pPr>
        <w:pStyle w:val="NormalWeb"/>
        <w:spacing w:before="0" w:beforeAutospacing="0" w:after="240" w:afterAutospacing="0" w:line="360" w:lineRule="auto"/>
      </w:pPr>
      <w:r>
        <w:t xml:space="preserve">Stevenson-Hoare, J., </w:t>
      </w:r>
      <w:proofErr w:type="spellStart"/>
      <w:r>
        <w:t>Schalkamp</w:t>
      </w:r>
      <w:proofErr w:type="spellEnd"/>
      <w:r>
        <w:t xml:space="preserve">, A.-K., Sandor, C., Hardy, J. and </w:t>
      </w:r>
      <w:proofErr w:type="spellStart"/>
      <w:r>
        <w:t>Escott</w:t>
      </w:r>
      <w:proofErr w:type="spellEnd"/>
      <w:r>
        <w:t xml:space="preserve">-Price, V. (2023). New cases of dementia are rising in elderly populations in Wales, UK. </w:t>
      </w:r>
      <w:r>
        <w:rPr>
          <w:i/>
          <w:iCs/>
        </w:rPr>
        <w:t>Journal of the Neurological Sciences</w:t>
      </w:r>
      <w:r>
        <w:t xml:space="preserve">, [online] 451(451), p.120715. </w:t>
      </w:r>
      <w:proofErr w:type="spellStart"/>
      <w:r>
        <w:t>doi</w:t>
      </w:r>
      <w:proofErr w:type="spellEnd"/>
      <w:r>
        <w:t xml:space="preserve">: </w:t>
      </w:r>
      <w:hyperlink r:id="rId32" w:history="1">
        <w:r w:rsidRPr="00D25FF7">
          <w:rPr>
            <w:rStyle w:val="Hyperlink"/>
          </w:rPr>
          <w:t>https://doi.org/10.1016/j.jns.2023.120715</w:t>
        </w:r>
      </w:hyperlink>
      <w:r>
        <w:t>.</w:t>
      </w:r>
    </w:p>
    <w:p w14:paraId="78E192B7" w14:textId="77777777" w:rsidR="007C5875" w:rsidRDefault="007C5875" w:rsidP="007C5875">
      <w:pPr>
        <w:pStyle w:val="NormalWeb"/>
        <w:spacing w:before="0" w:beforeAutospacing="0" w:after="240" w:afterAutospacing="0" w:line="360" w:lineRule="auto"/>
      </w:pPr>
      <w:r>
        <w:t xml:space="preserve">Tang, K.F., </w:t>
      </w:r>
      <w:proofErr w:type="spellStart"/>
      <w:r>
        <w:t>Teh</w:t>
      </w:r>
      <w:proofErr w:type="spellEnd"/>
      <w:r>
        <w:t xml:space="preserve">, P.-L., Lim, W.M. and Lee, S.W.H. (2022). Perspectives on mobility among older adults living with different frailty and cognitive statuses. </w:t>
      </w:r>
      <w:r>
        <w:rPr>
          <w:i/>
          <w:iCs/>
        </w:rPr>
        <w:t>Journal of Transport &amp; Health</w:t>
      </w:r>
      <w:r>
        <w:t xml:space="preserve">, 24, p.101305. </w:t>
      </w:r>
      <w:proofErr w:type="spellStart"/>
      <w:r>
        <w:t>doi</w:t>
      </w:r>
      <w:proofErr w:type="spellEnd"/>
      <w:r>
        <w:t xml:space="preserve">: </w:t>
      </w:r>
      <w:hyperlink r:id="rId33" w:history="1">
        <w:r w:rsidRPr="00D25FF7">
          <w:rPr>
            <w:rStyle w:val="Hyperlink"/>
          </w:rPr>
          <w:t>https://doi.org/10.1016/j.jth.2021.101305</w:t>
        </w:r>
      </w:hyperlink>
      <w:r>
        <w:t>.</w:t>
      </w:r>
    </w:p>
    <w:p w14:paraId="00C66CDF" w14:textId="77777777" w:rsidR="007C5875" w:rsidRDefault="007C5875" w:rsidP="007C5875">
      <w:pPr>
        <w:pStyle w:val="NormalWeb"/>
        <w:spacing w:before="0" w:beforeAutospacing="0" w:after="240" w:afterAutospacing="0" w:line="360" w:lineRule="auto"/>
      </w:pPr>
      <w:r>
        <w:t xml:space="preserve">Watchorn, S. (2024). Falls Risk in Care Home Residents: a Novel Approach to Exploring the Roles of Chronic Health Conditions, and Multi-morbidity - White Rose </w:t>
      </w:r>
      <w:proofErr w:type="spellStart"/>
      <w:r>
        <w:t>eTheses</w:t>
      </w:r>
      <w:proofErr w:type="spellEnd"/>
      <w:r>
        <w:t xml:space="preserve"> Online. </w:t>
      </w:r>
      <w:r>
        <w:rPr>
          <w:i/>
          <w:iCs/>
        </w:rPr>
        <w:t>Whiterose.ac.uk</w:t>
      </w:r>
      <w:r>
        <w:t xml:space="preserve">. [online] </w:t>
      </w:r>
      <w:proofErr w:type="spellStart"/>
      <w:r>
        <w:t>doi</w:t>
      </w:r>
      <w:proofErr w:type="spellEnd"/>
      <w:r>
        <w:t xml:space="preserve">: </w:t>
      </w:r>
      <w:hyperlink r:id="rId34" w:history="1">
        <w:r w:rsidRPr="00D25FF7">
          <w:rPr>
            <w:rStyle w:val="Hyperlink"/>
          </w:rPr>
          <w:t>https://etheses.whiterose.ac.uk/id/eprint/34505/1/SW%20Final%20PhD%20Thesis%20%28White%20Rose%20signatures%20redacted%29.pdf</w:t>
        </w:r>
      </w:hyperlink>
      <w:r>
        <w:t>.</w:t>
      </w:r>
    </w:p>
    <w:p w14:paraId="574B5A30" w14:textId="77777777" w:rsidR="007C5875" w:rsidRPr="007C5875" w:rsidRDefault="007C5875" w:rsidP="007C5875"/>
    <w:p w14:paraId="00CFBF9B" w14:textId="77777777" w:rsidR="007C5875" w:rsidRDefault="007C5875">
      <w:r>
        <w:br/>
      </w:r>
      <w:r>
        <w:br/>
      </w:r>
    </w:p>
    <w:p w14:paraId="3CF645EC" w14:textId="77777777" w:rsidR="00071538" w:rsidRDefault="007C5875" w:rsidP="007C5875">
      <w:pPr>
        <w:pStyle w:val="Heading1"/>
      </w:pPr>
      <w:bookmarkStart w:id="17" w:name="_Toc215933345"/>
      <w:r>
        <w:lastRenderedPageBreak/>
        <w:t>Image references</w:t>
      </w:r>
      <w:bookmarkEnd w:id="17"/>
      <w:r>
        <w:t xml:space="preserve"> </w:t>
      </w:r>
    </w:p>
    <w:p w14:paraId="4EE53372" w14:textId="77777777" w:rsidR="007C5875" w:rsidRDefault="007C5875" w:rsidP="007C5875">
      <w:pPr>
        <w:pStyle w:val="NormalWeb"/>
        <w:spacing w:before="0" w:beforeAutospacing="0" w:after="240" w:afterAutospacing="0" w:line="360" w:lineRule="auto"/>
      </w:pPr>
      <w:r>
        <w:t xml:space="preserve">Faculty of Public Health (2017). </w:t>
      </w:r>
      <w:r>
        <w:rPr>
          <w:i/>
          <w:iCs/>
        </w:rPr>
        <w:t xml:space="preserve">Inequalities in health (e.g. by region, ethnicity, </w:t>
      </w:r>
      <w:proofErr w:type="spellStart"/>
      <w:r>
        <w:rPr>
          <w:i/>
          <w:iCs/>
        </w:rPr>
        <w:t>soci</w:t>
      </w:r>
      <w:proofErr w:type="spellEnd"/>
      <w:r>
        <w:rPr>
          <w:i/>
          <w:iCs/>
        </w:rPr>
        <w:t>-economic position or gender) and in access to health care, including their causes</w:t>
      </w:r>
      <w:r>
        <w:t xml:space="preserve">. [online] Health Knowledge. Available at: </w:t>
      </w:r>
      <w:hyperlink r:id="rId35" w:history="1">
        <w:r w:rsidRPr="00D25FF7">
          <w:rPr>
            <w:rStyle w:val="Hyperlink"/>
          </w:rPr>
          <w:t>https://www.healthknowledge.org.uk/public-health-textbook/medical-sociology-policy-economics/4c-equality-equity-policy/inequalities-distribution</w:t>
        </w:r>
      </w:hyperlink>
      <w:r>
        <w:t>.</w:t>
      </w:r>
    </w:p>
    <w:p w14:paraId="49F37102" w14:textId="77777777" w:rsidR="007C5875" w:rsidRDefault="007C5875" w:rsidP="007C5875">
      <w:pPr>
        <w:pStyle w:val="NormalWeb"/>
        <w:spacing w:before="0" w:beforeAutospacing="0" w:after="240" w:afterAutospacing="0" w:line="360" w:lineRule="auto"/>
      </w:pPr>
      <w:r>
        <w:t xml:space="preserve">Ham, C. and Murray, R. (2018). </w:t>
      </w:r>
      <w:r>
        <w:rPr>
          <w:i/>
          <w:iCs/>
        </w:rPr>
        <w:t>The NHS 10-year Plan</w:t>
      </w:r>
      <w:r>
        <w:t xml:space="preserve">. [online] The King’s Fund. Available at: </w:t>
      </w:r>
      <w:hyperlink r:id="rId36" w:history="1">
        <w:r w:rsidRPr="00D25FF7">
          <w:rPr>
            <w:rStyle w:val="Hyperlink"/>
          </w:rPr>
          <w:t>https://www.kingsfund.org.uk/insight-and-analysis/long-reads/nhs-10-year-plan</w:t>
        </w:r>
      </w:hyperlink>
      <w:r>
        <w:t>.</w:t>
      </w:r>
    </w:p>
    <w:p w14:paraId="1B433657" w14:textId="77777777" w:rsidR="007C5875" w:rsidRDefault="007C5875" w:rsidP="007C5875">
      <w:pPr>
        <w:pStyle w:val="NormalWeb"/>
        <w:spacing w:before="0" w:beforeAutospacing="0" w:after="240" w:afterAutospacing="0" w:line="360" w:lineRule="auto"/>
      </w:pPr>
      <w:proofErr w:type="spellStart"/>
      <w:r>
        <w:t>Mariod</w:t>
      </w:r>
      <w:proofErr w:type="spellEnd"/>
      <w:r>
        <w:t xml:space="preserve">, A.A. and Tahir, H.E. (2022). Biological activities, definition, types and measurements. </w:t>
      </w:r>
      <w:r>
        <w:rPr>
          <w:i/>
          <w:iCs/>
        </w:rPr>
        <w:t>Multiple Biological Activities of Unconventional Seed Oils</w:t>
      </w:r>
      <w:r>
        <w:t xml:space="preserve">, pp.17–28. </w:t>
      </w:r>
      <w:proofErr w:type="spellStart"/>
      <w:r>
        <w:t>doi</w:t>
      </w:r>
      <w:proofErr w:type="spellEnd"/>
      <w:r>
        <w:t xml:space="preserve">: </w:t>
      </w:r>
      <w:hyperlink r:id="rId37" w:history="1">
        <w:r w:rsidRPr="00D25FF7">
          <w:rPr>
            <w:rStyle w:val="Hyperlink"/>
          </w:rPr>
          <w:t>https://doi.org/10.1016/b978-0-12-824135-6.00013-1</w:t>
        </w:r>
      </w:hyperlink>
      <w:r>
        <w:t>.</w:t>
      </w:r>
    </w:p>
    <w:p w14:paraId="7C886E8F" w14:textId="77777777" w:rsidR="007C5875" w:rsidRDefault="007C5875" w:rsidP="007C5875">
      <w:pPr>
        <w:pStyle w:val="NormalWeb"/>
        <w:spacing w:before="0" w:beforeAutospacing="0" w:after="240" w:afterAutospacing="0" w:line="360" w:lineRule="auto"/>
      </w:pPr>
      <w:proofErr w:type="spellStart"/>
      <w:r>
        <w:t>Naah</w:t>
      </w:r>
      <w:proofErr w:type="spellEnd"/>
      <w:r>
        <w:t xml:space="preserve">, F.L., </w:t>
      </w:r>
      <w:proofErr w:type="spellStart"/>
      <w:r>
        <w:t>Njong</w:t>
      </w:r>
      <w:proofErr w:type="spellEnd"/>
      <w:r>
        <w:t xml:space="preserve">, A.M. and </w:t>
      </w:r>
      <w:proofErr w:type="spellStart"/>
      <w:r>
        <w:t>Kimengsi</w:t>
      </w:r>
      <w:proofErr w:type="spellEnd"/>
      <w:r>
        <w:t xml:space="preserve">, J.N. (2020). Determinants of Active and Healthy Ageing in Sub-Saharan Africa: Evidence from Cameroon. </w:t>
      </w:r>
      <w:r>
        <w:rPr>
          <w:i/>
          <w:iCs/>
        </w:rPr>
        <w:t>International Journal of Environmental Research and Public Health</w:t>
      </w:r>
      <w:r>
        <w:t xml:space="preserve">, [online] 17(9). </w:t>
      </w:r>
      <w:proofErr w:type="spellStart"/>
      <w:r>
        <w:t>doi</w:t>
      </w:r>
      <w:proofErr w:type="spellEnd"/>
      <w:r>
        <w:t xml:space="preserve">: </w:t>
      </w:r>
      <w:hyperlink r:id="rId38" w:history="1">
        <w:r w:rsidRPr="00D25FF7">
          <w:rPr>
            <w:rStyle w:val="Hyperlink"/>
          </w:rPr>
          <w:t>https://doi.org/10.3390/ijerph17093038</w:t>
        </w:r>
      </w:hyperlink>
      <w:r>
        <w:t>.</w:t>
      </w:r>
    </w:p>
    <w:p w14:paraId="190664AE" w14:textId="77777777" w:rsidR="007C5875" w:rsidRDefault="007C5875" w:rsidP="007C5875">
      <w:pPr>
        <w:pStyle w:val="NormalWeb"/>
        <w:spacing w:before="0" w:beforeAutospacing="0" w:after="240" w:afterAutospacing="0" w:line="360" w:lineRule="auto"/>
      </w:pPr>
      <w:r>
        <w:t xml:space="preserve">Page, S. (2022). </w:t>
      </w:r>
      <w:r>
        <w:rPr>
          <w:i/>
          <w:iCs/>
        </w:rPr>
        <w:t>Why Do Social Determinants of Health Matter At Work?</w:t>
      </w:r>
      <w:r>
        <w:t xml:space="preserve"> [online] info.totalwellnesshealth.com. Available at: </w:t>
      </w:r>
      <w:hyperlink r:id="rId39" w:history="1">
        <w:r w:rsidRPr="00D25FF7">
          <w:rPr>
            <w:rStyle w:val="Hyperlink"/>
          </w:rPr>
          <w:t>https://info.totalwellnesshealth.com/blog/social-determinants-of-health</w:t>
        </w:r>
      </w:hyperlink>
      <w:r>
        <w:t>.</w:t>
      </w:r>
    </w:p>
    <w:p w14:paraId="25511CF0" w14:textId="77777777" w:rsidR="007C5875" w:rsidRDefault="007C5875" w:rsidP="007C5875">
      <w:pPr>
        <w:pStyle w:val="NormalWeb"/>
        <w:spacing w:before="0" w:beforeAutospacing="0" w:after="240" w:afterAutospacing="0" w:line="360" w:lineRule="auto"/>
      </w:pPr>
      <w:r>
        <w:t xml:space="preserve">Stephens, J., Randolph, J. and </w:t>
      </w:r>
      <w:proofErr w:type="spellStart"/>
      <w:r>
        <w:t>Leissa</w:t>
      </w:r>
      <w:proofErr w:type="spellEnd"/>
      <w:r>
        <w:t xml:space="preserve">, S. (2024). Behavior and Lifestyle Risk Factors. </w:t>
      </w:r>
      <w:r>
        <w:rPr>
          <w:i/>
          <w:iCs/>
        </w:rPr>
        <w:t>Preventive Cardiovascular Nursing</w:t>
      </w:r>
      <w:r>
        <w:t xml:space="preserve">, pp.121–148. </w:t>
      </w:r>
      <w:proofErr w:type="spellStart"/>
      <w:r>
        <w:t>doi</w:t>
      </w:r>
      <w:proofErr w:type="spellEnd"/>
      <w:r>
        <w:t xml:space="preserve">: </w:t>
      </w:r>
      <w:hyperlink r:id="rId40" w:history="1">
        <w:r w:rsidRPr="00D25FF7">
          <w:rPr>
            <w:rStyle w:val="Hyperlink"/>
          </w:rPr>
          <w:t>https://doi.org/10.1007/978-3-031-53705-9_5</w:t>
        </w:r>
      </w:hyperlink>
      <w:r>
        <w:t>.</w:t>
      </w:r>
    </w:p>
    <w:p w14:paraId="33CFDFBB" w14:textId="77777777" w:rsidR="007C5875" w:rsidRPr="007C5875" w:rsidRDefault="007C5875" w:rsidP="007C5875"/>
    <w:sectPr w:rsidR="007C5875" w:rsidRPr="007C5875" w:rsidSect="00071538">
      <w:headerReference w:type="even" r:id="rId41"/>
      <w:headerReference w:type="default" r:id="rId42"/>
      <w:footerReference w:type="even" r:id="rId43"/>
      <w:footerReference w:type="default" r:id="rId44"/>
      <w:headerReference w:type="first" r:id="rId45"/>
      <w:footerReference w:type="first" r:id="rId4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64A3E4" w14:textId="77777777" w:rsidR="001974EE" w:rsidRDefault="001974EE" w:rsidP="006B5D36">
      <w:pPr>
        <w:spacing w:after="0" w:line="240" w:lineRule="auto"/>
      </w:pPr>
      <w:r>
        <w:separator/>
      </w:r>
    </w:p>
  </w:endnote>
  <w:endnote w:type="continuationSeparator" w:id="0">
    <w:p w14:paraId="2809878A" w14:textId="77777777" w:rsidR="001974EE" w:rsidRDefault="001974EE" w:rsidP="006B5D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FCAD35" w14:textId="77777777" w:rsidR="007E183D" w:rsidRDefault="007E18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4C3FDF" w14:textId="77777777" w:rsidR="007E183D" w:rsidRDefault="007E18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45D54F" w14:textId="77777777" w:rsidR="007E183D" w:rsidRDefault="007E18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F076F9" w14:textId="77777777" w:rsidR="001974EE" w:rsidRDefault="001974EE" w:rsidP="006B5D36">
      <w:pPr>
        <w:spacing w:after="0" w:line="240" w:lineRule="auto"/>
      </w:pPr>
      <w:r>
        <w:separator/>
      </w:r>
    </w:p>
  </w:footnote>
  <w:footnote w:type="continuationSeparator" w:id="0">
    <w:p w14:paraId="0D49F3D8" w14:textId="77777777" w:rsidR="001974EE" w:rsidRDefault="001974EE" w:rsidP="006B5D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858633" w14:textId="77777777" w:rsidR="007E183D" w:rsidRDefault="007E18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15954"/>
      <w:docPartObj>
        <w:docPartGallery w:val="Page Numbers (Top of Page)"/>
        <w:docPartUnique/>
      </w:docPartObj>
    </w:sdtPr>
    <w:sdtEndPr/>
    <w:sdtContent>
      <w:p w14:paraId="6A89F76B" w14:textId="77777777" w:rsidR="006B5D36" w:rsidRDefault="001974EE">
        <w:pPr>
          <w:pStyle w:val="Header"/>
          <w:jc w:val="right"/>
        </w:pPr>
        <w:r>
          <w:fldChar w:fldCharType="begin"/>
        </w:r>
        <w:r>
          <w:instrText xml:space="preserve"> PAGE   \* MERGEFORMAT </w:instrText>
        </w:r>
        <w:r>
          <w:fldChar w:fldCharType="separate"/>
        </w:r>
        <w:r w:rsidR="007E183D">
          <w:rPr>
            <w:noProof/>
          </w:rPr>
          <w:t>22</w:t>
        </w:r>
        <w:r>
          <w:rPr>
            <w:noProof/>
          </w:rPr>
          <w:fldChar w:fldCharType="end"/>
        </w:r>
      </w:p>
    </w:sdtContent>
  </w:sdt>
  <w:p w14:paraId="49E5BE4E" w14:textId="77777777" w:rsidR="006B5D36" w:rsidRDefault="006B5D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A3C18" w14:textId="77777777" w:rsidR="007E183D" w:rsidRDefault="007E183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D36"/>
    <w:rsid w:val="00071538"/>
    <w:rsid w:val="000B72B8"/>
    <w:rsid w:val="001974EE"/>
    <w:rsid w:val="001B249E"/>
    <w:rsid w:val="002C6052"/>
    <w:rsid w:val="00377876"/>
    <w:rsid w:val="00412904"/>
    <w:rsid w:val="004C4137"/>
    <w:rsid w:val="00502A29"/>
    <w:rsid w:val="00523486"/>
    <w:rsid w:val="005B7D1C"/>
    <w:rsid w:val="00692E0D"/>
    <w:rsid w:val="006B5D36"/>
    <w:rsid w:val="006E539F"/>
    <w:rsid w:val="00787354"/>
    <w:rsid w:val="007C5875"/>
    <w:rsid w:val="007E183D"/>
    <w:rsid w:val="00887651"/>
    <w:rsid w:val="008A5B88"/>
    <w:rsid w:val="008B6B34"/>
    <w:rsid w:val="00927CC3"/>
    <w:rsid w:val="00981ABE"/>
    <w:rsid w:val="00AD75D7"/>
    <w:rsid w:val="00B15150"/>
    <w:rsid w:val="00B67D31"/>
    <w:rsid w:val="00C71A0A"/>
    <w:rsid w:val="00D170AA"/>
    <w:rsid w:val="00D55A05"/>
    <w:rsid w:val="00E90213"/>
    <w:rsid w:val="00EB0CEC"/>
    <w:rsid w:val="00EB32DA"/>
    <w:rsid w:val="00ED112B"/>
    <w:rsid w:val="00FE77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1A9E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7D1C"/>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5B7D1C"/>
    <w:pPr>
      <w:keepNext/>
      <w:keepLines/>
      <w:spacing w:before="480" w:after="0" w:line="240" w:lineRule="auto"/>
      <w:jc w:val="center"/>
      <w:outlineLvl w:val="0"/>
    </w:pPr>
    <w:rPr>
      <w:rFonts w:eastAsiaTheme="majorEastAsia" w:cstheme="majorBidi"/>
      <w:b/>
      <w:bCs/>
      <w:szCs w:val="28"/>
    </w:rPr>
  </w:style>
  <w:style w:type="paragraph" w:styleId="Heading2">
    <w:name w:val="heading 2"/>
    <w:basedOn w:val="Normal"/>
    <w:next w:val="Normal"/>
    <w:link w:val="Heading2Char"/>
    <w:autoRedefine/>
    <w:uiPriority w:val="9"/>
    <w:unhideWhenUsed/>
    <w:qFormat/>
    <w:rsid w:val="005B7D1C"/>
    <w:pPr>
      <w:keepNext/>
      <w:keepLines/>
      <w:spacing w:before="200" w:after="0" w:line="360" w:lineRule="auto"/>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7C587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D1C"/>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5B7D1C"/>
    <w:rPr>
      <w:rFonts w:ascii="Times New Roman" w:eastAsiaTheme="majorEastAsia" w:hAnsi="Times New Roman" w:cstheme="majorBidi"/>
      <w:b/>
      <w:bCs/>
      <w:sz w:val="24"/>
      <w:szCs w:val="26"/>
    </w:rPr>
  </w:style>
  <w:style w:type="paragraph" w:styleId="NoSpacing">
    <w:name w:val="No Spacing"/>
    <w:autoRedefine/>
    <w:uiPriority w:val="1"/>
    <w:qFormat/>
    <w:rsid w:val="005B7D1C"/>
    <w:pPr>
      <w:spacing w:after="0" w:line="480" w:lineRule="auto"/>
      <w:jc w:val="both"/>
    </w:pPr>
    <w:rPr>
      <w:rFonts w:ascii="Times New Roman" w:hAnsi="Times New Roman"/>
      <w:sz w:val="24"/>
    </w:rPr>
  </w:style>
  <w:style w:type="paragraph" w:styleId="Header">
    <w:name w:val="header"/>
    <w:basedOn w:val="Normal"/>
    <w:link w:val="HeaderChar"/>
    <w:uiPriority w:val="99"/>
    <w:unhideWhenUsed/>
    <w:rsid w:val="006B5D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5D36"/>
    <w:rPr>
      <w:rFonts w:ascii="Times New Roman" w:hAnsi="Times New Roman"/>
      <w:sz w:val="24"/>
    </w:rPr>
  </w:style>
  <w:style w:type="paragraph" w:styleId="Footer">
    <w:name w:val="footer"/>
    <w:basedOn w:val="Normal"/>
    <w:link w:val="FooterChar"/>
    <w:uiPriority w:val="99"/>
    <w:semiHidden/>
    <w:unhideWhenUsed/>
    <w:rsid w:val="006B5D36"/>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6B5D36"/>
    <w:rPr>
      <w:rFonts w:ascii="Times New Roman" w:hAnsi="Times New Roman"/>
      <w:sz w:val="24"/>
    </w:rPr>
  </w:style>
  <w:style w:type="paragraph" w:styleId="TOCHeading">
    <w:name w:val="TOC Heading"/>
    <w:basedOn w:val="Heading1"/>
    <w:next w:val="Normal"/>
    <w:uiPriority w:val="39"/>
    <w:semiHidden/>
    <w:unhideWhenUsed/>
    <w:qFormat/>
    <w:rsid w:val="006B5D36"/>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6B5D36"/>
    <w:pPr>
      <w:spacing w:after="100"/>
    </w:pPr>
  </w:style>
  <w:style w:type="paragraph" w:styleId="TOC2">
    <w:name w:val="toc 2"/>
    <w:basedOn w:val="Normal"/>
    <w:next w:val="Normal"/>
    <w:autoRedefine/>
    <w:uiPriority w:val="39"/>
    <w:unhideWhenUsed/>
    <w:rsid w:val="006B5D36"/>
    <w:pPr>
      <w:spacing w:after="100"/>
      <w:ind w:left="240"/>
    </w:pPr>
  </w:style>
  <w:style w:type="character" w:styleId="Hyperlink">
    <w:name w:val="Hyperlink"/>
    <w:basedOn w:val="DefaultParagraphFont"/>
    <w:uiPriority w:val="99"/>
    <w:unhideWhenUsed/>
    <w:rsid w:val="006B5D36"/>
    <w:rPr>
      <w:color w:val="0000FF" w:themeColor="hyperlink"/>
      <w:u w:val="single"/>
    </w:rPr>
  </w:style>
  <w:style w:type="paragraph" w:styleId="BalloonText">
    <w:name w:val="Balloon Text"/>
    <w:basedOn w:val="Normal"/>
    <w:link w:val="BalloonTextChar"/>
    <w:uiPriority w:val="99"/>
    <w:semiHidden/>
    <w:unhideWhenUsed/>
    <w:rsid w:val="006B5D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5D36"/>
    <w:rPr>
      <w:rFonts w:ascii="Tahoma" w:hAnsi="Tahoma" w:cs="Tahoma"/>
      <w:sz w:val="16"/>
      <w:szCs w:val="16"/>
    </w:rPr>
  </w:style>
  <w:style w:type="paragraph" w:styleId="NormalWeb">
    <w:name w:val="Normal (Web)"/>
    <w:basedOn w:val="Normal"/>
    <w:uiPriority w:val="99"/>
    <w:semiHidden/>
    <w:unhideWhenUsed/>
    <w:rsid w:val="007C5875"/>
    <w:pPr>
      <w:spacing w:before="100" w:beforeAutospacing="1" w:after="100" w:afterAutospacing="1" w:line="240" w:lineRule="auto"/>
      <w:jc w:val="left"/>
    </w:pPr>
    <w:rPr>
      <w:rFonts w:eastAsia="Times New Roman" w:cs="Times New Roman"/>
      <w:szCs w:val="24"/>
    </w:rPr>
  </w:style>
  <w:style w:type="character" w:customStyle="1" w:styleId="Heading3Char">
    <w:name w:val="Heading 3 Char"/>
    <w:basedOn w:val="DefaultParagraphFont"/>
    <w:link w:val="Heading3"/>
    <w:uiPriority w:val="9"/>
    <w:semiHidden/>
    <w:rsid w:val="007C5875"/>
    <w:rPr>
      <w:rFonts w:asciiTheme="majorHAnsi" w:eastAsiaTheme="majorEastAsia" w:hAnsiTheme="majorHAnsi" w:cstheme="majorBidi"/>
      <w:b/>
      <w:bCs/>
      <w:color w:val="4F81BD" w:themeColor="accent1"/>
      <w:sz w:val="24"/>
    </w:rPr>
  </w:style>
  <w:style w:type="character" w:styleId="Strong">
    <w:name w:val="Strong"/>
    <w:basedOn w:val="DefaultParagraphFont"/>
    <w:uiPriority w:val="22"/>
    <w:qFormat/>
    <w:rsid w:val="007C587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565965">
      <w:bodyDiv w:val="1"/>
      <w:marLeft w:val="0"/>
      <w:marRight w:val="0"/>
      <w:marTop w:val="0"/>
      <w:marBottom w:val="0"/>
      <w:divBdr>
        <w:top w:val="none" w:sz="0" w:space="0" w:color="auto"/>
        <w:left w:val="none" w:sz="0" w:space="0" w:color="auto"/>
        <w:bottom w:val="none" w:sz="0" w:space="0" w:color="auto"/>
        <w:right w:val="none" w:sz="0" w:space="0" w:color="auto"/>
      </w:divBdr>
    </w:div>
    <w:div w:id="52243098">
      <w:bodyDiv w:val="1"/>
      <w:marLeft w:val="0"/>
      <w:marRight w:val="0"/>
      <w:marTop w:val="0"/>
      <w:marBottom w:val="0"/>
      <w:divBdr>
        <w:top w:val="none" w:sz="0" w:space="0" w:color="auto"/>
        <w:left w:val="none" w:sz="0" w:space="0" w:color="auto"/>
        <w:bottom w:val="none" w:sz="0" w:space="0" w:color="auto"/>
        <w:right w:val="none" w:sz="0" w:space="0" w:color="auto"/>
      </w:divBdr>
    </w:div>
    <w:div w:id="154616110">
      <w:bodyDiv w:val="1"/>
      <w:marLeft w:val="0"/>
      <w:marRight w:val="0"/>
      <w:marTop w:val="0"/>
      <w:marBottom w:val="0"/>
      <w:divBdr>
        <w:top w:val="none" w:sz="0" w:space="0" w:color="auto"/>
        <w:left w:val="none" w:sz="0" w:space="0" w:color="auto"/>
        <w:bottom w:val="none" w:sz="0" w:space="0" w:color="auto"/>
        <w:right w:val="none" w:sz="0" w:space="0" w:color="auto"/>
      </w:divBdr>
      <w:divsChild>
        <w:div w:id="1783648912">
          <w:marLeft w:val="0"/>
          <w:marRight w:val="0"/>
          <w:marTop w:val="0"/>
          <w:marBottom w:val="0"/>
          <w:divBdr>
            <w:top w:val="none" w:sz="0" w:space="0" w:color="auto"/>
            <w:left w:val="none" w:sz="0" w:space="0" w:color="auto"/>
            <w:bottom w:val="none" w:sz="0" w:space="0" w:color="auto"/>
            <w:right w:val="none" w:sz="0" w:space="0" w:color="auto"/>
          </w:divBdr>
        </w:div>
      </w:divsChild>
    </w:div>
    <w:div w:id="164169271">
      <w:bodyDiv w:val="1"/>
      <w:marLeft w:val="0"/>
      <w:marRight w:val="0"/>
      <w:marTop w:val="0"/>
      <w:marBottom w:val="0"/>
      <w:divBdr>
        <w:top w:val="none" w:sz="0" w:space="0" w:color="auto"/>
        <w:left w:val="none" w:sz="0" w:space="0" w:color="auto"/>
        <w:bottom w:val="none" w:sz="0" w:space="0" w:color="auto"/>
        <w:right w:val="none" w:sz="0" w:space="0" w:color="auto"/>
      </w:divBdr>
    </w:div>
    <w:div w:id="172495408">
      <w:bodyDiv w:val="1"/>
      <w:marLeft w:val="0"/>
      <w:marRight w:val="0"/>
      <w:marTop w:val="0"/>
      <w:marBottom w:val="0"/>
      <w:divBdr>
        <w:top w:val="none" w:sz="0" w:space="0" w:color="auto"/>
        <w:left w:val="none" w:sz="0" w:space="0" w:color="auto"/>
        <w:bottom w:val="none" w:sz="0" w:space="0" w:color="auto"/>
        <w:right w:val="none" w:sz="0" w:space="0" w:color="auto"/>
      </w:divBdr>
      <w:divsChild>
        <w:div w:id="759104579">
          <w:marLeft w:val="0"/>
          <w:marRight w:val="0"/>
          <w:marTop w:val="0"/>
          <w:marBottom w:val="0"/>
          <w:divBdr>
            <w:top w:val="none" w:sz="0" w:space="0" w:color="auto"/>
            <w:left w:val="none" w:sz="0" w:space="0" w:color="auto"/>
            <w:bottom w:val="none" w:sz="0" w:space="0" w:color="auto"/>
            <w:right w:val="none" w:sz="0" w:space="0" w:color="auto"/>
          </w:divBdr>
        </w:div>
      </w:divsChild>
    </w:div>
    <w:div w:id="272902643">
      <w:bodyDiv w:val="1"/>
      <w:marLeft w:val="0"/>
      <w:marRight w:val="0"/>
      <w:marTop w:val="0"/>
      <w:marBottom w:val="0"/>
      <w:divBdr>
        <w:top w:val="none" w:sz="0" w:space="0" w:color="auto"/>
        <w:left w:val="none" w:sz="0" w:space="0" w:color="auto"/>
        <w:bottom w:val="none" w:sz="0" w:space="0" w:color="auto"/>
        <w:right w:val="none" w:sz="0" w:space="0" w:color="auto"/>
      </w:divBdr>
    </w:div>
    <w:div w:id="293491420">
      <w:bodyDiv w:val="1"/>
      <w:marLeft w:val="0"/>
      <w:marRight w:val="0"/>
      <w:marTop w:val="0"/>
      <w:marBottom w:val="0"/>
      <w:divBdr>
        <w:top w:val="none" w:sz="0" w:space="0" w:color="auto"/>
        <w:left w:val="none" w:sz="0" w:space="0" w:color="auto"/>
        <w:bottom w:val="none" w:sz="0" w:space="0" w:color="auto"/>
        <w:right w:val="none" w:sz="0" w:space="0" w:color="auto"/>
      </w:divBdr>
    </w:div>
    <w:div w:id="492062362">
      <w:bodyDiv w:val="1"/>
      <w:marLeft w:val="0"/>
      <w:marRight w:val="0"/>
      <w:marTop w:val="0"/>
      <w:marBottom w:val="0"/>
      <w:divBdr>
        <w:top w:val="none" w:sz="0" w:space="0" w:color="auto"/>
        <w:left w:val="none" w:sz="0" w:space="0" w:color="auto"/>
        <w:bottom w:val="none" w:sz="0" w:space="0" w:color="auto"/>
        <w:right w:val="none" w:sz="0" w:space="0" w:color="auto"/>
      </w:divBdr>
      <w:divsChild>
        <w:div w:id="1495343491">
          <w:marLeft w:val="0"/>
          <w:marRight w:val="0"/>
          <w:marTop w:val="0"/>
          <w:marBottom w:val="0"/>
          <w:divBdr>
            <w:top w:val="single" w:sz="2" w:space="0" w:color="auto"/>
            <w:left w:val="single" w:sz="2" w:space="0" w:color="auto"/>
            <w:bottom w:val="single" w:sz="2" w:space="0" w:color="auto"/>
            <w:right w:val="single" w:sz="2" w:space="0" w:color="auto"/>
          </w:divBdr>
        </w:div>
      </w:divsChild>
    </w:div>
    <w:div w:id="598565938">
      <w:bodyDiv w:val="1"/>
      <w:marLeft w:val="0"/>
      <w:marRight w:val="0"/>
      <w:marTop w:val="0"/>
      <w:marBottom w:val="0"/>
      <w:divBdr>
        <w:top w:val="none" w:sz="0" w:space="0" w:color="auto"/>
        <w:left w:val="none" w:sz="0" w:space="0" w:color="auto"/>
        <w:bottom w:val="none" w:sz="0" w:space="0" w:color="auto"/>
        <w:right w:val="none" w:sz="0" w:space="0" w:color="auto"/>
      </w:divBdr>
    </w:div>
    <w:div w:id="634259959">
      <w:bodyDiv w:val="1"/>
      <w:marLeft w:val="0"/>
      <w:marRight w:val="0"/>
      <w:marTop w:val="0"/>
      <w:marBottom w:val="0"/>
      <w:divBdr>
        <w:top w:val="none" w:sz="0" w:space="0" w:color="auto"/>
        <w:left w:val="none" w:sz="0" w:space="0" w:color="auto"/>
        <w:bottom w:val="none" w:sz="0" w:space="0" w:color="auto"/>
        <w:right w:val="none" w:sz="0" w:space="0" w:color="auto"/>
      </w:divBdr>
      <w:divsChild>
        <w:div w:id="1405839492">
          <w:marLeft w:val="0"/>
          <w:marRight w:val="0"/>
          <w:marTop w:val="0"/>
          <w:marBottom w:val="0"/>
          <w:divBdr>
            <w:top w:val="single" w:sz="2" w:space="0" w:color="auto"/>
            <w:left w:val="single" w:sz="2" w:space="0" w:color="auto"/>
            <w:bottom w:val="single" w:sz="2" w:space="0" w:color="auto"/>
            <w:right w:val="single" w:sz="2" w:space="0" w:color="auto"/>
          </w:divBdr>
        </w:div>
      </w:divsChild>
    </w:div>
    <w:div w:id="647242895">
      <w:bodyDiv w:val="1"/>
      <w:marLeft w:val="0"/>
      <w:marRight w:val="0"/>
      <w:marTop w:val="0"/>
      <w:marBottom w:val="0"/>
      <w:divBdr>
        <w:top w:val="none" w:sz="0" w:space="0" w:color="auto"/>
        <w:left w:val="none" w:sz="0" w:space="0" w:color="auto"/>
        <w:bottom w:val="none" w:sz="0" w:space="0" w:color="auto"/>
        <w:right w:val="none" w:sz="0" w:space="0" w:color="auto"/>
      </w:divBdr>
    </w:div>
    <w:div w:id="710495588">
      <w:bodyDiv w:val="1"/>
      <w:marLeft w:val="0"/>
      <w:marRight w:val="0"/>
      <w:marTop w:val="0"/>
      <w:marBottom w:val="0"/>
      <w:divBdr>
        <w:top w:val="none" w:sz="0" w:space="0" w:color="auto"/>
        <w:left w:val="none" w:sz="0" w:space="0" w:color="auto"/>
        <w:bottom w:val="none" w:sz="0" w:space="0" w:color="auto"/>
        <w:right w:val="none" w:sz="0" w:space="0" w:color="auto"/>
      </w:divBdr>
    </w:div>
    <w:div w:id="807665725">
      <w:bodyDiv w:val="1"/>
      <w:marLeft w:val="0"/>
      <w:marRight w:val="0"/>
      <w:marTop w:val="0"/>
      <w:marBottom w:val="0"/>
      <w:divBdr>
        <w:top w:val="none" w:sz="0" w:space="0" w:color="auto"/>
        <w:left w:val="none" w:sz="0" w:space="0" w:color="auto"/>
        <w:bottom w:val="none" w:sz="0" w:space="0" w:color="auto"/>
        <w:right w:val="none" w:sz="0" w:space="0" w:color="auto"/>
      </w:divBdr>
    </w:div>
    <w:div w:id="942304924">
      <w:bodyDiv w:val="1"/>
      <w:marLeft w:val="0"/>
      <w:marRight w:val="0"/>
      <w:marTop w:val="0"/>
      <w:marBottom w:val="0"/>
      <w:divBdr>
        <w:top w:val="none" w:sz="0" w:space="0" w:color="auto"/>
        <w:left w:val="none" w:sz="0" w:space="0" w:color="auto"/>
        <w:bottom w:val="none" w:sz="0" w:space="0" w:color="auto"/>
        <w:right w:val="none" w:sz="0" w:space="0" w:color="auto"/>
      </w:divBdr>
    </w:div>
    <w:div w:id="946473166">
      <w:bodyDiv w:val="1"/>
      <w:marLeft w:val="0"/>
      <w:marRight w:val="0"/>
      <w:marTop w:val="0"/>
      <w:marBottom w:val="0"/>
      <w:divBdr>
        <w:top w:val="none" w:sz="0" w:space="0" w:color="auto"/>
        <w:left w:val="none" w:sz="0" w:space="0" w:color="auto"/>
        <w:bottom w:val="none" w:sz="0" w:space="0" w:color="auto"/>
        <w:right w:val="none" w:sz="0" w:space="0" w:color="auto"/>
      </w:divBdr>
    </w:div>
    <w:div w:id="961570455">
      <w:bodyDiv w:val="1"/>
      <w:marLeft w:val="0"/>
      <w:marRight w:val="0"/>
      <w:marTop w:val="0"/>
      <w:marBottom w:val="0"/>
      <w:divBdr>
        <w:top w:val="none" w:sz="0" w:space="0" w:color="auto"/>
        <w:left w:val="none" w:sz="0" w:space="0" w:color="auto"/>
        <w:bottom w:val="none" w:sz="0" w:space="0" w:color="auto"/>
        <w:right w:val="none" w:sz="0" w:space="0" w:color="auto"/>
      </w:divBdr>
    </w:div>
    <w:div w:id="1000156149">
      <w:bodyDiv w:val="1"/>
      <w:marLeft w:val="0"/>
      <w:marRight w:val="0"/>
      <w:marTop w:val="0"/>
      <w:marBottom w:val="0"/>
      <w:divBdr>
        <w:top w:val="none" w:sz="0" w:space="0" w:color="auto"/>
        <w:left w:val="none" w:sz="0" w:space="0" w:color="auto"/>
        <w:bottom w:val="none" w:sz="0" w:space="0" w:color="auto"/>
        <w:right w:val="none" w:sz="0" w:space="0" w:color="auto"/>
      </w:divBdr>
    </w:div>
    <w:div w:id="1024478291">
      <w:bodyDiv w:val="1"/>
      <w:marLeft w:val="0"/>
      <w:marRight w:val="0"/>
      <w:marTop w:val="0"/>
      <w:marBottom w:val="0"/>
      <w:divBdr>
        <w:top w:val="none" w:sz="0" w:space="0" w:color="auto"/>
        <w:left w:val="none" w:sz="0" w:space="0" w:color="auto"/>
        <w:bottom w:val="none" w:sz="0" w:space="0" w:color="auto"/>
        <w:right w:val="none" w:sz="0" w:space="0" w:color="auto"/>
      </w:divBdr>
    </w:div>
    <w:div w:id="1252930505">
      <w:bodyDiv w:val="1"/>
      <w:marLeft w:val="0"/>
      <w:marRight w:val="0"/>
      <w:marTop w:val="0"/>
      <w:marBottom w:val="0"/>
      <w:divBdr>
        <w:top w:val="none" w:sz="0" w:space="0" w:color="auto"/>
        <w:left w:val="none" w:sz="0" w:space="0" w:color="auto"/>
        <w:bottom w:val="none" w:sz="0" w:space="0" w:color="auto"/>
        <w:right w:val="none" w:sz="0" w:space="0" w:color="auto"/>
      </w:divBdr>
    </w:div>
    <w:div w:id="1281230723">
      <w:bodyDiv w:val="1"/>
      <w:marLeft w:val="0"/>
      <w:marRight w:val="0"/>
      <w:marTop w:val="0"/>
      <w:marBottom w:val="0"/>
      <w:divBdr>
        <w:top w:val="none" w:sz="0" w:space="0" w:color="auto"/>
        <w:left w:val="none" w:sz="0" w:space="0" w:color="auto"/>
        <w:bottom w:val="none" w:sz="0" w:space="0" w:color="auto"/>
        <w:right w:val="none" w:sz="0" w:space="0" w:color="auto"/>
      </w:divBdr>
    </w:div>
    <w:div w:id="1304000853">
      <w:bodyDiv w:val="1"/>
      <w:marLeft w:val="0"/>
      <w:marRight w:val="0"/>
      <w:marTop w:val="0"/>
      <w:marBottom w:val="0"/>
      <w:divBdr>
        <w:top w:val="none" w:sz="0" w:space="0" w:color="auto"/>
        <w:left w:val="none" w:sz="0" w:space="0" w:color="auto"/>
        <w:bottom w:val="none" w:sz="0" w:space="0" w:color="auto"/>
        <w:right w:val="none" w:sz="0" w:space="0" w:color="auto"/>
      </w:divBdr>
    </w:div>
    <w:div w:id="1337076970">
      <w:bodyDiv w:val="1"/>
      <w:marLeft w:val="0"/>
      <w:marRight w:val="0"/>
      <w:marTop w:val="0"/>
      <w:marBottom w:val="0"/>
      <w:divBdr>
        <w:top w:val="none" w:sz="0" w:space="0" w:color="auto"/>
        <w:left w:val="none" w:sz="0" w:space="0" w:color="auto"/>
        <w:bottom w:val="none" w:sz="0" w:space="0" w:color="auto"/>
        <w:right w:val="none" w:sz="0" w:space="0" w:color="auto"/>
      </w:divBdr>
      <w:divsChild>
        <w:div w:id="952593761">
          <w:marLeft w:val="0"/>
          <w:marRight w:val="0"/>
          <w:marTop w:val="0"/>
          <w:marBottom w:val="0"/>
          <w:divBdr>
            <w:top w:val="single" w:sz="2" w:space="0" w:color="auto"/>
            <w:left w:val="single" w:sz="2" w:space="0" w:color="auto"/>
            <w:bottom w:val="single" w:sz="2" w:space="0" w:color="auto"/>
            <w:right w:val="single" w:sz="2" w:space="0" w:color="auto"/>
          </w:divBdr>
        </w:div>
      </w:divsChild>
    </w:div>
    <w:div w:id="1430542755">
      <w:bodyDiv w:val="1"/>
      <w:marLeft w:val="0"/>
      <w:marRight w:val="0"/>
      <w:marTop w:val="0"/>
      <w:marBottom w:val="0"/>
      <w:divBdr>
        <w:top w:val="none" w:sz="0" w:space="0" w:color="auto"/>
        <w:left w:val="none" w:sz="0" w:space="0" w:color="auto"/>
        <w:bottom w:val="none" w:sz="0" w:space="0" w:color="auto"/>
        <w:right w:val="none" w:sz="0" w:space="0" w:color="auto"/>
      </w:divBdr>
      <w:divsChild>
        <w:div w:id="1030060583">
          <w:marLeft w:val="0"/>
          <w:marRight w:val="0"/>
          <w:marTop w:val="0"/>
          <w:marBottom w:val="0"/>
          <w:divBdr>
            <w:top w:val="single" w:sz="2" w:space="0" w:color="auto"/>
            <w:left w:val="single" w:sz="2" w:space="0" w:color="auto"/>
            <w:bottom w:val="single" w:sz="2" w:space="0" w:color="auto"/>
            <w:right w:val="single" w:sz="2" w:space="0" w:color="auto"/>
          </w:divBdr>
        </w:div>
      </w:divsChild>
    </w:div>
    <w:div w:id="1464032188">
      <w:bodyDiv w:val="1"/>
      <w:marLeft w:val="0"/>
      <w:marRight w:val="0"/>
      <w:marTop w:val="0"/>
      <w:marBottom w:val="0"/>
      <w:divBdr>
        <w:top w:val="none" w:sz="0" w:space="0" w:color="auto"/>
        <w:left w:val="none" w:sz="0" w:space="0" w:color="auto"/>
        <w:bottom w:val="none" w:sz="0" w:space="0" w:color="auto"/>
        <w:right w:val="none" w:sz="0" w:space="0" w:color="auto"/>
      </w:divBdr>
    </w:div>
    <w:div w:id="1545362174">
      <w:bodyDiv w:val="1"/>
      <w:marLeft w:val="0"/>
      <w:marRight w:val="0"/>
      <w:marTop w:val="0"/>
      <w:marBottom w:val="0"/>
      <w:divBdr>
        <w:top w:val="none" w:sz="0" w:space="0" w:color="auto"/>
        <w:left w:val="none" w:sz="0" w:space="0" w:color="auto"/>
        <w:bottom w:val="none" w:sz="0" w:space="0" w:color="auto"/>
        <w:right w:val="none" w:sz="0" w:space="0" w:color="auto"/>
      </w:divBdr>
    </w:div>
    <w:div w:id="1595167953">
      <w:bodyDiv w:val="1"/>
      <w:marLeft w:val="0"/>
      <w:marRight w:val="0"/>
      <w:marTop w:val="0"/>
      <w:marBottom w:val="0"/>
      <w:divBdr>
        <w:top w:val="none" w:sz="0" w:space="0" w:color="auto"/>
        <w:left w:val="none" w:sz="0" w:space="0" w:color="auto"/>
        <w:bottom w:val="none" w:sz="0" w:space="0" w:color="auto"/>
        <w:right w:val="none" w:sz="0" w:space="0" w:color="auto"/>
      </w:divBdr>
      <w:divsChild>
        <w:div w:id="1950696649">
          <w:marLeft w:val="0"/>
          <w:marRight w:val="0"/>
          <w:marTop w:val="0"/>
          <w:marBottom w:val="0"/>
          <w:divBdr>
            <w:top w:val="single" w:sz="2" w:space="0" w:color="auto"/>
            <w:left w:val="single" w:sz="2" w:space="0" w:color="auto"/>
            <w:bottom w:val="single" w:sz="2" w:space="0" w:color="auto"/>
            <w:right w:val="single" w:sz="2" w:space="0" w:color="auto"/>
          </w:divBdr>
        </w:div>
      </w:divsChild>
    </w:div>
    <w:div w:id="1606109158">
      <w:bodyDiv w:val="1"/>
      <w:marLeft w:val="0"/>
      <w:marRight w:val="0"/>
      <w:marTop w:val="0"/>
      <w:marBottom w:val="0"/>
      <w:divBdr>
        <w:top w:val="none" w:sz="0" w:space="0" w:color="auto"/>
        <w:left w:val="none" w:sz="0" w:space="0" w:color="auto"/>
        <w:bottom w:val="none" w:sz="0" w:space="0" w:color="auto"/>
        <w:right w:val="none" w:sz="0" w:space="0" w:color="auto"/>
      </w:divBdr>
    </w:div>
    <w:div w:id="1621957682">
      <w:bodyDiv w:val="1"/>
      <w:marLeft w:val="0"/>
      <w:marRight w:val="0"/>
      <w:marTop w:val="0"/>
      <w:marBottom w:val="0"/>
      <w:divBdr>
        <w:top w:val="none" w:sz="0" w:space="0" w:color="auto"/>
        <w:left w:val="none" w:sz="0" w:space="0" w:color="auto"/>
        <w:bottom w:val="none" w:sz="0" w:space="0" w:color="auto"/>
        <w:right w:val="none" w:sz="0" w:space="0" w:color="auto"/>
      </w:divBdr>
    </w:div>
    <w:div w:id="1670136108">
      <w:bodyDiv w:val="1"/>
      <w:marLeft w:val="0"/>
      <w:marRight w:val="0"/>
      <w:marTop w:val="0"/>
      <w:marBottom w:val="0"/>
      <w:divBdr>
        <w:top w:val="none" w:sz="0" w:space="0" w:color="auto"/>
        <w:left w:val="none" w:sz="0" w:space="0" w:color="auto"/>
        <w:bottom w:val="none" w:sz="0" w:space="0" w:color="auto"/>
        <w:right w:val="none" w:sz="0" w:space="0" w:color="auto"/>
      </w:divBdr>
    </w:div>
    <w:div w:id="1702588650">
      <w:bodyDiv w:val="1"/>
      <w:marLeft w:val="0"/>
      <w:marRight w:val="0"/>
      <w:marTop w:val="0"/>
      <w:marBottom w:val="0"/>
      <w:divBdr>
        <w:top w:val="none" w:sz="0" w:space="0" w:color="auto"/>
        <w:left w:val="none" w:sz="0" w:space="0" w:color="auto"/>
        <w:bottom w:val="none" w:sz="0" w:space="0" w:color="auto"/>
        <w:right w:val="none" w:sz="0" w:space="0" w:color="auto"/>
      </w:divBdr>
    </w:div>
    <w:div w:id="1737893398">
      <w:bodyDiv w:val="1"/>
      <w:marLeft w:val="0"/>
      <w:marRight w:val="0"/>
      <w:marTop w:val="0"/>
      <w:marBottom w:val="0"/>
      <w:divBdr>
        <w:top w:val="none" w:sz="0" w:space="0" w:color="auto"/>
        <w:left w:val="none" w:sz="0" w:space="0" w:color="auto"/>
        <w:bottom w:val="none" w:sz="0" w:space="0" w:color="auto"/>
        <w:right w:val="none" w:sz="0" w:space="0" w:color="auto"/>
      </w:divBdr>
    </w:div>
    <w:div w:id="1749687758">
      <w:bodyDiv w:val="1"/>
      <w:marLeft w:val="0"/>
      <w:marRight w:val="0"/>
      <w:marTop w:val="0"/>
      <w:marBottom w:val="0"/>
      <w:divBdr>
        <w:top w:val="none" w:sz="0" w:space="0" w:color="auto"/>
        <w:left w:val="none" w:sz="0" w:space="0" w:color="auto"/>
        <w:bottom w:val="none" w:sz="0" w:space="0" w:color="auto"/>
        <w:right w:val="none" w:sz="0" w:space="0" w:color="auto"/>
      </w:divBdr>
    </w:div>
    <w:div w:id="1827235665">
      <w:bodyDiv w:val="1"/>
      <w:marLeft w:val="0"/>
      <w:marRight w:val="0"/>
      <w:marTop w:val="0"/>
      <w:marBottom w:val="0"/>
      <w:divBdr>
        <w:top w:val="none" w:sz="0" w:space="0" w:color="auto"/>
        <w:left w:val="none" w:sz="0" w:space="0" w:color="auto"/>
        <w:bottom w:val="none" w:sz="0" w:space="0" w:color="auto"/>
        <w:right w:val="none" w:sz="0" w:space="0" w:color="auto"/>
      </w:divBdr>
    </w:div>
    <w:div w:id="1829521239">
      <w:bodyDiv w:val="1"/>
      <w:marLeft w:val="0"/>
      <w:marRight w:val="0"/>
      <w:marTop w:val="0"/>
      <w:marBottom w:val="0"/>
      <w:divBdr>
        <w:top w:val="none" w:sz="0" w:space="0" w:color="auto"/>
        <w:left w:val="none" w:sz="0" w:space="0" w:color="auto"/>
        <w:bottom w:val="none" w:sz="0" w:space="0" w:color="auto"/>
        <w:right w:val="none" w:sz="0" w:space="0" w:color="auto"/>
      </w:divBdr>
    </w:div>
    <w:div w:id="1896037923">
      <w:bodyDiv w:val="1"/>
      <w:marLeft w:val="0"/>
      <w:marRight w:val="0"/>
      <w:marTop w:val="0"/>
      <w:marBottom w:val="0"/>
      <w:divBdr>
        <w:top w:val="none" w:sz="0" w:space="0" w:color="auto"/>
        <w:left w:val="none" w:sz="0" w:space="0" w:color="auto"/>
        <w:bottom w:val="none" w:sz="0" w:space="0" w:color="auto"/>
        <w:right w:val="none" w:sz="0" w:space="0" w:color="auto"/>
      </w:divBdr>
    </w:div>
    <w:div w:id="1908756619">
      <w:bodyDiv w:val="1"/>
      <w:marLeft w:val="0"/>
      <w:marRight w:val="0"/>
      <w:marTop w:val="0"/>
      <w:marBottom w:val="0"/>
      <w:divBdr>
        <w:top w:val="none" w:sz="0" w:space="0" w:color="auto"/>
        <w:left w:val="none" w:sz="0" w:space="0" w:color="auto"/>
        <w:bottom w:val="none" w:sz="0" w:space="0" w:color="auto"/>
        <w:right w:val="none" w:sz="0" w:space="0" w:color="auto"/>
      </w:divBdr>
    </w:div>
    <w:div w:id="2062245274">
      <w:bodyDiv w:val="1"/>
      <w:marLeft w:val="0"/>
      <w:marRight w:val="0"/>
      <w:marTop w:val="0"/>
      <w:marBottom w:val="0"/>
      <w:divBdr>
        <w:top w:val="none" w:sz="0" w:space="0" w:color="auto"/>
        <w:left w:val="none" w:sz="0" w:space="0" w:color="auto"/>
        <w:bottom w:val="none" w:sz="0" w:space="0" w:color="auto"/>
        <w:right w:val="none" w:sz="0" w:space="0" w:color="auto"/>
      </w:divBdr>
    </w:div>
    <w:div w:id="2143233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hyperlink" Target="https://doi.org/10.4324/9781003020653-2" TargetMode="External" /><Relationship Id="rId26" Type="http://schemas.openxmlformats.org/officeDocument/2006/relationships/hyperlink" Target="https://extranet.who.int/agefriendlyworld/wp-content/uploads/2018/05/AF-Baseline-assessment-2020-Final-Version.pdf" TargetMode="External" /><Relationship Id="rId39" Type="http://schemas.openxmlformats.org/officeDocument/2006/relationships/hyperlink" Target="https://info.totalwellnesshealth.com/blog/social-determinants-of-health" TargetMode="External" /><Relationship Id="rId3" Type="http://schemas.openxmlformats.org/officeDocument/2006/relationships/settings" Target="settings.xml" /><Relationship Id="rId21" Type="http://schemas.openxmlformats.org/officeDocument/2006/relationships/hyperlink" Target="https://doi.org/10.1177/00207314211041234" TargetMode="External" /><Relationship Id="rId34" Type="http://schemas.openxmlformats.org/officeDocument/2006/relationships/hyperlink" Target="https://etheses.whiterose.ac.uk/id/eprint/34505/1/SW%20Final%20PhD%20Thesis%20%28White%20Rose%20signatures%20redacted%29.pdf" TargetMode="External" /><Relationship Id="rId42" Type="http://schemas.openxmlformats.org/officeDocument/2006/relationships/header" Target="header2.xml" /><Relationship Id="rId47" Type="http://schemas.openxmlformats.org/officeDocument/2006/relationships/fontTable" Target="fontTable.xml" /><Relationship Id="rId7" Type="http://schemas.openxmlformats.org/officeDocument/2006/relationships/image" Target="media/image1.jpeg" /><Relationship Id="rId12" Type="http://schemas.openxmlformats.org/officeDocument/2006/relationships/image" Target="media/image6.png" /><Relationship Id="rId17" Type="http://schemas.openxmlformats.org/officeDocument/2006/relationships/hyperlink" Target="https://discovery.ucl.ac.uk/id/eprint/10175692/2/CCampbell%20thesis.pdf" TargetMode="External" /><Relationship Id="rId25" Type="http://schemas.openxmlformats.org/officeDocument/2006/relationships/hyperlink" Target="https://doi.org/10.5334/ijic.6537" TargetMode="External" /><Relationship Id="rId33" Type="http://schemas.openxmlformats.org/officeDocument/2006/relationships/hyperlink" Target="https://doi.org/10.1016/j.jth.2021.101305" TargetMode="External" /><Relationship Id="rId38" Type="http://schemas.openxmlformats.org/officeDocument/2006/relationships/hyperlink" Target="https://doi.org/10.3390/ijerph17093038" TargetMode="External" /><Relationship Id="rId46" Type="http://schemas.openxmlformats.org/officeDocument/2006/relationships/footer" Target="footer3.xml" /><Relationship Id="rId2" Type="http://schemas.openxmlformats.org/officeDocument/2006/relationships/styles" Target="styles.xml" /><Relationship Id="rId16" Type="http://schemas.openxmlformats.org/officeDocument/2006/relationships/hyperlink" Target="https://sticerd.lse.ac.uk/dps/case/cr/casereport162.pdf" TargetMode="External" /><Relationship Id="rId20" Type="http://schemas.openxmlformats.org/officeDocument/2006/relationships/hyperlink" Target="https://doi.org/10.1186/s12889-022-14156-y" TargetMode="External" /><Relationship Id="rId29" Type="http://schemas.openxmlformats.org/officeDocument/2006/relationships/hyperlink" Target="https://doi.org/10.3390/nu13072349" TargetMode="External" /><Relationship Id="rId41"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hyperlink" Target="https://doi.org/310715428" TargetMode="External" /><Relationship Id="rId32" Type="http://schemas.openxmlformats.org/officeDocument/2006/relationships/hyperlink" Target="https://doi.org/10.1016/j.jns.2023.120715" TargetMode="External" /><Relationship Id="rId37" Type="http://schemas.openxmlformats.org/officeDocument/2006/relationships/hyperlink" Target="https://doi.org/10.1016/b978-0-12-824135-6.00013-1" TargetMode="External" /><Relationship Id="rId40" Type="http://schemas.openxmlformats.org/officeDocument/2006/relationships/hyperlink" Target="https://doi.org/10.1007/978-3-031-53705-9_5" TargetMode="External" /><Relationship Id="rId45"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hyperlink" Target="https://doi.org/10.1016/j.ypmed.2024.108008" TargetMode="External" /><Relationship Id="rId23" Type="http://schemas.openxmlformats.org/officeDocument/2006/relationships/hyperlink" Target="https://doi.org/10.3390/ijerph22020135" TargetMode="External" /><Relationship Id="rId28" Type="http://schemas.openxmlformats.org/officeDocument/2006/relationships/hyperlink" Target="https://doi.org/10.2196/46522" TargetMode="External" /><Relationship Id="rId36" Type="http://schemas.openxmlformats.org/officeDocument/2006/relationships/hyperlink" Target="https://www.kingsfund.org.uk/insight-and-analysis/long-reads/nhs-10-year-plan" TargetMode="External" /><Relationship Id="rId10" Type="http://schemas.openxmlformats.org/officeDocument/2006/relationships/image" Target="media/image4.png" /><Relationship Id="rId19" Type="http://schemas.openxmlformats.org/officeDocument/2006/relationships/hyperlink" Target="https://discovery.ucl.ac.uk/id/eprint/10195763/1/final20195623.pdf" TargetMode="External" /><Relationship Id="rId31" Type="http://schemas.openxmlformats.org/officeDocument/2006/relationships/hyperlink" Target="https://doi.org/10.3390/jcm13030721" TargetMode="External" /><Relationship Id="rId44"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doi.org/10.1371/journal.pone.0305827" TargetMode="External" /><Relationship Id="rId22" Type="http://schemas.openxmlformats.org/officeDocument/2006/relationships/hyperlink" Target="https://doi.org/10.1111/hsc.13228" TargetMode="External" /><Relationship Id="rId27" Type="http://schemas.openxmlformats.org/officeDocument/2006/relationships/hyperlink" Target="https://doi.org/10.1016/j.smhs.2020.11.005" TargetMode="External" /><Relationship Id="rId30" Type="http://schemas.openxmlformats.org/officeDocument/2006/relationships/hyperlink" Target="https://doi.org/10.1186/s12913-023-09110-6" TargetMode="External" /><Relationship Id="rId35" Type="http://schemas.openxmlformats.org/officeDocument/2006/relationships/hyperlink" Target="https://www.healthknowledge.org.uk/public-health-textbook/medical-sociology-policy-economics/4c-equality-equity-policy/inequalities-distribution" TargetMode="External" /><Relationship Id="rId43" Type="http://schemas.openxmlformats.org/officeDocument/2006/relationships/footer" Target="footer1.xml" /><Relationship Id="rId48"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7C3FBF-6731-4187-80FC-D211CD99F70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4426</Words>
  <Characters>25233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29600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2025-12-14T22:24:00Z</dcterms:created>
  <dcterms:modified xsi:type="dcterms:W3CDTF">2025-12-14T22:24:00Z</dcterms:modified>
</cp:coreProperties>
</file>