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35514" w14:textId="692D2BD8" w:rsidR="00CF00F4" w:rsidRDefault="00CF00F4" w:rsidP="00CF00F4">
      <w:pPr>
        <w:spacing w:line="360" w:lineRule="auto"/>
        <w:jc w:val="center"/>
        <w:rPr>
          <w:rFonts w:ascii="Times New Roman" w:hAnsi="Times New Roman" w:cs="Times New Roman"/>
          <w:b/>
          <w:bCs/>
          <w:color w:val="000000" w:themeColor="text1"/>
          <w:sz w:val="32"/>
          <w:szCs w:val="32"/>
        </w:rPr>
      </w:pPr>
      <w:r w:rsidRPr="00EB2C95">
        <w:rPr>
          <w:rFonts w:ascii="Times New Roman" w:hAnsi="Times New Roman" w:cs="Times New Roman"/>
          <w:b/>
          <w:bCs/>
          <w:color w:val="000000" w:themeColor="text1"/>
          <w:sz w:val="32"/>
          <w:szCs w:val="32"/>
        </w:rPr>
        <w:t>Submission Date:</w:t>
      </w:r>
      <w:r>
        <w:rPr>
          <w:rFonts w:ascii="Times New Roman" w:hAnsi="Times New Roman" w:cs="Times New Roman"/>
          <w:b/>
          <w:bCs/>
          <w:color w:val="000000" w:themeColor="text1"/>
          <w:sz w:val="32"/>
          <w:szCs w:val="32"/>
        </w:rPr>
        <w:t xml:space="preserve"> 20/12/2023</w:t>
      </w:r>
    </w:p>
    <w:p w14:paraId="4993AE91" w14:textId="0D58741F" w:rsidR="00CF00F4" w:rsidRPr="00EB2C95" w:rsidRDefault="00CF00F4" w:rsidP="00CF00F4">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Module: Strategic Management and Sustainability (LCCB6004)</w:t>
      </w:r>
    </w:p>
    <w:p w14:paraId="419CC366" w14:textId="77777777" w:rsidR="00CF00F4" w:rsidRDefault="00CF00F4" w:rsidP="00CF00F4">
      <w:pPr>
        <w:spacing w:line="360" w:lineRule="auto"/>
        <w:jc w:val="center"/>
        <w:rPr>
          <w:rFonts w:ascii="Times New Roman" w:hAnsi="Times New Roman" w:cs="Times New Roman"/>
          <w:b/>
          <w:bCs/>
          <w:color w:val="000000" w:themeColor="text1"/>
          <w:sz w:val="32"/>
          <w:szCs w:val="32"/>
        </w:rPr>
      </w:pPr>
      <w:r w:rsidRPr="00EB2C95">
        <w:rPr>
          <w:rFonts w:ascii="Times New Roman" w:hAnsi="Times New Roman" w:cs="Times New Roman"/>
          <w:b/>
          <w:bCs/>
          <w:color w:val="000000" w:themeColor="text1"/>
          <w:sz w:val="32"/>
          <w:szCs w:val="32"/>
        </w:rPr>
        <w:t>Student ID:</w:t>
      </w:r>
      <w:r>
        <w:rPr>
          <w:rFonts w:ascii="Times New Roman" w:hAnsi="Times New Roman" w:cs="Times New Roman"/>
          <w:b/>
          <w:bCs/>
          <w:color w:val="000000" w:themeColor="text1"/>
          <w:sz w:val="32"/>
          <w:szCs w:val="32"/>
        </w:rPr>
        <w:t xml:space="preserve"> Irina </w:t>
      </w:r>
      <w:proofErr w:type="spellStart"/>
      <w:r>
        <w:rPr>
          <w:rFonts w:ascii="Times New Roman" w:hAnsi="Times New Roman" w:cs="Times New Roman"/>
          <w:b/>
          <w:bCs/>
          <w:color w:val="000000" w:themeColor="text1"/>
          <w:sz w:val="32"/>
          <w:szCs w:val="32"/>
        </w:rPr>
        <w:t>Comendant</w:t>
      </w:r>
      <w:proofErr w:type="spellEnd"/>
      <w:r>
        <w:rPr>
          <w:rFonts w:ascii="Times New Roman" w:hAnsi="Times New Roman" w:cs="Times New Roman"/>
          <w:b/>
          <w:bCs/>
          <w:color w:val="000000" w:themeColor="text1"/>
          <w:sz w:val="32"/>
          <w:szCs w:val="32"/>
        </w:rPr>
        <w:t xml:space="preserve"> (2027756)</w:t>
      </w:r>
    </w:p>
    <w:p w14:paraId="3600E7E9" w14:textId="76B9D721" w:rsidR="00CF00F4" w:rsidRDefault="00CF00F4" w:rsidP="00CF00F4">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Lecturer: Dr. </w:t>
      </w:r>
      <w:proofErr w:type="spellStart"/>
      <w:r>
        <w:rPr>
          <w:rFonts w:ascii="Times New Roman" w:hAnsi="Times New Roman" w:cs="Times New Roman"/>
          <w:b/>
          <w:bCs/>
          <w:color w:val="000000" w:themeColor="text1"/>
          <w:sz w:val="32"/>
          <w:szCs w:val="32"/>
        </w:rPr>
        <w:t>Piyumika</w:t>
      </w:r>
      <w:proofErr w:type="spellEnd"/>
      <w:r>
        <w:rPr>
          <w:rFonts w:ascii="Times New Roman" w:hAnsi="Times New Roman" w:cs="Times New Roman"/>
          <w:b/>
          <w:bCs/>
          <w:color w:val="000000" w:themeColor="text1"/>
          <w:sz w:val="32"/>
          <w:szCs w:val="32"/>
        </w:rPr>
        <w:t xml:space="preserve"> </w:t>
      </w:r>
      <w:proofErr w:type="spellStart"/>
      <w:r>
        <w:rPr>
          <w:rFonts w:ascii="Times New Roman" w:hAnsi="Times New Roman" w:cs="Times New Roman"/>
          <w:b/>
          <w:bCs/>
          <w:color w:val="000000" w:themeColor="text1"/>
          <w:sz w:val="32"/>
          <w:szCs w:val="32"/>
        </w:rPr>
        <w:t>Gamaze</w:t>
      </w:r>
      <w:proofErr w:type="spellEnd"/>
    </w:p>
    <w:p w14:paraId="527EF2F7" w14:textId="15D03FBE" w:rsidR="00CF00F4" w:rsidRDefault="00CF00F4" w:rsidP="00CF00F4">
      <w:pPr>
        <w:spacing w:line="360" w:lineRule="auto"/>
        <w:jc w:val="center"/>
        <w:rPr>
          <w:rFonts w:ascii="Times New Roman" w:hAnsi="Times New Roman" w:cs="Times New Roman"/>
          <w:b/>
          <w:bCs/>
          <w:color w:val="000000" w:themeColor="text1"/>
          <w:sz w:val="32"/>
          <w:szCs w:val="32"/>
        </w:rPr>
      </w:pPr>
    </w:p>
    <w:p w14:paraId="712A1903" w14:textId="770E82BF" w:rsidR="00CF00F4" w:rsidRDefault="00CF00F4" w:rsidP="00CF00F4">
      <w:pPr>
        <w:spacing w:line="360" w:lineRule="auto"/>
        <w:jc w:val="center"/>
        <w:rPr>
          <w:rFonts w:ascii="Times New Roman" w:hAnsi="Times New Roman" w:cs="Times New Roman"/>
          <w:b/>
          <w:bCs/>
          <w:color w:val="000000" w:themeColor="text1"/>
          <w:sz w:val="32"/>
          <w:szCs w:val="32"/>
        </w:rPr>
      </w:pPr>
    </w:p>
    <w:p w14:paraId="02BAC091" w14:textId="517A32CC" w:rsidR="00CF00F4" w:rsidRDefault="00CF00F4" w:rsidP="00CF00F4">
      <w:pPr>
        <w:spacing w:line="360" w:lineRule="auto"/>
        <w:jc w:val="center"/>
        <w:rPr>
          <w:rFonts w:ascii="Times New Roman" w:hAnsi="Times New Roman" w:cs="Times New Roman"/>
          <w:b/>
          <w:bCs/>
          <w:color w:val="000000" w:themeColor="text1"/>
          <w:sz w:val="32"/>
          <w:szCs w:val="32"/>
        </w:rPr>
      </w:pPr>
    </w:p>
    <w:p w14:paraId="57FB97D3" w14:textId="69FC50B7" w:rsidR="00CF00F4" w:rsidRDefault="00CF00F4" w:rsidP="00CF00F4">
      <w:pPr>
        <w:spacing w:line="360" w:lineRule="auto"/>
        <w:jc w:val="center"/>
        <w:rPr>
          <w:rFonts w:ascii="Times New Roman" w:hAnsi="Times New Roman" w:cs="Times New Roman"/>
          <w:b/>
          <w:bCs/>
          <w:color w:val="000000" w:themeColor="text1"/>
          <w:sz w:val="32"/>
          <w:szCs w:val="32"/>
        </w:rPr>
      </w:pPr>
    </w:p>
    <w:p w14:paraId="0FB17F3C" w14:textId="276AD2DA" w:rsidR="00CF00F4" w:rsidRDefault="00CF00F4" w:rsidP="00CF00F4">
      <w:pPr>
        <w:spacing w:line="360" w:lineRule="auto"/>
        <w:jc w:val="center"/>
        <w:rPr>
          <w:rFonts w:ascii="Times New Roman" w:hAnsi="Times New Roman" w:cs="Times New Roman"/>
          <w:b/>
          <w:bCs/>
          <w:color w:val="000000" w:themeColor="text1"/>
          <w:sz w:val="32"/>
          <w:szCs w:val="32"/>
        </w:rPr>
      </w:pPr>
    </w:p>
    <w:p w14:paraId="4827B58F" w14:textId="7C0AB20F" w:rsidR="00CF00F4" w:rsidRDefault="00CF00F4" w:rsidP="00CF00F4">
      <w:pPr>
        <w:spacing w:line="360" w:lineRule="auto"/>
        <w:jc w:val="center"/>
        <w:rPr>
          <w:rFonts w:ascii="Times New Roman" w:hAnsi="Times New Roman" w:cs="Times New Roman"/>
          <w:b/>
          <w:bCs/>
          <w:color w:val="000000" w:themeColor="text1"/>
          <w:sz w:val="32"/>
          <w:szCs w:val="32"/>
        </w:rPr>
      </w:pPr>
    </w:p>
    <w:p w14:paraId="415DD3EC" w14:textId="4797E2EB" w:rsidR="00CF00F4" w:rsidRDefault="00CF00F4" w:rsidP="00CF00F4">
      <w:pPr>
        <w:spacing w:line="360" w:lineRule="auto"/>
        <w:jc w:val="center"/>
        <w:rPr>
          <w:rFonts w:ascii="Times New Roman" w:hAnsi="Times New Roman" w:cs="Times New Roman"/>
          <w:b/>
          <w:bCs/>
          <w:color w:val="000000" w:themeColor="text1"/>
          <w:sz w:val="32"/>
          <w:szCs w:val="32"/>
        </w:rPr>
      </w:pPr>
    </w:p>
    <w:p w14:paraId="28E93793" w14:textId="1605D2F4" w:rsidR="00CF00F4" w:rsidRDefault="00CF00F4" w:rsidP="00CF00F4">
      <w:pPr>
        <w:spacing w:line="360" w:lineRule="auto"/>
        <w:jc w:val="center"/>
        <w:rPr>
          <w:rFonts w:ascii="Times New Roman" w:hAnsi="Times New Roman" w:cs="Times New Roman"/>
          <w:b/>
          <w:bCs/>
          <w:color w:val="000000" w:themeColor="text1"/>
          <w:sz w:val="32"/>
          <w:szCs w:val="32"/>
        </w:rPr>
      </w:pPr>
    </w:p>
    <w:p w14:paraId="787A983B" w14:textId="122EF51D" w:rsidR="00CF00F4" w:rsidRDefault="00CF00F4" w:rsidP="00CF00F4">
      <w:pPr>
        <w:spacing w:line="360" w:lineRule="auto"/>
        <w:jc w:val="center"/>
        <w:rPr>
          <w:rFonts w:ascii="Times New Roman" w:hAnsi="Times New Roman" w:cs="Times New Roman"/>
          <w:b/>
          <w:bCs/>
          <w:color w:val="000000" w:themeColor="text1"/>
          <w:sz w:val="32"/>
          <w:szCs w:val="32"/>
        </w:rPr>
      </w:pPr>
    </w:p>
    <w:p w14:paraId="2E7E1FBF" w14:textId="37949D6E" w:rsidR="00CF00F4" w:rsidRDefault="00CF00F4" w:rsidP="00CF00F4">
      <w:pPr>
        <w:spacing w:line="360" w:lineRule="auto"/>
        <w:jc w:val="center"/>
        <w:rPr>
          <w:rFonts w:ascii="Times New Roman" w:hAnsi="Times New Roman" w:cs="Times New Roman"/>
          <w:b/>
          <w:bCs/>
          <w:color w:val="000000" w:themeColor="text1"/>
          <w:sz w:val="32"/>
          <w:szCs w:val="32"/>
        </w:rPr>
      </w:pPr>
    </w:p>
    <w:p w14:paraId="5B6863E5" w14:textId="4ECD275A" w:rsidR="00CF00F4" w:rsidRDefault="00CF00F4" w:rsidP="00CF00F4">
      <w:pPr>
        <w:spacing w:line="360" w:lineRule="auto"/>
        <w:jc w:val="center"/>
        <w:rPr>
          <w:rFonts w:ascii="Times New Roman" w:hAnsi="Times New Roman" w:cs="Times New Roman"/>
          <w:b/>
          <w:bCs/>
          <w:color w:val="000000" w:themeColor="text1"/>
          <w:sz w:val="32"/>
          <w:szCs w:val="32"/>
        </w:rPr>
      </w:pPr>
    </w:p>
    <w:p w14:paraId="2F6B7566" w14:textId="48838B64" w:rsidR="00CF00F4" w:rsidRDefault="00CF00F4" w:rsidP="00CF00F4">
      <w:pPr>
        <w:spacing w:line="360" w:lineRule="auto"/>
        <w:jc w:val="center"/>
        <w:rPr>
          <w:rFonts w:ascii="Times New Roman" w:hAnsi="Times New Roman" w:cs="Times New Roman"/>
          <w:b/>
          <w:bCs/>
          <w:color w:val="000000" w:themeColor="text1"/>
          <w:sz w:val="32"/>
          <w:szCs w:val="32"/>
        </w:rPr>
      </w:pPr>
    </w:p>
    <w:p w14:paraId="79876426" w14:textId="5A1A0A6D" w:rsidR="00CF00F4" w:rsidRDefault="00CF00F4" w:rsidP="00CF00F4">
      <w:pPr>
        <w:spacing w:line="360" w:lineRule="auto"/>
        <w:jc w:val="center"/>
        <w:rPr>
          <w:rFonts w:ascii="Times New Roman" w:hAnsi="Times New Roman" w:cs="Times New Roman"/>
          <w:b/>
          <w:bCs/>
          <w:color w:val="000000" w:themeColor="text1"/>
          <w:sz w:val="32"/>
          <w:szCs w:val="32"/>
        </w:rPr>
      </w:pPr>
    </w:p>
    <w:p w14:paraId="340EE4EB" w14:textId="3A70E5BC" w:rsidR="00CF00F4" w:rsidRDefault="00CF00F4" w:rsidP="00CF00F4">
      <w:pPr>
        <w:spacing w:line="360" w:lineRule="auto"/>
        <w:jc w:val="center"/>
        <w:rPr>
          <w:rFonts w:ascii="Times New Roman" w:hAnsi="Times New Roman" w:cs="Times New Roman"/>
          <w:b/>
          <w:bCs/>
          <w:color w:val="000000" w:themeColor="text1"/>
          <w:sz w:val="32"/>
          <w:szCs w:val="32"/>
        </w:rPr>
      </w:pPr>
    </w:p>
    <w:p w14:paraId="182A3963" w14:textId="26E84782" w:rsidR="00CF00F4" w:rsidRDefault="00CF00F4" w:rsidP="00CF00F4">
      <w:pPr>
        <w:spacing w:line="360" w:lineRule="auto"/>
        <w:jc w:val="center"/>
        <w:rPr>
          <w:rFonts w:ascii="Times New Roman" w:hAnsi="Times New Roman" w:cs="Times New Roman"/>
          <w:b/>
          <w:bCs/>
          <w:color w:val="000000" w:themeColor="text1"/>
          <w:sz w:val="32"/>
          <w:szCs w:val="32"/>
        </w:rPr>
      </w:pPr>
    </w:p>
    <w:p w14:paraId="380C1713" w14:textId="42DE0D5E" w:rsidR="00CF00F4" w:rsidRDefault="00CF00F4" w:rsidP="00CF00F4">
      <w:pPr>
        <w:spacing w:line="360" w:lineRule="auto"/>
        <w:jc w:val="center"/>
        <w:rPr>
          <w:rFonts w:ascii="Times New Roman" w:hAnsi="Times New Roman" w:cs="Times New Roman"/>
          <w:b/>
          <w:bCs/>
          <w:color w:val="000000" w:themeColor="text1"/>
          <w:sz w:val="32"/>
          <w:szCs w:val="32"/>
        </w:rPr>
      </w:pPr>
    </w:p>
    <w:p w14:paraId="5BB3A457" w14:textId="15B48B9A" w:rsidR="00CF00F4" w:rsidRDefault="00CF00F4" w:rsidP="00CF00F4">
      <w:pPr>
        <w:spacing w:line="360" w:lineRule="auto"/>
        <w:jc w:val="center"/>
        <w:rPr>
          <w:rFonts w:ascii="Times New Roman" w:hAnsi="Times New Roman" w:cs="Times New Roman"/>
          <w:b/>
          <w:bCs/>
          <w:color w:val="000000" w:themeColor="text1"/>
          <w:sz w:val="32"/>
          <w:szCs w:val="32"/>
        </w:rPr>
      </w:pPr>
    </w:p>
    <w:p w14:paraId="4A5C5F4C" w14:textId="54C0C3F8" w:rsidR="00CF00F4" w:rsidRDefault="00CF00F4" w:rsidP="00CF00F4">
      <w:pPr>
        <w:spacing w:line="360" w:lineRule="auto"/>
        <w:jc w:val="center"/>
        <w:rPr>
          <w:rFonts w:ascii="Times New Roman" w:hAnsi="Times New Roman" w:cs="Times New Roman"/>
          <w:b/>
          <w:bCs/>
          <w:color w:val="000000" w:themeColor="text1"/>
          <w:sz w:val="32"/>
          <w:szCs w:val="32"/>
        </w:rPr>
      </w:pPr>
    </w:p>
    <w:p w14:paraId="022AE760" w14:textId="42FAFF07" w:rsidR="00CF00F4" w:rsidRDefault="00CF00F4" w:rsidP="00CF00F4">
      <w:pPr>
        <w:spacing w:line="360" w:lineRule="auto"/>
        <w:jc w:val="center"/>
        <w:rPr>
          <w:rFonts w:ascii="Times New Roman" w:hAnsi="Times New Roman" w:cs="Times New Roman"/>
          <w:b/>
          <w:bCs/>
          <w:color w:val="000000" w:themeColor="text1"/>
          <w:sz w:val="32"/>
          <w:szCs w:val="32"/>
        </w:rPr>
      </w:pPr>
    </w:p>
    <w:p w14:paraId="32168F61" w14:textId="268752EF" w:rsidR="00CF00F4" w:rsidRDefault="00CF00F4" w:rsidP="00CF00F4">
      <w:pPr>
        <w:spacing w:line="360" w:lineRule="auto"/>
        <w:jc w:val="center"/>
        <w:rPr>
          <w:rFonts w:ascii="Times New Roman" w:hAnsi="Times New Roman" w:cs="Times New Roman"/>
          <w:b/>
          <w:bCs/>
          <w:color w:val="000000" w:themeColor="text1"/>
          <w:sz w:val="32"/>
          <w:szCs w:val="32"/>
        </w:rPr>
      </w:pPr>
    </w:p>
    <w:p w14:paraId="3085545F" w14:textId="77777777" w:rsidR="00CF00F4" w:rsidRDefault="00CF00F4" w:rsidP="00CF00F4">
      <w:pPr>
        <w:spacing w:line="360" w:lineRule="auto"/>
        <w:jc w:val="center"/>
        <w:rPr>
          <w:rFonts w:ascii="Times New Roman" w:hAnsi="Times New Roman" w:cs="Times New Roman"/>
          <w:b/>
          <w:bCs/>
          <w:color w:val="000000" w:themeColor="text1"/>
          <w:sz w:val="32"/>
          <w:szCs w:val="32"/>
        </w:rPr>
      </w:pPr>
    </w:p>
    <w:p w14:paraId="07C3C9D7" w14:textId="77777777" w:rsidR="00CF00F4" w:rsidRPr="00171FB8" w:rsidRDefault="00CF00F4" w:rsidP="00CF00F4">
      <w:pPr>
        <w:jc w:val="center"/>
        <w:rPr>
          <w:rFonts w:ascii="Segoe UI" w:eastAsia="Times New Roman" w:hAnsi="Segoe UI" w:cs="Segoe UI"/>
          <w:b/>
          <w:bCs/>
          <w:sz w:val="32"/>
          <w:szCs w:val="32"/>
          <w:lang w:eastAsia="en-GB"/>
        </w:rPr>
      </w:pPr>
      <w:r w:rsidRPr="00171FB8">
        <w:rPr>
          <w:rFonts w:ascii="Segoe UI" w:eastAsia="Times New Roman" w:hAnsi="Segoe UI" w:cs="Segoe UI"/>
          <w:b/>
          <w:bCs/>
          <w:sz w:val="32"/>
          <w:szCs w:val="32"/>
          <w:lang w:eastAsia="en-GB"/>
        </w:rPr>
        <w:lastRenderedPageBreak/>
        <w:t>Introduction</w:t>
      </w:r>
    </w:p>
    <w:p w14:paraId="7D22EA95" w14:textId="77777777" w:rsidR="00CF00F4" w:rsidRPr="00171FB8" w:rsidRDefault="00CF00F4" w:rsidP="00CF00F4">
      <w:pPr>
        <w:rPr>
          <w:rFonts w:ascii="Segoe UI" w:eastAsia="Times New Roman" w:hAnsi="Segoe UI" w:cs="Segoe UI"/>
          <w:sz w:val="21"/>
          <w:szCs w:val="21"/>
          <w:lang w:eastAsia="en-GB"/>
        </w:rPr>
      </w:pPr>
    </w:p>
    <w:p w14:paraId="3F8E6026" w14:textId="11355628" w:rsidR="00CF00F4" w:rsidRDefault="00CF00F4" w:rsidP="00CF00F4">
      <w:pPr>
        <w:rPr>
          <w:rFonts w:ascii="Segoe UI" w:eastAsia="Times New Roman" w:hAnsi="Segoe UI" w:cs="Segoe UI"/>
          <w:sz w:val="21"/>
          <w:szCs w:val="21"/>
          <w:lang w:eastAsia="en-GB"/>
        </w:rPr>
      </w:pP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Rolls-Royce is a renowned British multinational engineering company that specializes in the manufacturing of power systems for various industries, including aerospace, marine, and energy. With a rich history spanning over a century, Rolls-Royce has established itself as a global leader in advanced technologies and innovative solutions.</w:t>
      </w:r>
      <w:r w:rsidRPr="00171FB8">
        <w:rPr>
          <w:rFonts w:ascii="Segoe UI" w:eastAsia="Times New Roman" w:hAnsi="Segoe UI" w:cs="Segoe UI"/>
          <w:sz w:val="21"/>
          <w:szCs w:val="21"/>
          <w:lang w:eastAsia="en-GB"/>
        </w:rPr>
        <w:br/>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The objective of this report is to provide an in-depth analysis of Rolls-Royce, examining its operations, products, market presence, and prospects. By delving into the company's strengths, weaknesses, opportunities, and threats, we aim to gain insights into its competitive position and potential growth opportunities.</w:t>
      </w:r>
      <w:r w:rsidRPr="00171FB8">
        <w:rPr>
          <w:rFonts w:ascii="Segoe UI" w:eastAsia="Times New Roman" w:hAnsi="Segoe UI" w:cs="Segoe UI"/>
          <w:sz w:val="21"/>
          <w:szCs w:val="21"/>
          <w:lang w:eastAsia="en-GB"/>
        </w:rPr>
        <w:br/>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Throughout this report, we will explore Rolls-Royce's key business segments, such as civil aerospace, defense aerospace, and power systems, shedding light on their contributions to the overall company performance. Additionally, we will examine the company's strategic initiatives, partnerships, and research and development efforts, illustrating its commitment to driving innovation and staying ahead in the industry.</w:t>
      </w:r>
      <w:r w:rsidRPr="00171FB8">
        <w:rPr>
          <w:rFonts w:ascii="Segoe UI" w:eastAsia="Times New Roman" w:hAnsi="Segoe UI" w:cs="Segoe UI"/>
          <w:sz w:val="21"/>
          <w:szCs w:val="21"/>
          <w:lang w:eastAsia="en-GB"/>
        </w:rPr>
        <w:br/>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By the end of this report, readers will have a comprehensive understanding of Rolls-Royce's position in the market, its key drivers and challenges, and its potential for future success. This analysis aims to provide valuable insights for stakeholders, investors, and anyone interested in the dynamics of the engineering and power systems industry.</w:t>
      </w:r>
    </w:p>
    <w:p w14:paraId="540B5BC2" w14:textId="77777777" w:rsidR="00CF00F4" w:rsidRDefault="00CF00F4" w:rsidP="00CF00F4">
      <w:pPr>
        <w:rPr>
          <w:rFonts w:ascii="Segoe UI" w:eastAsia="Times New Roman" w:hAnsi="Segoe UI" w:cs="Segoe UI"/>
          <w:color w:val="FF0000"/>
          <w:lang w:eastAsia="en-GB"/>
        </w:rPr>
      </w:pPr>
    </w:p>
    <w:p w14:paraId="52CC0608" w14:textId="77777777" w:rsidR="00CF00F4" w:rsidRDefault="00CF00F4" w:rsidP="00CF00F4">
      <w:pPr>
        <w:rPr>
          <w:rFonts w:ascii="Segoe UI" w:eastAsia="Times New Roman" w:hAnsi="Segoe UI" w:cs="Segoe UI"/>
          <w:b/>
          <w:bCs/>
          <w:lang w:eastAsia="en-GB"/>
        </w:rPr>
      </w:pPr>
      <w:r w:rsidRPr="00171FB8">
        <w:rPr>
          <w:rFonts w:ascii="Segoe UI" w:eastAsia="Times New Roman" w:hAnsi="Segoe UI" w:cs="Segoe UI"/>
          <w:b/>
          <w:bCs/>
          <w:sz w:val="24"/>
          <w:szCs w:val="24"/>
          <w:lang w:eastAsia="en-GB"/>
        </w:rPr>
        <w:t>Company Background</w:t>
      </w:r>
    </w:p>
    <w:p w14:paraId="7810319A" w14:textId="77777777" w:rsidR="00CF00F4" w:rsidRDefault="00CF00F4" w:rsidP="00CF00F4">
      <w:pPr>
        <w:rPr>
          <w:rFonts w:ascii="Segoe UI" w:eastAsia="Times New Roman" w:hAnsi="Segoe UI" w:cs="Segoe UI"/>
          <w:b/>
          <w:bCs/>
          <w:lang w:eastAsia="en-GB"/>
        </w:rPr>
      </w:pPr>
    </w:p>
    <w:p w14:paraId="2A08617A" w14:textId="7F1FD318" w:rsidR="00CF00F4" w:rsidRDefault="00CF00F4" w:rsidP="00CF00F4">
      <w:pPr>
        <w:rPr>
          <w:rFonts w:ascii="Segoe UI" w:eastAsia="Times New Roman" w:hAnsi="Segoe UI" w:cs="Segoe UI"/>
          <w:sz w:val="21"/>
          <w:szCs w:val="21"/>
          <w:lang w:eastAsia="en-GB"/>
        </w:rPr>
      </w:pP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Rolls-Royce is a renowned British multinational engineering company that was founded in 1906. The company has its headquarters in Derby, England. Rolls-Royce operates in three major business segments: civil aerospace, defense aerospace, and power systems.</w:t>
      </w:r>
      <w:r w:rsidRPr="00171FB8">
        <w:rPr>
          <w:rFonts w:ascii="Segoe UI" w:eastAsia="Times New Roman" w:hAnsi="Segoe UI" w:cs="Segoe UI"/>
          <w:sz w:val="21"/>
          <w:szCs w:val="21"/>
          <w:lang w:eastAsia="en-GB"/>
        </w:rPr>
        <w:br/>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In the civil aerospace sector, Rolls-Royce is a global leader in the manufacturing of aircraft engines for commercial airplanes. Their engines are known for their reliability, efficiency, and advanced technology, powering some of the world's most prominent airlines.</w:t>
      </w:r>
      <w:r w:rsidRPr="00171FB8">
        <w:rPr>
          <w:rFonts w:ascii="Segoe UI" w:eastAsia="Times New Roman" w:hAnsi="Segoe UI" w:cs="Segoe UI"/>
          <w:sz w:val="21"/>
          <w:szCs w:val="21"/>
          <w:lang w:eastAsia="en-GB"/>
        </w:rPr>
        <w:br/>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In the defense aerospace sector, Rolls-Royce provides innovative solutions for military aircraft, helicopters, and naval vessels. They offer a wide range of engines, propulsion systems, and auxiliary power units, meeting the demanding requirements of defense forces worldwide.</w:t>
      </w:r>
      <w:r w:rsidRPr="00171FB8">
        <w:rPr>
          <w:rFonts w:ascii="Segoe UI" w:eastAsia="Times New Roman" w:hAnsi="Segoe UI" w:cs="Segoe UI"/>
          <w:sz w:val="21"/>
          <w:szCs w:val="21"/>
          <w:lang w:eastAsia="en-GB"/>
        </w:rPr>
        <w:br/>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Rolls-Royce's power systems division focuses on providing integrated power solutions for various industries, including marine, energy, and mining. Their products range from engines and propulsion systems for ships to power generation systems for offshore platforms and locomotive</w:t>
      </w:r>
      <w:r w:rsidR="008931E1">
        <w:rPr>
          <w:rFonts w:ascii="Segoe UI" w:eastAsia="Times New Roman" w:hAnsi="Segoe UI" w:cs="Segoe UI"/>
          <w:sz w:val="21"/>
          <w:szCs w:val="21"/>
          <w:lang w:eastAsia="en-GB"/>
        </w:rPr>
        <w:t>.</w:t>
      </w:r>
    </w:p>
    <w:p w14:paraId="27688502" w14:textId="21AADC92" w:rsidR="00CF00F4" w:rsidRDefault="00CF00F4" w:rsidP="00CF00F4">
      <w:pPr>
        <w:rPr>
          <w:rFonts w:ascii="Segoe UI" w:eastAsia="Times New Roman" w:hAnsi="Segoe UI" w:cs="Segoe UI"/>
          <w:b/>
          <w:bCs/>
          <w:sz w:val="24"/>
          <w:szCs w:val="24"/>
          <w:lang w:eastAsia="en-GB"/>
        </w:rPr>
      </w:pPr>
    </w:p>
    <w:p w14:paraId="32DC9593" w14:textId="77777777" w:rsidR="008931E1" w:rsidRDefault="008931E1" w:rsidP="00CF00F4"/>
    <w:p w14:paraId="6FC358EB" w14:textId="77777777" w:rsidR="00CF00F4" w:rsidRDefault="00CF00F4" w:rsidP="00CF00F4">
      <w:pPr>
        <w:jc w:val="center"/>
        <w:rPr>
          <w:b/>
          <w:bCs/>
          <w:sz w:val="36"/>
          <w:szCs w:val="36"/>
        </w:rPr>
      </w:pPr>
      <w:r w:rsidRPr="00171FB8">
        <w:rPr>
          <w:b/>
          <w:bCs/>
          <w:sz w:val="36"/>
          <w:szCs w:val="36"/>
        </w:rPr>
        <w:lastRenderedPageBreak/>
        <w:t>Main Body</w:t>
      </w:r>
    </w:p>
    <w:p w14:paraId="34371C3E" w14:textId="77777777" w:rsidR="00CF00F4" w:rsidRDefault="00CF00F4" w:rsidP="00CF00F4">
      <w:pPr>
        <w:rPr>
          <w:b/>
          <w:bCs/>
        </w:rPr>
      </w:pPr>
      <w:r>
        <w:rPr>
          <w:b/>
          <w:bCs/>
        </w:rPr>
        <w:t xml:space="preserve">   </w:t>
      </w:r>
    </w:p>
    <w:p w14:paraId="41434D84" w14:textId="77777777" w:rsidR="00CF00F4" w:rsidRDefault="00CF00F4" w:rsidP="00CF00F4">
      <w:pPr>
        <w:rPr>
          <w:b/>
          <w:bCs/>
        </w:rPr>
      </w:pPr>
      <w:r>
        <w:rPr>
          <w:b/>
          <w:bCs/>
        </w:rPr>
        <w:t xml:space="preserve">   Identifying Key Business and Corporate Strategies (Strategic Choice)</w:t>
      </w:r>
    </w:p>
    <w:p w14:paraId="4E01965F" w14:textId="77777777" w:rsidR="00CF00F4" w:rsidRPr="00171FB8" w:rsidRDefault="00CF00F4" w:rsidP="00CF00F4">
      <w:pPr>
        <w:pStyle w:val="NormalWeb"/>
        <w:spacing w:before="0" w:beforeAutospacing="0" w:after="0" w:afterAutospacing="0"/>
        <w:rPr>
          <w:rFonts w:ascii="Segoe UI" w:hAnsi="Segoe UI" w:cs="Segoe UI"/>
          <w:sz w:val="21"/>
          <w:szCs w:val="21"/>
        </w:rPr>
      </w:pPr>
    </w:p>
    <w:p w14:paraId="2DF2970D" w14:textId="25DEF89C" w:rsidR="00CF00F4" w:rsidRPr="00497F8C" w:rsidRDefault="00CF00F4" w:rsidP="00CF00F4">
      <w:pPr>
        <w:rPr>
          <w:rFonts w:ascii="Segoe UI" w:eastAsia="Times New Roman" w:hAnsi="Segoe UI" w:cs="Segoe UI"/>
          <w:sz w:val="21"/>
          <w:szCs w:val="21"/>
          <w:lang w:eastAsia="en-GB"/>
        </w:rPr>
      </w:pP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Rolls-Royce has implemented several key business and corporate strategies to position itself in the market. One way to analyze their market positioning is through Porter's Generic Strategies.</w:t>
      </w:r>
      <w:r w:rsidRPr="00171FB8">
        <w:rPr>
          <w:rFonts w:ascii="Segoe UI" w:eastAsia="Times New Roman" w:hAnsi="Segoe UI" w:cs="Segoe UI"/>
          <w:sz w:val="21"/>
          <w:szCs w:val="21"/>
          <w:lang w:eastAsia="en-GB"/>
        </w:rPr>
        <w:br/>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1. Cost Leadership Strategy: Rolls-Royce has pursued a cost leadership strategy by focusing on efficiency and operational excellence. They continuously strive to reduce costs in their manufacturing processes and supply chain management, allowing them to offer competitive pricing for their products and services. This is evident in their ability to deliver reliable and fuel-efficient engines while maintaining cost competitiveness.</w:t>
      </w:r>
      <w:r w:rsidRPr="00171FB8">
        <w:rPr>
          <w:rFonts w:ascii="Segoe UI" w:eastAsia="Times New Roman" w:hAnsi="Segoe UI" w:cs="Segoe UI"/>
          <w:sz w:val="21"/>
          <w:szCs w:val="21"/>
          <w:lang w:eastAsia="en-GB"/>
        </w:rPr>
        <w:br/>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2. Differentiation Strategy: Another key strategy employed by Rolls-Royce is differentiation. They differentiate themselves by offering high-quality and technologically advanced products. Rolls-Royce engines are known for their reliability, performance, and innovative features. The company invests heavily in research and development to develop cutting-edge technologies that provide a competitive advantage in the market. This strategy allows Rolls-Royce to command premium pricing for their products.</w:t>
      </w:r>
      <w:r w:rsidRPr="00171FB8">
        <w:rPr>
          <w:rFonts w:ascii="Segoe UI" w:eastAsia="Times New Roman" w:hAnsi="Segoe UI" w:cs="Segoe UI"/>
          <w:sz w:val="21"/>
          <w:szCs w:val="21"/>
          <w:lang w:eastAsia="en-GB"/>
        </w:rPr>
        <w:br/>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 xml:space="preserve">3. Focus Strategy: Rolls-Royce also adopts a focus strategy by targeting specific market segments. They have a strong focus on the aerospace and defense industries, where they have a significant market share. By concentrating their efforts and resources in these sectors, Rolls-Royce </w:t>
      </w:r>
      <w:r w:rsidRPr="00497F8C">
        <w:rPr>
          <w:rFonts w:ascii="Segoe UI" w:eastAsia="Times New Roman" w:hAnsi="Segoe UI" w:cs="Segoe UI"/>
          <w:sz w:val="21"/>
          <w:szCs w:val="21"/>
          <w:lang w:eastAsia="en-GB"/>
        </w:rPr>
        <w:t>can tailor their products to meet the specific needs of their target customers, providing them</w:t>
      </w:r>
      <w:r w:rsidRPr="00171FB8">
        <w:rPr>
          <w:rFonts w:ascii="Segoe UI" w:eastAsia="Times New Roman" w:hAnsi="Segoe UI" w:cs="Segoe UI"/>
          <w:sz w:val="21"/>
          <w:szCs w:val="21"/>
          <w:lang w:eastAsia="en-GB"/>
        </w:rPr>
        <w:t xml:space="preserve"> with a competitive edge in these niche markets.</w:t>
      </w:r>
      <w:r w:rsidRPr="00171FB8">
        <w:rPr>
          <w:rFonts w:ascii="Segoe UI" w:eastAsia="Times New Roman" w:hAnsi="Segoe UI" w:cs="Segoe UI"/>
          <w:sz w:val="21"/>
          <w:szCs w:val="21"/>
          <w:lang w:eastAsia="en-GB"/>
        </w:rPr>
        <w:br/>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p>
    <w:p w14:paraId="4E998DB6" w14:textId="34095712" w:rsidR="00CF00F4" w:rsidRPr="00D60356" w:rsidRDefault="00CF00F4" w:rsidP="00CF00F4">
      <w:pPr>
        <w:rPr>
          <w:rFonts w:ascii="Segoe UI" w:eastAsia="Times New Roman" w:hAnsi="Segoe UI" w:cs="Segoe UI"/>
          <w:color w:val="FF0000"/>
          <w:sz w:val="21"/>
          <w:szCs w:val="21"/>
          <w:lang w:eastAsia="en-GB"/>
        </w:rPr>
      </w:pP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Rolls-Royce has pursued various key business and corporate strategies, which can be illustrated using the Ansoff Matrix. The Ansoff Matrix is a strategic tool that helps analyze a company's growth strategies based on two dimensions: market penetration, market development, product development, and diversification.</w:t>
      </w:r>
      <w:r w:rsidRPr="00171FB8">
        <w:rPr>
          <w:rFonts w:ascii="Segoe UI" w:eastAsia="Times New Roman" w:hAnsi="Segoe UI" w:cs="Segoe UI"/>
          <w:sz w:val="21"/>
          <w:szCs w:val="21"/>
          <w:lang w:eastAsia="en-GB"/>
        </w:rPr>
        <w:br/>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 xml:space="preserve">1. Market Penetration: Rolls-Royce has implemented market penetration strategies by focusing on selling existing products in existing markets. They have achieved this through various initiatives such as expanding their customer base, increasing market share, and strengthening customer relationships. For example, Rolls-Royce has established long-term partnerships with </w:t>
      </w:r>
      <w:r w:rsidRPr="00497F8C">
        <w:rPr>
          <w:rFonts w:ascii="Segoe UI" w:eastAsia="Times New Roman" w:hAnsi="Segoe UI" w:cs="Segoe UI"/>
          <w:sz w:val="21"/>
          <w:szCs w:val="21"/>
          <w:lang w:eastAsia="en-GB"/>
        </w:rPr>
        <w:t>major airlines,</w:t>
      </w:r>
      <w:r w:rsidRPr="00171FB8">
        <w:rPr>
          <w:rFonts w:ascii="Segoe UI" w:eastAsia="Times New Roman" w:hAnsi="Segoe UI" w:cs="Segoe UI"/>
          <w:sz w:val="21"/>
          <w:szCs w:val="21"/>
          <w:lang w:eastAsia="en-GB"/>
        </w:rPr>
        <w:t xml:space="preserve"> securing contracts for engine maintenance and creating a loyal customer base.</w:t>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2. Market Development: Rolls-Royce has also pursued market development strategies by entering new markets with existing products. They have expanded their presence globally by entering emerging markets and establishing partnerships with local companies. For instance, Rolls-Royce has entered the Chinese market, which has a growing demand for aircraft engines, by establishing joint ventures with Chinese companies.</w:t>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 xml:space="preserve">3. Product Development: Rolls-Royce has focused on product development strategies by </w:t>
      </w:r>
      <w:r w:rsidRPr="00171FB8">
        <w:rPr>
          <w:rFonts w:ascii="Segoe UI" w:eastAsia="Times New Roman" w:hAnsi="Segoe UI" w:cs="Segoe UI"/>
          <w:sz w:val="21"/>
          <w:szCs w:val="21"/>
          <w:lang w:eastAsia="en-GB"/>
        </w:rPr>
        <w:lastRenderedPageBreak/>
        <w:t>introducing new and innovative products to existing markets. They continually invest in research and development to enhance their engine technologies, improve performance, and reduce environmental impact. As a result, they have developed engines with increased fuel efficiency and reduced emissions, meeting the evolving needs and regulatory requirements of the aviation industry.</w:t>
      </w:r>
      <w:r w:rsidRPr="00171FB8">
        <w:rPr>
          <w:rFonts w:ascii="Segoe UI" w:eastAsia="Times New Roman" w:hAnsi="Segoe UI" w:cs="Segoe UI"/>
          <w:sz w:val="21"/>
          <w:szCs w:val="21"/>
          <w:lang w:eastAsia="en-GB"/>
        </w:rPr>
        <w:br/>
      </w:r>
      <w:r w:rsidRPr="00171FB8">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71FB8">
        <w:rPr>
          <w:rFonts w:ascii="Segoe UI" w:eastAsia="Times New Roman" w:hAnsi="Segoe UI" w:cs="Segoe UI"/>
          <w:sz w:val="21"/>
          <w:szCs w:val="21"/>
          <w:lang w:eastAsia="en-GB"/>
        </w:rPr>
        <w:t>4. Diversification: Rolls-Royce has also pursued diversification strategies by entering new markets with new products. They have expanded their portfolio beyond aerospace engines and have diversified into other sectors such as marine propulsion systems and power generation. This diversification allows Rolls-Royce to leverage their expertise and technologies in different industries, reducing reliance on a single market.</w:t>
      </w:r>
      <w:r>
        <w:rPr>
          <w:rFonts w:ascii="Segoe UI" w:eastAsia="Times New Roman" w:hAnsi="Segoe UI" w:cs="Segoe UI"/>
          <w:sz w:val="21"/>
          <w:szCs w:val="21"/>
          <w:lang w:eastAsia="en-GB"/>
        </w:rPr>
        <w:t xml:space="preserve"> </w:t>
      </w:r>
    </w:p>
    <w:p w14:paraId="73DE5D99" w14:textId="77777777" w:rsidR="00CF00F4" w:rsidRDefault="00CF00F4" w:rsidP="00CF00F4">
      <w:pPr>
        <w:rPr>
          <w:rFonts w:ascii="Segoe UI" w:eastAsia="Times New Roman" w:hAnsi="Segoe UI" w:cs="Segoe UI"/>
          <w:sz w:val="21"/>
          <w:szCs w:val="21"/>
          <w:lang w:eastAsia="en-GB"/>
        </w:rPr>
      </w:pPr>
    </w:p>
    <w:p w14:paraId="34B9B8A9" w14:textId="77777777" w:rsidR="00CF00F4" w:rsidRDefault="00CF00F4" w:rsidP="00CF00F4">
      <w:pPr>
        <w:rPr>
          <w:rFonts w:ascii="Segoe UI" w:eastAsia="Times New Roman" w:hAnsi="Segoe UI" w:cs="Segoe UI"/>
          <w:sz w:val="21"/>
          <w:szCs w:val="21"/>
          <w:lang w:eastAsia="en-GB"/>
        </w:rPr>
      </w:pPr>
    </w:p>
    <w:p w14:paraId="53EDEB75" w14:textId="68250564" w:rsidR="00CF00F4" w:rsidRDefault="00CF00F4" w:rsidP="00CF00F4">
      <w:pPr>
        <w:rPr>
          <w:rFonts w:ascii="Segoe UI" w:eastAsia="Times New Roman" w:hAnsi="Segoe UI" w:cs="Segoe UI"/>
          <w:b/>
          <w:bCs/>
          <w:lang w:eastAsia="en-GB"/>
        </w:rPr>
      </w:pPr>
      <w:r w:rsidRPr="000922AD">
        <w:rPr>
          <w:rFonts w:ascii="Segoe UI" w:eastAsia="Times New Roman" w:hAnsi="Segoe UI" w:cs="Segoe UI"/>
          <w:b/>
          <w:bCs/>
          <w:sz w:val="24"/>
          <w:szCs w:val="24"/>
          <w:lang w:eastAsia="en-GB"/>
        </w:rPr>
        <w:t>Analyzing Resources and Capabilities (Alignment with Strategy)</w:t>
      </w:r>
    </w:p>
    <w:p w14:paraId="696ECCF4" w14:textId="77777777" w:rsidR="00CF00F4" w:rsidRPr="000922AD" w:rsidRDefault="00CF00F4" w:rsidP="00CF00F4">
      <w:pPr>
        <w:pStyle w:val="NormalWeb"/>
        <w:spacing w:before="0" w:beforeAutospacing="0" w:after="0" w:afterAutospacing="0"/>
        <w:rPr>
          <w:rFonts w:ascii="Segoe UI" w:hAnsi="Segoe UI" w:cs="Segoe UI"/>
          <w:sz w:val="21"/>
          <w:szCs w:val="21"/>
        </w:rPr>
      </w:pPr>
    </w:p>
    <w:p w14:paraId="5AB9AA98" w14:textId="77777777" w:rsidR="00CF00F4" w:rsidRDefault="00CF00F4" w:rsidP="00CF00F4">
      <w:pPr>
        <w:rPr>
          <w:rFonts w:ascii="Segoe UI" w:eastAsia="Times New Roman" w:hAnsi="Segoe UI" w:cs="Segoe UI"/>
          <w:sz w:val="21"/>
          <w:szCs w:val="21"/>
          <w:lang w:eastAsia="en-GB"/>
        </w:rPr>
      </w:pP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Rolls-Royce possesses a range of valuable resources and capabilities that have contributed to its current strategic position. These resources and capabilities can be evaluated using the Value Chain and Value System analysis, which helps identify the primary activities and support activities that create value for the company.</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t>1. Resources:</w:t>
      </w:r>
    </w:p>
    <w:p w14:paraId="669C15F8" w14:textId="4B9EEB66" w:rsidR="00CF00F4" w:rsidRDefault="00CF00F4" w:rsidP="00CF00F4">
      <w:pPr>
        <w:rPr>
          <w:rFonts w:ascii="Segoe UI" w:eastAsia="Times New Roman" w:hAnsi="Segoe UI" w:cs="Segoe UI"/>
          <w:sz w:val="21"/>
          <w:szCs w:val="21"/>
          <w:lang w:eastAsia="en-GB"/>
        </w:rPr>
      </w:pPr>
      <w:r w:rsidRPr="000922AD">
        <w:rPr>
          <w:rFonts w:ascii="Segoe UI" w:eastAsia="Times New Roman" w:hAnsi="Segoe UI" w:cs="Segoe UI"/>
          <w:sz w:val="21"/>
          <w:szCs w:val="21"/>
          <w:lang w:eastAsia="en-GB"/>
        </w:rPr>
        <w:t>  a. Intellectual Property: Rolls-Royce's extensive intellectual property, including patents and proprietary technologies, forms a crucial resource. It enables them to develop innovative and technologically advanced products, such as high-performance engines and power systems.</w:t>
      </w:r>
      <w:r w:rsidRPr="000922AD">
        <w:rPr>
          <w:rFonts w:ascii="Segoe UI" w:eastAsia="Times New Roman" w:hAnsi="Segoe UI" w:cs="Segoe UI"/>
          <w:sz w:val="21"/>
          <w:szCs w:val="21"/>
          <w:lang w:eastAsia="en-GB"/>
        </w:rPr>
        <w:br/>
        <w:t>  b. Human Capital: The company's highly skilled workforce, including engineers, technicians, and experienced professionals, is a valuable resource. They possess specialized knowledge and expertise in designing, manufacturing, and maintaining complex aerospace and power systems.</w:t>
      </w:r>
      <w:r w:rsidRPr="000922AD">
        <w:rPr>
          <w:rFonts w:ascii="Segoe UI" w:eastAsia="Times New Roman" w:hAnsi="Segoe UI" w:cs="Segoe UI"/>
          <w:sz w:val="21"/>
          <w:szCs w:val="21"/>
          <w:lang w:eastAsia="en-GB"/>
        </w:rPr>
        <w:br/>
        <w:t>  c. Research and Development Facilities: Rolls-Royce's state-of-the-art research and development facilities enable them to conduct cutting-edge research and develop new technologies. These facilities support their product development efforts and ensure continuous innovation.</w:t>
      </w:r>
      <w:r w:rsidRPr="000922AD">
        <w:rPr>
          <w:rFonts w:ascii="Segoe UI" w:eastAsia="Times New Roman" w:hAnsi="Segoe UI" w:cs="Segoe UI"/>
          <w:sz w:val="21"/>
          <w:szCs w:val="21"/>
          <w:lang w:eastAsia="en-GB"/>
        </w:rPr>
        <w:br/>
        <w:t>  d. Supply Chain: The company has established a robust supply chain network, working closely with suppliers to ensure the availability of high-quality components and materials required for their products.</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t>2. Capabilities:</w:t>
      </w:r>
      <w:r w:rsidRPr="000922AD">
        <w:rPr>
          <w:rFonts w:ascii="Segoe UI" w:eastAsia="Times New Roman" w:hAnsi="Segoe UI" w:cs="Segoe UI"/>
          <w:sz w:val="21"/>
          <w:szCs w:val="21"/>
          <w:lang w:eastAsia="en-GB"/>
        </w:rPr>
        <w:br/>
        <w:t>  a. Technological Expertise: Rolls-Royce has a strong capability in developing advanced technologies for aerospace engines, power systems, and related services. Their expertise allows them to deliver high-performing, reliable, and fuel-efficient products that meet customer demands.</w:t>
      </w:r>
      <w:r w:rsidRPr="000922AD">
        <w:rPr>
          <w:rFonts w:ascii="Segoe UI" w:eastAsia="Times New Roman" w:hAnsi="Segoe UI" w:cs="Segoe UI"/>
          <w:sz w:val="21"/>
          <w:szCs w:val="21"/>
          <w:lang w:eastAsia="en-GB"/>
        </w:rPr>
        <w:br/>
        <w:t>  b. Engineering and Design: The company's engineering and design capabilities are critical for developing innovative and efficient products. They leverage their engineering expertise to optimize performance, reduce weight, and enhance safety in their products.</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lastRenderedPageBreak/>
        <w:t>  c. Service and Support: Rolls-Royce has a strong capability in providing comprehensive service and support to their customers. This includes engine maintenance, repair, and overhaul services, ensuring the reliability and longevity of their products.</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Rolls-Royce has allocated these resources and capabilities to its current strategic position by effectively managing its value chain and value system. The Value Chain analysis helps identify the primary and support activities that contribute to the creation of value. Rolls-Royce has focused on the following aspects:</w:t>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1. Inbound Logistics: The company has established strong relationships with suppliers, ensuring a reliable supply of quality components. They also focus on efficient inventory management to minimize costs and maintain a smooth production process.</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2. Operations: Rolls-Royce's manufacturing facilities and technological expertise enable them to produce high-quality products efficiently. They strive for operational excellence, ensuring timely delivery and adherence to quality standards.</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3. Outbound Logistics: The company has a well-established distribution network to deliver products to customers globally. They also provide logistics support for spare parts and maintenance services.</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4. Marketing and Sales: Rolls-Royce's marketing and sales efforts focus on building strong relationships with customers and promoting the unique value proposition of their products. They emphasize their technological advancements, reliability, and support services.</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5. Service and Support: Rolls-Royce's service capabilities are a significant part of their strategic position. They offer comprehensive service and support throughout the lifecycle of their products, ensuring customer satisfaction and loyalty.</w:t>
      </w:r>
      <w:r w:rsidRPr="000922AD">
        <w:rPr>
          <w:rFonts w:ascii="Segoe UI" w:eastAsia="Times New Roman" w:hAnsi="Segoe UI" w:cs="Segoe UI"/>
          <w:sz w:val="21"/>
          <w:szCs w:val="21"/>
          <w:lang w:eastAsia="en-GB"/>
        </w:rPr>
        <w:br/>
      </w:r>
    </w:p>
    <w:p w14:paraId="0D03C1C9" w14:textId="77777777" w:rsidR="00CF00F4" w:rsidRDefault="00CF00F4" w:rsidP="00CF00F4">
      <w:pPr>
        <w:rPr>
          <w:rFonts w:ascii="Segoe UI" w:eastAsia="Times New Roman" w:hAnsi="Segoe UI" w:cs="Segoe UI"/>
          <w:sz w:val="21"/>
          <w:szCs w:val="21"/>
          <w:lang w:eastAsia="en-GB"/>
        </w:rPr>
      </w:pP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Rolls-Royce possesses several key resources and capabilities that have contributed to its current strategic position. Let's identify these resources and capabilities and then apply the VRIO analysis to determine which ones can lead to sustainable competitive advantages.</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Now, let's apply the VRIO analysis to determine which resources and capabilities can lead to sustainable competitive advantages:</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1. Intellectual Property: This resource is valuable as it protects Rolls-Royce's innovations. It is rare because not every competitor can replicate or develop similar technologies. It is also difficult to imitate due to the extensive investment and expertise required. Therefore, Rolls-Royce's intellectual property can lead to a sustainable competitive advantage.</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 xml:space="preserve">2. Human Capital: While highly skilled employees are valuable, they are not rare in the aerospace industry. Competitors can hire and develop a similar workforce. Hence, this resource may not provide a sustained competitive advantage unless Rolls-Royce can leverage its human </w:t>
      </w:r>
      <w:r w:rsidRPr="000922AD">
        <w:rPr>
          <w:rFonts w:ascii="Segoe UI" w:eastAsia="Times New Roman" w:hAnsi="Segoe UI" w:cs="Segoe UI"/>
          <w:sz w:val="21"/>
          <w:szCs w:val="21"/>
          <w:lang w:eastAsia="en-GB"/>
        </w:rPr>
        <w:lastRenderedPageBreak/>
        <w:t>capital in a unique and difficult-to-imitate manner.</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3. R&amp;D Facilities: Rolls-Royce's state-of-the-art R&amp;D facilities are valuable and rare resources. They require significant investments and expertise to establish and maintain. Furthermore, these facilities are difficult to imitate due to the high costs and technical expertise involved. Therefore, this resource can lead to a sustainable competitive advantage.</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4. Supply Chain: While a robust supply chain is valuable, it may not be rare or difficult to imitate. Competitors can establish similar supply chain networks with proper investments and collaborations. Hence, this resource may not provide a sustained competitive advantage.</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5. Technological Expertise: Rolls-Royce's deep technological expertise is valuable, rare, and difficult to imitate. It requires significant investments in research, development, and talent acquisition. This capability can lead to a sustainable competitive advantage by consistently delivering advanced and efficient products.</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6. Engineering and Design: While valuable, engineering and design capabilities are not rare in the aerospace industry. Competitors can develop similar capabilities with the right investments and talent acquisition. Therefore, this capability may not result in a sustained competitive advantage.</w:t>
      </w:r>
      <w:r w:rsidRPr="000922AD">
        <w:rPr>
          <w:rFonts w:ascii="Segoe UI" w:eastAsia="Times New Roman" w:hAnsi="Segoe UI" w:cs="Segoe UI"/>
          <w:sz w:val="21"/>
          <w:szCs w:val="21"/>
          <w:lang w:eastAsia="en-GB"/>
        </w:rPr>
        <w:br/>
      </w:r>
      <w:r w:rsidRPr="000922AD">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0922AD">
        <w:rPr>
          <w:rFonts w:ascii="Segoe UI" w:eastAsia="Times New Roman" w:hAnsi="Segoe UI" w:cs="Segoe UI"/>
          <w:sz w:val="21"/>
          <w:szCs w:val="21"/>
          <w:lang w:eastAsia="en-GB"/>
        </w:rPr>
        <w:t>7. Service and Support: Comprehensive service and support capabilities are valuable to customers. However, they are not rare or difficult to imitate as competitors can provide similar services. Hence, this capability may not lead to a sustained competitive advantage.</w:t>
      </w:r>
    </w:p>
    <w:p w14:paraId="642DE4B4" w14:textId="77777777" w:rsidR="00CF00F4" w:rsidRDefault="00CF00F4" w:rsidP="00CF00F4">
      <w:pPr>
        <w:rPr>
          <w:rFonts w:ascii="Segoe UI" w:eastAsia="Times New Roman" w:hAnsi="Segoe UI" w:cs="Segoe UI"/>
          <w:sz w:val="21"/>
          <w:szCs w:val="21"/>
          <w:lang w:eastAsia="en-GB"/>
        </w:rPr>
      </w:pPr>
    </w:p>
    <w:p w14:paraId="4FABBF6E" w14:textId="77777777" w:rsidR="00CF00F4" w:rsidRDefault="00CF00F4" w:rsidP="00CF00F4">
      <w:pPr>
        <w:rPr>
          <w:rFonts w:ascii="Segoe UI" w:eastAsia="Times New Roman" w:hAnsi="Segoe UI" w:cs="Segoe UI"/>
          <w:sz w:val="21"/>
          <w:szCs w:val="21"/>
          <w:lang w:eastAsia="en-GB"/>
        </w:rPr>
      </w:pPr>
    </w:p>
    <w:p w14:paraId="0ADBCA56" w14:textId="77777777" w:rsidR="00CF00F4" w:rsidRDefault="00CF00F4" w:rsidP="00CF00F4">
      <w:pPr>
        <w:rPr>
          <w:rFonts w:ascii="Segoe UI" w:eastAsia="Times New Roman" w:hAnsi="Segoe UI" w:cs="Segoe UI"/>
          <w:sz w:val="21"/>
          <w:szCs w:val="21"/>
          <w:lang w:eastAsia="en-GB"/>
        </w:rPr>
      </w:pPr>
    </w:p>
    <w:p w14:paraId="2CEE03E2" w14:textId="77777777" w:rsidR="00CF00F4" w:rsidRDefault="00CF00F4" w:rsidP="00CF00F4">
      <w:pPr>
        <w:rPr>
          <w:rFonts w:ascii="Segoe UI" w:eastAsia="Times New Roman" w:hAnsi="Segoe UI" w:cs="Segoe UI"/>
          <w:b/>
          <w:bCs/>
          <w:lang w:eastAsia="en-GB"/>
        </w:rPr>
      </w:pPr>
      <w:r w:rsidRPr="00D60356">
        <w:rPr>
          <w:rFonts w:ascii="Segoe UI" w:eastAsia="Times New Roman" w:hAnsi="Segoe UI" w:cs="Segoe UI"/>
          <w:b/>
          <w:bCs/>
          <w:sz w:val="24"/>
          <w:szCs w:val="24"/>
          <w:lang w:eastAsia="en-GB"/>
        </w:rPr>
        <w:t xml:space="preserve">Evaluating Strategy in Action </w:t>
      </w:r>
    </w:p>
    <w:p w14:paraId="4217C93F" w14:textId="77777777" w:rsidR="00CF00F4" w:rsidRDefault="00CF00F4" w:rsidP="00CF00F4">
      <w:pPr>
        <w:rPr>
          <w:rFonts w:ascii="Segoe UI" w:eastAsia="Times New Roman" w:hAnsi="Segoe UI" w:cs="Segoe UI"/>
          <w:b/>
          <w:bCs/>
          <w:lang w:eastAsia="en-GB"/>
        </w:rPr>
      </w:pPr>
    </w:p>
    <w:p w14:paraId="2C358568" w14:textId="2CC3FCD1" w:rsidR="00CF00F4" w:rsidRDefault="00CF00F4" w:rsidP="00CF00F4">
      <w:pPr>
        <w:rPr>
          <w:rStyle w:val="ui-provider"/>
        </w:rPr>
      </w:pPr>
      <w:r>
        <w:rPr>
          <w:rFonts w:ascii="Segoe UI" w:eastAsia="Times New Roman" w:hAnsi="Segoe UI" w:cs="Segoe UI"/>
          <w:sz w:val="21"/>
          <w:szCs w:val="21"/>
          <w:lang w:eastAsia="en-GB"/>
        </w:rPr>
        <w:t xml:space="preserve">   </w:t>
      </w:r>
      <w:r w:rsidRPr="00D60356">
        <w:rPr>
          <w:rFonts w:ascii="Segoe UI" w:eastAsia="Times New Roman" w:hAnsi="Segoe UI" w:cs="Segoe UI"/>
          <w:sz w:val="21"/>
          <w:szCs w:val="21"/>
          <w:lang w:eastAsia="en-GB"/>
        </w:rPr>
        <w:t>To evaluate the success of Rolls-Royce in implementing its selected business and corporate strategies, we can apply the SAF (Suitability, Acceptability, and Feasibility) framework. This framework helps assess the effectiveness of strategies by considering their alignment with the company's goals, stakeholder preferences, and practical implementation. Let's evaluate Rolls-Royce's strategies using this framework:</w:t>
      </w:r>
      <w:r w:rsidRPr="00D60356">
        <w:rPr>
          <w:rFonts w:ascii="Segoe UI" w:eastAsia="Times New Roman" w:hAnsi="Segoe UI" w:cs="Segoe UI"/>
          <w:sz w:val="21"/>
          <w:szCs w:val="21"/>
          <w:lang w:eastAsia="en-GB"/>
        </w:rPr>
        <w:br/>
      </w:r>
      <w:r w:rsidRPr="00D60356">
        <w:rPr>
          <w:rFonts w:ascii="Segoe UI" w:eastAsia="Times New Roman" w:hAnsi="Segoe UI" w:cs="Segoe UI"/>
          <w:sz w:val="21"/>
          <w:szCs w:val="21"/>
          <w:lang w:eastAsia="en-GB"/>
        </w:rPr>
        <w:br/>
        <w:t>1. Suitability:</w:t>
      </w:r>
      <w:r w:rsidRPr="00D60356">
        <w:rPr>
          <w:rFonts w:ascii="Segoe UI" w:eastAsia="Times New Roman" w:hAnsi="Segoe UI" w:cs="Segoe UI"/>
          <w:sz w:val="21"/>
          <w:szCs w:val="21"/>
          <w:lang w:eastAsia="en-GB"/>
        </w:rPr>
        <w:br/>
        <w:t>  a. Business Strategy: Rolls-Royce's business strategy focuses on providing advanced and efficient engines and power systems for the aerospace and defense industries. This strategy aligns with the company's strengths in technological expertise and engineering capabilities. It is suitable as it leverages their core competencies to meet customer demands for high-performance and fuel-efficient solutions.</w:t>
      </w:r>
      <w:r w:rsidRPr="00D60356">
        <w:rPr>
          <w:rFonts w:ascii="Segoe UI" w:eastAsia="Times New Roman" w:hAnsi="Segoe UI" w:cs="Segoe UI"/>
          <w:sz w:val="21"/>
          <w:szCs w:val="21"/>
          <w:lang w:eastAsia="en-GB"/>
        </w:rPr>
        <w:br/>
        <w:t xml:space="preserve">  b. Corporate Strategy: Rolls-Royce's corporate strategy involves diversification into other sectors, such as marine and nuclear power. This strategy aims to leverage their expertise in </w:t>
      </w:r>
      <w:r w:rsidRPr="00D60356">
        <w:rPr>
          <w:rFonts w:ascii="Segoe UI" w:eastAsia="Times New Roman" w:hAnsi="Segoe UI" w:cs="Segoe UI"/>
          <w:sz w:val="21"/>
          <w:szCs w:val="21"/>
          <w:lang w:eastAsia="en-GB"/>
        </w:rPr>
        <w:lastRenderedPageBreak/>
        <w:t>engineering and design across multiple industries. It is suitable as it allows Rolls-Royce to explore new markets and revenue streams while capitalizing on their existing capabilities.</w:t>
      </w:r>
      <w:r w:rsidRPr="00D60356">
        <w:rPr>
          <w:rFonts w:ascii="Segoe UI" w:eastAsia="Times New Roman" w:hAnsi="Segoe UI" w:cs="Segoe UI"/>
          <w:sz w:val="21"/>
          <w:szCs w:val="21"/>
          <w:lang w:eastAsia="en-GB"/>
        </w:rPr>
        <w:br/>
      </w:r>
      <w:r w:rsidRPr="00D60356">
        <w:rPr>
          <w:rFonts w:ascii="Segoe UI" w:eastAsia="Times New Roman" w:hAnsi="Segoe UI" w:cs="Segoe UI"/>
          <w:sz w:val="21"/>
          <w:szCs w:val="21"/>
          <w:lang w:eastAsia="en-GB"/>
        </w:rPr>
        <w:br/>
        <w:t>2. Acceptability:</w:t>
      </w:r>
      <w:r w:rsidRPr="00D60356">
        <w:rPr>
          <w:rFonts w:ascii="Segoe UI" w:eastAsia="Times New Roman" w:hAnsi="Segoe UI" w:cs="Segoe UI"/>
          <w:sz w:val="21"/>
          <w:szCs w:val="21"/>
          <w:lang w:eastAsia="en-GB"/>
        </w:rPr>
        <w:br/>
        <w:t>  a. Stakeholder Preferences: Rolls-Royce's strategies are generally acceptable to its stakeholders, including customers, employees, shareholders, and governments. Customers value the company's advanced and reliable products, while employees benefit from the company's focus on professional development and career opportunities. Shareholders appreciate the company's growth potential and long-term profitability. Governments often support Rolls-Royce due to its contribution to national aerospace and defense capabilities.</w:t>
      </w:r>
      <w:r w:rsidRPr="00D60356">
        <w:rPr>
          <w:rFonts w:ascii="Segoe UI" w:eastAsia="Times New Roman" w:hAnsi="Segoe UI" w:cs="Segoe UI"/>
          <w:sz w:val="21"/>
          <w:szCs w:val="21"/>
          <w:lang w:eastAsia="en-GB"/>
        </w:rPr>
        <w:br/>
        <w:t>  b. Ethical Considerations: Rolls-Royce has faced ethical challenges in the past related to corruption and bribery allegations. However, the company has taken steps to address these issues by implementing stricter compliance and governance measures. While these challenges have impacted the company's reputation, Rolls-Royce's commitment to ethical conduct is essential for maintaining acceptability among stakeholders.</w:t>
      </w:r>
      <w:r w:rsidRPr="00D60356">
        <w:rPr>
          <w:rFonts w:ascii="Segoe UI" w:eastAsia="Times New Roman" w:hAnsi="Segoe UI" w:cs="Segoe UI"/>
          <w:sz w:val="21"/>
          <w:szCs w:val="21"/>
          <w:lang w:eastAsia="en-GB"/>
        </w:rPr>
        <w:br/>
      </w:r>
      <w:r w:rsidRPr="00D60356">
        <w:rPr>
          <w:rFonts w:ascii="Segoe UI" w:eastAsia="Times New Roman" w:hAnsi="Segoe UI" w:cs="Segoe UI"/>
          <w:sz w:val="21"/>
          <w:szCs w:val="21"/>
          <w:lang w:eastAsia="en-GB"/>
        </w:rPr>
        <w:br/>
        <w:t>3. Feasibility:</w:t>
      </w:r>
      <w:r w:rsidRPr="00D60356">
        <w:rPr>
          <w:rFonts w:ascii="Segoe UI" w:eastAsia="Times New Roman" w:hAnsi="Segoe UI" w:cs="Segoe UI"/>
          <w:sz w:val="21"/>
          <w:szCs w:val="21"/>
          <w:lang w:eastAsia="en-GB"/>
        </w:rPr>
        <w:br/>
        <w:t>  a. Resources and Capabilities: Rolls-Royce's resources and capabilities, such as intellectual property, human capital, R&amp;D facilities, and supply chain, provide a strong foundation for implementing their strategies. The company has the necessary expertise, infrastructure, and financial resources to support its strategic initiatives.</w:t>
      </w:r>
      <w:r w:rsidRPr="00D60356">
        <w:rPr>
          <w:rFonts w:ascii="Segoe UI" w:eastAsia="Times New Roman" w:hAnsi="Segoe UI" w:cs="Segoe UI"/>
          <w:sz w:val="21"/>
          <w:szCs w:val="21"/>
          <w:lang w:eastAsia="en-GB"/>
        </w:rPr>
        <w:br/>
        <w:t>  b. Market and Competitive Dynamics: The aerospace and defense industries are highly competitive, with several major players. Rolls-Royce faces intense competition from companies like General Electric and Pratt &amp; Whitney. However, the company's technological expertise, brand reputation, and customer relationships give it a competitive advantage. Feasibility is high if Rolls-Royce continues to innovate, adapt to market dynamics, and effectively manage competition.</w:t>
      </w:r>
      <w:r w:rsidRPr="00D60356">
        <w:rPr>
          <w:rFonts w:ascii="Segoe UI" w:eastAsia="Times New Roman" w:hAnsi="Segoe UI" w:cs="Segoe UI"/>
          <w:sz w:val="21"/>
          <w:szCs w:val="21"/>
          <w:lang w:eastAsia="en-GB"/>
        </w:rPr>
        <w:br/>
      </w:r>
    </w:p>
    <w:p w14:paraId="1C4BBEE6" w14:textId="77777777" w:rsidR="00CF00F4" w:rsidRPr="00CF00F4" w:rsidRDefault="00CF00F4" w:rsidP="00CF00F4">
      <w:pPr>
        <w:rPr>
          <w:rStyle w:val="ui-provider"/>
          <w:lang w:val="en-GB"/>
        </w:rPr>
      </w:pPr>
      <w:r w:rsidRPr="00CF00F4">
        <w:rPr>
          <w:rStyle w:val="ui-provider"/>
          <w:lang w:val="en-GB"/>
        </w:rPr>
        <w:t xml:space="preserve">   </w:t>
      </w:r>
    </w:p>
    <w:p w14:paraId="20E74869" w14:textId="77777777" w:rsidR="00CF00F4" w:rsidRDefault="00CF00F4" w:rsidP="00CF00F4">
      <w:pPr>
        <w:jc w:val="center"/>
        <w:rPr>
          <w:rStyle w:val="ui-provider"/>
          <w:sz w:val="36"/>
          <w:szCs w:val="36"/>
        </w:rPr>
      </w:pPr>
      <w:r w:rsidRPr="001B4C1F">
        <w:rPr>
          <w:rStyle w:val="ui-provider"/>
          <w:sz w:val="36"/>
          <w:szCs w:val="36"/>
        </w:rPr>
        <w:t>Evaluating Sustainability Efforts</w:t>
      </w:r>
    </w:p>
    <w:p w14:paraId="63D1A93A" w14:textId="77777777" w:rsidR="00CF00F4" w:rsidRDefault="00CF00F4" w:rsidP="00CF00F4">
      <w:pPr>
        <w:jc w:val="center"/>
        <w:rPr>
          <w:rStyle w:val="ui-provider"/>
          <w:sz w:val="36"/>
          <w:szCs w:val="36"/>
        </w:rPr>
      </w:pPr>
    </w:p>
    <w:p w14:paraId="7D56020A" w14:textId="62CF9405" w:rsidR="00CF00F4" w:rsidRDefault="00CF00F4" w:rsidP="00CF00F4">
      <w:pPr>
        <w:rPr>
          <w:rFonts w:ascii="Segoe UI" w:eastAsia="Times New Roman" w:hAnsi="Segoe UI" w:cs="Segoe UI"/>
          <w:sz w:val="21"/>
          <w:szCs w:val="21"/>
          <w:lang w:eastAsia="en-GB"/>
        </w:rPr>
      </w:pPr>
      <w:r>
        <w:rPr>
          <w:rFonts w:ascii="Segoe UI" w:eastAsia="Times New Roman" w:hAnsi="Segoe UI" w:cs="Segoe UI"/>
          <w:sz w:val="21"/>
          <w:szCs w:val="21"/>
          <w:lang w:eastAsia="en-GB"/>
        </w:rPr>
        <w:t xml:space="preserve">   </w:t>
      </w:r>
      <w:r w:rsidRPr="001B4C1F">
        <w:rPr>
          <w:rFonts w:ascii="Segoe UI" w:eastAsia="Times New Roman" w:hAnsi="Segoe UI" w:cs="Segoe UI"/>
          <w:sz w:val="21"/>
          <w:szCs w:val="21"/>
          <w:lang w:eastAsia="en-GB"/>
        </w:rPr>
        <w:t>To evaluate Rolls-Royce's sustainability efforts, it is important to review their annual reports, policies, and actions. These sources provide valuable insights into the company's commitment to sustainability and the steps they have taken to address environmental and social issues.</w:t>
      </w:r>
      <w:r w:rsidRPr="001B4C1F">
        <w:rPr>
          <w:rFonts w:ascii="Segoe UI" w:eastAsia="Times New Roman" w:hAnsi="Segoe UI" w:cs="Segoe UI"/>
          <w:sz w:val="21"/>
          <w:szCs w:val="21"/>
          <w:lang w:eastAsia="en-GB"/>
        </w:rPr>
        <w:br/>
      </w:r>
      <w:r w:rsidRPr="001B4C1F">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B4C1F">
        <w:rPr>
          <w:rFonts w:ascii="Segoe UI" w:eastAsia="Times New Roman" w:hAnsi="Segoe UI" w:cs="Segoe UI"/>
          <w:sz w:val="21"/>
          <w:szCs w:val="21"/>
          <w:lang w:eastAsia="en-GB"/>
        </w:rPr>
        <w:t>By analyzing their annual reports, you can gain an understanding of Rolls-Royce's sustainability goals, targets, and performance over time. Look for sections dedicated to sustainability, such as environmental initiatives, community engagement, and employee welfare. Pay attention to key indicators, such as carbon emissions, waste management, and energy consumption, to assess their progress in reducing their environmental impact.</w:t>
      </w:r>
      <w:r w:rsidRPr="001B4C1F">
        <w:rPr>
          <w:rFonts w:ascii="Segoe UI" w:eastAsia="Times New Roman" w:hAnsi="Segoe UI" w:cs="Segoe UI"/>
          <w:sz w:val="21"/>
          <w:szCs w:val="21"/>
          <w:lang w:eastAsia="en-GB"/>
        </w:rPr>
        <w:br/>
      </w:r>
      <w:r w:rsidRPr="001B4C1F">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1B4C1F">
        <w:rPr>
          <w:rFonts w:ascii="Segoe UI" w:eastAsia="Times New Roman" w:hAnsi="Segoe UI" w:cs="Segoe UI"/>
          <w:sz w:val="21"/>
          <w:szCs w:val="21"/>
          <w:lang w:eastAsia="en-GB"/>
        </w:rPr>
        <w:t xml:space="preserve">Reviewing their sustainability policies will give you an insight into the principles and guidelines that Rolls-Royce follows to ensure sustainable practices throughout their operations. Look for </w:t>
      </w:r>
      <w:r w:rsidRPr="001B4C1F">
        <w:rPr>
          <w:rFonts w:ascii="Segoe UI" w:eastAsia="Times New Roman" w:hAnsi="Segoe UI" w:cs="Segoe UI"/>
          <w:sz w:val="21"/>
          <w:szCs w:val="21"/>
          <w:lang w:eastAsia="en-GB"/>
        </w:rPr>
        <w:lastRenderedPageBreak/>
        <w:t>policies related to environmental stewardship, social responsibility, and ethical business conduct. Assess how comprehensive and robust these policies are and whether they align with international sustainability standards and frameworks.</w:t>
      </w:r>
      <w:r w:rsidRPr="001B4C1F">
        <w:rPr>
          <w:rFonts w:ascii="Segoe UI" w:eastAsia="Times New Roman" w:hAnsi="Segoe UI" w:cs="Segoe UI"/>
          <w:sz w:val="21"/>
          <w:szCs w:val="21"/>
          <w:lang w:eastAsia="en-GB"/>
        </w:rPr>
        <w:br/>
      </w:r>
    </w:p>
    <w:p w14:paraId="466DE995" w14:textId="77777777" w:rsidR="008931E1" w:rsidRDefault="00CF00F4" w:rsidP="00CF00F4">
      <w:pPr>
        <w:rPr>
          <w:rFonts w:ascii="Segoe UI" w:eastAsia="Times New Roman" w:hAnsi="Segoe UI" w:cs="Segoe UI"/>
          <w:sz w:val="21"/>
          <w:szCs w:val="21"/>
          <w:lang w:eastAsia="en-GB"/>
        </w:rPr>
      </w:pP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Rolls-Royce has set several sustainability goals that align with its corporate strategy. Here are some examples of their sustainability goals:</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1. Carbon Reduction: Rolls-Royce aims to significantly reduce its carbon emissions by implementing energy-efficient technologies and processes across its operations. They have set specific targets to reduce their greenhouse gas emissions, with a focus on Scope 1 and Scope 2 emissions from their manufacturing facilities and operations.</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2. Sustainable Products: The company is committed to developing and delivering sustainable products that meet the evolving needs of their customers while minimizing their environmental impact. This includes investing in research and development to create more fuel-efficient engines and exploring alternative fuels and technologies.</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3. Responsible Supply Chain: Rolls-Royce recognizes the importance of ensuring sustainability throughout its supply chain. They have set goals to engage with suppliers and partners to promote responsible and ethical practices, including responsible sourcing of raw materials and reducing the environmental impact of their supply chain operations.</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4. Employee Well-being: The well-being and development of their employees are integral to Rolls-Royce's sustainability goals. They aim to provide a safe and inclusive work environment, invest in employee training and development, and promote diversity and inclusion throughout the organization.</w:t>
      </w:r>
    </w:p>
    <w:p w14:paraId="67993004" w14:textId="76B09481" w:rsidR="00CF00F4" w:rsidRDefault="00CF00F4" w:rsidP="00CF00F4">
      <w:pPr>
        <w:rPr>
          <w:rFonts w:ascii="Segoe UI" w:eastAsia="Times New Roman" w:hAnsi="Segoe UI" w:cs="Segoe UI"/>
          <w:sz w:val="21"/>
          <w:szCs w:val="21"/>
          <w:lang w:eastAsia="en-GB"/>
        </w:rPr>
      </w:pP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Rolls-Royce's sustainability goals are integrated into their corporate strategy through various means:</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1. Board-level Commitment: The company's senior leadership and board of directors are actively engaged in setting and overseeing sustainability goals. This ensures that sustainability is embedded in the company's strategic decision-making processes.</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2. Stakeholder Engagement: Rolls-Royce engages with various stakeholders, including customers, employees, investors, and communities, to understand their expectations and incorporate their feedback into their sustainability goals. This helps ensure that their goals are aligned with the needs and priorities of their stakeholders.</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3. Risk Management: The company assesses and manages sustainability-related risks and opportunities as part of their overall risk management framework. This allows them to identify potential environmental, social, and governance risks and develop strategies to mitigate them.</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lastRenderedPageBreak/>
        <w:t xml:space="preserve">   </w:t>
      </w:r>
      <w:r w:rsidRPr="00497F8C">
        <w:rPr>
          <w:rFonts w:ascii="Segoe UI" w:eastAsia="Times New Roman" w:hAnsi="Segoe UI" w:cs="Segoe UI"/>
          <w:sz w:val="21"/>
          <w:szCs w:val="21"/>
          <w:lang w:eastAsia="en-GB"/>
        </w:rPr>
        <w:t>4. Performance Monitoring and Reporting: Rolls-Royce regularly monitors and reports on their sustainability performance to track progress towards their goals. This includes disclosing relevant metrics, targets, and initiatives in their annual reports and sustainability reports, providing transparency to stakeholders.</w:t>
      </w:r>
      <w:r w:rsidRPr="00497F8C">
        <w:rPr>
          <w:rFonts w:ascii="Segoe UI" w:eastAsia="Times New Roman" w:hAnsi="Segoe UI" w:cs="Segoe UI"/>
          <w:sz w:val="21"/>
          <w:szCs w:val="21"/>
          <w:lang w:eastAsia="en-GB"/>
        </w:rPr>
        <w:br/>
      </w:r>
    </w:p>
    <w:p w14:paraId="7AD4095A" w14:textId="77777777" w:rsidR="00CF00F4" w:rsidRDefault="00CF00F4" w:rsidP="00CF00F4">
      <w:pPr>
        <w:rPr>
          <w:rFonts w:ascii="Segoe UI" w:eastAsia="Times New Roman" w:hAnsi="Segoe UI" w:cs="Segoe UI"/>
          <w:sz w:val="21"/>
          <w:szCs w:val="21"/>
          <w:lang w:eastAsia="en-GB"/>
        </w:rPr>
      </w:pPr>
    </w:p>
    <w:p w14:paraId="3377C439" w14:textId="77777777" w:rsidR="00CF00F4" w:rsidRDefault="00CF00F4" w:rsidP="00CF00F4">
      <w:pPr>
        <w:rPr>
          <w:rFonts w:ascii="Segoe UI" w:eastAsia="Times New Roman" w:hAnsi="Segoe UI" w:cs="Segoe UI"/>
          <w:sz w:val="21"/>
          <w:szCs w:val="21"/>
          <w:lang w:eastAsia="en-GB"/>
        </w:rPr>
      </w:pPr>
    </w:p>
    <w:p w14:paraId="73CD8AD3" w14:textId="77777777" w:rsidR="00CF00F4" w:rsidRDefault="00CF00F4" w:rsidP="00CF00F4">
      <w:pPr>
        <w:rPr>
          <w:rFonts w:ascii="Segoe UI" w:eastAsia="Times New Roman" w:hAnsi="Segoe UI" w:cs="Segoe UI"/>
          <w:sz w:val="21"/>
          <w:szCs w:val="21"/>
          <w:lang w:eastAsia="en-GB"/>
        </w:rPr>
      </w:pPr>
    </w:p>
    <w:p w14:paraId="2F53A9B4" w14:textId="77777777" w:rsidR="00CF00F4" w:rsidRDefault="00CF00F4" w:rsidP="00CF00F4">
      <w:pPr>
        <w:rPr>
          <w:rFonts w:ascii="Segoe UI" w:eastAsia="Times New Roman" w:hAnsi="Segoe UI" w:cs="Segoe UI"/>
          <w:sz w:val="21"/>
          <w:szCs w:val="21"/>
          <w:lang w:eastAsia="en-GB"/>
        </w:rPr>
      </w:pPr>
    </w:p>
    <w:p w14:paraId="37A22B58" w14:textId="77777777" w:rsidR="00CF00F4" w:rsidRDefault="00CF00F4" w:rsidP="00CF00F4">
      <w:pPr>
        <w:rPr>
          <w:rFonts w:ascii="Segoe UI" w:eastAsia="Times New Roman" w:hAnsi="Segoe UI" w:cs="Segoe UI"/>
          <w:sz w:val="21"/>
          <w:szCs w:val="21"/>
          <w:lang w:eastAsia="en-GB"/>
        </w:rPr>
      </w:pPr>
    </w:p>
    <w:p w14:paraId="4B6C1D01" w14:textId="6F3E220E" w:rsidR="00CF00F4" w:rsidRDefault="00CF00F4" w:rsidP="00CF00F4">
      <w:pPr>
        <w:rPr>
          <w:rFonts w:ascii="Segoe UI" w:eastAsia="Times New Roman" w:hAnsi="Segoe UI" w:cs="Segoe UI"/>
          <w:sz w:val="21"/>
          <w:szCs w:val="21"/>
          <w:lang w:eastAsia="en-GB"/>
        </w:rPr>
      </w:pPr>
    </w:p>
    <w:p w14:paraId="3DAD6EF1" w14:textId="4185F721" w:rsidR="008931E1" w:rsidRDefault="008931E1" w:rsidP="00CF00F4">
      <w:pPr>
        <w:rPr>
          <w:rFonts w:ascii="Segoe UI" w:eastAsia="Times New Roman" w:hAnsi="Segoe UI" w:cs="Segoe UI"/>
          <w:sz w:val="21"/>
          <w:szCs w:val="21"/>
          <w:lang w:eastAsia="en-GB"/>
        </w:rPr>
      </w:pPr>
    </w:p>
    <w:p w14:paraId="4B669630" w14:textId="399C8A2D" w:rsidR="008931E1" w:rsidRDefault="008931E1" w:rsidP="00CF00F4">
      <w:pPr>
        <w:rPr>
          <w:rFonts w:ascii="Segoe UI" w:eastAsia="Times New Roman" w:hAnsi="Segoe UI" w:cs="Segoe UI"/>
          <w:sz w:val="21"/>
          <w:szCs w:val="21"/>
          <w:lang w:eastAsia="en-GB"/>
        </w:rPr>
      </w:pPr>
    </w:p>
    <w:p w14:paraId="456DB8EA" w14:textId="1D5BB74F" w:rsidR="008931E1" w:rsidRDefault="008931E1" w:rsidP="00CF00F4">
      <w:pPr>
        <w:rPr>
          <w:rFonts w:ascii="Segoe UI" w:eastAsia="Times New Roman" w:hAnsi="Segoe UI" w:cs="Segoe UI"/>
          <w:sz w:val="21"/>
          <w:szCs w:val="21"/>
          <w:lang w:eastAsia="en-GB"/>
        </w:rPr>
      </w:pPr>
    </w:p>
    <w:p w14:paraId="6294246B" w14:textId="68460B17" w:rsidR="008931E1" w:rsidRDefault="008931E1" w:rsidP="00CF00F4">
      <w:pPr>
        <w:rPr>
          <w:rFonts w:ascii="Segoe UI" w:eastAsia="Times New Roman" w:hAnsi="Segoe UI" w:cs="Segoe UI"/>
          <w:sz w:val="21"/>
          <w:szCs w:val="21"/>
          <w:lang w:eastAsia="en-GB"/>
        </w:rPr>
      </w:pPr>
    </w:p>
    <w:p w14:paraId="6224529C" w14:textId="26822209" w:rsidR="008931E1" w:rsidRDefault="008931E1" w:rsidP="00CF00F4">
      <w:pPr>
        <w:rPr>
          <w:rFonts w:ascii="Segoe UI" w:eastAsia="Times New Roman" w:hAnsi="Segoe UI" w:cs="Segoe UI"/>
          <w:sz w:val="21"/>
          <w:szCs w:val="21"/>
          <w:lang w:eastAsia="en-GB"/>
        </w:rPr>
      </w:pPr>
    </w:p>
    <w:p w14:paraId="6960744E" w14:textId="345AC7A7" w:rsidR="008931E1" w:rsidRDefault="008931E1" w:rsidP="00CF00F4">
      <w:pPr>
        <w:rPr>
          <w:rFonts w:ascii="Segoe UI" w:eastAsia="Times New Roman" w:hAnsi="Segoe UI" w:cs="Segoe UI"/>
          <w:sz w:val="21"/>
          <w:szCs w:val="21"/>
          <w:lang w:eastAsia="en-GB"/>
        </w:rPr>
      </w:pPr>
    </w:p>
    <w:p w14:paraId="19AA1A0D" w14:textId="2DB62A08" w:rsidR="008931E1" w:rsidRDefault="008931E1" w:rsidP="00CF00F4">
      <w:pPr>
        <w:rPr>
          <w:rFonts w:ascii="Segoe UI" w:eastAsia="Times New Roman" w:hAnsi="Segoe UI" w:cs="Segoe UI"/>
          <w:sz w:val="21"/>
          <w:szCs w:val="21"/>
          <w:lang w:eastAsia="en-GB"/>
        </w:rPr>
      </w:pPr>
    </w:p>
    <w:p w14:paraId="40774F6C" w14:textId="3C2EA5E5" w:rsidR="008931E1" w:rsidRDefault="008931E1" w:rsidP="00CF00F4">
      <w:pPr>
        <w:rPr>
          <w:rFonts w:ascii="Segoe UI" w:eastAsia="Times New Roman" w:hAnsi="Segoe UI" w:cs="Segoe UI"/>
          <w:sz w:val="21"/>
          <w:szCs w:val="21"/>
          <w:lang w:eastAsia="en-GB"/>
        </w:rPr>
      </w:pPr>
    </w:p>
    <w:p w14:paraId="649F1CDA" w14:textId="4722CF28" w:rsidR="008931E1" w:rsidRDefault="008931E1" w:rsidP="00CF00F4">
      <w:pPr>
        <w:rPr>
          <w:rFonts w:ascii="Segoe UI" w:eastAsia="Times New Roman" w:hAnsi="Segoe UI" w:cs="Segoe UI"/>
          <w:sz w:val="21"/>
          <w:szCs w:val="21"/>
          <w:lang w:eastAsia="en-GB"/>
        </w:rPr>
      </w:pPr>
    </w:p>
    <w:p w14:paraId="1D7203F4" w14:textId="3A0E79FD" w:rsidR="008931E1" w:rsidRDefault="008931E1" w:rsidP="00CF00F4">
      <w:pPr>
        <w:rPr>
          <w:rFonts w:ascii="Segoe UI" w:eastAsia="Times New Roman" w:hAnsi="Segoe UI" w:cs="Segoe UI"/>
          <w:sz w:val="21"/>
          <w:szCs w:val="21"/>
          <w:lang w:eastAsia="en-GB"/>
        </w:rPr>
      </w:pPr>
    </w:p>
    <w:p w14:paraId="586AAA49" w14:textId="0F13A863" w:rsidR="008931E1" w:rsidRDefault="008931E1" w:rsidP="00CF00F4">
      <w:pPr>
        <w:rPr>
          <w:rFonts w:ascii="Segoe UI" w:eastAsia="Times New Roman" w:hAnsi="Segoe UI" w:cs="Segoe UI"/>
          <w:sz w:val="21"/>
          <w:szCs w:val="21"/>
          <w:lang w:eastAsia="en-GB"/>
        </w:rPr>
      </w:pPr>
    </w:p>
    <w:p w14:paraId="002F86BB" w14:textId="3A506038" w:rsidR="008931E1" w:rsidRDefault="008931E1" w:rsidP="00CF00F4">
      <w:pPr>
        <w:rPr>
          <w:rFonts w:ascii="Segoe UI" w:eastAsia="Times New Roman" w:hAnsi="Segoe UI" w:cs="Segoe UI"/>
          <w:sz w:val="21"/>
          <w:szCs w:val="21"/>
          <w:lang w:eastAsia="en-GB"/>
        </w:rPr>
      </w:pPr>
    </w:p>
    <w:p w14:paraId="3888053C" w14:textId="553D9C32" w:rsidR="008931E1" w:rsidRDefault="008931E1" w:rsidP="00CF00F4">
      <w:pPr>
        <w:rPr>
          <w:rFonts w:ascii="Segoe UI" w:eastAsia="Times New Roman" w:hAnsi="Segoe UI" w:cs="Segoe UI"/>
          <w:sz w:val="21"/>
          <w:szCs w:val="21"/>
          <w:lang w:eastAsia="en-GB"/>
        </w:rPr>
      </w:pPr>
    </w:p>
    <w:p w14:paraId="379E1C5B" w14:textId="47B2A201" w:rsidR="008931E1" w:rsidRDefault="008931E1" w:rsidP="00CF00F4">
      <w:pPr>
        <w:rPr>
          <w:rFonts w:ascii="Segoe UI" w:eastAsia="Times New Roman" w:hAnsi="Segoe UI" w:cs="Segoe UI"/>
          <w:sz w:val="21"/>
          <w:szCs w:val="21"/>
          <w:lang w:eastAsia="en-GB"/>
        </w:rPr>
      </w:pPr>
    </w:p>
    <w:p w14:paraId="2AFDDD20" w14:textId="6818E984" w:rsidR="008931E1" w:rsidRDefault="008931E1" w:rsidP="00CF00F4">
      <w:pPr>
        <w:rPr>
          <w:rFonts w:ascii="Segoe UI" w:eastAsia="Times New Roman" w:hAnsi="Segoe UI" w:cs="Segoe UI"/>
          <w:sz w:val="21"/>
          <w:szCs w:val="21"/>
          <w:lang w:eastAsia="en-GB"/>
        </w:rPr>
      </w:pPr>
    </w:p>
    <w:p w14:paraId="1EC36571" w14:textId="49175686" w:rsidR="008931E1" w:rsidRDefault="008931E1" w:rsidP="00CF00F4">
      <w:pPr>
        <w:rPr>
          <w:rFonts w:ascii="Segoe UI" w:eastAsia="Times New Roman" w:hAnsi="Segoe UI" w:cs="Segoe UI"/>
          <w:sz w:val="21"/>
          <w:szCs w:val="21"/>
          <w:lang w:eastAsia="en-GB"/>
        </w:rPr>
      </w:pPr>
    </w:p>
    <w:p w14:paraId="1F5F2E8B" w14:textId="21895880" w:rsidR="008931E1" w:rsidRDefault="008931E1" w:rsidP="00CF00F4">
      <w:pPr>
        <w:rPr>
          <w:rFonts w:ascii="Segoe UI" w:eastAsia="Times New Roman" w:hAnsi="Segoe UI" w:cs="Segoe UI"/>
          <w:sz w:val="21"/>
          <w:szCs w:val="21"/>
          <w:lang w:eastAsia="en-GB"/>
        </w:rPr>
      </w:pPr>
    </w:p>
    <w:p w14:paraId="2D14DD59" w14:textId="147C77AD" w:rsidR="008931E1" w:rsidRDefault="008931E1" w:rsidP="00CF00F4">
      <w:pPr>
        <w:rPr>
          <w:rFonts w:ascii="Segoe UI" w:eastAsia="Times New Roman" w:hAnsi="Segoe UI" w:cs="Segoe UI"/>
          <w:sz w:val="21"/>
          <w:szCs w:val="21"/>
          <w:lang w:eastAsia="en-GB"/>
        </w:rPr>
      </w:pPr>
    </w:p>
    <w:p w14:paraId="0607E13F" w14:textId="7758E69B" w:rsidR="008931E1" w:rsidRDefault="008931E1" w:rsidP="00CF00F4">
      <w:pPr>
        <w:rPr>
          <w:rFonts w:ascii="Segoe UI" w:eastAsia="Times New Roman" w:hAnsi="Segoe UI" w:cs="Segoe UI"/>
          <w:sz w:val="21"/>
          <w:szCs w:val="21"/>
          <w:lang w:eastAsia="en-GB"/>
        </w:rPr>
      </w:pPr>
    </w:p>
    <w:p w14:paraId="2893B568" w14:textId="45A31C3D" w:rsidR="008931E1" w:rsidRDefault="008931E1" w:rsidP="00CF00F4">
      <w:pPr>
        <w:rPr>
          <w:rFonts w:ascii="Segoe UI" w:eastAsia="Times New Roman" w:hAnsi="Segoe UI" w:cs="Segoe UI"/>
          <w:sz w:val="21"/>
          <w:szCs w:val="21"/>
          <w:lang w:eastAsia="en-GB"/>
        </w:rPr>
      </w:pPr>
    </w:p>
    <w:p w14:paraId="1D7F389D" w14:textId="34AB9A74" w:rsidR="008931E1" w:rsidRDefault="008931E1" w:rsidP="00CF00F4">
      <w:pPr>
        <w:rPr>
          <w:rFonts w:ascii="Segoe UI" w:eastAsia="Times New Roman" w:hAnsi="Segoe UI" w:cs="Segoe UI"/>
          <w:sz w:val="21"/>
          <w:szCs w:val="21"/>
          <w:lang w:eastAsia="en-GB"/>
        </w:rPr>
      </w:pPr>
    </w:p>
    <w:p w14:paraId="36512F8E" w14:textId="639A2523" w:rsidR="008931E1" w:rsidRDefault="008931E1" w:rsidP="00CF00F4">
      <w:pPr>
        <w:rPr>
          <w:rFonts w:ascii="Segoe UI" w:eastAsia="Times New Roman" w:hAnsi="Segoe UI" w:cs="Segoe UI"/>
          <w:sz w:val="21"/>
          <w:szCs w:val="21"/>
          <w:lang w:eastAsia="en-GB"/>
        </w:rPr>
      </w:pPr>
    </w:p>
    <w:p w14:paraId="2B8FA5A7" w14:textId="40D2CDC3" w:rsidR="008931E1" w:rsidRDefault="008931E1" w:rsidP="00CF00F4">
      <w:pPr>
        <w:rPr>
          <w:rFonts w:ascii="Segoe UI" w:eastAsia="Times New Roman" w:hAnsi="Segoe UI" w:cs="Segoe UI"/>
          <w:sz w:val="21"/>
          <w:szCs w:val="21"/>
          <w:lang w:eastAsia="en-GB"/>
        </w:rPr>
      </w:pPr>
    </w:p>
    <w:p w14:paraId="722C805D" w14:textId="3045576A" w:rsidR="008931E1" w:rsidRDefault="008931E1" w:rsidP="00CF00F4">
      <w:pPr>
        <w:rPr>
          <w:rFonts w:ascii="Segoe UI" w:eastAsia="Times New Roman" w:hAnsi="Segoe UI" w:cs="Segoe UI"/>
          <w:sz w:val="21"/>
          <w:szCs w:val="21"/>
          <w:lang w:eastAsia="en-GB"/>
        </w:rPr>
      </w:pPr>
    </w:p>
    <w:p w14:paraId="6F373913" w14:textId="34957741" w:rsidR="008931E1" w:rsidRDefault="008931E1" w:rsidP="00CF00F4">
      <w:pPr>
        <w:rPr>
          <w:rFonts w:ascii="Segoe UI" w:eastAsia="Times New Roman" w:hAnsi="Segoe UI" w:cs="Segoe UI"/>
          <w:sz w:val="21"/>
          <w:szCs w:val="21"/>
          <w:lang w:eastAsia="en-GB"/>
        </w:rPr>
      </w:pPr>
    </w:p>
    <w:p w14:paraId="650CBB13" w14:textId="3471A62A" w:rsidR="008931E1" w:rsidRDefault="008931E1" w:rsidP="00CF00F4">
      <w:pPr>
        <w:rPr>
          <w:rFonts w:ascii="Segoe UI" w:eastAsia="Times New Roman" w:hAnsi="Segoe UI" w:cs="Segoe UI"/>
          <w:sz w:val="21"/>
          <w:szCs w:val="21"/>
          <w:lang w:eastAsia="en-GB"/>
        </w:rPr>
      </w:pPr>
    </w:p>
    <w:p w14:paraId="07006012" w14:textId="3472389B" w:rsidR="008931E1" w:rsidRDefault="008931E1" w:rsidP="00CF00F4">
      <w:pPr>
        <w:rPr>
          <w:rFonts w:ascii="Segoe UI" w:eastAsia="Times New Roman" w:hAnsi="Segoe UI" w:cs="Segoe UI"/>
          <w:sz w:val="21"/>
          <w:szCs w:val="21"/>
          <w:lang w:eastAsia="en-GB"/>
        </w:rPr>
      </w:pPr>
    </w:p>
    <w:p w14:paraId="1CF25047" w14:textId="16FE6F97" w:rsidR="008931E1" w:rsidRDefault="008931E1" w:rsidP="00CF00F4">
      <w:pPr>
        <w:rPr>
          <w:rFonts w:ascii="Segoe UI" w:eastAsia="Times New Roman" w:hAnsi="Segoe UI" w:cs="Segoe UI"/>
          <w:sz w:val="21"/>
          <w:szCs w:val="21"/>
          <w:lang w:eastAsia="en-GB"/>
        </w:rPr>
      </w:pPr>
    </w:p>
    <w:p w14:paraId="3A0BA562" w14:textId="6BD47CE9" w:rsidR="008931E1" w:rsidRDefault="008931E1" w:rsidP="00CF00F4">
      <w:pPr>
        <w:rPr>
          <w:rFonts w:ascii="Segoe UI" w:eastAsia="Times New Roman" w:hAnsi="Segoe UI" w:cs="Segoe UI"/>
          <w:sz w:val="21"/>
          <w:szCs w:val="21"/>
          <w:lang w:eastAsia="en-GB"/>
        </w:rPr>
      </w:pPr>
    </w:p>
    <w:p w14:paraId="51C8EE74" w14:textId="77777777" w:rsidR="008931E1" w:rsidRDefault="008931E1" w:rsidP="00CF00F4">
      <w:pPr>
        <w:rPr>
          <w:rFonts w:ascii="Segoe UI" w:eastAsia="Times New Roman" w:hAnsi="Segoe UI" w:cs="Segoe UI"/>
          <w:sz w:val="21"/>
          <w:szCs w:val="21"/>
          <w:lang w:eastAsia="en-GB"/>
        </w:rPr>
      </w:pPr>
    </w:p>
    <w:p w14:paraId="20AE5B74" w14:textId="77777777" w:rsidR="00CF00F4" w:rsidRDefault="00CF00F4" w:rsidP="00CF00F4">
      <w:pPr>
        <w:rPr>
          <w:rFonts w:ascii="Segoe UI" w:eastAsia="Times New Roman" w:hAnsi="Segoe UI" w:cs="Segoe UI"/>
          <w:sz w:val="21"/>
          <w:szCs w:val="21"/>
          <w:lang w:eastAsia="en-GB"/>
        </w:rPr>
      </w:pPr>
    </w:p>
    <w:p w14:paraId="0DA189E1" w14:textId="77777777" w:rsidR="00CF00F4" w:rsidRDefault="00CF00F4" w:rsidP="00CF00F4">
      <w:pPr>
        <w:jc w:val="center"/>
        <w:rPr>
          <w:rFonts w:ascii="Segoe UI" w:eastAsia="Times New Roman" w:hAnsi="Segoe UI" w:cs="Segoe UI"/>
          <w:sz w:val="36"/>
          <w:szCs w:val="36"/>
          <w:lang w:eastAsia="en-GB"/>
        </w:rPr>
      </w:pPr>
      <w:r w:rsidRPr="00497F8C">
        <w:rPr>
          <w:rFonts w:ascii="Segoe UI" w:eastAsia="Times New Roman" w:hAnsi="Segoe UI" w:cs="Segoe UI"/>
          <w:sz w:val="36"/>
          <w:szCs w:val="36"/>
          <w:lang w:eastAsia="en-GB"/>
        </w:rPr>
        <w:lastRenderedPageBreak/>
        <w:t>Conclusion</w:t>
      </w:r>
    </w:p>
    <w:p w14:paraId="09334067" w14:textId="77777777" w:rsidR="00CF00F4" w:rsidRDefault="00CF00F4" w:rsidP="00CF00F4">
      <w:pPr>
        <w:jc w:val="center"/>
        <w:rPr>
          <w:rFonts w:ascii="Segoe UI" w:eastAsia="Times New Roman" w:hAnsi="Segoe UI" w:cs="Segoe UI"/>
          <w:sz w:val="36"/>
          <w:szCs w:val="36"/>
          <w:lang w:eastAsia="en-GB"/>
        </w:rPr>
      </w:pPr>
    </w:p>
    <w:p w14:paraId="0E3A63B9" w14:textId="77777777" w:rsidR="00CF00F4" w:rsidRPr="00497F8C" w:rsidRDefault="00CF00F4" w:rsidP="00CF00F4">
      <w:pPr>
        <w:rPr>
          <w:sz w:val="24"/>
          <w:szCs w:val="24"/>
          <w:lang w:val="en-GB"/>
        </w:rPr>
      </w:pP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 xml:space="preserve">In conclusion, the key findings of the report highlight Rolls-Royce's strategic choice to prioritize sustainability and their effective implementation of sustainability goals. </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Rolls-Royce has made a strategic choice to address sustainability by setting clear and measurable goals in areas such as carbon reduction, sustainable products, responsible supply chain, and employee well-being. This demonstrates their commitment to environmental and social responsibility, which aligns with the growing global focus on sustainability.</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The company has effectively implemented their sustainability goals by integrating them into their corporate strategy. Rolls-Royce's senior leadership and board of directors are actively involved in setting and overseeing these goals, ensuring that sustainability considerations are integrated into decision-making processes. They also engage with stakeholders, including customers, employees, investors, and communities, to incorporate their feedback and align their goals with stakeholder expectations.</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Rolls-Royce's effectiveness in the market is evident through their commitment to innovation and the development of sustainable products. By investing in research and development, they have been able to create more fuel-efficient engines and explore alternative fuels and technologies. This positions them as a leader in the market, meeting the evolving needs of their customers while minimizing environmental impact.</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Furthermore, the company's focus on responsible supply chain practices demonstrates their commitment to sustainability throughout their operations. By engaging with suppliers and partners to promote responsible and ethical practices, Rolls-Royce ensures that their sustainability goals extend beyond their own operations.</w:t>
      </w:r>
      <w:r w:rsidRPr="00497F8C">
        <w:rPr>
          <w:rFonts w:ascii="Segoe UI" w:eastAsia="Times New Roman" w:hAnsi="Segoe UI" w:cs="Segoe UI"/>
          <w:sz w:val="21"/>
          <w:szCs w:val="21"/>
          <w:lang w:eastAsia="en-GB"/>
        </w:rPr>
        <w:br/>
      </w:r>
      <w:r w:rsidRPr="00497F8C">
        <w:rPr>
          <w:rFonts w:ascii="Segoe UI" w:eastAsia="Times New Roman" w:hAnsi="Segoe UI" w:cs="Segoe UI"/>
          <w:sz w:val="21"/>
          <w:szCs w:val="21"/>
          <w:lang w:eastAsia="en-GB"/>
        </w:rPr>
        <w:br/>
      </w:r>
      <w:r>
        <w:rPr>
          <w:rFonts w:ascii="Segoe UI" w:eastAsia="Times New Roman" w:hAnsi="Segoe UI" w:cs="Segoe UI"/>
          <w:sz w:val="21"/>
          <w:szCs w:val="21"/>
          <w:lang w:eastAsia="en-GB"/>
        </w:rPr>
        <w:t xml:space="preserve">   </w:t>
      </w:r>
      <w:r w:rsidRPr="00497F8C">
        <w:rPr>
          <w:rFonts w:ascii="Segoe UI" w:eastAsia="Times New Roman" w:hAnsi="Segoe UI" w:cs="Segoe UI"/>
          <w:sz w:val="21"/>
          <w:szCs w:val="21"/>
          <w:lang w:eastAsia="en-GB"/>
        </w:rPr>
        <w:t>Overall, Rolls-Royce's strategic choice, effective implementation, and their commitment to sustainability have positioned them as a leader in the market. Their integration of sustainability into their corporate strategy not only drives positive change within the company but also contributes to a more sustainable future for the industry.</w:t>
      </w:r>
    </w:p>
    <w:p w14:paraId="34080A47" w14:textId="77777777" w:rsidR="00CF00F4" w:rsidRDefault="00CF00F4" w:rsidP="00CF00F4">
      <w:pPr>
        <w:spacing w:after="240" w:line="360" w:lineRule="auto"/>
        <w:jc w:val="center"/>
        <w:outlineLvl w:val="0"/>
        <w:rPr>
          <w:rFonts w:ascii="Times New Roman" w:eastAsia="Times New Roman" w:hAnsi="Times New Roman" w:cs="Times New Roman"/>
          <w:b/>
          <w:bCs/>
          <w:kern w:val="36"/>
          <w:sz w:val="36"/>
          <w:szCs w:val="36"/>
          <w:lang w:val="en-GB" w:eastAsia="en-GB"/>
        </w:rPr>
      </w:pPr>
    </w:p>
    <w:p w14:paraId="2D1BB07A" w14:textId="77777777" w:rsidR="00CF00F4" w:rsidRDefault="00CF00F4" w:rsidP="00CF00F4">
      <w:pPr>
        <w:spacing w:after="240" w:line="360" w:lineRule="auto"/>
        <w:jc w:val="center"/>
        <w:outlineLvl w:val="0"/>
        <w:rPr>
          <w:rFonts w:ascii="Times New Roman" w:eastAsia="Times New Roman" w:hAnsi="Times New Roman" w:cs="Times New Roman"/>
          <w:b/>
          <w:bCs/>
          <w:kern w:val="36"/>
          <w:sz w:val="36"/>
          <w:szCs w:val="36"/>
          <w:lang w:val="en-GB" w:eastAsia="en-GB"/>
        </w:rPr>
      </w:pPr>
    </w:p>
    <w:p w14:paraId="3C9AA8EB" w14:textId="77777777" w:rsidR="00CF00F4" w:rsidRDefault="00CF00F4" w:rsidP="00CF00F4">
      <w:pPr>
        <w:spacing w:after="240" w:line="360" w:lineRule="auto"/>
        <w:jc w:val="center"/>
        <w:outlineLvl w:val="0"/>
        <w:rPr>
          <w:rFonts w:ascii="Times New Roman" w:eastAsia="Times New Roman" w:hAnsi="Times New Roman" w:cs="Times New Roman"/>
          <w:b/>
          <w:bCs/>
          <w:kern w:val="36"/>
          <w:sz w:val="36"/>
          <w:szCs w:val="36"/>
          <w:lang w:val="en-GB" w:eastAsia="en-GB"/>
        </w:rPr>
      </w:pPr>
    </w:p>
    <w:p w14:paraId="36ACDF24" w14:textId="77777777" w:rsidR="00CF00F4" w:rsidRDefault="00CF00F4" w:rsidP="00CF00F4">
      <w:pPr>
        <w:spacing w:after="240" w:line="360" w:lineRule="auto"/>
        <w:jc w:val="center"/>
        <w:outlineLvl w:val="0"/>
        <w:rPr>
          <w:rFonts w:ascii="Times New Roman" w:eastAsia="Times New Roman" w:hAnsi="Times New Roman" w:cs="Times New Roman"/>
          <w:b/>
          <w:bCs/>
          <w:kern w:val="36"/>
          <w:sz w:val="36"/>
          <w:szCs w:val="36"/>
          <w:lang w:val="en-GB" w:eastAsia="en-GB"/>
        </w:rPr>
      </w:pPr>
    </w:p>
    <w:p w14:paraId="65819AD9" w14:textId="144F062E" w:rsidR="00CF00F4" w:rsidRPr="00CF00F4" w:rsidRDefault="00CF00F4" w:rsidP="00CF00F4">
      <w:pPr>
        <w:spacing w:after="240" w:line="360" w:lineRule="auto"/>
        <w:jc w:val="center"/>
        <w:outlineLvl w:val="0"/>
        <w:rPr>
          <w:rFonts w:ascii="Times New Roman" w:eastAsia="Times New Roman" w:hAnsi="Times New Roman" w:cs="Times New Roman"/>
          <w:b/>
          <w:bCs/>
          <w:kern w:val="36"/>
          <w:sz w:val="36"/>
          <w:szCs w:val="36"/>
          <w:lang w:val="en-GB" w:eastAsia="en-GB"/>
        </w:rPr>
      </w:pPr>
      <w:r w:rsidRPr="00CF00F4">
        <w:rPr>
          <w:rFonts w:ascii="Times New Roman" w:eastAsia="Times New Roman" w:hAnsi="Times New Roman" w:cs="Times New Roman"/>
          <w:b/>
          <w:bCs/>
          <w:kern w:val="36"/>
          <w:sz w:val="36"/>
          <w:szCs w:val="36"/>
          <w:lang w:val="en-GB" w:eastAsia="en-GB"/>
        </w:rPr>
        <w:lastRenderedPageBreak/>
        <w:t>Reference list</w:t>
      </w:r>
    </w:p>
    <w:p w14:paraId="381E58D7" w14:textId="77777777" w:rsidR="00CF00F4" w:rsidRPr="00CF00F4" w:rsidRDefault="00CF00F4" w:rsidP="00CF00F4">
      <w:pPr>
        <w:spacing w:after="240" w:line="360" w:lineRule="auto"/>
        <w:rPr>
          <w:rFonts w:ascii="Times New Roman" w:eastAsia="Times New Roman" w:hAnsi="Times New Roman" w:cs="Times New Roman"/>
          <w:sz w:val="24"/>
          <w:szCs w:val="24"/>
          <w:lang w:val="en-GB" w:eastAsia="en-GB"/>
        </w:rPr>
      </w:pPr>
      <w:r w:rsidRPr="00CF00F4">
        <w:rPr>
          <w:rFonts w:ascii="Times New Roman" w:eastAsia="Times New Roman" w:hAnsi="Times New Roman" w:cs="Times New Roman"/>
          <w:sz w:val="24"/>
          <w:szCs w:val="24"/>
          <w:lang w:val="en-GB" w:eastAsia="en-GB"/>
        </w:rPr>
        <w:t xml:space="preserve">Barney, J.B. and </w:t>
      </w:r>
      <w:proofErr w:type="spellStart"/>
      <w:r w:rsidRPr="00CF00F4">
        <w:rPr>
          <w:rFonts w:ascii="Times New Roman" w:eastAsia="Times New Roman" w:hAnsi="Times New Roman" w:cs="Times New Roman"/>
          <w:sz w:val="24"/>
          <w:szCs w:val="24"/>
          <w:lang w:val="en-GB" w:eastAsia="en-GB"/>
        </w:rPr>
        <w:t>Hesterly</w:t>
      </w:r>
      <w:proofErr w:type="spellEnd"/>
      <w:r w:rsidRPr="00CF00F4">
        <w:rPr>
          <w:rFonts w:ascii="Times New Roman" w:eastAsia="Times New Roman" w:hAnsi="Times New Roman" w:cs="Times New Roman"/>
          <w:sz w:val="24"/>
          <w:szCs w:val="24"/>
          <w:lang w:val="en-GB" w:eastAsia="en-GB"/>
        </w:rPr>
        <w:t xml:space="preserve">, W.S. (2019). </w:t>
      </w:r>
      <w:r w:rsidRPr="00CF00F4">
        <w:rPr>
          <w:rFonts w:ascii="Times New Roman" w:eastAsia="Times New Roman" w:hAnsi="Times New Roman" w:cs="Times New Roman"/>
          <w:i/>
          <w:iCs/>
          <w:sz w:val="24"/>
          <w:szCs w:val="24"/>
          <w:lang w:val="en-GB" w:eastAsia="en-GB"/>
        </w:rPr>
        <w:t xml:space="preserve">Strategic management and competitive </w:t>
      </w:r>
      <w:proofErr w:type="gramStart"/>
      <w:r w:rsidRPr="00CF00F4">
        <w:rPr>
          <w:rFonts w:ascii="Times New Roman" w:eastAsia="Times New Roman" w:hAnsi="Times New Roman" w:cs="Times New Roman"/>
          <w:i/>
          <w:iCs/>
          <w:sz w:val="24"/>
          <w:szCs w:val="24"/>
          <w:lang w:val="en-GB" w:eastAsia="en-GB"/>
        </w:rPr>
        <w:t>advantage :</w:t>
      </w:r>
      <w:proofErr w:type="gramEnd"/>
      <w:r w:rsidRPr="00CF00F4">
        <w:rPr>
          <w:rFonts w:ascii="Times New Roman" w:eastAsia="Times New Roman" w:hAnsi="Times New Roman" w:cs="Times New Roman"/>
          <w:i/>
          <w:iCs/>
          <w:sz w:val="24"/>
          <w:szCs w:val="24"/>
          <w:lang w:val="en-GB" w:eastAsia="en-GB"/>
        </w:rPr>
        <w:t xml:space="preserve"> concepts and cases</w:t>
      </w:r>
      <w:r w:rsidRPr="00CF00F4">
        <w:rPr>
          <w:rFonts w:ascii="Times New Roman" w:eastAsia="Times New Roman" w:hAnsi="Times New Roman" w:cs="Times New Roman"/>
          <w:sz w:val="24"/>
          <w:szCs w:val="24"/>
          <w:lang w:val="en-GB" w:eastAsia="en-GB"/>
        </w:rPr>
        <w:t>. 6th ed. Harlow, England: Pearson.</w:t>
      </w:r>
    </w:p>
    <w:p w14:paraId="7F42FA0E" w14:textId="77777777" w:rsidR="00CF00F4" w:rsidRPr="00CF00F4" w:rsidRDefault="00CF00F4" w:rsidP="00CF00F4">
      <w:pPr>
        <w:spacing w:after="240" w:line="360" w:lineRule="auto"/>
        <w:rPr>
          <w:rFonts w:ascii="Times New Roman" w:eastAsia="Times New Roman" w:hAnsi="Times New Roman" w:cs="Times New Roman"/>
          <w:sz w:val="24"/>
          <w:szCs w:val="24"/>
          <w:lang w:val="en-GB" w:eastAsia="en-GB"/>
        </w:rPr>
      </w:pPr>
      <w:r w:rsidRPr="00CF00F4">
        <w:rPr>
          <w:rFonts w:ascii="Times New Roman" w:eastAsia="Times New Roman" w:hAnsi="Times New Roman" w:cs="Times New Roman"/>
          <w:sz w:val="24"/>
          <w:szCs w:val="24"/>
          <w:lang w:val="en-GB" w:eastAsia="en-GB"/>
        </w:rPr>
        <w:t xml:space="preserve">Forster, J. and Browne, M. (1996). </w:t>
      </w:r>
      <w:r w:rsidRPr="00CF00F4">
        <w:rPr>
          <w:rFonts w:ascii="Times New Roman" w:eastAsia="Times New Roman" w:hAnsi="Times New Roman" w:cs="Times New Roman"/>
          <w:i/>
          <w:iCs/>
          <w:sz w:val="24"/>
          <w:szCs w:val="24"/>
          <w:lang w:val="en-GB" w:eastAsia="en-GB"/>
        </w:rPr>
        <w:t>Principles of strategic management</w:t>
      </w:r>
      <w:r w:rsidRPr="00CF00F4">
        <w:rPr>
          <w:rFonts w:ascii="Times New Roman" w:eastAsia="Times New Roman" w:hAnsi="Times New Roman" w:cs="Times New Roman"/>
          <w:sz w:val="24"/>
          <w:szCs w:val="24"/>
          <w:lang w:val="en-GB" w:eastAsia="en-GB"/>
        </w:rPr>
        <w:t>. South Melbourne: Macmillan Education Australia.</w:t>
      </w:r>
    </w:p>
    <w:p w14:paraId="477FF601" w14:textId="77777777" w:rsidR="00CF00F4" w:rsidRPr="00CF00F4" w:rsidRDefault="00CF00F4" w:rsidP="00CF00F4">
      <w:pPr>
        <w:spacing w:after="240" w:line="360" w:lineRule="auto"/>
        <w:rPr>
          <w:rFonts w:ascii="Times New Roman" w:eastAsia="Times New Roman" w:hAnsi="Times New Roman" w:cs="Times New Roman"/>
          <w:sz w:val="24"/>
          <w:szCs w:val="24"/>
          <w:lang w:val="en-GB" w:eastAsia="en-GB"/>
        </w:rPr>
      </w:pPr>
      <w:r w:rsidRPr="00CF00F4">
        <w:rPr>
          <w:rFonts w:ascii="Times New Roman" w:eastAsia="Times New Roman" w:hAnsi="Times New Roman" w:cs="Times New Roman"/>
          <w:sz w:val="24"/>
          <w:szCs w:val="24"/>
          <w:lang w:val="en-GB" w:eastAsia="en-GB"/>
        </w:rPr>
        <w:t xml:space="preserve">Johnson, G. (2019). </w:t>
      </w:r>
      <w:r w:rsidRPr="00CF00F4">
        <w:rPr>
          <w:rFonts w:ascii="Times New Roman" w:eastAsia="Times New Roman" w:hAnsi="Times New Roman" w:cs="Times New Roman"/>
          <w:i/>
          <w:iCs/>
          <w:sz w:val="24"/>
          <w:szCs w:val="24"/>
          <w:lang w:val="en-GB" w:eastAsia="en-GB"/>
        </w:rPr>
        <w:t>Exploring Strategy, Text and Cases, 12th Edition</w:t>
      </w:r>
      <w:r w:rsidRPr="00CF00F4">
        <w:rPr>
          <w:rFonts w:ascii="Times New Roman" w:eastAsia="Times New Roman" w:hAnsi="Times New Roman" w:cs="Times New Roman"/>
          <w:sz w:val="24"/>
          <w:szCs w:val="24"/>
          <w:lang w:val="en-GB" w:eastAsia="en-GB"/>
        </w:rPr>
        <w:t>. Pearson UK.</w:t>
      </w:r>
    </w:p>
    <w:p w14:paraId="130D5537" w14:textId="77777777" w:rsidR="00CF00F4" w:rsidRPr="00CF00F4" w:rsidRDefault="00CF00F4" w:rsidP="00CF00F4">
      <w:pPr>
        <w:spacing w:after="240" w:line="360" w:lineRule="auto"/>
        <w:rPr>
          <w:rFonts w:ascii="Times New Roman" w:eastAsia="Times New Roman" w:hAnsi="Times New Roman" w:cs="Times New Roman"/>
          <w:sz w:val="24"/>
          <w:szCs w:val="24"/>
          <w:lang w:val="en-GB" w:eastAsia="en-GB"/>
        </w:rPr>
      </w:pPr>
      <w:r w:rsidRPr="00CF00F4">
        <w:rPr>
          <w:rFonts w:ascii="Times New Roman" w:eastAsia="Times New Roman" w:hAnsi="Times New Roman" w:cs="Times New Roman"/>
          <w:sz w:val="24"/>
          <w:szCs w:val="24"/>
          <w:lang w:val="en-GB" w:eastAsia="en-GB"/>
        </w:rPr>
        <w:t xml:space="preserve">Johnson, G., Scholes, K., Angwin, D., </w:t>
      </w:r>
      <w:proofErr w:type="spellStart"/>
      <w:r w:rsidRPr="00CF00F4">
        <w:rPr>
          <w:rFonts w:ascii="Times New Roman" w:eastAsia="Times New Roman" w:hAnsi="Times New Roman" w:cs="Times New Roman"/>
          <w:sz w:val="24"/>
          <w:szCs w:val="24"/>
          <w:lang w:val="en-GB" w:eastAsia="en-GB"/>
        </w:rPr>
        <w:t>Regner</w:t>
      </w:r>
      <w:proofErr w:type="spellEnd"/>
      <w:r w:rsidRPr="00CF00F4">
        <w:rPr>
          <w:rFonts w:ascii="Times New Roman" w:eastAsia="Times New Roman" w:hAnsi="Times New Roman" w:cs="Times New Roman"/>
          <w:sz w:val="24"/>
          <w:szCs w:val="24"/>
          <w:lang w:val="en-GB" w:eastAsia="en-GB"/>
        </w:rPr>
        <w:t xml:space="preserve">, P. and Whittington, R. (2019). </w:t>
      </w:r>
      <w:r w:rsidRPr="00CF00F4">
        <w:rPr>
          <w:rFonts w:ascii="Times New Roman" w:eastAsia="Times New Roman" w:hAnsi="Times New Roman" w:cs="Times New Roman"/>
          <w:i/>
          <w:iCs/>
          <w:sz w:val="24"/>
          <w:szCs w:val="24"/>
          <w:lang w:val="en-GB" w:eastAsia="en-GB"/>
        </w:rPr>
        <w:t xml:space="preserve">Exploring </w:t>
      </w:r>
      <w:proofErr w:type="gramStart"/>
      <w:r w:rsidRPr="00CF00F4">
        <w:rPr>
          <w:rFonts w:ascii="Times New Roman" w:eastAsia="Times New Roman" w:hAnsi="Times New Roman" w:cs="Times New Roman"/>
          <w:i/>
          <w:iCs/>
          <w:sz w:val="24"/>
          <w:szCs w:val="24"/>
          <w:lang w:val="en-GB" w:eastAsia="en-GB"/>
        </w:rPr>
        <w:t>Strategy :</w:t>
      </w:r>
      <w:proofErr w:type="gramEnd"/>
      <w:r w:rsidRPr="00CF00F4">
        <w:rPr>
          <w:rFonts w:ascii="Times New Roman" w:eastAsia="Times New Roman" w:hAnsi="Times New Roman" w:cs="Times New Roman"/>
          <w:i/>
          <w:iCs/>
          <w:sz w:val="24"/>
          <w:szCs w:val="24"/>
          <w:lang w:val="en-GB" w:eastAsia="en-GB"/>
        </w:rPr>
        <w:t xml:space="preserve"> Text and Cases</w:t>
      </w:r>
      <w:r w:rsidRPr="00CF00F4">
        <w:rPr>
          <w:rFonts w:ascii="Times New Roman" w:eastAsia="Times New Roman" w:hAnsi="Times New Roman" w:cs="Times New Roman"/>
          <w:sz w:val="24"/>
          <w:szCs w:val="24"/>
          <w:lang w:val="en-GB" w:eastAsia="en-GB"/>
        </w:rPr>
        <w:t>. 12th ed. Harlow, England: Pearson.</w:t>
      </w:r>
    </w:p>
    <w:p w14:paraId="018AD216" w14:textId="77777777" w:rsidR="00CF00F4" w:rsidRPr="00CF00F4" w:rsidRDefault="00CF00F4" w:rsidP="00CF00F4">
      <w:pPr>
        <w:spacing w:after="240" w:line="360" w:lineRule="auto"/>
        <w:rPr>
          <w:rFonts w:ascii="Times New Roman" w:eastAsia="Times New Roman" w:hAnsi="Times New Roman" w:cs="Times New Roman"/>
          <w:sz w:val="24"/>
          <w:szCs w:val="24"/>
          <w:lang w:val="en-GB" w:eastAsia="en-GB"/>
        </w:rPr>
      </w:pPr>
      <w:r w:rsidRPr="00CF00F4">
        <w:rPr>
          <w:rFonts w:ascii="Times New Roman" w:eastAsia="Times New Roman" w:hAnsi="Times New Roman" w:cs="Times New Roman"/>
          <w:sz w:val="24"/>
          <w:szCs w:val="24"/>
          <w:lang w:val="en-GB" w:eastAsia="en-GB"/>
        </w:rPr>
        <w:t xml:space="preserve">Lynch, R. (2018). </w:t>
      </w:r>
      <w:r w:rsidRPr="00CF00F4">
        <w:rPr>
          <w:rFonts w:ascii="Times New Roman" w:eastAsia="Times New Roman" w:hAnsi="Times New Roman" w:cs="Times New Roman"/>
          <w:i/>
          <w:iCs/>
          <w:sz w:val="24"/>
          <w:szCs w:val="24"/>
          <w:lang w:val="en-GB" w:eastAsia="en-GB"/>
        </w:rPr>
        <w:t>Strategic Management</w:t>
      </w:r>
      <w:r w:rsidRPr="00CF00F4">
        <w:rPr>
          <w:rFonts w:ascii="Times New Roman" w:eastAsia="Times New Roman" w:hAnsi="Times New Roman" w:cs="Times New Roman"/>
          <w:sz w:val="24"/>
          <w:szCs w:val="24"/>
          <w:lang w:val="en-GB" w:eastAsia="en-GB"/>
        </w:rPr>
        <w:t xml:space="preserve">. 8th ed. Harlow, United </w:t>
      </w:r>
      <w:proofErr w:type="gramStart"/>
      <w:r w:rsidRPr="00CF00F4">
        <w:rPr>
          <w:rFonts w:ascii="Times New Roman" w:eastAsia="Times New Roman" w:hAnsi="Times New Roman" w:cs="Times New Roman"/>
          <w:sz w:val="24"/>
          <w:szCs w:val="24"/>
          <w:lang w:val="en-GB" w:eastAsia="en-GB"/>
        </w:rPr>
        <w:t>Kingdom ;</w:t>
      </w:r>
      <w:proofErr w:type="gramEnd"/>
      <w:r w:rsidRPr="00CF00F4">
        <w:rPr>
          <w:rFonts w:ascii="Times New Roman" w:eastAsia="Times New Roman" w:hAnsi="Times New Roman" w:cs="Times New Roman"/>
          <w:sz w:val="24"/>
          <w:szCs w:val="24"/>
          <w:lang w:val="en-GB" w:eastAsia="en-GB"/>
        </w:rPr>
        <w:t xml:space="preserve"> New York: Pearson Education Limited.</w:t>
      </w:r>
    </w:p>
    <w:p w14:paraId="45AA44D3" w14:textId="77777777" w:rsidR="00CF00F4" w:rsidRPr="00CF00F4" w:rsidRDefault="00CF00F4" w:rsidP="00CF00F4">
      <w:pPr>
        <w:spacing w:after="240" w:line="360" w:lineRule="auto"/>
        <w:rPr>
          <w:rFonts w:ascii="Times New Roman" w:eastAsia="Times New Roman" w:hAnsi="Times New Roman" w:cs="Times New Roman"/>
          <w:sz w:val="24"/>
          <w:szCs w:val="24"/>
          <w:lang w:val="en-GB" w:eastAsia="en-GB"/>
        </w:rPr>
      </w:pPr>
      <w:r w:rsidRPr="00CF00F4">
        <w:rPr>
          <w:rFonts w:ascii="Times New Roman" w:eastAsia="Times New Roman" w:hAnsi="Times New Roman" w:cs="Times New Roman"/>
          <w:sz w:val="24"/>
          <w:szCs w:val="24"/>
          <w:lang w:val="en-GB" w:eastAsia="en-GB"/>
        </w:rPr>
        <w:t xml:space="preserve">Rameshwar Dubey and A Gunasekaran (2016). </w:t>
      </w:r>
      <w:r w:rsidRPr="00CF00F4">
        <w:rPr>
          <w:rFonts w:ascii="Times New Roman" w:eastAsia="Times New Roman" w:hAnsi="Times New Roman" w:cs="Times New Roman"/>
          <w:i/>
          <w:iCs/>
          <w:sz w:val="24"/>
          <w:szCs w:val="24"/>
          <w:lang w:val="en-GB" w:eastAsia="en-GB"/>
        </w:rPr>
        <w:t>Strategic management of sustainable manufacturing operations</w:t>
      </w:r>
      <w:r w:rsidRPr="00CF00F4">
        <w:rPr>
          <w:rFonts w:ascii="Times New Roman" w:eastAsia="Times New Roman" w:hAnsi="Times New Roman" w:cs="Times New Roman"/>
          <w:sz w:val="24"/>
          <w:szCs w:val="24"/>
          <w:lang w:val="en-GB" w:eastAsia="en-GB"/>
        </w:rPr>
        <w:t xml:space="preserve">. Hershey Pa: Business Science Reference (An Imprint </w:t>
      </w:r>
      <w:proofErr w:type="gramStart"/>
      <w:r w:rsidRPr="00CF00F4">
        <w:rPr>
          <w:rFonts w:ascii="Times New Roman" w:eastAsia="Times New Roman" w:hAnsi="Times New Roman" w:cs="Times New Roman"/>
          <w:sz w:val="24"/>
          <w:szCs w:val="24"/>
          <w:lang w:val="en-GB" w:eastAsia="en-GB"/>
        </w:rPr>
        <w:t>Of</w:t>
      </w:r>
      <w:proofErr w:type="gramEnd"/>
      <w:r w:rsidRPr="00CF00F4">
        <w:rPr>
          <w:rFonts w:ascii="Times New Roman" w:eastAsia="Times New Roman" w:hAnsi="Times New Roman" w:cs="Times New Roman"/>
          <w:sz w:val="24"/>
          <w:szCs w:val="24"/>
          <w:lang w:val="en-GB" w:eastAsia="en-GB"/>
        </w:rPr>
        <w:t xml:space="preserve"> </w:t>
      </w:r>
      <w:proofErr w:type="spellStart"/>
      <w:r w:rsidRPr="00CF00F4">
        <w:rPr>
          <w:rFonts w:ascii="Times New Roman" w:eastAsia="Times New Roman" w:hAnsi="Times New Roman" w:cs="Times New Roman"/>
          <w:sz w:val="24"/>
          <w:szCs w:val="24"/>
          <w:lang w:val="en-GB" w:eastAsia="en-GB"/>
        </w:rPr>
        <w:t>Igi</w:t>
      </w:r>
      <w:proofErr w:type="spellEnd"/>
      <w:r w:rsidRPr="00CF00F4">
        <w:rPr>
          <w:rFonts w:ascii="Times New Roman" w:eastAsia="Times New Roman" w:hAnsi="Times New Roman" w:cs="Times New Roman"/>
          <w:sz w:val="24"/>
          <w:szCs w:val="24"/>
          <w:lang w:val="en-GB" w:eastAsia="en-GB"/>
        </w:rPr>
        <w:t xml:space="preserve"> Global.</w:t>
      </w:r>
    </w:p>
    <w:p w14:paraId="301F1A49" w14:textId="77777777" w:rsidR="00CF00F4" w:rsidRPr="00CF00F4" w:rsidRDefault="00CF00F4" w:rsidP="00CF00F4">
      <w:pPr>
        <w:spacing w:after="240" w:line="360" w:lineRule="auto"/>
        <w:rPr>
          <w:rFonts w:ascii="Times New Roman" w:eastAsia="Times New Roman" w:hAnsi="Times New Roman" w:cs="Times New Roman"/>
          <w:sz w:val="24"/>
          <w:szCs w:val="24"/>
          <w:lang w:val="en-GB" w:eastAsia="en-GB"/>
        </w:rPr>
      </w:pPr>
      <w:r w:rsidRPr="00CF00F4">
        <w:rPr>
          <w:rFonts w:ascii="Times New Roman" w:eastAsia="Times New Roman" w:hAnsi="Times New Roman" w:cs="Times New Roman"/>
          <w:sz w:val="24"/>
          <w:szCs w:val="24"/>
          <w:lang w:val="en-GB" w:eastAsia="en-GB"/>
        </w:rPr>
        <w:t xml:space="preserve">Rothwell, R. (1992). Successful industrial innovation: critical factors for the 1990s. </w:t>
      </w:r>
      <w:r w:rsidRPr="00CF00F4">
        <w:rPr>
          <w:rFonts w:ascii="Times New Roman" w:eastAsia="Times New Roman" w:hAnsi="Times New Roman" w:cs="Times New Roman"/>
          <w:i/>
          <w:iCs/>
          <w:sz w:val="24"/>
          <w:szCs w:val="24"/>
          <w:lang w:val="en-GB" w:eastAsia="en-GB"/>
        </w:rPr>
        <w:t>R&amp;D Management</w:t>
      </w:r>
      <w:r w:rsidRPr="00CF00F4">
        <w:rPr>
          <w:rFonts w:ascii="Times New Roman" w:eastAsia="Times New Roman" w:hAnsi="Times New Roman" w:cs="Times New Roman"/>
          <w:sz w:val="24"/>
          <w:szCs w:val="24"/>
          <w:lang w:val="en-GB" w:eastAsia="en-GB"/>
        </w:rPr>
        <w:t xml:space="preserve">, 22(3), pp.221–240. </w:t>
      </w:r>
      <w:proofErr w:type="spellStart"/>
      <w:proofErr w:type="gramStart"/>
      <w:r w:rsidRPr="00CF00F4">
        <w:rPr>
          <w:rFonts w:ascii="Times New Roman" w:eastAsia="Times New Roman" w:hAnsi="Times New Roman" w:cs="Times New Roman"/>
          <w:sz w:val="24"/>
          <w:szCs w:val="24"/>
          <w:lang w:val="en-GB" w:eastAsia="en-GB"/>
        </w:rPr>
        <w:t>doi:https</w:t>
      </w:r>
      <w:proofErr w:type="spellEnd"/>
      <w:r w:rsidRPr="00CF00F4">
        <w:rPr>
          <w:rFonts w:ascii="Times New Roman" w:eastAsia="Times New Roman" w:hAnsi="Times New Roman" w:cs="Times New Roman"/>
          <w:sz w:val="24"/>
          <w:szCs w:val="24"/>
          <w:lang w:val="en-GB" w:eastAsia="en-GB"/>
        </w:rPr>
        <w:t>://doi.org/10.1111/j.1467-9310.1992.tb00812.x</w:t>
      </w:r>
      <w:proofErr w:type="gramEnd"/>
      <w:r w:rsidRPr="00CF00F4">
        <w:rPr>
          <w:rFonts w:ascii="Times New Roman" w:eastAsia="Times New Roman" w:hAnsi="Times New Roman" w:cs="Times New Roman"/>
          <w:sz w:val="24"/>
          <w:szCs w:val="24"/>
          <w:lang w:val="en-GB" w:eastAsia="en-GB"/>
        </w:rPr>
        <w:t>.</w:t>
      </w:r>
    </w:p>
    <w:p w14:paraId="34403A56" w14:textId="77777777" w:rsidR="00CF00F4" w:rsidRPr="00CF00F4" w:rsidRDefault="00CF00F4" w:rsidP="00CF00F4">
      <w:pPr>
        <w:spacing w:after="240" w:line="360" w:lineRule="auto"/>
        <w:rPr>
          <w:rFonts w:ascii="Times New Roman" w:eastAsia="Times New Roman" w:hAnsi="Times New Roman" w:cs="Times New Roman"/>
          <w:sz w:val="24"/>
          <w:szCs w:val="24"/>
          <w:lang w:val="en-GB" w:eastAsia="en-GB"/>
        </w:rPr>
      </w:pPr>
      <w:r w:rsidRPr="00CF00F4">
        <w:rPr>
          <w:rFonts w:ascii="Times New Roman" w:eastAsia="Times New Roman" w:hAnsi="Times New Roman" w:cs="Times New Roman"/>
          <w:sz w:val="24"/>
          <w:szCs w:val="24"/>
          <w:lang w:val="en-GB" w:eastAsia="en-GB"/>
        </w:rPr>
        <w:t xml:space="preserve">Stacey, R.D. (1993). </w:t>
      </w:r>
      <w:r w:rsidRPr="00CF00F4">
        <w:rPr>
          <w:rFonts w:ascii="Times New Roman" w:eastAsia="Times New Roman" w:hAnsi="Times New Roman" w:cs="Times New Roman"/>
          <w:i/>
          <w:iCs/>
          <w:sz w:val="24"/>
          <w:szCs w:val="24"/>
          <w:lang w:val="en-GB" w:eastAsia="en-GB"/>
        </w:rPr>
        <w:t>Strategic management and organisational dynamics</w:t>
      </w:r>
      <w:r w:rsidRPr="00CF00F4">
        <w:rPr>
          <w:rFonts w:ascii="Times New Roman" w:eastAsia="Times New Roman" w:hAnsi="Times New Roman" w:cs="Times New Roman"/>
          <w:sz w:val="24"/>
          <w:szCs w:val="24"/>
          <w:lang w:val="en-GB" w:eastAsia="en-GB"/>
        </w:rPr>
        <w:t>. London: Pitman.</w:t>
      </w:r>
    </w:p>
    <w:p w14:paraId="1F0ACA96" w14:textId="77777777" w:rsidR="00CF00F4" w:rsidRPr="00CF00F4" w:rsidRDefault="00CF00F4" w:rsidP="00CF00F4">
      <w:pPr>
        <w:spacing w:after="240" w:line="360" w:lineRule="auto"/>
        <w:rPr>
          <w:rFonts w:ascii="Times New Roman" w:eastAsia="Times New Roman" w:hAnsi="Times New Roman" w:cs="Times New Roman"/>
          <w:sz w:val="24"/>
          <w:szCs w:val="24"/>
          <w:lang w:val="en-GB" w:eastAsia="en-GB"/>
        </w:rPr>
      </w:pPr>
      <w:r w:rsidRPr="00CF00F4">
        <w:rPr>
          <w:rFonts w:ascii="Times New Roman" w:eastAsia="Times New Roman" w:hAnsi="Times New Roman" w:cs="Times New Roman"/>
          <w:sz w:val="24"/>
          <w:szCs w:val="24"/>
          <w:lang w:val="en-GB" w:eastAsia="en-GB"/>
        </w:rPr>
        <w:t xml:space="preserve">Wheeler, J.C. (2004). </w:t>
      </w:r>
      <w:r w:rsidRPr="00CF00F4">
        <w:rPr>
          <w:rFonts w:ascii="Times New Roman" w:eastAsia="Times New Roman" w:hAnsi="Times New Roman" w:cs="Times New Roman"/>
          <w:i/>
          <w:iCs/>
          <w:sz w:val="24"/>
          <w:szCs w:val="24"/>
          <w:lang w:val="en-GB" w:eastAsia="en-GB"/>
        </w:rPr>
        <w:t>Rolls Royce</w:t>
      </w:r>
      <w:r w:rsidRPr="00CF00F4">
        <w:rPr>
          <w:rFonts w:ascii="Times New Roman" w:eastAsia="Times New Roman" w:hAnsi="Times New Roman" w:cs="Times New Roman"/>
          <w:sz w:val="24"/>
          <w:szCs w:val="24"/>
          <w:lang w:val="en-GB" w:eastAsia="en-GB"/>
        </w:rPr>
        <w:t>. ABDO Publishing Company.</w:t>
      </w:r>
    </w:p>
    <w:p w14:paraId="10221D1E" w14:textId="77777777" w:rsidR="00CF00F4" w:rsidRPr="00CF00F4" w:rsidRDefault="00CF00F4" w:rsidP="00CF00F4">
      <w:pPr>
        <w:spacing w:line="360" w:lineRule="auto"/>
        <w:jc w:val="center"/>
        <w:rPr>
          <w:rFonts w:ascii="Times New Roman" w:hAnsi="Times New Roman" w:cs="Times New Roman"/>
          <w:b/>
          <w:bCs/>
          <w:color w:val="000000" w:themeColor="text1"/>
          <w:sz w:val="32"/>
          <w:szCs w:val="32"/>
          <w:lang w:val="en-GB"/>
        </w:rPr>
      </w:pPr>
    </w:p>
    <w:p w14:paraId="5BCDB6E6" w14:textId="77777777" w:rsidR="00CF00F4" w:rsidRDefault="00CF00F4" w:rsidP="00CF00F4">
      <w:pPr>
        <w:spacing w:line="360" w:lineRule="auto"/>
        <w:jc w:val="center"/>
        <w:rPr>
          <w:rFonts w:ascii="Times New Roman" w:hAnsi="Times New Roman" w:cs="Times New Roman"/>
          <w:b/>
          <w:bCs/>
          <w:color w:val="000000" w:themeColor="text1"/>
          <w:sz w:val="32"/>
          <w:szCs w:val="32"/>
        </w:rPr>
      </w:pPr>
    </w:p>
    <w:p w14:paraId="7DEE8CE9" w14:textId="77777777" w:rsidR="00CF00F4" w:rsidRDefault="00CF00F4" w:rsidP="00CF00F4">
      <w:pPr>
        <w:spacing w:line="360" w:lineRule="auto"/>
        <w:jc w:val="center"/>
        <w:rPr>
          <w:rFonts w:ascii="Times New Roman" w:hAnsi="Times New Roman" w:cs="Times New Roman"/>
          <w:b/>
          <w:bCs/>
          <w:color w:val="000000" w:themeColor="text1"/>
          <w:sz w:val="32"/>
          <w:szCs w:val="32"/>
        </w:rPr>
      </w:pPr>
    </w:p>
    <w:p w14:paraId="436F6643" w14:textId="77777777" w:rsidR="006B4AE7" w:rsidRDefault="00000000"/>
    <w:sectPr w:rsidR="006B4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0F4"/>
    <w:rsid w:val="0022190D"/>
    <w:rsid w:val="005A1F89"/>
    <w:rsid w:val="008931E1"/>
    <w:rsid w:val="0094135E"/>
    <w:rsid w:val="00CF0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1E6A8E"/>
  <w15:chartTrackingRefBased/>
  <w15:docId w15:val="{77EF0AF1-1047-9E42-BD56-8F479FB28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F00F4"/>
    <w:pPr>
      <w:spacing w:line="276" w:lineRule="auto"/>
    </w:pPr>
    <w:rPr>
      <w:rFonts w:ascii="Arial" w:eastAsia="Arial" w:hAnsi="Arial" w:cs="Arial"/>
      <w:sz w:val="22"/>
      <w:szCs w:val="22"/>
      <w:lang w:val="en-US"/>
    </w:rPr>
  </w:style>
  <w:style w:type="paragraph" w:styleId="Heading1">
    <w:name w:val="heading 1"/>
    <w:basedOn w:val="Normal"/>
    <w:link w:val="Heading1Char"/>
    <w:uiPriority w:val="9"/>
    <w:qFormat/>
    <w:rsid w:val="00CF00F4"/>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CF00F4"/>
  </w:style>
  <w:style w:type="paragraph" w:styleId="NormalWeb">
    <w:name w:val="Normal (Web)"/>
    <w:basedOn w:val="Normal"/>
    <w:uiPriority w:val="99"/>
    <w:semiHidden/>
    <w:unhideWhenUsed/>
    <w:rsid w:val="00CF00F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CF00F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199486">
      <w:bodyDiv w:val="1"/>
      <w:marLeft w:val="0"/>
      <w:marRight w:val="0"/>
      <w:marTop w:val="0"/>
      <w:marBottom w:val="0"/>
      <w:divBdr>
        <w:top w:val="none" w:sz="0" w:space="0" w:color="auto"/>
        <w:left w:val="none" w:sz="0" w:space="0" w:color="auto"/>
        <w:bottom w:val="none" w:sz="0" w:space="0" w:color="auto"/>
        <w:right w:val="none" w:sz="0" w:space="0" w:color="auto"/>
      </w:divBdr>
      <w:divsChild>
        <w:div w:id="4966512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3475</Words>
  <Characters>19810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2</cp:revision>
  <dcterms:created xsi:type="dcterms:W3CDTF">2023-12-20T14:22:00Z</dcterms:created>
  <dcterms:modified xsi:type="dcterms:W3CDTF">2023-12-20T14:22:00Z</dcterms:modified>
</cp:coreProperties>
</file>