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cstheme="minorHAnsi"/>
          <w:i w:val="0"/>
          <w:iCs w:val="0"/>
        </w:rPr>
      </w:pPr>
      <w:r>
        <w:rPr>
          <w:rFonts w:hint="default" w:cstheme="minorHAnsi"/>
          <w:i w:val="0"/>
          <w:iCs w:val="0"/>
          <w:lang w:val="en-US" w:eastAsia="en-IN"/>
        </w:rPr>
        <w:t xml:space="preserve"> </w:t>
      </w:r>
      <w:r>
        <w:rPr>
          <w:rFonts w:hint="default" w:cstheme="minorHAnsi"/>
          <w:i w:val="0"/>
          <w:iCs w:val="0"/>
          <w:lang w:val="en-US" w:eastAsia="en-IN"/>
        </w:rPr>
        <w:tab/>
      </w:r>
      <w:r>
        <w:rPr>
          <w:rFonts w:hint="default" w:cstheme="minorHAnsi"/>
          <w:i w:val="0"/>
          <w:iCs w:val="0"/>
          <w:lang w:val="en-US" w:eastAsia="en-IN"/>
        </w:rPr>
        <w:tab/>
      </w:r>
      <w:r>
        <w:rPr>
          <w:rFonts w:cstheme="minorHAnsi"/>
          <w:i w:val="0"/>
          <w:iCs w:val="0"/>
          <w:lang w:eastAsia="en-IN"/>
        </w:rPr>
        <w:drawing>
          <wp:inline distT="0" distB="0" distL="0" distR="0">
            <wp:extent cx="3909060" cy="1322070"/>
            <wp:effectExtent l="0" t="0" r="2540" b="11430"/>
            <wp:docPr id="5" name="Picture 5"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raxisauril.org.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i w:val="0"/>
          <w:iCs w:val="0"/>
        </w:rPr>
      </w:pPr>
    </w:p>
    <w:p>
      <w:pPr>
        <w:jc w:val="center"/>
        <w:rPr>
          <w:rFonts w:cstheme="minorHAnsi"/>
          <w:i w:val="0"/>
          <w:iCs w:val="0"/>
        </w:rPr>
      </w:pPr>
      <w:bookmarkStart w:id="5" w:name="_GoBack"/>
      <w:bookmarkEnd w:id="5"/>
    </w:p>
    <w:p>
      <w:pPr>
        <w:jc w:val="center"/>
        <w:rPr>
          <w:rFonts w:cstheme="minorHAnsi"/>
          <w:i w:val="0"/>
          <w:iCs w:val="0"/>
        </w:rPr>
      </w:pPr>
    </w:p>
    <w:p>
      <w:pPr>
        <w:jc w:val="center"/>
        <w:rPr>
          <w:rFonts w:hint="default" w:cstheme="minorHAnsi"/>
          <w:i w:val="0"/>
          <w:iCs w:val="0"/>
          <w:lang w:val="en-US"/>
        </w:rPr>
      </w:pPr>
      <w:r>
        <w:rPr>
          <w:rFonts w:cstheme="minorHAnsi"/>
          <w:i w:val="0"/>
          <w:iCs w:val="0"/>
        </w:rPr>
        <w:t xml:space="preserve">NAME: </w:t>
      </w:r>
      <w:r>
        <w:rPr>
          <w:rFonts w:hint="default" w:cstheme="minorHAnsi"/>
          <w:i w:val="0"/>
          <w:iCs w:val="0"/>
          <w:lang w:val="en-US"/>
        </w:rPr>
        <w:t>NIHITH KISHORE MEDURI</w:t>
      </w:r>
    </w:p>
    <w:p>
      <w:pPr>
        <w:jc w:val="center"/>
        <w:rPr>
          <w:rFonts w:cstheme="minorHAnsi"/>
          <w:i w:val="0"/>
          <w:iCs w:val="0"/>
        </w:rPr>
      </w:pPr>
    </w:p>
    <w:p>
      <w:pPr>
        <w:jc w:val="center"/>
        <w:rPr>
          <w:rFonts w:hint="default" w:cstheme="minorHAnsi"/>
          <w:i w:val="0"/>
          <w:iCs w:val="0"/>
          <w:lang w:val="en-US"/>
        </w:rPr>
      </w:pPr>
      <w:r>
        <w:rPr>
          <w:rFonts w:cstheme="minorHAnsi"/>
          <w:i w:val="0"/>
          <w:iCs w:val="0"/>
        </w:rPr>
        <w:t xml:space="preserve">STUDENT NUMBER: </w:t>
      </w:r>
      <w:r>
        <w:rPr>
          <w:rFonts w:hint="default" w:cstheme="minorHAnsi"/>
          <w:i w:val="0"/>
          <w:iCs w:val="0"/>
          <w:lang w:val="en-US"/>
        </w:rPr>
        <w:t>2212393</w:t>
      </w:r>
    </w:p>
    <w:p>
      <w:pPr>
        <w:jc w:val="center"/>
        <w:rPr>
          <w:rFonts w:cstheme="minorHAnsi"/>
          <w:i w:val="0"/>
          <w:iCs w:val="0"/>
        </w:rPr>
      </w:pPr>
    </w:p>
    <w:p>
      <w:pPr>
        <w:jc w:val="center"/>
        <w:rPr>
          <w:rFonts w:cstheme="minorHAnsi"/>
          <w:i w:val="0"/>
          <w:iCs w:val="0"/>
        </w:rPr>
      </w:pPr>
    </w:p>
    <w:p>
      <w:pPr>
        <w:jc w:val="center"/>
        <w:rPr>
          <w:rFonts w:hint="default" w:cstheme="minorHAnsi"/>
          <w:i w:val="0"/>
          <w:iCs w:val="0"/>
          <w:lang w:val="en-US"/>
        </w:rPr>
      </w:pPr>
      <w:r>
        <w:rPr>
          <w:rFonts w:cstheme="minorHAnsi"/>
          <w:i w:val="0"/>
          <w:iCs w:val="0"/>
        </w:rPr>
        <w:t xml:space="preserve">MODULE: </w:t>
      </w:r>
      <w:r>
        <w:rPr>
          <w:rFonts w:hint="default" w:cstheme="minorHAnsi"/>
          <w:i w:val="0"/>
          <w:iCs w:val="0"/>
          <w:lang w:val="en-US"/>
        </w:rPr>
        <w:t xml:space="preserve">HUMAN RESOURCE MANAGEMENT </w:t>
      </w:r>
    </w:p>
    <w:p>
      <w:pPr>
        <w:jc w:val="both"/>
        <w:rPr>
          <w:rFonts w:cstheme="minorHAnsi"/>
          <w:i w:val="0"/>
          <w:iCs w:val="0"/>
        </w:rPr>
      </w:pPr>
    </w:p>
    <w:p>
      <w:pPr>
        <w:jc w:val="both"/>
        <w:rPr>
          <w:rFonts w:cstheme="minorHAnsi"/>
          <w:i w:val="0"/>
          <w:iCs w:val="0"/>
        </w:rPr>
      </w:pPr>
    </w:p>
    <w:p>
      <w:pPr>
        <w:ind w:firstLine="2420" w:firstLineChars="1100"/>
        <w:jc w:val="both"/>
        <w:rPr>
          <w:rFonts w:cstheme="minorHAnsi"/>
          <w:i w:val="0"/>
          <w:iCs w:val="0"/>
        </w:rPr>
      </w:pPr>
      <w:r>
        <w:rPr>
          <w:rFonts w:cstheme="minorHAnsi"/>
          <w:i w:val="0"/>
          <w:iCs w:val="0"/>
        </w:rPr>
        <w:t>MODULE CODE: LCBM7000</w:t>
      </w:r>
    </w:p>
    <w:p>
      <w:pPr>
        <w:jc w:val="center"/>
        <w:rPr>
          <w:rFonts w:cstheme="minorHAnsi"/>
          <w:i w:val="0"/>
          <w:iCs w:val="0"/>
        </w:rPr>
      </w:pPr>
    </w:p>
    <w:p>
      <w:pPr>
        <w:jc w:val="center"/>
        <w:rPr>
          <w:rFonts w:cstheme="minorHAnsi"/>
          <w:i w:val="0"/>
          <w:iCs w:val="0"/>
        </w:rPr>
      </w:pPr>
    </w:p>
    <w:p>
      <w:pPr>
        <w:jc w:val="center"/>
        <w:rPr>
          <w:rFonts w:cstheme="minorHAnsi"/>
          <w:i w:val="0"/>
          <w:iCs w:val="0"/>
        </w:rPr>
      </w:pPr>
      <w:r>
        <w:rPr>
          <w:rFonts w:cstheme="minorHAnsi"/>
          <w:i w:val="0"/>
          <w:iCs w:val="0"/>
        </w:rPr>
        <w:t>TITLE:</w:t>
      </w:r>
      <w:r>
        <w:rPr>
          <w:rFonts w:hint="default" w:cstheme="minorHAnsi"/>
          <w:i w:val="0"/>
          <w:iCs w:val="0"/>
          <w:lang w:val="en-US"/>
        </w:rPr>
        <w:t xml:space="preserve"> </w:t>
      </w:r>
      <w:r>
        <w:rPr>
          <w:rFonts w:cstheme="minorHAnsi"/>
          <w:i w:val="0"/>
          <w:iCs w:val="0"/>
        </w:rPr>
        <w:t xml:space="preserve"> A</w:t>
      </w:r>
      <w:r>
        <w:rPr>
          <w:rFonts w:hint="default" w:cstheme="minorHAnsi"/>
          <w:i w:val="0"/>
          <w:iCs w:val="0"/>
          <w:lang w:val="en-US"/>
        </w:rPr>
        <w:t>SSESSMENT 1</w:t>
      </w:r>
      <w:r>
        <w:rPr>
          <w:rFonts w:cstheme="minorHAnsi"/>
          <w:i w:val="0"/>
          <w:iCs w:val="0"/>
        </w:rPr>
        <w:t xml:space="preserve"> </w:t>
      </w:r>
    </w:p>
    <w:p>
      <w:pPr>
        <w:jc w:val="center"/>
        <w:rPr>
          <w:rFonts w:cstheme="minorHAnsi"/>
          <w:i w:val="0"/>
          <w:iCs w:val="0"/>
        </w:rPr>
      </w:pPr>
      <w:r>
        <w:rPr>
          <w:rFonts w:cstheme="minorHAnsi"/>
          <w:i w:val="0"/>
          <w:iCs w:val="0"/>
        </w:rPr>
        <w:t xml:space="preserve"> </w:t>
      </w:r>
    </w:p>
    <w:p>
      <w:pPr>
        <w:jc w:val="center"/>
        <w:rPr>
          <w:rFonts w:cstheme="minorHAnsi"/>
          <w:i w:val="0"/>
          <w:iCs w:val="0"/>
        </w:rPr>
      </w:pPr>
    </w:p>
    <w:p>
      <w:pPr>
        <w:jc w:val="center"/>
        <w:rPr>
          <w:rFonts w:hint="default" w:cstheme="minorHAnsi"/>
          <w:i w:val="0"/>
          <w:iCs w:val="0"/>
          <w:lang w:val="en-US"/>
        </w:rPr>
      </w:pPr>
      <w:r>
        <w:rPr>
          <w:rFonts w:cstheme="minorHAnsi"/>
          <w:i w:val="0"/>
          <w:iCs w:val="0"/>
        </w:rPr>
        <w:t>LECTURER: M</w:t>
      </w:r>
      <w:r>
        <w:rPr>
          <w:rFonts w:hint="default" w:cstheme="minorHAnsi"/>
          <w:i w:val="0"/>
          <w:iCs w:val="0"/>
          <w:lang w:val="en-US"/>
        </w:rPr>
        <w:t>USHFIQUR RAHMAN</w:t>
      </w:r>
    </w:p>
    <w:p>
      <w:pPr>
        <w:jc w:val="center"/>
        <w:rPr>
          <w:rFonts w:cstheme="minorHAnsi"/>
          <w:i w:val="0"/>
          <w:iCs w:val="0"/>
        </w:rPr>
      </w:pPr>
    </w:p>
    <w:p>
      <w:pPr>
        <w:jc w:val="center"/>
        <w:rPr>
          <w:rFonts w:cstheme="minorHAnsi"/>
          <w:i w:val="0"/>
          <w:iCs w:val="0"/>
        </w:rPr>
      </w:pPr>
    </w:p>
    <w:p>
      <w:pPr>
        <w:jc w:val="center"/>
        <w:rPr>
          <w:rFonts w:cstheme="minorHAnsi"/>
          <w:i w:val="0"/>
          <w:iCs w:val="0"/>
        </w:rPr>
      </w:pPr>
      <w:r>
        <w:rPr>
          <w:rFonts w:cstheme="minorHAnsi"/>
          <w:i w:val="0"/>
          <w:iCs w:val="0"/>
        </w:rPr>
        <w:t>Submission Date: 04/01/2023</w:t>
      </w: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Executive Summary</w:t>
      </w: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Cs/>
          <w:i w:val="0"/>
          <w:iCs w:val="0"/>
          <w:sz w:val="24"/>
          <w:szCs w:val="24"/>
        </w:rPr>
      </w:pPr>
      <w:r>
        <w:rPr>
          <w:rFonts w:hint="default" w:ascii="Calibri" w:hAnsi="Calibri" w:eastAsia="Times New Roman" w:cs="Calibri"/>
          <w:bCs/>
          <w:i w:val="0"/>
          <w:iCs w:val="0"/>
          <w:sz w:val="24"/>
          <w:szCs w:val="24"/>
        </w:rPr>
        <w:t xml:space="preserve">The report analyses the impact of external </w:t>
      </w:r>
      <w:r>
        <w:rPr>
          <w:rFonts w:hint="default" w:ascii="Calibri" w:hAnsi="Calibri" w:eastAsia="Times New Roman" w:cs="Calibri"/>
          <w:bCs/>
          <w:i w:val="0"/>
          <w:iCs w:val="0"/>
          <w:sz w:val="24"/>
          <w:szCs w:val="24"/>
          <w:lang w:val="en-US"/>
        </w:rPr>
        <w:t>environmental</w:t>
      </w:r>
      <w:r>
        <w:rPr>
          <w:rFonts w:hint="default" w:ascii="Calibri" w:hAnsi="Calibri" w:eastAsia="Times New Roman" w:cs="Calibri"/>
          <w:bCs/>
          <w:i w:val="0"/>
          <w:iCs w:val="0"/>
          <w:sz w:val="24"/>
          <w:szCs w:val="24"/>
        </w:rPr>
        <w:t xml:space="preserve"> factors on the HRM policies and approaches. The HRM is the most significant </w:t>
      </w:r>
      <w:r>
        <w:rPr>
          <w:rFonts w:hint="default" w:ascii="Calibri" w:hAnsi="Calibri" w:eastAsia="Times New Roman" w:cs="Calibri"/>
          <w:bCs/>
          <w:i w:val="0"/>
          <w:iCs w:val="0"/>
          <w:sz w:val="24"/>
          <w:szCs w:val="24"/>
          <w:lang w:val="en-US"/>
        </w:rPr>
        <w:t>aspect</w:t>
      </w:r>
      <w:r>
        <w:rPr>
          <w:rFonts w:hint="default" w:ascii="Calibri" w:hAnsi="Calibri" w:eastAsia="Times New Roman" w:cs="Calibri"/>
          <w:bCs/>
          <w:i w:val="0"/>
          <w:iCs w:val="0"/>
          <w:sz w:val="24"/>
          <w:szCs w:val="24"/>
        </w:rPr>
        <w:t xml:space="preserve"> of the company as it focuses on managing people in the organisation, developing effective and efficient policies and approaches for the </w:t>
      </w:r>
      <w:r>
        <w:rPr>
          <w:rFonts w:hint="default" w:ascii="Calibri" w:hAnsi="Calibri" w:eastAsia="Times New Roman" w:cs="Calibri"/>
          <w:bCs/>
          <w:i w:val="0"/>
          <w:iCs w:val="0"/>
          <w:sz w:val="24"/>
          <w:szCs w:val="24"/>
          <w:lang w:val="en-US"/>
        </w:rPr>
        <w:t xml:space="preserve"> </w:t>
      </w:r>
      <w:r>
        <w:rPr>
          <w:rFonts w:hint="default" w:ascii="Calibri" w:hAnsi="Calibri" w:eastAsia="Times New Roman" w:cs="Calibri"/>
          <w:bCs/>
          <w:i w:val="0"/>
          <w:iCs w:val="0"/>
          <w:sz w:val="24"/>
          <w:szCs w:val="24"/>
        </w:rPr>
        <w:t xml:space="preserve">employees so that the employee remain motivated and inspired while working with the company. However, the labour market of in the UK is significantly going through a serious condition as the unemployment rate in the UK is higher than other developed countries in the </w:t>
      </w:r>
      <w:r>
        <w:rPr>
          <w:rFonts w:hint="default" w:ascii="Calibri" w:hAnsi="Calibri" w:eastAsia="Times New Roman" w:cs="Calibri"/>
          <w:bCs/>
          <w:i w:val="0"/>
          <w:iCs w:val="0"/>
          <w:sz w:val="24"/>
          <w:szCs w:val="24"/>
          <w:lang w:val="en-US"/>
        </w:rPr>
        <w:t>world</w:t>
      </w:r>
      <w:r>
        <w:rPr>
          <w:rFonts w:hint="default" w:ascii="Calibri" w:hAnsi="Calibri" w:eastAsia="Times New Roman" w:cs="Calibri"/>
          <w:bCs/>
          <w:i w:val="0"/>
          <w:iCs w:val="0"/>
          <w:sz w:val="24"/>
          <w:szCs w:val="24"/>
        </w:rPr>
        <w:t xml:space="preserve"> after the post pandemic era. Due to the changes resulted from Brexit and the Covid-19 has led to a great transition in the HR policies as the employee started requiring a flexible and empowering environment to work to provide higher productivity and performance. </w:t>
      </w:r>
      <w:r>
        <w:rPr>
          <w:rFonts w:hint="default" w:ascii="Calibri" w:hAnsi="Calibri" w:cs="Calibri"/>
          <w:bCs/>
          <w:i w:val="0"/>
          <w:iCs w:val="0"/>
        </w:rPr>
        <w:br w:type="page"/>
      </w:r>
    </w:p>
    <w:p>
      <w:pPr>
        <w:pStyle w:val="3"/>
        <w:spacing w:line="360" w:lineRule="auto"/>
        <w:jc w:val="center"/>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Table of Contents</w:t>
      </w:r>
    </w:p>
    <w:sdt>
      <w:sdtPr>
        <w:rPr>
          <w:rFonts w:hint="default" w:ascii="Calibri" w:hAnsi="Calibri" w:eastAsia="Arial" w:cs="Calibri"/>
          <w:i w:val="0"/>
          <w:iCs w:val="0"/>
          <w:color w:val="auto"/>
          <w:sz w:val="22"/>
          <w:szCs w:val="22"/>
          <w:lang w:val="zh-CN"/>
        </w:rPr>
        <w:id w:val="765652275"/>
        <w:docPartObj>
          <w:docPartGallery w:val="Table of Contents"/>
          <w:docPartUnique/>
        </w:docPartObj>
      </w:sdtPr>
      <w:sdtEndPr>
        <w:rPr>
          <w:rFonts w:hint="default" w:ascii="Calibri" w:hAnsi="Calibri" w:eastAsia="Arial" w:cs="Calibri"/>
          <w:b/>
          <w:bCs/>
          <w:i w:val="0"/>
          <w:iCs w:val="0"/>
          <w:color w:val="auto"/>
          <w:sz w:val="22"/>
          <w:szCs w:val="22"/>
          <w:lang w:val="zh-CN"/>
        </w:rPr>
      </w:sdtEndPr>
      <w:sdtContent>
        <w:p>
          <w:pPr>
            <w:pStyle w:val="20"/>
            <w:spacing w:line="360" w:lineRule="auto"/>
            <w:rPr>
              <w:rFonts w:hint="default" w:ascii="Calibri" w:hAnsi="Calibri" w:cs="Calibri"/>
              <w:i w:val="0"/>
              <w:iCs w:val="0"/>
            </w:rPr>
          </w:pP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TOC \o "1-3" \h \z \u </w:instrText>
          </w:r>
          <w:r>
            <w:rPr>
              <w:rFonts w:hint="default" w:ascii="Calibri" w:hAnsi="Calibri" w:cs="Calibri"/>
              <w:i w:val="0"/>
              <w:iCs w:val="0"/>
            </w:rPr>
            <w:fldChar w:fldCharType="separate"/>
          </w:r>
          <w:r>
            <w:rPr>
              <w:rFonts w:hint="default" w:ascii="Calibri" w:hAnsi="Calibri" w:cs="Calibri"/>
              <w:i w:val="0"/>
              <w:iCs w:val="0"/>
            </w:rPr>
            <w:fldChar w:fldCharType="begin"/>
          </w:r>
          <w:r>
            <w:rPr>
              <w:rFonts w:hint="default" w:ascii="Calibri" w:hAnsi="Calibri" w:cs="Calibri"/>
              <w:i w:val="0"/>
              <w:iCs w:val="0"/>
            </w:rPr>
            <w:instrText xml:space="preserve"> HYPERLINK \l "_Toc122979301" </w:instrText>
          </w:r>
          <w:r>
            <w:rPr>
              <w:rFonts w:hint="default" w:ascii="Calibri" w:hAnsi="Calibri" w:cs="Calibri"/>
              <w:i w:val="0"/>
              <w:iCs w:val="0"/>
            </w:rPr>
            <w:fldChar w:fldCharType="separate"/>
          </w:r>
          <w:r>
            <w:rPr>
              <w:rStyle w:val="13"/>
              <w:rFonts w:hint="default" w:ascii="Calibri" w:hAnsi="Calibri" w:cs="Calibri"/>
              <w:i w:val="0"/>
              <w:iCs w:val="0"/>
              <w:sz w:val="24"/>
              <w:szCs w:val="24"/>
            </w:rPr>
            <w:t>Introduction</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_Toc122979301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3</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"_Toc122979302" </w:instrText>
          </w:r>
          <w:r>
            <w:rPr>
              <w:rFonts w:hint="default" w:ascii="Calibri" w:hAnsi="Calibri" w:cs="Calibri"/>
              <w:i w:val="0"/>
              <w:iCs w:val="0"/>
            </w:rPr>
            <w:fldChar w:fldCharType="separate"/>
          </w:r>
          <w:r>
            <w:rPr>
              <w:rStyle w:val="13"/>
              <w:rFonts w:hint="default" w:ascii="Calibri" w:hAnsi="Calibri" w:cs="Calibri"/>
              <w:i w:val="0"/>
              <w:iCs w:val="0"/>
              <w:sz w:val="24"/>
              <w:szCs w:val="24"/>
            </w:rPr>
            <w:t>The current state of the labour market in the UK</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_Toc122979302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3</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"_Toc122979303" </w:instrText>
          </w:r>
          <w:r>
            <w:rPr>
              <w:rFonts w:hint="default" w:ascii="Calibri" w:hAnsi="Calibri" w:cs="Calibri"/>
              <w:i w:val="0"/>
              <w:iCs w:val="0"/>
            </w:rPr>
            <w:fldChar w:fldCharType="separate"/>
          </w:r>
          <w:r>
            <w:rPr>
              <w:rStyle w:val="13"/>
              <w:rFonts w:hint="default" w:ascii="Calibri" w:hAnsi="Calibri" w:cs="Calibri"/>
              <w:i w:val="0"/>
              <w:iCs w:val="0"/>
              <w:sz w:val="24"/>
              <w:szCs w:val="24"/>
            </w:rPr>
            <w:t>The emerging changes in HR strategies in a post-pandemic and post-Brexit environment</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_Toc122979303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5</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"_Toc122979304" </w:instrText>
          </w:r>
          <w:r>
            <w:rPr>
              <w:rFonts w:hint="default" w:ascii="Calibri" w:hAnsi="Calibri" w:cs="Calibri"/>
              <w:i w:val="0"/>
              <w:iCs w:val="0"/>
            </w:rPr>
            <w:fldChar w:fldCharType="separate"/>
          </w:r>
          <w:r>
            <w:rPr>
              <w:rStyle w:val="13"/>
              <w:rFonts w:hint="default" w:ascii="Calibri" w:hAnsi="Calibri" w:cs="Calibri"/>
              <w:i w:val="0"/>
              <w:iCs w:val="0"/>
              <w:sz w:val="24"/>
              <w:szCs w:val="24"/>
            </w:rPr>
            <w:t>Conclusion</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_Toc122979304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8</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"_Toc122979305" </w:instrText>
          </w:r>
          <w:r>
            <w:rPr>
              <w:rFonts w:hint="default" w:ascii="Calibri" w:hAnsi="Calibri" w:cs="Calibri"/>
              <w:i w:val="0"/>
              <w:iCs w:val="0"/>
            </w:rPr>
            <w:fldChar w:fldCharType="separate"/>
          </w:r>
          <w:r>
            <w:rPr>
              <w:rStyle w:val="13"/>
              <w:rFonts w:hint="default" w:ascii="Calibri" w:hAnsi="Calibri" w:cs="Calibri"/>
              <w:i w:val="0"/>
              <w:iCs w:val="0"/>
              <w:sz w:val="24"/>
              <w:szCs w:val="24"/>
              <w:highlight w:val="white"/>
            </w:rPr>
            <w:t>References</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_Toc122979305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9</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spacing w:line="360" w:lineRule="auto"/>
            <w:rPr>
              <w:rFonts w:hint="default" w:ascii="Calibri" w:hAnsi="Calibri" w:cs="Calibri"/>
              <w:i w:val="0"/>
              <w:iCs w:val="0"/>
            </w:rPr>
          </w:pPr>
          <w:r>
            <w:rPr>
              <w:rFonts w:hint="default" w:ascii="Calibri" w:hAnsi="Calibri" w:cs="Calibri"/>
              <w:b/>
              <w:bCs/>
              <w:i w:val="0"/>
              <w:iCs w:val="0"/>
            </w:rPr>
            <w:fldChar w:fldCharType="end"/>
          </w:r>
        </w:p>
      </w:sdtContent>
    </w:sdt>
    <w:p>
      <w:pPr>
        <w:pStyle w:val="3"/>
        <w:spacing w:line="360" w:lineRule="auto"/>
        <w:jc w:val="center"/>
        <w:rPr>
          <w:rFonts w:hint="default" w:ascii="Calibri" w:hAnsi="Calibri" w:eastAsia="Times New Roman" w:cs="Calibri"/>
          <w:b/>
          <w:i w:val="0"/>
          <w:iCs w:val="0"/>
          <w:sz w:val="24"/>
          <w:szCs w:val="24"/>
        </w:rPr>
      </w:pPr>
      <w:r>
        <w:rPr>
          <w:rFonts w:hint="default" w:ascii="Calibri" w:hAnsi="Calibri" w:cs="Calibri"/>
          <w:i w:val="0"/>
          <w:iCs w:val="0"/>
        </w:rPr>
        <w:br w:type="page"/>
      </w:r>
    </w:p>
    <w:p>
      <w:pPr>
        <w:pStyle w:val="2"/>
        <w:spacing w:line="360" w:lineRule="auto"/>
        <w:rPr>
          <w:rFonts w:hint="default" w:ascii="Calibri" w:hAnsi="Calibri" w:cs="Calibri"/>
          <w:b w:val="0"/>
          <w:i w:val="0"/>
          <w:iCs w:val="0"/>
        </w:rPr>
      </w:pPr>
      <w:bookmarkStart w:id="0" w:name="_Toc122979301"/>
      <w:r>
        <w:rPr>
          <w:rFonts w:hint="default" w:ascii="Calibri" w:hAnsi="Calibri" w:cs="Calibri"/>
          <w:i w:val="0"/>
          <w:iCs w:val="0"/>
        </w:rPr>
        <w:t>Introduction</w:t>
      </w:r>
      <w:bookmarkEnd w:id="0"/>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i w:val="0"/>
          <w:iCs w:val="0"/>
          <w:sz w:val="24"/>
          <w:szCs w:val="24"/>
        </w:rPr>
        <w:t>As stated by Collins (2021), human resource management is one of the significant aspects of the organisation that enables the managers to control, manage, and delegate the employees towards fulfilling organisational goals and objectives. However, the HRM of the company mainly has two distinctive tasks: one is meeting the organisational needs and another one is fulfilling the requirements and expectations of the employees. HR strategies and approaches are influenced by various external factors including political changes, labour market, employment rate, economic crisis and internal factors</w:t>
      </w:r>
      <w:r>
        <w:rPr>
          <w:rFonts w:hint="default" w:ascii="Calibri" w:hAnsi="Calibri" w:eastAsia="Times New Roman" w:cs="Calibri"/>
          <w:b/>
          <w:i w:val="0"/>
          <w:iCs w:val="0"/>
          <w:sz w:val="24"/>
          <w:szCs w:val="24"/>
        </w:rPr>
        <w:t xml:space="preserve"> </w:t>
      </w:r>
      <w:r>
        <w:rPr>
          <w:rFonts w:hint="default" w:ascii="Calibri" w:hAnsi="Calibri" w:eastAsia="Times New Roman" w:cs="Calibri"/>
          <w:i w:val="0"/>
          <w:iCs w:val="0"/>
          <w:sz w:val="24"/>
          <w:szCs w:val="24"/>
        </w:rPr>
        <w:t>such as lower motivation, availability of resources, organisational and operational issues, and technological changes (</w:t>
      </w:r>
      <w:r>
        <w:rPr>
          <w:rFonts w:hint="default" w:ascii="Calibri" w:hAnsi="Calibri" w:eastAsia="Times New Roman" w:cs="Calibri"/>
          <w:i w:val="0"/>
          <w:iCs w:val="0"/>
          <w:color w:val="222222"/>
          <w:sz w:val="24"/>
          <w:szCs w:val="24"/>
          <w:highlight w:val="white"/>
        </w:rPr>
        <w:t>H</w:t>
      </w:r>
      <w:r>
        <w:rPr>
          <w:rFonts w:hint="default" w:ascii="Calibri" w:hAnsi="Calibri" w:eastAsia="Times New Roman" w:cs="Calibri"/>
          <w:i w:val="0"/>
          <w:iCs w:val="0"/>
          <w:color w:val="222222"/>
          <w:sz w:val="24"/>
          <w:szCs w:val="24"/>
          <w:highlight w:val="white"/>
          <w:lang w:val="en-US"/>
        </w:rPr>
        <w:t>e</w:t>
      </w:r>
      <w:r>
        <w:rPr>
          <w:rFonts w:hint="default" w:ascii="Calibri" w:hAnsi="Calibri" w:eastAsia="Times New Roman" w:cs="Calibri"/>
          <w:i w:val="0"/>
          <w:iCs w:val="0"/>
          <w:color w:val="222222"/>
          <w:sz w:val="24"/>
          <w:szCs w:val="24"/>
          <w:highlight w:val="white"/>
        </w:rPr>
        <w:t xml:space="preserve">der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2018</w:t>
      </w:r>
      <w:r>
        <w:rPr>
          <w:rFonts w:hint="default" w:ascii="Calibri" w:hAnsi="Calibri" w:eastAsia="Times New Roman" w:cs="Calibri"/>
          <w:i w:val="0"/>
          <w:iCs w:val="0"/>
          <w:sz w:val="24"/>
          <w:szCs w:val="24"/>
        </w:rPr>
        <w:t xml:space="preserve">). However, this report will discuss the present situation of the labour market in the UK and the changes in HR strategies that occurred due to the pandemic and Brexit. </w:t>
      </w:r>
    </w:p>
    <w:p>
      <w:pPr>
        <w:pStyle w:val="2"/>
        <w:spacing w:line="360" w:lineRule="auto"/>
        <w:rPr>
          <w:rFonts w:hint="default" w:ascii="Calibri" w:hAnsi="Calibri" w:cs="Calibri"/>
          <w:i w:val="0"/>
          <w:iCs w:val="0"/>
        </w:rPr>
      </w:pPr>
      <w:bookmarkStart w:id="1" w:name="_Toc122979302"/>
      <w:r>
        <w:rPr>
          <w:rFonts w:hint="default" w:ascii="Calibri" w:hAnsi="Calibri" w:cs="Calibri"/>
          <w:i w:val="0"/>
          <w:iCs w:val="0"/>
        </w:rPr>
        <w:t>The current state of the labour market in the UK</w:t>
      </w:r>
      <w:bookmarkEnd w:id="1"/>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 xml:space="preserve">As opined by </w:t>
      </w:r>
      <w:r>
        <w:rPr>
          <w:rFonts w:hint="default" w:ascii="Calibri" w:hAnsi="Calibri" w:eastAsia="Times New Roman" w:cs="Calibri"/>
          <w:i w:val="0"/>
          <w:iCs w:val="0"/>
          <w:color w:val="222222"/>
          <w:sz w:val="24"/>
          <w:szCs w:val="24"/>
          <w:highlight w:val="white"/>
        </w:rPr>
        <w:t>Gren</w:t>
      </w:r>
      <w:r>
        <w:rPr>
          <w:rFonts w:hint="default" w:ascii="Calibri" w:hAnsi="Calibri" w:eastAsia="Times New Roman" w:cs="Calibri"/>
          <w:i w:val="0"/>
          <w:iCs w:val="0"/>
          <w:color w:val="222222"/>
          <w:sz w:val="24"/>
          <w:szCs w:val="24"/>
          <w:highlight w:val="white"/>
          <w:lang w:val="en-US"/>
        </w:rPr>
        <w:t>ci</w:t>
      </w:r>
      <w:r>
        <w:rPr>
          <w:rFonts w:hint="default" w:ascii="Calibri" w:hAnsi="Calibri" w:eastAsia="Times New Roman" w:cs="Calibri"/>
          <w:i w:val="0"/>
          <w:iCs w:val="0"/>
          <w:color w:val="222222"/>
          <w:sz w:val="24"/>
          <w:szCs w:val="24"/>
          <w:highlight w:val="white"/>
        </w:rPr>
        <w:t>kov</w:t>
      </w:r>
      <w:r>
        <w:rPr>
          <w:rFonts w:hint="default" w:ascii="Calibri" w:hAnsi="Calibri" w:eastAsia="Times New Roman" w:cs="Calibri"/>
          <w:i w:val="0"/>
          <w:iCs w:val="0"/>
          <w:color w:val="222222"/>
          <w:sz w:val="24"/>
          <w:szCs w:val="24"/>
          <w:highlight w:val="white"/>
          <w:lang w:val="en-US"/>
        </w:rPr>
        <w:t>a et al</w:t>
      </w:r>
      <w:r>
        <w:rPr>
          <w:rFonts w:hint="default" w:ascii="Calibri" w:hAnsi="Calibri" w:eastAsia="Times New Roman" w:cs="Calibri"/>
          <w:i w:val="0"/>
          <w:iCs w:val="0"/>
          <w:color w:val="222222"/>
          <w:sz w:val="24"/>
          <w:szCs w:val="24"/>
          <w:highlight w:val="white"/>
        </w:rPr>
        <w:t>. (2022), the global labour market comprises a 3.45 billion labour force which represents a 6.2% unemployment rate, 1.9% growth of the labour force and 2.3% employment rate around the world. It can be stated from the statistics that although the global economy of the world has been gradually increasing, job creation across various countries seems lagging. According to Antosova</w:t>
      </w:r>
      <w:r>
        <w:rPr>
          <w:rFonts w:hint="default" w:ascii="Calibri" w:hAnsi="Calibri" w:eastAsia="Times New Roman" w:cs="Calibri"/>
          <w:i w:val="0"/>
          <w:iCs w:val="0"/>
          <w:color w:val="222222"/>
          <w:sz w:val="24"/>
          <w:szCs w:val="24"/>
          <w:highlight w:val="white"/>
          <w:lang w:val="en-US"/>
        </w:rPr>
        <w:t xml:space="preserve"> el al</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 xml:space="preserve">(2022), several countries and regions face the prospect of economic growth and development along with high levels of unemployment and increased informality. The global rise of the pandemic has changed the supply of the labour forces as the risks related to the work have made the job designations unattractive for the workers leading to worker shortages and thus the companies have started facing numerous challenges including low productivity and performance (UN.org, 2022) resulting in various issues faced by the HR managers. Not only the pandemic but also the Ukraine war resulting in various political and economic crises has also become the reason for the deterioration of the global labour market (ILO.org, 2022). It has been estimated by analysing the outlook of the global labour markets that the employment rate will worsen and the trends in job vacancies will rapidly decline in the final quarter of 2022 (ILO.org, 2022).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The condition of the labour market is considered worse in both developed and developing countries due to the issues in the external environment. Developed countries like Australia, Canada, the UK and the United States have started facing acute labour shortages and their unemployment rate is above the pre-pandemic era which holds the country from recovering from the pandemic and damages its long-term growth prospects (UN.org, 2022). After the pandemic, the unemployment rate increased from 5.2% to 8.5% in the OECD countries (UN.org, 2020). However, the labour market of the US is considered more flexible and volatile and that is why the unemployment rate is slightly low compared to other countries. The governments of those countries adopted divergent responses to the recession due to the pandemic which thus retained the impact on the labour markets in different ways (UN.org, 2020). However, as the governments of OECD countries have left the labour market to adjust by itself without taking any proactive measures, the unemployment rate has been going constantly high (UN.org, 2020).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According to Khamis</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w:t>
      </w:r>
      <w:r>
        <w:rPr>
          <w:rFonts w:hint="default" w:ascii="Calibri" w:hAnsi="Calibri" w:eastAsia="Times New Roman" w:cs="Calibri"/>
          <w:i w:val="0"/>
          <w:iCs w:val="0"/>
          <w:color w:val="222222"/>
          <w:sz w:val="24"/>
          <w:szCs w:val="24"/>
          <w:highlight w:val="white"/>
        </w:rPr>
        <w:t xml:space="preserve"> (2021), compared to the high-income and developed countries, there is a lack of evidence regarding the labour market situation in developing countries. The pandemic did not leave the labour market in developing countries untouched as it is evidenced by the World Bank phone survey that there is a massive disruption in work reflected in the second quarter of 2020 as 36% of the people stopped working during the crisis, 20% reported for partial wages and 9% stated that they changed jobs (New</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house and Weber, 2021). However, these countries have overcome the situation to a great extent as a significant recovery in employment was seen in the second and third quarters of 2020 (New</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house and Weber, 2021). The growing inequalities in the labour market are more likely to increase and thus the divergence between the developed and developing economies is continuously increasing (UN.org, 2022).</w:t>
      </w:r>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color w:val="222222"/>
          <w:sz w:val="24"/>
          <w:szCs w:val="24"/>
          <w:highlight w:val="white"/>
        </w:rPr>
        <w:t>The employment rate in the third quarter of 2022 in the UK is 75.5 which is only 1.1% lower than the pre-covid-19 period while the unemployment rate is 3.7% and 1.25 million people over 16 years old remain unemployed (Ons.gov.uk, 2022). However, in the last quarter, the number of employees decreased while there is a sharp increase in self-employed workers in the UK (Ons.gov.uk, 2022). The employment rate increased in the last quarter in the UK but is still below the pre-pandemic era. It is reported that 8.94 million people between 16-64 were economically inactive reflecting an inactivity rate of 21.5% which increased in the last quarter of 2021 (Powell and Francis-Devine, 2022). According to a report, the condition the labour market in the UK seems to be in a downturn but employers are still hiring and competing for recruiting skilled and talented candidates (CIPD.co.uk, 2022). However, they face difficulties in filling the hard-to-fill vacancies which are mostly seen in the transport, voluntary and healthcare industries (CIPD.co.uk, 2022). Employers have to offer increased pay to the candidates in the UK in order to hire and retain the employees within the company (CIPD.co.uk, 2022). Again, the bonuses and wages have risen by 5.4% annually in the UK which is considered the highest growth rate since August 2021 considering the situation of rising inflation throughout the UK (Schomberg, 2022). It is stated that the shrinking condition of the labour market in the UK will fuel the pressures on employers due to the rising inflation leading to a decline in labour supply (Schomberg, 2022). It is reported that the employees started leaving their jobs and accepted unemployment due to rampant inflation and the slow growth rate of the UK economy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guardian, 2022). More than twice the number of people in the UK left work due to economic inability which means they are neither working nor looking for any job. The inflation in the UK fuelled by the rising cost of living and Russia's invasion of Ukraine seems to be eradicating the value of the wages that the employees are paid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guardian, 2022). Considering 9 million people between 16-64 remaining outside the job, it seems that no other developed country like the UK has failed to return to the normal state of employment after the pre-pandemic level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 xml:space="preserve">guardian, 2022). However, employees and employers are trying to respond to the current labour market situation in the UK in different manners like paying extra wages and changes in policies to retain the workforce within the organisation.                 </w:t>
      </w:r>
    </w:p>
    <w:p>
      <w:pPr>
        <w:pStyle w:val="2"/>
        <w:spacing w:line="360" w:lineRule="auto"/>
        <w:rPr>
          <w:rFonts w:hint="default" w:ascii="Calibri" w:hAnsi="Calibri" w:cs="Calibri"/>
          <w:i w:val="0"/>
          <w:iCs w:val="0"/>
        </w:rPr>
      </w:pPr>
      <w:bookmarkStart w:id="2" w:name="_Toc122979303"/>
      <w:r>
        <w:rPr>
          <w:rFonts w:hint="default" w:ascii="Calibri" w:hAnsi="Calibri" w:cs="Calibri"/>
          <w:i w:val="0"/>
          <w:iCs w:val="0"/>
        </w:rPr>
        <w:t>The emerging changes in HR strategies in a post-pandemic and post-Brexit environment</w:t>
      </w:r>
      <w:bookmarkEnd w:id="2"/>
      <w:r>
        <w:rPr>
          <w:rFonts w:hint="default" w:ascii="Calibri" w:hAnsi="Calibri" w:cs="Calibri"/>
          <w:i w:val="0"/>
          <w:iCs w:val="0"/>
        </w:rPr>
        <w:t xml:space="preserve"> </w:t>
      </w: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HR strategies in the post-pandemic era</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As opined by Sayyadi (2022), the pandemic has brought rapid changes in HR strategies, policies and approaches in order to retain employees within the organisation and reduce the employee turnover rate. It can be stated that the HR role seems the most critical role in ensuring the transition towards accepting the new working environment in the post-pandemic period (India</w:t>
      </w:r>
      <w:r>
        <w:rPr>
          <w:rFonts w:hint="default" w:ascii="Calibri" w:hAnsi="Calibri" w:eastAsia="Times New Roman" w:cs="Calibri"/>
          <w:i w:val="0"/>
          <w:iCs w:val="0"/>
          <w:sz w:val="24"/>
          <w:szCs w:val="24"/>
          <w:lang w:val="en-US"/>
        </w:rPr>
        <w:t xml:space="preserve"> </w:t>
      </w:r>
      <w:r>
        <w:rPr>
          <w:rFonts w:hint="default" w:ascii="Calibri" w:hAnsi="Calibri" w:eastAsia="Times New Roman" w:cs="Calibri"/>
          <w:i w:val="0"/>
          <w:iCs w:val="0"/>
          <w:sz w:val="24"/>
          <w:szCs w:val="24"/>
        </w:rPr>
        <w:t xml:space="preserve">today, 2022). Although almost all companies irrespective of their company's size, employee number have adopted the work-from-home or remote working model to resume the company's operations and in the post-pandemic period, most of the companies try to go back to normal by implementing a hybrid model that gives the employees to maintain their personal and professional life at the same time (Soni, 2022). According to </w:t>
      </w:r>
      <w:r>
        <w:rPr>
          <w:rFonts w:hint="default" w:ascii="Calibri" w:hAnsi="Calibri" w:eastAsia="Times New Roman" w:cs="Calibri"/>
          <w:i w:val="0"/>
          <w:iCs w:val="0"/>
          <w:color w:val="222222"/>
          <w:sz w:val="24"/>
          <w:szCs w:val="24"/>
          <w:highlight w:val="white"/>
        </w:rPr>
        <w:t xml:space="preserve">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considering the post-pandemic scenario and the employee turnover rate., the organisational human resource managers strive to re-engineer the HR strategies and policies that enable the employees to perform their duties and responsibilities efficiently even in unfavourable conditions. The changes in HR policies and the introduction of new policies have brought productivity, and high performance resulting in organisational success. The HR managers have put a great emphasis on retaining high-performance work practices (HPWPs) and employing Conservation of Resource Theory (COR Theory) within the workplace to enable the employees to achieve the organisational goals (Zhiqiang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According to Boon and Kalshoven (2014), COR theory is considered a stress theory that analyses the way individuals can preserve their current resources and also pursue new ones. The theory is developed based on the understanding that social, physical, environmental and psychological resources are significant aspects that help protect and increase the well-being of individuals. The COR theory explains that human behaviour is dependent on the changing needs to attain and restore different resources for survival which is the most significant aspect of human behaviours (Boon and Kalshoven, 2014). So, the COR theory in the changing dimension of Human resource management is critical to implement as it emphasizes the stressful aspect of the events like the pandemic. So, on the basis of the disruption created due to the pandemic, it can be stated that the primary stress-developing factor is the lack of positive resources which results in the emergence of </w:t>
      </w:r>
      <w:r>
        <w:rPr>
          <w:rFonts w:hint="default" w:ascii="Calibri" w:hAnsi="Calibri" w:eastAsia="Times New Roman" w:cs="Calibri"/>
          <w:i w:val="0"/>
          <w:iCs w:val="0"/>
          <w:color w:val="222222"/>
          <w:sz w:val="24"/>
          <w:szCs w:val="24"/>
          <w:highlight w:val="white"/>
          <w:lang w:val="en-US"/>
        </w:rPr>
        <w:t>de-motivation</w:t>
      </w:r>
      <w:r>
        <w:rPr>
          <w:rFonts w:hint="default" w:ascii="Calibri" w:hAnsi="Calibri" w:eastAsia="Times New Roman" w:cs="Calibri"/>
          <w:i w:val="0"/>
          <w:iCs w:val="0"/>
          <w:color w:val="222222"/>
          <w:sz w:val="24"/>
          <w:szCs w:val="24"/>
          <w:highlight w:val="white"/>
        </w:rPr>
        <w:t xml:space="preserve"> among employees (Zhiqiang </w:t>
      </w:r>
      <w:r>
        <w:rPr>
          <w:rFonts w:hint="default" w:ascii="Calibri" w:hAnsi="Calibri" w:eastAsia="Times New Roman" w:cs="Calibri"/>
          <w:i w:val="0"/>
          <w:iCs w:val="0"/>
          <w:color w:val="222222"/>
          <w:sz w:val="24"/>
          <w:szCs w:val="24"/>
          <w:highlight w:val="white"/>
        </w:rPr>
        <w:t>et al</w:t>
      </w:r>
      <w:r>
        <w:rPr>
          <w:rFonts w:hint="default" w:ascii="Calibri" w:hAnsi="Calibri" w:eastAsia="Times New Roman" w:cs="Calibri"/>
          <w:i w:val="0"/>
          <w:iCs w:val="0"/>
          <w:color w:val="222222"/>
          <w:sz w:val="24"/>
          <w:szCs w:val="24"/>
          <w:highlight w:val="white"/>
        </w:rPr>
        <w:t xml:space="preserve">., 2021). The COR theory encourages the fact that vital resources can lead to a positive influence on the work outcomes of the workers (Boon and Kalshoven, 2014). So, based on the COR theory, it can be stated that the HR managers adopted high-performance work practices to impact the employees’ in-role and task performance.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As stated by Sayyadi (2022), high-performance work practices have improved motivation, and increased creativity and innovation, leading to lower absenteeism and turnover and increased productivity and organisational performance. In the post-pandemic era when offices have started to open up, HR managers strive to prove a suitable working environment through remote and hybrid working models (India</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today, 2022). By leveraging the remote and hybrid models, the professionals intend to create a common platform for employees who are working from different geographical regions with the help of different digital technologies (India</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 xml:space="preserve">today, 2022). Technologies such as data analytics help the HR manager's decision-making process to forecast the requirements of the current workforce. With the help of data analytics, managers can identify talent management and employee development strategies in the post-covid-19 scenario (Zhiqiang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The new HR policies ensure that there will be an overall development of the workers, working environment and lifestyle of the employees who are working remotely and working from home (Soni, 2022). The HR managers strive to give the employee flexibility, family and fulfilment so that they will not think of leaving the company and thus focus on reserving the mental, financial, and psychological condition of the employees. </w:t>
      </w: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Changes in HR strategies in the post-Brexit area</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 xml:space="preserve">According to Ridgway (2019), the emergence of Brexit has led to various changes in HR strategies in terms of recruitment and selection, the approaches to managing people and the lives of the employees. Brexit has caused several challenges to HR managers including retention of employees, employing skilled labour force, issues from non-EU immigration and the requirement of flexible working conditions (Ridgway, 2019). Due to the absence of a detailed policy on individuals' immigration from the EU to the UK, the HR managers of the companies in the UK have become uncertain about employee resourcing which is nothing but the strategic approach of the managers to ensure that the company will have the access to the people necessary for meeting organisational objectives (Ashurst, 2021). The HR managers have to understand the new immigration system which allows the EEA nations to continue to work in the UK companies under the new rules as an outcome of Brexit (Ashurst, 2021). As stated by </w:t>
      </w:r>
      <w:r>
        <w:rPr>
          <w:rFonts w:hint="default" w:ascii="Calibri" w:hAnsi="Calibri" w:eastAsia="Times New Roman" w:cs="Calibri"/>
          <w:i w:val="0"/>
          <w:iCs w:val="0"/>
          <w:color w:val="222222"/>
          <w:sz w:val="24"/>
          <w:szCs w:val="24"/>
          <w:highlight w:val="white"/>
        </w:rPr>
        <w:t>Cumming</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 (2020), HR managers strive to provide employees who are affected by the changes in immigration policy with an effective working environment. The HR managers try to develop a transparent and positive culture for the employees by adopting a proactive strategy that gives the employees assurance of openness and inclusiveness and also facilitates an effective communication channel to share their rising concerns (Cumming</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 2020). As Brexit leads to the generation of a fight between quality people and skilled employees and increases the competition between them, the HR managers must remain up-to-date with the regulatory changes so that any changes and developments in the immigration rules would not impact the company and its employees (</w:t>
      </w:r>
      <w:r>
        <w:rPr>
          <w:rFonts w:hint="default" w:ascii="Calibri" w:hAnsi="Calibri" w:eastAsia="Times New Roman" w:cs="Calibri"/>
          <w:i w:val="0"/>
          <w:iCs w:val="0"/>
          <w:sz w:val="24"/>
          <w:szCs w:val="24"/>
        </w:rPr>
        <w:t>Ashurst, 2021</w:t>
      </w:r>
      <w:r>
        <w:rPr>
          <w:rFonts w:hint="default" w:ascii="Calibri" w:hAnsi="Calibri" w:eastAsia="Times New Roman" w:cs="Calibri"/>
          <w:i w:val="0"/>
          <w:iCs w:val="0"/>
          <w:color w:val="222222"/>
          <w:sz w:val="24"/>
          <w:szCs w:val="24"/>
          <w:highlight w:val="white"/>
        </w:rPr>
        <w:t xml:space="preserve">). </w:t>
      </w:r>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color w:val="222222"/>
          <w:sz w:val="24"/>
          <w:szCs w:val="24"/>
          <w:highlight w:val="white"/>
        </w:rPr>
        <w:t>As a result of Brexit, the free movement of employees from the EU to the UK has ended and that is why HR managers need to adopt new strategies to recruit employees from outside of the UK (Cumming</w:t>
      </w:r>
      <w:r>
        <w:rPr>
          <w:rFonts w:hint="default" w:ascii="Calibri" w:hAnsi="Calibri" w:eastAsia="Times New Roman" w:cs="Calibri"/>
          <w:i w:val="0"/>
          <w:iCs w:val="0"/>
          <w:color w:val="222222"/>
          <w:sz w:val="24"/>
          <w:szCs w:val="24"/>
          <w:highlight w:val="white"/>
          <w:lang w:val="en-US"/>
        </w:rPr>
        <w:t xml:space="preserve"> et al </w:t>
      </w:r>
      <w:r>
        <w:rPr>
          <w:rFonts w:hint="default" w:ascii="Calibri" w:hAnsi="Calibri" w:eastAsia="Times New Roman" w:cs="Calibri"/>
          <w:i w:val="0"/>
          <w:iCs w:val="0"/>
          <w:color w:val="222222"/>
          <w:sz w:val="24"/>
          <w:szCs w:val="24"/>
          <w:highlight w:val="white"/>
        </w:rPr>
        <w:t xml:space="preserve">., 2020). As the workforce includes primarily millennials and Gen Z, HR managers have to ensure giving them the most valuable incentive which is flexibility along with a multi-skilled task force that will enhance organisational resilience and performance (Ridgeway, 2019). The changes in policies due to Brexit increases the stress level of the employees and thus the HR managers are more likely to focus on the human element to develop an emotional connection with the employee to help them remove stress from the workplace and develop a culture of integration, productivity and collaboration (Ridgway, 2019). However, in this respect, one aspect that should be mentioned is the increase in wages to retain a quality workforce. The Social Exchange theory can be used to define the significance of increased wages for employees in exchange for a quality workforce in order to remain competitive in the business environment. According to the Social Exchange Theory, employers only intend to provide higher wages when they are assured of getting expected quality returns in terms of higher commitment and dedication towards the work and the organisation leading to increased performance and productivity (Ridgway, 2019). So, based on the Social Exchange theoretical point of view, after Brexit, the companies in the UK when facing employee sourcing challenges strive to give more wages to the employees in order to remain competitive in the market but they are more like filtering the more skilled and talented employees to attain higher productivity and organisational performance from the recruited employees. However, there is a significant contrast between the 2008-09 recession and Brexit issues as it started to create pressure on the employers' decisions to enhance the salary of the employees to remain ahead of the competition (Ridgway, 2019). So, it can be stated that Brexit creates a problematic situation for HR managers due to the fact that they have to make changes for the employees and still maintain the quality of the workforce.  </w:t>
      </w:r>
      <w:r>
        <w:rPr>
          <w:rFonts w:hint="default" w:ascii="Calibri" w:hAnsi="Calibri" w:eastAsia="Times New Roman" w:cs="Calibri"/>
          <w:i w:val="0"/>
          <w:iCs w:val="0"/>
          <w:sz w:val="24"/>
          <w:szCs w:val="24"/>
        </w:rPr>
        <w:t xml:space="preserve">      </w:t>
      </w:r>
      <w:r>
        <w:rPr>
          <w:rFonts w:hint="default" w:ascii="Calibri" w:hAnsi="Calibri" w:eastAsia="Times New Roman" w:cs="Calibri"/>
          <w:b/>
          <w:i w:val="0"/>
          <w:iCs w:val="0"/>
          <w:sz w:val="24"/>
          <w:szCs w:val="24"/>
        </w:rPr>
        <w:t xml:space="preserve"> </w:t>
      </w:r>
    </w:p>
    <w:p>
      <w:pPr>
        <w:pStyle w:val="2"/>
        <w:spacing w:line="360" w:lineRule="auto"/>
        <w:rPr>
          <w:rFonts w:hint="default" w:ascii="Calibri" w:hAnsi="Calibri" w:cs="Calibri"/>
          <w:i w:val="0"/>
          <w:iCs w:val="0"/>
        </w:rPr>
      </w:pPr>
      <w:bookmarkStart w:id="3" w:name="_Toc122979304"/>
      <w:r>
        <w:rPr>
          <w:rFonts w:hint="default" w:ascii="Calibri" w:hAnsi="Calibri" w:cs="Calibri"/>
          <w:i w:val="0"/>
          <w:iCs w:val="0"/>
        </w:rPr>
        <w:t>Conclusion</w:t>
      </w:r>
      <w:bookmarkEnd w:id="3"/>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sz w:val="24"/>
          <w:szCs w:val="24"/>
        </w:rPr>
        <w:t xml:space="preserve">After analysing the primary aspects required in the report, it is concluded that external environmental factors such as the pandemic and Brexit have retained a significant impact on HRM as the HR managers have to make several changes in their policies and approaches in order to provide a flexible working atmosphere to them and ensure higher productivity and performance at the same time. The analysis of the current labour market in the UK has reflected the changes due to the pandemic and the Brexit followed by the changes made by the HR managers in the UK companies. </w:t>
      </w:r>
      <w:r>
        <w:rPr>
          <w:rFonts w:hint="default" w:ascii="Calibri" w:hAnsi="Calibri" w:cs="Calibri"/>
          <w:i w:val="0"/>
          <w:iCs w:val="0"/>
        </w:rPr>
        <w:br w:type="page"/>
      </w:r>
    </w:p>
    <w:p>
      <w:pPr>
        <w:pStyle w:val="2"/>
        <w:spacing w:line="360" w:lineRule="auto"/>
        <w:rPr>
          <w:rFonts w:hint="default" w:ascii="Calibri" w:hAnsi="Calibri" w:cs="Calibri"/>
          <w:i w:val="0"/>
          <w:iCs w:val="0"/>
          <w:highlight w:val="white"/>
        </w:rPr>
      </w:pPr>
      <w:bookmarkStart w:id="4" w:name="_Toc122979305"/>
      <w:r>
        <w:rPr>
          <w:rFonts w:hint="default" w:ascii="Calibri" w:hAnsi="Calibri" w:cs="Calibri"/>
          <w:i w:val="0"/>
          <w:iCs w:val="0"/>
          <w:highlight w:val="white"/>
        </w:rPr>
        <w:t>References</w:t>
      </w:r>
      <w:bookmarkEnd w:id="4"/>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Antosova, I., Hazuchova, N. and Stavkova, J., 2022. Competitiveness of Individuals in the Labour Market During the Pandemic. </w:t>
      </w:r>
      <w:r>
        <w:rPr>
          <w:rFonts w:hint="default" w:ascii="Calibri" w:hAnsi="Calibri" w:eastAsia="Times New Roman" w:cs="Calibri"/>
          <w:i w:val="0"/>
          <w:iCs w:val="0"/>
          <w:color w:val="222222"/>
          <w:sz w:val="24"/>
          <w:szCs w:val="24"/>
          <w:highlight w:val="white"/>
        </w:rPr>
        <w:t>Journal Of Competitiveness</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14</w:t>
      </w:r>
      <w:r>
        <w:rPr>
          <w:rFonts w:hint="default" w:ascii="Calibri" w:hAnsi="Calibri" w:eastAsia="Times New Roman" w:cs="Calibri"/>
          <w:i w:val="0"/>
          <w:iCs w:val="0"/>
          <w:color w:val="222222"/>
          <w:sz w:val="24"/>
          <w:szCs w:val="24"/>
          <w:highlight w:val="white"/>
        </w:rPr>
        <w:t>(3), pp.24-40.</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Ashurst, 2021. </w:t>
      </w:r>
      <w:r>
        <w:rPr>
          <w:rFonts w:hint="default" w:ascii="Calibri" w:hAnsi="Calibri" w:eastAsia="Times New Roman" w:cs="Calibri"/>
          <w:i w:val="0"/>
          <w:iCs w:val="0"/>
          <w:color w:val="222222"/>
          <w:sz w:val="24"/>
          <w:szCs w:val="24"/>
          <w:highlight w:val="white"/>
        </w:rPr>
        <w:t>The impact of Brexit:</w:t>
      </w:r>
      <w:r>
        <w:rPr>
          <w:rFonts w:hint="default" w:ascii="Calibri" w:hAnsi="Calibri" w:eastAsia="Times New Roman" w:cs="Calibri"/>
          <w:i w:val="0"/>
          <w:iCs w:val="0"/>
          <w:color w:val="222222"/>
          <w:sz w:val="24"/>
          <w:szCs w:val="24"/>
          <w:highlight w:val="white"/>
          <w:lang w:val="en-US"/>
        </w:rPr>
        <w:t xml:space="preserve"> Top 10 HR Issues Ashurst</w:t>
      </w:r>
      <w:r>
        <w:rPr>
          <w:rFonts w:hint="default" w:ascii="Calibri" w:hAnsi="Calibri" w:eastAsia="Times New Roman" w:cs="Calibri"/>
          <w:i w:val="0"/>
          <w:iCs w:val="0"/>
          <w:color w:val="222222"/>
          <w:sz w:val="24"/>
          <w:szCs w:val="24"/>
          <w:highlight w:val="white"/>
        </w:rPr>
        <w:t>. Available at: https://www.ashurst.com/en/news-and-insights/insights/the-impact-of-brexit---top-10-hr-issues/ (Accessed: December 26, 2022).</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Boon, C. and Kalshoven, K., 2014. How high‐commitment HRM relates to engagement and commitment: The moderating role of task proficiency. </w:t>
      </w:r>
      <w:r>
        <w:rPr>
          <w:rFonts w:hint="default" w:ascii="Calibri" w:hAnsi="Calibri" w:eastAsia="Times New Roman" w:cs="Calibri"/>
          <w:i w:val="0"/>
          <w:iCs w:val="0"/>
          <w:color w:val="222222"/>
          <w:sz w:val="24"/>
          <w:szCs w:val="24"/>
          <w:highlight w:val="white"/>
        </w:rPr>
        <w:t>Human Resource Management</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53</w:t>
      </w:r>
      <w:r>
        <w:rPr>
          <w:rFonts w:hint="default" w:ascii="Calibri" w:hAnsi="Calibri" w:eastAsia="Times New Roman" w:cs="Calibri"/>
          <w:i w:val="0"/>
          <w:iCs w:val="0"/>
          <w:color w:val="222222"/>
          <w:sz w:val="24"/>
          <w:szCs w:val="24"/>
          <w:highlight w:val="white"/>
        </w:rPr>
        <w:t>(3), pp.403-420.</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CIPD.co.uk, 2022. </w:t>
      </w:r>
      <w:r>
        <w:rPr>
          <w:rFonts w:hint="default" w:ascii="Calibri" w:hAnsi="Calibri" w:eastAsia="Times New Roman" w:cs="Calibri"/>
          <w:i w:val="0"/>
          <w:iCs w:val="0"/>
          <w:color w:val="222222"/>
          <w:sz w:val="24"/>
          <w:szCs w:val="24"/>
          <w:highlight w:val="white"/>
        </w:rPr>
        <w:t>Labour market outlook - cipd.co.uk</w:t>
      </w:r>
      <w:r>
        <w:rPr>
          <w:rFonts w:hint="default" w:ascii="Calibri" w:hAnsi="Calibri" w:eastAsia="Times New Roman" w:cs="Calibri"/>
          <w:i w:val="0"/>
          <w:iCs w:val="0"/>
          <w:color w:val="222222"/>
          <w:sz w:val="24"/>
          <w:szCs w:val="24"/>
          <w:highlight w:val="white"/>
        </w:rPr>
        <w:t xml:space="preserve">. Available at: https://www.cipd.co.uk/Images/labour-market-outlook-autumn-2022_tcm18-112526.pdf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Collins, C.J., 2021. Expanding the resource based view model of strategic human resource management. </w:t>
      </w:r>
      <w:r>
        <w:rPr>
          <w:rFonts w:hint="default" w:ascii="Calibri" w:hAnsi="Calibri" w:eastAsia="Times New Roman" w:cs="Calibri"/>
          <w:i w:val="0"/>
          <w:iCs w:val="0"/>
          <w:color w:val="222222"/>
          <w:sz w:val="24"/>
          <w:szCs w:val="24"/>
          <w:highlight w:val="white"/>
        </w:rPr>
        <w:t>The International Journal of Human Resource Management</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32</w:t>
      </w:r>
      <w:r>
        <w:rPr>
          <w:rFonts w:hint="default" w:ascii="Calibri" w:hAnsi="Calibri" w:eastAsia="Times New Roman" w:cs="Calibri"/>
          <w:i w:val="0"/>
          <w:iCs w:val="0"/>
          <w:color w:val="222222"/>
          <w:sz w:val="24"/>
          <w:szCs w:val="24"/>
          <w:highlight w:val="white"/>
        </w:rPr>
        <w:t>(2), pp.331-358.</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Cumming, D.J., Wood, G. and Zahra, S.A., 2020. Human resource management practices in the context of rising right‐wing populism. </w:t>
      </w:r>
      <w:r>
        <w:rPr>
          <w:rFonts w:hint="default" w:ascii="Calibri" w:hAnsi="Calibri" w:eastAsia="Times New Roman" w:cs="Calibri"/>
          <w:i w:val="0"/>
          <w:iCs w:val="0"/>
          <w:color w:val="222222"/>
          <w:sz w:val="24"/>
          <w:szCs w:val="24"/>
          <w:highlight w:val="white"/>
        </w:rPr>
        <w:t>Human Resource Management Journal</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30</w:t>
      </w:r>
      <w:r>
        <w:rPr>
          <w:rFonts w:hint="default" w:ascii="Calibri" w:hAnsi="Calibri" w:eastAsia="Times New Roman" w:cs="Calibri"/>
          <w:i w:val="0"/>
          <w:iCs w:val="0"/>
          <w:color w:val="222222"/>
          <w:sz w:val="24"/>
          <w:szCs w:val="24"/>
          <w:highlight w:val="white"/>
        </w:rPr>
        <w:t>(4), pp.525-536.</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Grenčíková, A., Habánik, J., Španková, J., Húževka, M. and Šrámka, M., 2022. Current Labour Market Challenges in the Light of Future Economic and Demographic Developments. </w:t>
      </w:r>
      <w:r>
        <w:rPr>
          <w:rFonts w:hint="default" w:ascii="Calibri" w:hAnsi="Calibri" w:eastAsia="Times New Roman" w:cs="Calibri"/>
          <w:i w:val="0"/>
          <w:iCs w:val="0"/>
          <w:color w:val="222222"/>
          <w:sz w:val="24"/>
          <w:szCs w:val="24"/>
          <w:highlight w:val="white"/>
        </w:rPr>
        <w:t>European Journal of Interdisciplinary Studies</w:t>
      </w:r>
      <w:r>
        <w:rPr>
          <w:rFonts w:hint="default" w:ascii="Calibri" w:hAnsi="Calibri" w:eastAsia="Times New Roman" w:cs="Calibri"/>
          <w:i w:val="0"/>
          <w:iCs w:val="0"/>
          <w:color w:val="222222"/>
          <w:sz w:val="24"/>
          <w:szCs w:val="24"/>
          <w:highlight w:val="white"/>
        </w:rPr>
        <w:t>, pp.100-112.</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Héder, M., Szabó, S. and Dajnoki, K., 2018. Effect of labour market changes on HR functions. </w:t>
      </w:r>
      <w:r>
        <w:rPr>
          <w:rFonts w:hint="default" w:ascii="Calibri" w:hAnsi="Calibri" w:eastAsia="Times New Roman" w:cs="Calibri"/>
          <w:i w:val="0"/>
          <w:iCs w:val="0"/>
          <w:color w:val="222222"/>
          <w:sz w:val="24"/>
          <w:szCs w:val="24"/>
          <w:highlight w:val="white"/>
        </w:rPr>
        <w:t>Anali Ekonomskog fakulteta u Subotici</w:t>
      </w:r>
      <w:r>
        <w:rPr>
          <w:rFonts w:hint="default" w:ascii="Calibri" w:hAnsi="Calibri" w:eastAsia="Times New Roman" w:cs="Calibri"/>
          <w:i w:val="0"/>
          <w:iCs w:val="0"/>
          <w:color w:val="222222"/>
          <w:sz w:val="24"/>
          <w:szCs w:val="24"/>
          <w:highlight w:val="white"/>
        </w:rPr>
        <w:t>, (39), pp.123-138.</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ILO.org, 2022. </w:t>
      </w:r>
      <w:r>
        <w:rPr>
          <w:rFonts w:hint="default" w:ascii="Calibri" w:hAnsi="Calibri" w:eastAsia="Times New Roman" w:cs="Calibri"/>
          <w:i w:val="0"/>
          <w:iCs w:val="0"/>
          <w:color w:val="222222"/>
          <w:sz w:val="24"/>
          <w:szCs w:val="24"/>
          <w:highlight w:val="white"/>
        </w:rPr>
        <w:t>Global labour market to deteriorate further as Ukraine conflict and other crises continue</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International Labour Organization</w:t>
      </w:r>
      <w:r>
        <w:rPr>
          <w:rFonts w:hint="default" w:ascii="Calibri" w:hAnsi="Calibri" w:eastAsia="Times New Roman" w:cs="Calibri"/>
          <w:i w:val="0"/>
          <w:iCs w:val="0"/>
          <w:color w:val="222222"/>
          <w:sz w:val="24"/>
          <w:szCs w:val="24"/>
          <w:highlight w:val="white"/>
        </w:rPr>
        <w:t>. Available at: https://www.ilo.org/global/about-the-ilo/newsroom/news/WCMS_859191/lang--en/index.htm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Indiatoday, 2022. </w:t>
      </w:r>
      <w:r>
        <w:rPr>
          <w:rFonts w:hint="default" w:ascii="Calibri" w:hAnsi="Calibri" w:eastAsia="Times New Roman" w:cs="Calibri"/>
          <w:i w:val="0"/>
          <w:iCs w:val="0"/>
          <w:color w:val="222222"/>
          <w:sz w:val="24"/>
          <w:szCs w:val="24"/>
          <w:highlight w:val="white"/>
        </w:rPr>
        <w:t>Emerging trends in HR in the post-pandemic period</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India Today</w:t>
      </w:r>
      <w:r>
        <w:rPr>
          <w:rFonts w:hint="default" w:ascii="Calibri" w:hAnsi="Calibri" w:eastAsia="Times New Roman" w:cs="Calibri"/>
          <w:i w:val="0"/>
          <w:iCs w:val="0"/>
          <w:color w:val="222222"/>
          <w:sz w:val="24"/>
          <w:szCs w:val="24"/>
          <w:highlight w:val="white"/>
        </w:rPr>
        <w:t xml:space="preserve">. India Today. Available at: https://www.indiatoday.in/impact-feature/story/emerging-trends-in-hr-in-the-post-pandemic-period-1958026-2022-06-03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Khamis, M., Prinz, D., Newhouse, D., Palacios-Lopez, A., Pape, U. and Weber, M., 2021. The early labor market impacts of covid-19 in developing countries.</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Newhouse, D. and Weber, M., 2021. </w:t>
      </w:r>
      <w:r>
        <w:rPr>
          <w:rFonts w:hint="default" w:ascii="Calibri" w:hAnsi="Calibri" w:eastAsia="Times New Roman" w:cs="Calibri"/>
          <w:i w:val="0"/>
          <w:iCs w:val="0"/>
          <w:color w:val="222222"/>
          <w:sz w:val="24"/>
          <w:szCs w:val="24"/>
          <w:highlight w:val="white"/>
        </w:rPr>
        <w:t>The evolving labor market impacts of COVID-19 in developing countries</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World Bank Blogs</w:t>
      </w:r>
      <w:r>
        <w:rPr>
          <w:rFonts w:hint="default" w:ascii="Calibri" w:hAnsi="Calibri" w:eastAsia="Times New Roman" w:cs="Calibri"/>
          <w:i w:val="0"/>
          <w:iCs w:val="0"/>
          <w:color w:val="222222"/>
          <w:sz w:val="24"/>
          <w:szCs w:val="24"/>
          <w:highlight w:val="white"/>
        </w:rPr>
        <w:t>. Available at: https://blogs.worldbank.org/jobs/evolving-labor-market-impacts-covid-19-developing-countries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Ons.gov.uk, 2022. </w:t>
      </w:r>
      <w:r>
        <w:rPr>
          <w:rFonts w:hint="default" w:ascii="Calibri" w:hAnsi="Calibri" w:eastAsia="Times New Roman" w:cs="Calibri"/>
          <w:i w:val="0"/>
          <w:iCs w:val="0"/>
          <w:color w:val="222222"/>
          <w:sz w:val="24"/>
          <w:szCs w:val="24"/>
          <w:highlight w:val="white"/>
        </w:rPr>
        <w:t>Labour market overview, UK: November 2022</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Labour market overview, UK - Office for National Statistics</w:t>
      </w:r>
      <w:r>
        <w:rPr>
          <w:rFonts w:hint="default" w:ascii="Calibri" w:hAnsi="Calibri" w:eastAsia="Times New Roman" w:cs="Calibri"/>
          <w:i w:val="0"/>
          <w:iCs w:val="0"/>
          <w:color w:val="222222"/>
          <w:sz w:val="24"/>
          <w:szCs w:val="24"/>
          <w:highlight w:val="white"/>
        </w:rPr>
        <w:t xml:space="preserve">. Office for National Statistics. Available at: https://www.ons.gov.uk/employmentandlabourmarket/peopleinwork/employmentandemployeetypes/bulletins/uklabourmarket/november2022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Powell, A. and Francis-Devine, B., 2022. </w:t>
      </w:r>
      <w:r>
        <w:rPr>
          <w:rFonts w:hint="default" w:ascii="Calibri" w:hAnsi="Calibri" w:eastAsia="Times New Roman" w:cs="Calibri"/>
          <w:i w:val="0"/>
          <w:iCs w:val="0"/>
          <w:color w:val="222222"/>
          <w:sz w:val="24"/>
          <w:szCs w:val="24"/>
          <w:highlight w:val="white"/>
        </w:rPr>
        <w:t>UK labour market statistics - house of commons library</w:t>
      </w:r>
      <w:r>
        <w:rPr>
          <w:rFonts w:hint="default" w:ascii="Calibri" w:hAnsi="Calibri" w:eastAsia="Times New Roman" w:cs="Calibri"/>
          <w:i w:val="0"/>
          <w:iCs w:val="0"/>
          <w:color w:val="222222"/>
          <w:sz w:val="24"/>
          <w:szCs w:val="24"/>
          <w:highlight w:val="white"/>
        </w:rPr>
        <w:t xml:space="preserve">. Available at: https://commonslibrary.parliament.uk/research-briefings/cbp-9366/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Ridgway, M., 2019. Brexit: human resourcing implications. </w:t>
      </w:r>
      <w:r>
        <w:rPr>
          <w:rFonts w:hint="default" w:ascii="Calibri" w:hAnsi="Calibri" w:eastAsia="Times New Roman" w:cs="Calibri"/>
          <w:i w:val="0"/>
          <w:iCs w:val="0"/>
          <w:color w:val="222222"/>
          <w:sz w:val="24"/>
          <w:szCs w:val="24"/>
          <w:highlight w:val="white"/>
        </w:rPr>
        <w:t>Employee Relations: The International Journal</w:t>
      </w:r>
      <w:r>
        <w:rPr>
          <w:rFonts w:hint="default" w:ascii="Calibri" w:hAnsi="Calibri" w:eastAsia="Times New Roman" w:cs="Calibri"/>
          <w:i w:val="0"/>
          <w:iCs w:val="0"/>
          <w:color w:val="222222"/>
          <w:sz w:val="24"/>
          <w:szCs w:val="24"/>
          <w:highlight w:val="white"/>
        </w:rPr>
        <w:t>.</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Sayyadi, M., 2022. Change your HR STRATEGY now. </w:t>
      </w:r>
      <w:r>
        <w:rPr>
          <w:rFonts w:hint="default" w:ascii="Calibri" w:hAnsi="Calibri" w:eastAsia="Times New Roman" w:cs="Calibri"/>
          <w:i w:val="0"/>
          <w:iCs w:val="0"/>
          <w:color w:val="222222"/>
          <w:sz w:val="24"/>
          <w:szCs w:val="24"/>
          <w:highlight w:val="white"/>
        </w:rPr>
        <w:t>HR Future</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2022</w:t>
      </w:r>
      <w:r>
        <w:rPr>
          <w:rFonts w:hint="default" w:ascii="Calibri" w:hAnsi="Calibri" w:eastAsia="Times New Roman" w:cs="Calibri"/>
          <w:i w:val="0"/>
          <w:iCs w:val="0"/>
          <w:color w:val="222222"/>
          <w:sz w:val="24"/>
          <w:szCs w:val="24"/>
          <w:highlight w:val="white"/>
        </w:rPr>
        <w:t>(5), pp.44-45.</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Schomberg, W., 2022. </w:t>
      </w:r>
      <w:r>
        <w:rPr>
          <w:rFonts w:hint="default" w:ascii="Calibri" w:hAnsi="Calibri" w:eastAsia="Times New Roman" w:cs="Calibri"/>
          <w:i w:val="0"/>
          <w:iCs w:val="0"/>
          <w:color w:val="222222"/>
          <w:sz w:val="24"/>
          <w:szCs w:val="24"/>
          <w:highlight w:val="white"/>
        </w:rPr>
        <w:t>UK labour market exodus drives jobless rate down to 3.5%</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Reuters</w:t>
      </w:r>
      <w:r>
        <w:rPr>
          <w:rFonts w:hint="default" w:ascii="Calibri" w:hAnsi="Calibri" w:eastAsia="Times New Roman" w:cs="Calibri"/>
          <w:i w:val="0"/>
          <w:iCs w:val="0"/>
          <w:color w:val="222222"/>
          <w:sz w:val="24"/>
          <w:szCs w:val="24"/>
          <w:highlight w:val="white"/>
        </w:rPr>
        <w:t xml:space="preserve">. Thomson Reuters. Available at: https://www.reuters.com/markets/europe/uk-jobless-rate-falls-slightly-35-2022-10-11/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Soni, N., 2022. </w:t>
      </w:r>
      <w:r>
        <w:rPr>
          <w:rFonts w:hint="default" w:ascii="Calibri" w:hAnsi="Calibri" w:eastAsia="Times New Roman" w:cs="Calibri"/>
          <w:i w:val="0"/>
          <w:iCs w:val="0"/>
          <w:color w:val="222222"/>
          <w:sz w:val="24"/>
          <w:szCs w:val="24"/>
          <w:highlight w:val="white"/>
        </w:rPr>
        <w:t>The significance of post pandemic HR practices</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HRZone</w:t>
      </w:r>
      <w:r>
        <w:rPr>
          <w:rFonts w:hint="default" w:ascii="Calibri" w:hAnsi="Calibri" w:eastAsia="Times New Roman" w:cs="Calibri"/>
          <w:i w:val="0"/>
          <w:iCs w:val="0"/>
          <w:color w:val="222222"/>
          <w:sz w:val="24"/>
          <w:szCs w:val="24"/>
          <w:highlight w:val="white"/>
        </w:rPr>
        <w:t>. Available at: https://www.hrzone.com/community/blogs/nandini-soni/the-significance-of-post-pandemic-hr-practices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Theguardian, 2022. </w:t>
      </w:r>
      <w:r>
        <w:rPr>
          <w:rFonts w:hint="default" w:ascii="Calibri" w:hAnsi="Calibri" w:eastAsia="Times New Roman" w:cs="Calibri"/>
          <w:i w:val="0"/>
          <w:iCs w:val="0"/>
          <w:color w:val="222222"/>
          <w:sz w:val="24"/>
          <w:szCs w:val="24"/>
          <w:highlight w:val="white"/>
        </w:rPr>
        <w:t>UK labour market is changing as inflation squeezes real pay</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The Guardian</w:t>
      </w:r>
      <w:r>
        <w:rPr>
          <w:rFonts w:hint="default" w:ascii="Calibri" w:hAnsi="Calibri" w:eastAsia="Times New Roman" w:cs="Calibri"/>
          <w:i w:val="0"/>
          <w:iCs w:val="0"/>
          <w:color w:val="222222"/>
          <w:sz w:val="24"/>
          <w:szCs w:val="24"/>
          <w:highlight w:val="white"/>
        </w:rPr>
        <w:t>. Guardian News and Media. Available at: https://www.theguardian.com/business/2022/nov/15/uk-labour-market-inflation-real-pay-unemployment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Theguardian, 2022. </w:t>
      </w:r>
      <w:r>
        <w:rPr>
          <w:rFonts w:hint="default" w:ascii="Calibri" w:hAnsi="Calibri" w:eastAsia="Times New Roman" w:cs="Calibri"/>
          <w:i w:val="0"/>
          <w:iCs w:val="0"/>
          <w:color w:val="222222"/>
          <w:sz w:val="24"/>
          <w:szCs w:val="24"/>
          <w:highlight w:val="white"/>
        </w:rPr>
        <w:t>Why are so many people leaving the workforce amid a UK cost of living crisis?</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The Guardian</w:t>
      </w:r>
      <w:r>
        <w:rPr>
          <w:rFonts w:hint="default" w:ascii="Calibri" w:hAnsi="Calibri" w:eastAsia="Times New Roman" w:cs="Calibri"/>
          <w:i w:val="0"/>
          <w:iCs w:val="0"/>
          <w:color w:val="222222"/>
          <w:sz w:val="24"/>
          <w:szCs w:val="24"/>
          <w:highlight w:val="white"/>
        </w:rPr>
        <w:t xml:space="preserve">. Guardian News and Media. Available at: https://www.theguardian.com/business/2022/dec/04/why-are-so-many-people-leaving-the-workforce-amid-a-uk-cost-of-living-crisis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UN.org, 2020. </w:t>
      </w:r>
      <w:r>
        <w:rPr>
          <w:rFonts w:hint="default" w:ascii="Calibri" w:hAnsi="Calibri" w:eastAsia="Times New Roman" w:cs="Calibri"/>
          <w:i w:val="0"/>
          <w:iCs w:val="0"/>
          <w:color w:val="222222"/>
          <w:sz w:val="24"/>
          <w:szCs w:val="24"/>
          <w:highlight w:val="white"/>
        </w:rPr>
        <w:t>Pandemic poses long-term threat to labour markets in developed economies | UN Desa Department of Economic and Social Affairs</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United Nations</w:t>
      </w:r>
      <w:r>
        <w:rPr>
          <w:rFonts w:hint="default" w:ascii="Calibri" w:hAnsi="Calibri" w:eastAsia="Times New Roman" w:cs="Calibri"/>
          <w:i w:val="0"/>
          <w:iCs w:val="0"/>
          <w:color w:val="222222"/>
          <w:sz w:val="24"/>
          <w:szCs w:val="24"/>
          <w:highlight w:val="white"/>
        </w:rPr>
        <w:t>. United Nations. Available at: https://www.un.org/development/desa/en/news/policy/pandemic-poses-long-term-threat-to-labour-markets-in-developed-economies.html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UN.org, 2022. </w:t>
      </w:r>
      <w:r>
        <w:rPr>
          <w:rFonts w:hint="default" w:ascii="Calibri" w:hAnsi="Calibri" w:eastAsia="Times New Roman" w:cs="Calibri"/>
          <w:i w:val="0"/>
          <w:iCs w:val="0"/>
          <w:color w:val="222222"/>
          <w:sz w:val="24"/>
          <w:szCs w:val="24"/>
          <w:highlight w:val="white"/>
        </w:rPr>
        <w:t>Now hiring? the twin problem of today's labour market</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United Nations</w:t>
      </w:r>
      <w:r>
        <w:rPr>
          <w:rFonts w:hint="default" w:ascii="Calibri" w:hAnsi="Calibri" w:eastAsia="Times New Roman" w:cs="Calibri"/>
          <w:i w:val="0"/>
          <w:iCs w:val="0"/>
          <w:color w:val="222222"/>
          <w:sz w:val="24"/>
          <w:szCs w:val="24"/>
          <w:highlight w:val="white"/>
        </w:rPr>
        <w:t xml:space="preserve">. United Nations. Available at: https://www.un.org/en/desa/now-hiring-twin-problem-today%E2%80%99s-labour-market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Zhiqiang, M., Khan, H.S.U.D., Chughtai, M.S. and Mingxing, L., 2021. Re-engineering the human resource strategies amid and post-pandemic crisis: Probing into the moderated mediation model of the high-performance work practices and employee's outcomes. </w:t>
      </w:r>
      <w:r>
        <w:rPr>
          <w:rFonts w:hint="default" w:ascii="Calibri" w:hAnsi="Calibri" w:eastAsia="Times New Roman" w:cs="Calibri"/>
          <w:i w:val="0"/>
          <w:iCs w:val="0"/>
          <w:color w:val="222222"/>
          <w:sz w:val="24"/>
          <w:szCs w:val="24"/>
          <w:highlight w:val="white"/>
        </w:rPr>
        <w:t>Frontiers in Psychology</w:t>
      </w:r>
      <w:r>
        <w:rPr>
          <w:rFonts w:hint="default" w:ascii="Calibri" w:hAnsi="Calibri" w:eastAsia="Times New Roman" w:cs="Calibri"/>
          <w:i w:val="0"/>
          <w:iCs w:val="0"/>
          <w:color w:val="222222"/>
          <w:sz w:val="24"/>
          <w:szCs w:val="24"/>
          <w:highlight w:val="white"/>
        </w:rPr>
        <w:t xml:space="preserve">, </w:t>
      </w:r>
      <w:r>
        <w:rPr>
          <w:rFonts w:hint="default" w:ascii="Calibri" w:hAnsi="Calibri" w:eastAsia="Times New Roman" w:cs="Calibri"/>
          <w:i w:val="0"/>
          <w:iCs w:val="0"/>
          <w:color w:val="222222"/>
          <w:sz w:val="24"/>
          <w:szCs w:val="24"/>
          <w:highlight w:val="white"/>
        </w:rPr>
        <w:t>12</w:t>
      </w:r>
      <w:r>
        <w:rPr>
          <w:rFonts w:hint="default" w:ascii="Calibri" w:hAnsi="Calibri" w:eastAsia="Times New Roman" w:cs="Calibri"/>
          <w:i w:val="0"/>
          <w:iCs w:val="0"/>
          <w:color w:val="222222"/>
          <w:sz w:val="24"/>
          <w:szCs w:val="24"/>
          <w:highlight w:val="white"/>
        </w:rPr>
        <w:t>, p.710266.</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hint="default" w:ascii="Arial" w:hAnsi="Arial" w:eastAsia="Times New Roman" w:cs="Arial"/>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line="360" w:lineRule="auto"/>
        <w:jc w:val="both"/>
        <w:rPr>
          <w:rFonts w:ascii="Times New Roman" w:hAnsi="Times New Roman" w:eastAsia="Times New Roman" w:cs="Times New Roman"/>
          <w:i w:val="0"/>
          <w:iCs w:val="0"/>
          <w:sz w:val="24"/>
          <w:szCs w:val="24"/>
        </w:rPr>
      </w:pPr>
    </w:p>
    <w:p>
      <w:pPr>
        <w:pStyle w:val="3"/>
        <w:spacing w:line="360" w:lineRule="auto"/>
        <w:jc w:val="both"/>
        <w:rPr>
          <w:rFonts w:ascii="Times New Roman" w:hAnsi="Times New Roman" w:eastAsia="Times New Roman" w:cs="Times New Roman"/>
          <w:i w:val="0"/>
          <w:iCs w:val="0"/>
          <w:sz w:val="24"/>
          <w:szCs w:val="24"/>
        </w:rPr>
      </w:pPr>
      <w:r>
        <w:rPr>
          <w:rFonts w:ascii="Times New Roman" w:hAnsi="Times New Roman" w:eastAsia="Times New Roman" w:cs="Times New Roman"/>
          <w:i w:val="0"/>
          <w:iCs w:val="0"/>
          <w:sz w:val="24"/>
          <w:szCs w:val="24"/>
        </w:rPr>
        <w:t xml:space="preserve">  </w:t>
      </w: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swiss"/>
    <w:pitch w:val="default"/>
    <w:sig w:usb0="E0002EFF" w:usb1="C000785B" w:usb2="00000009" w:usb3="00000000" w:csb0="400001FF" w:csb1="FFFF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21539119"/>
      <w:docPartObj>
        <w:docPartGallery w:val="autotext"/>
      </w:docPartObj>
    </w:sdtPr>
    <w:sdtContent>
      <w:p>
        <w:pPr>
          <w:pStyle w:val="11"/>
          <w:jc w:val="right"/>
        </w:pPr>
        <w:r>
          <w:fldChar w:fldCharType="begin"/>
        </w:r>
        <w:r>
          <w:instrText xml:space="preserve"> PAGE   \* MERGEFORMAT </w:instrText>
        </w:r>
        <w:r>
          <w:fldChar w:fldCharType="separate"/>
        </w:r>
        <w:r>
          <w:t>2</w:t>
        </w:r>
        <w: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0A1"/>
    <w:rsid w:val="00037738"/>
    <w:rsid w:val="00201D30"/>
    <w:rsid w:val="007D60A1"/>
    <w:rsid w:val="008A2DB3"/>
    <w:rsid w:val="009E3F12"/>
    <w:rsid w:val="00DA77C1"/>
    <w:rsid w:val="00F96AE9"/>
    <w:rsid w:val="00F96D05"/>
    <w:rsid w:val="32BC33EA"/>
    <w:rsid w:val="36B059F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eastAsia="en-US" w:bidi="ar-SA"/>
    </w:rPr>
  </w:style>
  <w:style w:type="paragraph" w:styleId="2">
    <w:name w:val="heading 1"/>
    <w:basedOn w:val="3"/>
    <w:next w:val="3"/>
    <w:uiPriority w:val="0"/>
    <w:pPr>
      <w:keepNext/>
      <w:keepLines/>
      <w:spacing w:before="400" w:after="120"/>
      <w:jc w:val="both"/>
      <w:outlineLvl w:val="0"/>
    </w:pPr>
    <w:rPr>
      <w:rFonts w:ascii="Times New Roman" w:hAnsi="Times New Roman"/>
      <w:b/>
      <w:sz w:val="24"/>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qFormat/>
    <w:uiPriority w:val="0"/>
    <w:pPr>
      <w:spacing w:line="276" w:lineRule="auto"/>
    </w:pPr>
    <w:rPr>
      <w:rFonts w:ascii="Arial" w:hAnsi="Arial" w:eastAsia="Arial" w:cs="Arial"/>
      <w:sz w:val="22"/>
      <w:szCs w:val="22"/>
      <w:lang w:val="zh-CN" w:eastAsia="en-US" w:bidi="ar-SA"/>
    </w:rPr>
  </w:style>
  <w:style w:type="paragraph" w:styleId="11">
    <w:name w:val="footer"/>
    <w:basedOn w:val="1"/>
    <w:link w:val="19"/>
    <w:unhideWhenUsed/>
    <w:qFormat/>
    <w:uiPriority w:val="99"/>
    <w:pPr>
      <w:tabs>
        <w:tab w:val="center" w:pos="4513"/>
        <w:tab w:val="right" w:pos="9026"/>
      </w:tabs>
      <w:spacing w:line="240" w:lineRule="auto"/>
    </w:pPr>
  </w:style>
  <w:style w:type="paragraph" w:styleId="12">
    <w:name w:val="header"/>
    <w:basedOn w:val="1"/>
    <w:link w:val="18"/>
    <w:unhideWhenUsed/>
    <w:qFormat/>
    <w:uiPriority w:val="99"/>
    <w:pPr>
      <w:tabs>
        <w:tab w:val="center" w:pos="4513"/>
        <w:tab w:val="right" w:pos="9026"/>
      </w:tabs>
      <w:spacing w:line="240" w:lineRule="auto"/>
    </w:pPr>
  </w:style>
  <w:style w:type="character" w:styleId="13">
    <w:name w:val="Hyperlink"/>
    <w:basedOn w:val="9"/>
    <w:unhideWhenUsed/>
    <w:qFormat/>
    <w:uiPriority w:val="99"/>
    <w:rPr>
      <w:color w:val="0000FF" w:themeColor="hyperlink"/>
      <w:u w:val="single"/>
      <w14:textFill>
        <w14:solidFill>
          <w14:schemeClr w14:val="hlink"/>
        </w14:solidFill>
      </w14:textFill>
    </w:rPr>
  </w:style>
  <w:style w:type="paragraph" w:styleId="14">
    <w:name w:val="Subtitle"/>
    <w:basedOn w:val="3"/>
    <w:next w:val="3"/>
    <w:qFormat/>
    <w:uiPriority w:val="0"/>
    <w:pPr>
      <w:keepNext/>
      <w:keepLines/>
      <w:spacing w:after="320"/>
    </w:pPr>
    <w:rPr>
      <w:color w:val="666666"/>
      <w:sz w:val="30"/>
      <w:szCs w:val="30"/>
    </w:rPr>
  </w:style>
  <w:style w:type="paragraph" w:styleId="15">
    <w:name w:val="Title"/>
    <w:basedOn w:val="3"/>
    <w:next w:val="3"/>
    <w:qFormat/>
    <w:uiPriority w:val="0"/>
    <w:pPr>
      <w:keepNext/>
      <w:keepLines/>
      <w:spacing w:after="60"/>
    </w:pPr>
    <w:rPr>
      <w:sz w:val="52"/>
      <w:szCs w:val="52"/>
    </w:rPr>
  </w:style>
  <w:style w:type="paragraph" w:styleId="16">
    <w:name w:val="toc 1"/>
    <w:basedOn w:val="1"/>
    <w:next w:val="1"/>
    <w:unhideWhenUsed/>
    <w:qFormat/>
    <w:uiPriority w:val="39"/>
    <w:pPr>
      <w:spacing w:after="100"/>
    </w:pPr>
  </w:style>
  <w:style w:type="table" w:customStyle="1" w:styleId="17">
    <w:name w:val="Table Normal1"/>
    <w:uiPriority w:val="0"/>
    <w:tblPr>
      <w:tblCellMar>
        <w:top w:w="0" w:type="dxa"/>
        <w:left w:w="0" w:type="dxa"/>
        <w:bottom w:w="0" w:type="dxa"/>
        <w:right w:w="0" w:type="dxa"/>
      </w:tblCellMar>
    </w:tblPr>
  </w:style>
  <w:style w:type="character" w:customStyle="1" w:styleId="18">
    <w:name w:val="Header Char"/>
    <w:basedOn w:val="9"/>
    <w:link w:val="12"/>
    <w:qFormat/>
    <w:uiPriority w:val="99"/>
  </w:style>
  <w:style w:type="character" w:customStyle="1" w:styleId="19">
    <w:name w:val="Footer Char"/>
    <w:basedOn w:val="9"/>
    <w:link w:val="11"/>
    <w:qFormat/>
    <w:uiPriority w:val="99"/>
  </w:style>
  <w:style w:type="paragraph" w:customStyle="1" w:styleId="20">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CFC7E-36A0-43C8-99DC-07D686E39F57}">
  <ds:schemaRefs/>
</ds:datastoreItem>
</file>

<file path=docProps/app.xml><?xml version="1.0" encoding="utf-8"?>
<Properties xmlns="http://schemas.openxmlformats.org/officeDocument/2006/extended-properties" xmlns:vt="http://schemas.openxmlformats.org/officeDocument/2006/docPropsVTypes">
  <Template>Normal</Template>
  <Pages>12</Pages>
  <Words>3346</Words>
  <Characters>19077</Characters>
  <Lines>158</Lines>
  <Paragraphs>44</Paragraphs>
  <TotalTime>16</TotalTime>
  <ScaleCrop>false</ScaleCrop>
  <LinksUpToDate>false</LinksUpToDate>
  <CharactersWithSpaces>22379</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2022-12-26T16:54:00Z</dcterms:created>
  <dc:creator>Hi</dc:creator>
  <cp:lastModifiedBy>Hi</cp:lastModifiedBy>
  <dcterms:modified xsi:type="dcterms:W3CDTF">2023-01-03T15:42:05Z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F6A53FBE4E2F44BCA5EF9CB4B506008D</vt:lpwstr>
  </property>
</Properties>
</file>