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C0E17" w14:textId="7DED0834" w:rsidR="00F21326" w:rsidRPr="00F21326" w:rsidRDefault="00F21326" w:rsidP="00F21326">
      <w:pPr>
        <w:spacing w:line="360" w:lineRule="auto"/>
        <w:rPr>
          <w:b/>
          <w:bCs/>
        </w:rPr>
      </w:pPr>
      <w:r>
        <w:rPr>
          <w:b/>
          <w:bCs/>
        </w:rPr>
        <w:t>Section 1</w:t>
      </w:r>
    </w:p>
    <w:p w14:paraId="09B55709" w14:textId="77777777" w:rsidR="00F21326" w:rsidRPr="00CC3D99" w:rsidRDefault="00F21326" w:rsidP="00F21326">
      <w:pPr>
        <w:spacing w:line="360" w:lineRule="auto"/>
      </w:pPr>
      <w:r w:rsidRPr="00CC3D99">
        <w:t xml:space="preserve">Having a curriculum to follow is important for children to get the best education. The Foundation Phase (FP) Curriculum became active in September 2010 until September 2022, when the New Curriculum for Wales took over (Welsh Government 2015). </w:t>
      </w:r>
    </w:p>
    <w:p w14:paraId="0CD89D1C" w14:textId="77777777" w:rsidR="00F21326" w:rsidRPr="00CC3D99" w:rsidRDefault="00F21326" w:rsidP="00F21326">
      <w:pPr>
        <w:spacing w:line="360" w:lineRule="auto"/>
      </w:pPr>
      <w:r w:rsidRPr="00CC3D99">
        <w:t xml:space="preserve">Whereas Reggio Emilia started in 1945 and has been in place for 80 years, it remains a great approach and curriculum. This has led to many curricula around the world being inspired by Reggio Emilia. Reggio Emilia has become an inspiration everywhere. They recognised the importance of play-based learning and a child-centred approach; Reggio Emilia adapted this into their learning (Reggio Emilia Approach, No Date). Dr Nikki Jones (2025) talks about how the </w:t>
      </w:r>
      <w:r w:rsidRPr="00CC3D99">
        <w:rPr>
          <w:rFonts w:cs="Arial"/>
        </w:rPr>
        <w:t xml:space="preserve">Foundation Phase in Wales, a forward-thinking early years curriculum reform influenced by approaches such as Reggio Emilia, Te Whāriki, and Scandinavian models. </w:t>
      </w:r>
    </w:p>
    <w:p w14:paraId="6D0FEE6C" w14:textId="1E6F51A7" w:rsidR="00F21326" w:rsidRPr="00CC3D99" w:rsidRDefault="00F21326" w:rsidP="00F21326">
      <w:pPr>
        <w:spacing w:line="360" w:lineRule="auto"/>
        <w:rPr>
          <w:rFonts w:cs="Arial"/>
        </w:rPr>
      </w:pPr>
      <w:r w:rsidRPr="00CC3D99">
        <w:rPr>
          <w:rFonts w:cs="Arial"/>
        </w:rPr>
        <w:t>The Foundation Phase Curriculum Outcomes, which incorporate baseline assessment scales and national curriculum level descriptions, are essential in guiding statutory teacher assessments conducted at the end of each phase. Each Area of Learning includes six outcomes, with outcomes 5 and 6 closely corresponding to years 1–3 descriptions. Together, these provide educators with a solid framework for assessing children’s development and designing educational plans that effectively respond to their changing needs (Welsh Government, 2022).</w:t>
      </w:r>
    </w:p>
    <w:p w14:paraId="173A885E" w14:textId="77777777" w:rsidR="00F21326" w:rsidRPr="00CC3D99" w:rsidRDefault="00F21326" w:rsidP="00F21326">
      <w:pPr>
        <w:spacing w:line="360" w:lineRule="auto"/>
        <w:rPr>
          <w:rFonts w:cs="Arial"/>
        </w:rPr>
      </w:pPr>
      <w:r w:rsidRPr="00CC3D99">
        <w:rPr>
          <w:rFonts w:cs="Arial"/>
        </w:rPr>
        <w:t xml:space="preserve">Maynard and </w:t>
      </w:r>
      <w:r>
        <w:rPr>
          <w:rFonts w:cs="Arial"/>
        </w:rPr>
        <w:t>Chicken</w:t>
      </w:r>
      <w:r w:rsidRPr="00CC3D99">
        <w:rPr>
          <w:rFonts w:cs="Arial"/>
        </w:rPr>
        <w:t xml:space="preserve"> discuss in their 2010 research that growing concerns in Wales about the increasing formalisation of early childhood education prompted the creation of the Foundation Phase Framework for children aged three to seven, which promotes a holistic, play-based approach to learning. Following the Reggio Emilia travelling exhibition, funding was provided for a project that enabled teachers to explore Reggio-inspired philosophies and practices as a way to deepen their understanding of pedagogy and reflective thinking. In the context of the Foundation Phase, the project also aimed to encourage teachers to engage with child-led learning. </w:t>
      </w:r>
    </w:p>
    <w:p w14:paraId="3B8E3D9D" w14:textId="77777777" w:rsidR="00F21326" w:rsidRPr="00CC3D99" w:rsidRDefault="00F21326" w:rsidP="00F21326">
      <w:pPr>
        <w:spacing w:line="360" w:lineRule="auto"/>
        <w:rPr>
          <w:rFonts w:cs="Arial"/>
        </w:rPr>
      </w:pPr>
      <w:r w:rsidRPr="00CC3D99">
        <w:rPr>
          <w:rFonts w:cs="Arial"/>
        </w:rPr>
        <w:t xml:space="preserve">However, viewing their practice “through another lens” revealed that many teachers remained committed to approaches shaped by prescribed, subject-focused outcomes. This orientation affected how they interpreted key principles of the Reggio philosophy and contributed to challenges in implementing genuinely child-led learning. The study concluded that shifting </w:t>
      </w:r>
      <w:r w:rsidRPr="00CC3D99">
        <w:rPr>
          <w:rFonts w:cs="Arial"/>
        </w:rPr>
        <w:lastRenderedPageBreak/>
        <w:t>away from a subject-centred approach, especially within a framework that includes set learning outcomes, poses significant challenges for teachers.</w:t>
      </w:r>
    </w:p>
    <w:p w14:paraId="5ADE841A" w14:textId="77777777" w:rsidR="00F21326" w:rsidRPr="00CC3D99" w:rsidRDefault="00F21326" w:rsidP="00F21326">
      <w:pPr>
        <w:spacing w:line="360" w:lineRule="auto"/>
        <w:rPr>
          <w:rFonts w:cs="Arial"/>
        </w:rPr>
      </w:pPr>
      <w:r w:rsidRPr="00CC3D99">
        <w:rPr>
          <w:rFonts w:cs="Arial"/>
        </w:rPr>
        <w:t xml:space="preserve">Dr Nikki Jones states in their 2025 paper, the initiative was designed to foster holistic, play-based, and child-centred learning, with the dual aims of improving outcomes for all learners and reducing disparities among those from disadvantaged backgrounds. </w:t>
      </w:r>
    </w:p>
    <w:p w14:paraId="257ED202" w14:textId="77777777" w:rsidR="00F21326" w:rsidRPr="00CC3D99" w:rsidRDefault="00F21326" w:rsidP="00F21326">
      <w:pPr>
        <w:spacing w:line="360" w:lineRule="auto"/>
        <w:rPr>
          <w:rFonts w:cs="Arial"/>
        </w:rPr>
      </w:pPr>
      <w:r w:rsidRPr="00CC3D99">
        <w:rPr>
          <w:rFonts w:cs="Arial"/>
        </w:rPr>
        <w:t xml:space="preserve">Nonetheless, findings from the mixed-methods study highlight ongoing difficulties in realising these ambitions. Using data from a national survey of Foundation Phase Lead Practitioners and semi-structured interviews with teachers working in socio-economically deprived areas, the study reveals that, while many practitioners share the curriculum’s pedagogical ideals, implementation is constrained by contextual factors. Major obstacles include insufficient adult-to-child ratios, diverse learner needs, and material deprivation, all of which limit opportunities for genuine play-based and child-led learning. </w:t>
      </w:r>
    </w:p>
    <w:p w14:paraId="0D4B542C" w14:textId="04E67BDA" w:rsidR="00F21326" w:rsidRDefault="00F21326" w:rsidP="00F21326">
      <w:pPr>
        <w:spacing w:line="360" w:lineRule="auto"/>
        <w:rPr>
          <w:rFonts w:cs="Arial"/>
        </w:rPr>
      </w:pPr>
      <w:r w:rsidRPr="00CC3D99">
        <w:rPr>
          <w:rFonts w:cs="Arial"/>
        </w:rPr>
        <w:t>Moreover, the curriculum’s underlying assumptions about children’s prior experiences and available resources tend to amplify existing inequalities. These findings carry significant implications for the equity and scalability of progressive educational reforms, particularly as Wales seeks to extend these principles through its new Curriculum for Wales up to age sixteen. The study concluded by emphasising the need for sustained policy attention, sufficient resources, and long-term support to ensure that such reforms achieve their inclusive and equitable goals</w:t>
      </w:r>
      <w:r w:rsidR="00AC624E">
        <w:rPr>
          <w:rFonts w:cs="Arial"/>
        </w:rPr>
        <w:t xml:space="preserve"> (Jones</w:t>
      </w:r>
      <w:r w:rsidR="00F65812">
        <w:rPr>
          <w:rFonts w:cs="Arial"/>
        </w:rPr>
        <w:t>, 2025)</w:t>
      </w:r>
      <w:r w:rsidRPr="00CC3D99">
        <w:rPr>
          <w:rFonts w:cs="Arial"/>
        </w:rPr>
        <w:t xml:space="preserve">. </w:t>
      </w:r>
    </w:p>
    <w:p w14:paraId="7A429963" w14:textId="77777777" w:rsidR="00845602" w:rsidRDefault="00F21326" w:rsidP="00F21326">
      <w:pPr>
        <w:spacing w:line="360" w:lineRule="auto"/>
        <w:rPr>
          <w:rFonts w:cs="Arial"/>
        </w:rPr>
      </w:pPr>
      <w:r>
        <w:rPr>
          <w:rFonts w:cs="Arial"/>
        </w:rPr>
        <w:t xml:space="preserve">Play </w:t>
      </w:r>
      <w:r w:rsidRPr="008B3196">
        <w:rPr>
          <w:rFonts w:cs="Arial"/>
        </w:rPr>
        <w:t xml:space="preserve">is a fundamental means through which children learn and develop. The Welsh Government acknowledges its vital role in childhood, as highlighted in the statutory guidance </w:t>
      </w:r>
      <w:r w:rsidRPr="008B3196">
        <w:rPr>
          <w:rFonts w:cs="Arial"/>
          <w:i/>
          <w:iCs/>
        </w:rPr>
        <w:t>Wales – A Play Friendly Country</w:t>
      </w:r>
      <w:r w:rsidRPr="008B3196">
        <w:rPr>
          <w:rFonts w:cs="Arial"/>
        </w:rPr>
        <w:t xml:space="preserve"> (2014), which states: </w:t>
      </w:r>
    </w:p>
    <w:p w14:paraId="3F3CE835" w14:textId="487800C6" w:rsidR="00EA04D2" w:rsidRPr="008B3196" w:rsidRDefault="00F21326" w:rsidP="006D5792">
      <w:pPr>
        <w:spacing w:line="240" w:lineRule="auto"/>
        <w:ind w:right="-113"/>
        <w:rPr>
          <w:rFonts w:cs="Arial"/>
        </w:rPr>
      </w:pPr>
      <w:r w:rsidRPr="008B3196">
        <w:rPr>
          <w:rFonts w:cs="Arial"/>
        </w:rPr>
        <w:t>“The Welsh Government places excellent value on play and its importance in the lives of children in our society… We also believe that play is essential for the growth in children’s cognitive, physical, social, and emotional development.”</w:t>
      </w:r>
    </w:p>
    <w:p w14:paraId="7F796953" w14:textId="77777777" w:rsidR="003632E0" w:rsidRDefault="00F21326" w:rsidP="00F21326">
      <w:pPr>
        <w:spacing w:line="360" w:lineRule="auto"/>
        <w:rPr>
          <w:rFonts w:cs="Arial"/>
        </w:rPr>
      </w:pPr>
      <w:r w:rsidRPr="008B3196">
        <w:rPr>
          <w:rFonts w:cs="Arial"/>
        </w:rPr>
        <w:t xml:space="preserve">The Foundation Phase curriculum is firmly grounded in the principle of learning through play, making it a central element of early education in Wales. Research consistently shows that play-based learning is a powerful and effective approach. It supports the development of children’s language and communication abilities, encourages creativity, and fosters curiosity through exploration and experimentation. Play also nurtures confidence, independence, and self-regulation, allowing children to take initiative, test ideas, and learn from mistakes without fear of failure. </w:t>
      </w:r>
    </w:p>
    <w:p w14:paraId="071B372A" w14:textId="7E25B671" w:rsidR="00F21326" w:rsidRPr="008B3196" w:rsidRDefault="003632E0" w:rsidP="00F21326">
      <w:pPr>
        <w:spacing w:line="360" w:lineRule="auto"/>
        <w:rPr>
          <w:rFonts w:cs="Arial"/>
        </w:rPr>
      </w:pPr>
      <w:r w:rsidRPr="008B3196">
        <w:rPr>
          <w:rFonts w:cs="Arial"/>
        </w:rPr>
        <w:lastRenderedPageBreak/>
        <w:t>Furthermore</w:t>
      </w:r>
      <w:r w:rsidR="00F21326" w:rsidRPr="008B3196">
        <w:rPr>
          <w:rFonts w:cs="Arial"/>
        </w:rPr>
        <w:t>, it provides valuable opportunities to build social skills</w:t>
      </w:r>
      <w:r w:rsidR="00F21326">
        <w:rPr>
          <w:rFonts w:cs="Arial"/>
        </w:rPr>
        <w:t xml:space="preserve">, </w:t>
      </w:r>
      <w:r w:rsidR="00F21326" w:rsidRPr="008B3196">
        <w:rPr>
          <w:rFonts w:cs="Arial"/>
        </w:rPr>
        <w:t>such as negotiation, cooperation, and relationship-building</w:t>
      </w:r>
      <w:r w:rsidR="00F21326">
        <w:rPr>
          <w:rFonts w:cs="Arial"/>
        </w:rPr>
        <w:t xml:space="preserve">, </w:t>
      </w:r>
      <w:r w:rsidR="00F21326" w:rsidRPr="008B3196">
        <w:rPr>
          <w:rFonts w:cs="Arial"/>
        </w:rPr>
        <w:t>helping children to understand themselves and others within a supportive, engaging environment</w:t>
      </w:r>
      <w:r w:rsidR="00F21326">
        <w:rPr>
          <w:rFonts w:cs="Arial"/>
        </w:rPr>
        <w:t xml:space="preserve"> (Welsh Gov, 2019)</w:t>
      </w:r>
      <w:r w:rsidR="00F21326" w:rsidRPr="008B3196">
        <w:rPr>
          <w:rFonts w:cs="Arial"/>
        </w:rPr>
        <w:t>.</w:t>
      </w:r>
    </w:p>
    <w:p w14:paraId="3A1FF996" w14:textId="77777777" w:rsidR="00F21326" w:rsidRPr="00CC3D99" w:rsidRDefault="00F21326" w:rsidP="00F21326">
      <w:pPr>
        <w:spacing w:line="360" w:lineRule="auto"/>
        <w:rPr>
          <w:rFonts w:cs="Arial"/>
        </w:rPr>
      </w:pPr>
      <w:r w:rsidRPr="006E1E04">
        <w:rPr>
          <w:rFonts w:cs="Arial"/>
        </w:rPr>
        <w:t>A comprehensive overview of these and other educational statistics—covering schools, examinations, finance, and post-compulsory education—was released by the Welsh Assembly Government’s Statistical Directorate in April 2007. The report also outlined key challenges and major government initiatives shaping education policy in Wales</w:t>
      </w:r>
      <w:r>
        <w:rPr>
          <w:rFonts w:cs="Arial"/>
        </w:rPr>
        <w:t xml:space="preserve"> (Welsh Government, 2019).</w:t>
      </w:r>
    </w:p>
    <w:p w14:paraId="77B6B339" w14:textId="77777777" w:rsidR="00F21326" w:rsidRPr="004036CF" w:rsidRDefault="00F21326" w:rsidP="00F21326">
      <w:pPr>
        <w:spacing w:line="360" w:lineRule="auto"/>
        <w:rPr>
          <w:rFonts w:cs="Arial"/>
        </w:rPr>
      </w:pPr>
      <w:r w:rsidRPr="00CC3D99">
        <w:rPr>
          <w:rFonts w:cs="Arial"/>
        </w:rPr>
        <w:t>Lorenzo Manera (2022) speaks about how t</w:t>
      </w:r>
      <w:r w:rsidRPr="004036CF">
        <w:rPr>
          <w:rFonts w:cs="Arial"/>
        </w:rPr>
        <w:t xml:space="preserve">he Reggio Emilia Approach is an internationally </w:t>
      </w:r>
      <w:r w:rsidRPr="00CC3D99">
        <w:rPr>
          <w:rFonts w:cs="Arial"/>
        </w:rPr>
        <w:t>recognised</w:t>
      </w:r>
      <w:r w:rsidRPr="004036CF">
        <w:rPr>
          <w:rFonts w:cs="Arial"/>
        </w:rPr>
        <w:t xml:space="preserve"> educational philosophy and pedagogy for early childhood education</w:t>
      </w:r>
      <w:r w:rsidRPr="00CC3D99">
        <w:rPr>
          <w:rFonts w:cs="Arial"/>
        </w:rPr>
        <w:t>.</w:t>
      </w:r>
      <w:r w:rsidRPr="004036CF">
        <w:rPr>
          <w:rFonts w:cs="Arial"/>
        </w:rPr>
        <w:t xml:space="preserve"> </w:t>
      </w:r>
      <w:r w:rsidRPr="00CC3D99">
        <w:rPr>
          <w:rFonts w:cs="Arial"/>
        </w:rPr>
        <w:t>F</w:t>
      </w:r>
      <w:r w:rsidRPr="004036CF">
        <w:rPr>
          <w:rFonts w:cs="Arial"/>
        </w:rPr>
        <w:t>irst draws on recent and relevant scholarly literature to outline the key features of this approach. These include the significance of the learning environment</w:t>
      </w:r>
      <w:r w:rsidRPr="00CC3D99">
        <w:rPr>
          <w:rFonts w:cs="Arial"/>
        </w:rPr>
        <w:t>,</w:t>
      </w:r>
      <w:r w:rsidRPr="004036CF">
        <w:rPr>
          <w:rFonts w:cs="Arial"/>
        </w:rPr>
        <w:t xml:space="preserve"> the practice of pedagogical documentation</w:t>
      </w:r>
      <w:r w:rsidRPr="00CC3D99">
        <w:rPr>
          <w:rFonts w:cs="Arial"/>
        </w:rPr>
        <w:t xml:space="preserve">, </w:t>
      </w:r>
      <w:r w:rsidRPr="004036CF">
        <w:rPr>
          <w:rFonts w:cs="Arial"/>
        </w:rPr>
        <w:t>the theory of the hundred languages, the principle of participation</w:t>
      </w:r>
      <w:r w:rsidRPr="00CC3D99">
        <w:rPr>
          <w:rFonts w:cs="Arial"/>
        </w:rPr>
        <w:t xml:space="preserve">, </w:t>
      </w:r>
      <w:r w:rsidRPr="004036CF">
        <w:rPr>
          <w:rFonts w:cs="Arial"/>
        </w:rPr>
        <w:t>and the aesthetic and visual dimensions of education</w:t>
      </w:r>
      <w:r w:rsidRPr="00CC3D99">
        <w:rPr>
          <w:rFonts w:cs="Arial"/>
        </w:rPr>
        <w:t xml:space="preserve">. </w:t>
      </w:r>
      <w:r w:rsidRPr="004036CF">
        <w:rPr>
          <w:rFonts w:cs="Arial"/>
        </w:rPr>
        <w:t>A specific focus is placed on the characteristics of the learning environment, which form the basis for a research instrument developed within a project promoted by the Reggio Children Foundation</w:t>
      </w:r>
      <w:r w:rsidRPr="00CC3D99">
        <w:rPr>
          <w:rFonts w:cs="Arial"/>
        </w:rPr>
        <w:t>.</w:t>
      </w:r>
    </w:p>
    <w:p w14:paraId="370699B4" w14:textId="6D12BD66" w:rsidR="00F21326" w:rsidRPr="004036CF" w:rsidRDefault="0028363A" w:rsidP="00F21326">
      <w:pPr>
        <w:spacing w:line="360" w:lineRule="auto"/>
        <w:rPr>
          <w:rFonts w:cs="Arial"/>
        </w:rPr>
      </w:pPr>
      <w:r w:rsidRPr="004036CF">
        <w:rPr>
          <w:rFonts w:cs="Arial"/>
        </w:rPr>
        <w:t>Likewise</w:t>
      </w:r>
      <w:r w:rsidR="00F21326" w:rsidRPr="004036CF">
        <w:rPr>
          <w:rFonts w:cs="Arial"/>
        </w:rPr>
        <w:t xml:space="preserve">, light </w:t>
      </w:r>
      <w:r w:rsidR="00F21326" w:rsidRPr="00CC3D99">
        <w:rPr>
          <w:rFonts w:cs="Arial"/>
        </w:rPr>
        <w:t xml:space="preserve">is shed </w:t>
      </w:r>
      <w:r w:rsidR="00F21326" w:rsidRPr="004036CF">
        <w:rPr>
          <w:rFonts w:cs="Arial"/>
        </w:rPr>
        <w:t>on aspects of the Reggio Emilia Approach that have been only partially addressed in existing research</w:t>
      </w:r>
      <w:r w:rsidR="00F21326" w:rsidRPr="00CC3D99">
        <w:rPr>
          <w:rFonts w:cs="Arial"/>
        </w:rPr>
        <w:t xml:space="preserve">, </w:t>
      </w:r>
      <w:r w:rsidR="00F21326" w:rsidRPr="004036CF">
        <w:rPr>
          <w:rFonts w:cs="Arial"/>
        </w:rPr>
        <w:t>particularly its inclusive dimension. By examining the aesthetic foundation of the approach, it explores how Loris Malaguzzi’s vision shaped learning environments that embrace diversity and openness. It also considers other key influences that contributed to the development of the inclusive ethos central to the Reggio Emilia Approach.</w:t>
      </w:r>
    </w:p>
    <w:p w14:paraId="13435BF2" w14:textId="77777777" w:rsidR="00F21326" w:rsidRPr="006333F7" w:rsidRDefault="00F21326" w:rsidP="00F21326">
      <w:pPr>
        <w:spacing w:line="360" w:lineRule="auto"/>
        <w:rPr>
          <w:rFonts w:cs="Arial"/>
        </w:rPr>
      </w:pPr>
      <w:r w:rsidRPr="00CC3D99">
        <w:rPr>
          <w:rFonts w:cs="Arial"/>
        </w:rPr>
        <w:t xml:space="preserve">Sally Power </w:t>
      </w:r>
      <w:r w:rsidRPr="00CC3D99">
        <w:rPr>
          <w:rFonts w:cs="Arial"/>
          <w:i/>
          <w:iCs/>
        </w:rPr>
        <w:t xml:space="preserve">Et. Al, </w:t>
      </w:r>
      <w:r>
        <w:rPr>
          <w:rFonts w:cs="Arial"/>
        </w:rPr>
        <w:t>talk</w:t>
      </w:r>
      <w:r w:rsidRPr="00CC3D99">
        <w:rPr>
          <w:rFonts w:cs="Arial"/>
        </w:rPr>
        <w:t xml:space="preserve"> in their 2018 piece, f</w:t>
      </w:r>
      <w:r w:rsidRPr="006333F7">
        <w:rPr>
          <w:rFonts w:cs="Arial"/>
        </w:rPr>
        <w:t>or over a century, debates about the most effective ways to educate young children have persisted</w:t>
      </w:r>
      <w:r w:rsidRPr="00CC3D99">
        <w:rPr>
          <w:rFonts w:cs="Arial"/>
        </w:rPr>
        <w:t xml:space="preserve">, </w:t>
      </w:r>
      <w:r w:rsidRPr="006333F7">
        <w:rPr>
          <w:rFonts w:cs="Arial"/>
        </w:rPr>
        <w:t>often driven more by ideological beliefs than by empirical research. This is perhaps unsurprising, given the challenges of systematically and comparatively assessing pupil progress. The introduction of a new child-centred curriculum in Wales, however, has provided a valuable opportunity to do so. Implemented in 2008, the Foundation Phase curriculum aims to offer all children aged 3 to 7 a developmental, experiential, and play-based learning experience.</w:t>
      </w:r>
    </w:p>
    <w:p w14:paraId="1A2B0651" w14:textId="77777777" w:rsidR="00F21326" w:rsidRPr="006333F7" w:rsidRDefault="00F21326" w:rsidP="00F21326">
      <w:pPr>
        <w:spacing w:line="360" w:lineRule="auto"/>
        <w:rPr>
          <w:rFonts w:cs="Arial"/>
        </w:rPr>
      </w:pPr>
      <w:r w:rsidRPr="006333F7">
        <w:rPr>
          <w:rFonts w:cs="Arial"/>
        </w:rPr>
        <w:t xml:space="preserve">Findings from a comprehensive three-year evaluation of this initiative indicate that children’s progress and well-being are most enhanced in settings where the core principles of the Foundation Phase are fully implemented. Nonetheless, the results also reveal inconsistencies </w:t>
      </w:r>
      <w:r w:rsidRPr="006333F7">
        <w:rPr>
          <w:rFonts w:cs="Arial"/>
        </w:rPr>
        <w:lastRenderedPageBreak/>
        <w:t>in progress across groups, with some children benefiting more than others. Boys and those from economically disadvantaged backgrounds appear to gain the least from this approach.</w:t>
      </w:r>
    </w:p>
    <w:p w14:paraId="7F9E1C20" w14:textId="77777777" w:rsidR="00F21326" w:rsidRDefault="00F21326" w:rsidP="00F21326">
      <w:pPr>
        <w:spacing w:line="360" w:lineRule="auto"/>
        <w:rPr>
          <w:rFonts w:cs="Arial"/>
        </w:rPr>
      </w:pPr>
      <w:r w:rsidRPr="006333F7">
        <w:rPr>
          <w:rFonts w:cs="Arial"/>
        </w:rPr>
        <w:t xml:space="preserve">Drawing on Basil Bernstein’s theoretical framework, the study investigates the underlying reasons for these disparities, focusing on factors such as teacher attitudes, teacher–student interactions, and resource availability. It concludes by </w:t>
      </w:r>
      <w:r w:rsidRPr="00CC3D99">
        <w:rPr>
          <w:rFonts w:cs="Arial"/>
        </w:rPr>
        <w:t>emphasising</w:t>
      </w:r>
      <w:r w:rsidRPr="006333F7">
        <w:rPr>
          <w:rFonts w:cs="Arial"/>
        </w:rPr>
        <w:t xml:space="preserve"> that unless these challenges are addressed, the advantages of child-centred educational models will not be equitably </w:t>
      </w:r>
      <w:r w:rsidRPr="00CC3D99">
        <w:rPr>
          <w:rFonts w:cs="Arial"/>
        </w:rPr>
        <w:t>realised</w:t>
      </w:r>
      <w:r w:rsidRPr="006333F7">
        <w:rPr>
          <w:rFonts w:cs="Arial"/>
        </w:rPr>
        <w:t xml:space="preserve"> by all learners.</w:t>
      </w:r>
    </w:p>
    <w:p w14:paraId="6FA9FB7F" w14:textId="09F3728C" w:rsidR="00F21326" w:rsidRPr="00302E16" w:rsidRDefault="00F21326" w:rsidP="00F21326">
      <w:pPr>
        <w:spacing w:line="360" w:lineRule="auto"/>
        <w:rPr>
          <w:rFonts w:cs="Arial"/>
        </w:rPr>
      </w:pPr>
      <w:r>
        <w:rPr>
          <w:rFonts w:cs="Arial"/>
        </w:rPr>
        <w:t>Early Excellence Inspiration Learning (</w:t>
      </w:r>
      <w:r w:rsidR="00A53D22">
        <w:rPr>
          <w:rFonts w:cs="Arial"/>
        </w:rPr>
        <w:t>no date</w:t>
      </w:r>
      <w:r>
        <w:rPr>
          <w:rFonts w:cs="Arial"/>
        </w:rPr>
        <w:t>) highlights that, w</w:t>
      </w:r>
      <w:r w:rsidRPr="00302E16">
        <w:rPr>
          <w:rFonts w:cs="Arial"/>
        </w:rPr>
        <w:t>ithin Reggio-inspired schools, there is a strong commitment to involving parents as active participants in their children’s learning journey. These schools intentionally build and maintain long-term partnerships with families and the wider community, recognising the vital role such collaboration plays in enhancing educational outcomes. Research consistently highlights that parental engagement is a key factor in improving children’s development and learning in the early years.</w:t>
      </w:r>
    </w:p>
    <w:p w14:paraId="67222B59" w14:textId="77777777" w:rsidR="00F21326" w:rsidRPr="00302E16" w:rsidRDefault="00F21326" w:rsidP="00F21326">
      <w:pPr>
        <w:spacing w:line="360" w:lineRule="auto"/>
        <w:rPr>
          <w:rFonts w:cs="Arial"/>
        </w:rPr>
      </w:pPr>
      <w:r w:rsidRPr="00302E16">
        <w:rPr>
          <w:rFonts w:cs="Arial"/>
        </w:rPr>
        <w:t>Central to the Reggio Emilia philosophy is the belief that meaningful connections between the early years setting, the family, and the community create continuity in children’s experiences and foster a shared sense of belonging and identity.</w:t>
      </w:r>
    </w:p>
    <w:p w14:paraId="24E5EB0C" w14:textId="77777777" w:rsidR="00F21326" w:rsidRDefault="00F21326" w:rsidP="00F21326">
      <w:pPr>
        <w:spacing w:line="360" w:lineRule="auto"/>
        <w:rPr>
          <w:rFonts w:cs="Arial"/>
        </w:rPr>
      </w:pPr>
      <w:r w:rsidRPr="00302E16">
        <w:rPr>
          <w:rFonts w:cs="Arial"/>
        </w:rPr>
        <w:t>Importantly, the Reggio Emilia Approach is not a prescribed curriculum but an educational philosophy. Learning emerges through exploration, inquiry, and project-based experiences</w:t>
      </w:r>
      <w:r>
        <w:rPr>
          <w:rFonts w:cs="Arial"/>
        </w:rPr>
        <w:t xml:space="preserve">, </w:t>
      </w:r>
      <w:r w:rsidRPr="00302E16">
        <w:rPr>
          <w:rFonts w:cs="Arial"/>
        </w:rPr>
        <w:t>either individually or collaboratively. These projects allow children to make choices, express their ideas, and engage with subjects that hold personal significance. By encouraging investigation of topics that matter to them, children experience learning as an authentic, dynamic, and deeply meaningful process.</w:t>
      </w:r>
    </w:p>
    <w:p w14:paraId="2376EC8D" w14:textId="77777777" w:rsidR="00F21326" w:rsidRPr="00D85B4A" w:rsidRDefault="00F21326" w:rsidP="00F21326">
      <w:pPr>
        <w:spacing w:line="360" w:lineRule="auto"/>
        <w:rPr>
          <w:rFonts w:cs="Arial"/>
          <w:b/>
          <w:bCs/>
        </w:rPr>
      </w:pPr>
      <w:r w:rsidRPr="00D85B4A">
        <w:rPr>
          <w:rFonts w:cs="Arial"/>
          <w:b/>
          <w:bCs/>
        </w:rPr>
        <w:t>Conclusion:</w:t>
      </w:r>
    </w:p>
    <w:p w14:paraId="245D91C0" w14:textId="77777777" w:rsidR="00F21326" w:rsidRPr="00D85B4A" w:rsidRDefault="00F21326" w:rsidP="00F21326">
      <w:pPr>
        <w:spacing w:line="360" w:lineRule="auto"/>
        <w:rPr>
          <w:rFonts w:cs="Arial"/>
        </w:rPr>
      </w:pPr>
      <w:r w:rsidRPr="00D85B4A">
        <w:rPr>
          <w:rFonts w:cs="Arial"/>
        </w:rPr>
        <w:t xml:space="preserve">In summary, both the Reggio Emilia Approach and the Welsh Foundation Phase Curriculum emphasise the value of child-centred, play-based, and experiential learning as the foundation for high-quality early education. The Reggio Emilia philosophy, established in 1945, has profoundly influenced global early years </w:t>
      </w:r>
      <w:r>
        <w:rPr>
          <w:rFonts w:cs="Arial"/>
        </w:rPr>
        <w:t xml:space="preserve">practice, </w:t>
      </w:r>
      <w:r w:rsidRPr="00D85B4A">
        <w:rPr>
          <w:rFonts w:cs="Arial"/>
        </w:rPr>
        <w:t>including Wales’ Foundation Phase</w:t>
      </w:r>
      <w:r>
        <w:rPr>
          <w:rFonts w:cs="Arial"/>
        </w:rPr>
        <w:t xml:space="preserve">, </w:t>
      </w:r>
      <w:r w:rsidRPr="00D85B4A">
        <w:rPr>
          <w:rFonts w:cs="Arial"/>
        </w:rPr>
        <w:t>by highlighting the importance of creativity, exploration, and the child’s active role in shaping their own learning. Similarly, the Foundation Phase, implemented between 2010 and 2022, sought to create a more holistic and developmentally appropriate framework for children aged three to seven, encouraging curiosity, independence, and collaboration through purposeful play.</w:t>
      </w:r>
    </w:p>
    <w:p w14:paraId="34AD32E4" w14:textId="77777777" w:rsidR="00F21326" w:rsidRPr="00D85B4A" w:rsidRDefault="00F21326" w:rsidP="00F21326">
      <w:pPr>
        <w:spacing w:line="360" w:lineRule="auto"/>
        <w:rPr>
          <w:rFonts w:cs="Arial"/>
        </w:rPr>
      </w:pPr>
      <w:r w:rsidRPr="00D85B4A">
        <w:rPr>
          <w:rFonts w:cs="Arial"/>
        </w:rPr>
        <w:lastRenderedPageBreak/>
        <w:t>Research consistently supports these principles, demonstrating that play-based learning enhances children’s cognitive, social, and emotional development, while also building essential communication and problem-solving skills. However, evidence from Welsh studies also highlights ongoing challenges in fully realising these ideals. Issues such as limited resources, socio-economic inequalities, and variations in teacher practice have constrained the effective implementation of child-led approaches. These barriers particularly affect children from disadvantaged backgrounds, calling for greater policy focus, investment, and professional development to ensure equity and inclusion.</w:t>
      </w:r>
    </w:p>
    <w:p w14:paraId="73861AE2" w14:textId="77777777" w:rsidR="00F21326" w:rsidRPr="00D85B4A" w:rsidRDefault="00F21326" w:rsidP="00F21326">
      <w:pPr>
        <w:spacing w:line="360" w:lineRule="auto"/>
        <w:rPr>
          <w:rFonts w:cs="Arial"/>
        </w:rPr>
      </w:pPr>
      <w:r w:rsidRPr="00D85B4A">
        <w:rPr>
          <w:rFonts w:cs="Arial"/>
        </w:rPr>
        <w:t>Ultimately, the success of progressive early education models like the Foundation Phase depends on sustained collaboration between educators, policymakers, families, and communities. The Reggio Emilia Approach demonstrates that when children are respected as capable, creative learners, and when their environments and relationships are thoughtfully designed, learning becomes both meaningful and empowering. Wales’ continued evolution toward the New Curriculum presents an opportunity to strengthen these principles</w:t>
      </w:r>
      <w:r>
        <w:rPr>
          <w:rFonts w:cs="Arial"/>
        </w:rPr>
        <w:t xml:space="preserve">, </w:t>
      </w:r>
      <w:r w:rsidRPr="00D85B4A">
        <w:rPr>
          <w:rFonts w:cs="Arial"/>
        </w:rPr>
        <w:t>ensuring that all children, regardless of background, can thrive through play, exploration, and active participation in their own learning journey.</w:t>
      </w:r>
    </w:p>
    <w:p w14:paraId="6F8A3FC8" w14:textId="77777777" w:rsidR="00F21326" w:rsidRDefault="00F21326" w:rsidP="00F21326">
      <w:pPr>
        <w:spacing w:line="360" w:lineRule="auto"/>
        <w:rPr>
          <w:b/>
          <w:bCs/>
        </w:rPr>
      </w:pPr>
      <w:r>
        <w:rPr>
          <w:b/>
          <w:bCs/>
        </w:rPr>
        <w:t>Section 2</w:t>
      </w:r>
    </w:p>
    <w:p w14:paraId="25BDDE1C" w14:textId="77777777" w:rsidR="00F21326" w:rsidRDefault="00F21326" w:rsidP="00F21326">
      <w:pPr>
        <w:spacing w:line="360" w:lineRule="auto"/>
      </w:pPr>
      <w:r w:rsidRPr="00715556">
        <w:t>McMahon</w:t>
      </w:r>
      <w:r>
        <w:t xml:space="preserve"> and </w:t>
      </w:r>
      <w:r w:rsidRPr="00715556">
        <w:t>Dyer</w:t>
      </w:r>
      <w:r>
        <w:t xml:space="preserve"> (2018) highlight that, d</w:t>
      </w:r>
      <w:r w:rsidRPr="00715556">
        <w:t>rawing on the real-world experiences of those studying early childhood education and care, this book guides students as they progress from learners to confident, qualified professionals equipped with advanced knowledge and practical skills.</w:t>
      </w:r>
      <w:r>
        <w:t xml:space="preserve"> </w:t>
      </w:r>
      <w:r w:rsidRPr="00715556">
        <w:t xml:space="preserve">By integrating in-depth theory, current research, and real-life case studies, </w:t>
      </w:r>
      <w:r w:rsidRPr="00715556">
        <w:rPr>
          <w:i/>
          <w:iCs/>
        </w:rPr>
        <w:t>Advanced Work-based Practice in the Early Years</w:t>
      </w:r>
      <w:r w:rsidRPr="00715556">
        <w:t xml:space="preserve"> helps students bridge the gap between theory and practice. It encourages them to recognise the competencies, understanding, and personal attributes essential for success as graduate practitioners. The chapters explore a wide range of contemporary topics, including ethical practice, safeguarding and child protection, children’s voices, mentoring, observation and assessment, and the social and cultural influences on child development.</w:t>
      </w:r>
      <w:r>
        <w:t xml:space="preserve"> </w:t>
      </w:r>
      <w:r w:rsidRPr="00715556">
        <w:t>Featuring reflective exercises, practical guidance, and authentic student examples, this book serves as a valuable resource for early years students navigating the transition from academic learning to professional practice in the field</w:t>
      </w:r>
      <w:r>
        <w:t xml:space="preserve">. </w:t>
      </w:r>
    </w:p>
    <w:p w14:paraId="7FFE94C9" w14:textId="0E47ECC2" w:rsidR="00F21326" w:rsidRDefault="00F21326" w:rsidP="00F21326">
      <w:pPr>
        <w:spacing w:line="360" w:lineRule="auto"/>
      </w:pPr>
      <w:r>
        <w:t>Daniels (2011) notes that, a</w:t>
      </w:r>
      <w:r w:rsidRPr="00FC3FDD">
        <w:t xml:space="preserve">lthough educators generally acknowledge that learning dispositions play a significant role in shaping the learning process, there is still no clear consensus on how to </w:t>
      </w:r>
      <w:r w:rsidRPr="00FC3FDD">
        <w:lastRenderedPageBreak/>
        <w:t xml:space="preserve">define them, how they develop, or the extent to which defining them is useful. Katz (1998, p. 30) characterises dispositions as “habits of mind, tendencies to respond in certain ways,” implying that they are both inherent and shaped by experience. Similarly, </w:t>
      </w:r>
      <w:r w:rsidRPr="00B51015">
        <w:t>Carr (1999)</w:t>
      </w:r>
      <w:r w:rsidRPr="00FC3FDD">
        <w:t xml:space="preserve"> expands on this idea, suggesting that dispositions influence how individuals perceive, interpret, and respond to the world by “guiding the interpretation and editing of experiences in characteristic ways.”</w:t>
      </w:r>
    </w:p>
    <w:p w14:paraId="649EE132" w14:textId="77777777" w:rsidR="00F21326" w:rsidRPr="00AF5CDD" w:rsidRDefault="00F21326" w:rsidP="00F21326">
      <w:pPr>
        <w:spacing w:line="360" w:lineRule="auto"/>
      </w:pPr>
      <w:r>
        <w:t>The (NDNA) National Day Nursery Association (No Date) speaks about a</w:t>
      </w:r>
      <w:r w:rsidRPr="00AF5CDD">
        <w:t xml:space="preserve"> key principle of the Early Years Foundation Stage (EYFS) is the belief that </w:t>
      </w:r>
      <w:r w:rsidRPr="00AF5CDD">
        <w:rPr>
          <w:i/>
          <w:iCs/>
        </w:rPr>
        <w:t>every child is unique</w:t>
      </w:r>
      <w:r>
        <w:t xml:space="preserve">, </w:t>
      </w:r>
      <w:r w:rsidRPr="00AF5CDD">
        <w:t>continually learning and developing into a resilient, capable, confident, and self-assured individual.</w:t>
      </w:r>
      <w:r>
        <w:t xml:space="preserve"> </w:t>
      </w:r>
      <w:r w:rsidRPr="00AF5CDD">
        <w:t>As a manager, practitioner, or key person within an early year setting, it is essential to regularly review and reflect on your learning environments, planning, and communication with parents and children. This ongoing evaluation helps ensure that the individual learning needs, interests, and care requirements of every child are effectively met and supported.</w:t>
      </w:r>
    </w:p>
    <w:p w14:paraId="3E3236DF" w14:textId="77777777" w:rsidR="00F21326" w:rsidRDefault="00F21326" w:rsidP="00F21326">
      <w:pPr>
        <w:spacing w:line="360" w:lineRule="auto"/>
      </w:pPr>
      <w:r>
        <w:t>Early Excellent Inspirational Learning (No Date) addresses a</w:t>
      </w:r>
      <w:r w:rsidRPr="00141409">
        <w:t xml:space="preserve">ssessment </w:t>
      </w:r>
      <w:r>
        <w:t xml:space="preserve">that </w:t>
      </w:r>
      <w:r w:rsidRPr="00141409">
        <w:t>should mainly draw on practitioners’ professional understanding and observations of the child, as outlined in both the EYFS Statutory Framework and the EYFS Profile Handbook. This requires staff to interact meaningfully with children in different situations, responding thoughtfully to their learning and observing with clear intent.</w:t>
      </w:r>
      <w:r>
        <w:t xml:space="preserve"> </w:t>
      </w:r>
      <w:r w:rsidRPr="00141409">
        <w:t>It is also important to note that not all observations need to be documented. The EYFS Statutory Framework specifically advises against excessive evidence collection. What truly matters is that practitioners possess a solid knowledge of child development, supported by professional training, reflective discussions, and consistent moderation within the team.</w:t>
      </w:r>
    </w:p>
    <w:p w14:paraId="276FDE95" w14:textId="77777777" w:rsidR="00F21326" w:rsidRPr="00EC331C" w:rsidRDefault="00F21326" w:rsidP="00F21326">
      <w:pPr>
        <w:spacing w:line="360" w:lineRule="auto"/>
      </w:pPr>
      <w:r>
        <w:t>Lumen Candela (No Date) expresses how a</w:t>
      </w:r>
      <w:r w:rsidRPr="00EC331C">
        <w:t>ssessing young children differs significantly from assessing older students or adults, primarily because of how young children learn. Rather than relying on abstract thinking or written tasks, young children build knowledge through hands-on, concrete, and interactive experiences</w:t>
      </w:r>
      <w:r>
        <w:t xml:space="preserve">. </w:t>
      </w:r>
      <w:r w:rsidRPr="00EC331C">
        <w:t>They learn best by touching and manipulating materials, creating and constructing, listening to and acting out stories, communicating, singing, and engaging in varied types of play across different environments. As a result, their understanding and abilities are most effectively demonstrated through alternative forms of assessment rather than traditional paper-and-pencil tests.</w:t>
      </w:r>
    </w:p>
    <w:p w14:paraId="09BABE3E" w14:textId="3251A5AE" w:rsidR="00F21326" w:rsidRPr="00EC331C" w:rsidRDefault="00F21326" w:rsidP="00F21326">
      <w:pPr>
        <w:spacing w:line="360" w:lineRule="auto"/>
      </w:pPr>
      <w:r w:rsidRPr="00EC331C">
        <w:t>Assessment in early childhood is also complex because children’s development is rapid, uneven, and heavily influenced by their surroundings</w:t>
      </w:r>
      <w:r>
        <w:t xml:space="preserve">. </w:t>
      </w:r>
      <w:r w:rsidRPr="00EC331C">
        <w:t xml:space="preserve">Growth occurs in bursts, with fluctuations </w:t>
      </w:r>
      <w:r w:rsidRPr="00EC331C">
        <w:lastRenderedPageBreak/>
        <w:t>across physical, cognitive, social, and emotional domains, and every child develops at an individual pace. Furthermore, children come from diverse cultural, familial, and experiential backgrounds, making it clear that a uniform assessment approach cannot accurately capture the abilities of all learners</w:t>
      </w:r>
      <w:r w:rsidR="00F01FA0">
        <w:t xml:space="preserve"> (</w:t>
      </w:r>
      <w:r w:rsidR="00F01FA0">
        <w:t>Candela</w:t>
      </w:r>
      <w:r w:rsidR="00F01FA0">
        <w:t>, no date).</w:t>
      </w:r>
    </w:p>
    <w:p w14:paraId="5C210845" w14:textId="140C6791" w:rsidR="00F21326" w:rsidRDefault="00F21326" w:rsidP="00F21326">
      <w:pPr>
        <w:spacing w:line="360" w:lineRule="auto"/>
      </w:pPr>
      <w:r w:rsidRPr="00EC331C">
        <w:t xml:space="preserve">Another challenge is the time required to conduct developmentally appropriate assessments. These are best carried out individually, by the child’s teacher, in short sessions spread over several days or weeks to accommodate young children’s limited attention spans. Although educators often raise concerns about the time demands of such assessments and the potential reduction in teaching time, high-quality assessments that align with effective teaching can make the processes of instruction and evaluation work together seamlessly, enhancing both learning and </w:t>
      </w:r>
      <w:r>
        <w:t>understanding</w:t>
      </w:r>
      <w:r w:rsidR="00F01FA0">
        <w:t xml:space="preserve"> (</w:t>
      </w:r>
      <w:r w:rsidR="00F01FA0">
        <w:t>Candela</w:t>
      </w:r>
      <w:r w:rsidR="00F01FA0">
        <w:t>, no date).</w:t>
      </w:r>
    </w:p>
    <w:p w14:paraId="7A471E4C" w14:textId="77777777" w:rsidR="00F21326" w:rsidRDefault="00F21326" w:rsidP="00F21326">
      <w:pPr>
        <w:spacing w:line="360" w:lineRule="auto"/>
      </w:pPr>
      <w:r>
        <w:t>Welsh Government (2017) educates the reader about, f</w:t>
      </w:r>
      <w:r w:rsidRPr="008210B9">
        <w:t>ormative assessment is valuable because it emphasises children’s progress in developing specific skills outlined in the curriculum and identifies how they can continue to advance, rather than focusing solely on Foundation Phase outcomes. This approach requires both practitioners and children to have a clear understanding of the targeted skills and, where relevant, the related success criteria. By doing so, practitioners can determine each child’s current stage of learning, plan appropriate next steps, and recognise when specific skills have been achieved. Planning should therefore aim to help individual children master particular skills within a broad and balanced curriculum, rather than directly aligning with overall outcomes, which reflect attainment across a wider range of activities at the baseline and at the end of the Foundation Phase.</w:t>
      </w:r>
    </w:p>
    <w:p w14:paraId="156244A5" w14:textId="77777777" w:rsidR="00F21326" w:rsidRDefault="00F21326" w:rsidP="00F21326">
      <w:pPr>
        <w:spacing w:line="360" w:lineRule="auto"/>
      </w:pPr>
      <w:r>
        <w:t>Whereas Te Whariki has a different view on child observations, as the Ministry of Education (2017) mentions that c</w:t>
      </w:r>
      <w:r w:rsidRPr="00AF5E5C">
        <w:t>hildren’s learning portfolios are an effective tool for kaiako to track each child’s development and evolving interests. They also create meaningful opportunities for parents and whānau to engage with their child’s educational journey and share their own observations or ideas. These portfolios may contain annotated photographs, children’s artwork, recordings or transcripts of their spoken language, as well as kaiako observations and learning stories. Older children often contribute by taking their own photos and narrating the story behind their work.</w:t>
      </w:r>
      <w:r>
        <w:t xml:space="preserve"> </w:t>
      </w:r>
      <w:r w:rsidRPr="00AF5E5C">
        <w:t>Narrative-based assessments, such as learning stories, often follow a formative assessment cycle that includes noticing, recognising, responding, recording, and revisiting significant learning moments.</w:t>
      </w:r>
    </w:p>
    <w:p w14:paraId="75F02B4E" w14:textId="77777777" w:rsidR="00F21326" w:rsidRPr="00E9037B" w:rsidRDefault="00F21326" w:rsidP="00F21326">
      <w:pPr>
        <w:spacing w:line="360" w:lineRule="auto"/>
      </w:pPr>
      <w:r>
        <w:lastRenderedPageBreak/>
        <w:t>The Welsh Government (2022) highlighted that, o</w:t>
      </w:r>
      <w:r w:rsidRPr="00E9037B">
        <w:t>verall, practitioners expressed positive views about the quality of the Foundation Phase Profile, highlighting that the Compact Profile effectively captures learners’ overall abilities and encompasses a broad enough range of skills for observation and assessment. Many found it helpful for setting learning targets and identifying appropriate next steps for development.</w:t>
      </w:r>
    </w:p>
    <w:p w14:paraId="19BA4679" w14:textId="77777777" w:rsidR="00F21326" w:rsidRDefault="00F21326" w:rsidP="00F21326">
      <w:pPr>
        <w:spacing w:line="360" w:lineRule="auto"/>
      </w:pPr>
      <w:r w:rsidRPr="00E9037B">
        <w:t>However, the Compact Profile was considered more effective in assessing certain areas than others</w:t>
      </w:r>
      <w:r>
        <w:t>. Skills</w:t>
      </w:r>
      <w:r w:rsidRPr="00E9037B">
        <w:t xml:space="preserve"> that were more clear-cut and measurable were easier to evaluate than those in more subjective domains, such as Personal and Social Development, Well-being, and Cultural Diversity.</w:t>
      </w:r>
      <w:r>
        <w:t xml:space="preserve"> </w:t>
      </w:r>
      <w:r w:rsidRPr="00E9037B">
        <w:t>Some practitioners offered minor criticisms, noting that the Profile could be overly time-consuming, somewhat reliant on a “tick-box” approach, and not sufficiently individualised to reflect each learner’s unique progress.</w:t>
      </w:r>
    </w:p>
    <w:p w14:paraId="1A2E629B" w14:textId="2B033DF5" w:rsidR="00F21326" w:rsidRDefault="00F21326" w:rsidP="00F21326">
      <w:pPr>
        <w:spacing w:line="360" w:lineRule="auto"/>
      </w:pPr>
      <w:r w:rsidRPr="00FD11CC">
        <w:t>Although The Education Hub (2020) speaks of</w:t>
      </w:r>
      <w:r>
        <w:t xml:space="preserve"> </w:t>
      </w:r>
      <w:r w:rsidRPr="00FD11CC">
        <w:t>several reports from the Education Review Office and the Ministry of Education have highlighted that many teachers show limited engagement with and understanding of Te Whāriki. This lack of connection has been seen as negatively impacting the overall quality of early childhood education, particularly in terms of providing children with a rich, balanced curriculum and equitable learning opportunities across all outcomes. It was also observed that Te Whāriki had ceased to sufficiently challenge or inspire teachers, and that its familiarity often resulted in superficial use</w:t>
      </w:r>
      <w:r w:rsidR="00630C97">
        <w:t xml:space="preserve">, </w:t>
      </w:r>
      <w:r w:rsidRPr="00FD11CC">
        <w:t>where references to its principles and strands appeared in documentation but were not reflected in everyday practice. Key areas of weak implementation included the support of children’s culture, language, and identity, as well as biculturalism, inclusion, family partnerships, and the extension of children’s learning. The 2017 revision of Te Whāriki was therefore developed to promote stronger and more effective curriculum implementation.</w:t>
      </w:r>
    </w:p>
    <w:p w14:paraId="00899533" w14:textId="77777777" w:rsidR="00F21326" w:rsidRDefault="00F21326" w:rsidP="00F21326">
      <w:pPr>
        <w:spacing w:line="360" w:lineRule="auto"/>
      </w:pPr>
      <w:r w:rsidRPr="00F33544">
        <w:t>The Early Years sector positively received the introduction of </w:t>
      </w:r>
      <w:r w:rsidRPr="00550A58">
        <w:t>Every Child Matters, the Common Assessment Framework, and the Early Years Foundation Stage (EYFS). These</w:t>
      </w:r>
      <w:r w:rsidRPr="00F33544">
        <w:t xml:space="preserve"> initiatives were designed to enhance the quality of Early Years care and education by raising standards and creating a unified framework for learning objectives, activities, and educational programmes. The EYFS provides detailed guidance for Early Years practice and promotes an outcomes-focused approach to teaching and learning. To engage critically with the EYFS, practitioners must therefore develop an analytical understanding of its structure and implications</w:t>
      </w:r>
      <w:r>
        <w:t xml:space="preserve"> (</w:t>
      </w:r>
      <w:r w:rsidRPr="00AB427C">
        <w:t>Palaiologou</w:t>
      </w:r>
      <w:r>
        <w:t xml:space="preserve">, 2008). </w:t>
      </w:r>
    </w:p>
    <w:p w14:paraId="392D848B" w14:textId="77777777" w:rsidR="00F21326" w:rsidRPr="00293FD2" w:rsidRDefault="00F21326" w:rsidP="00F21326">
      <w:pPr>
        <w:spacing w:line="360" w:lineRule="auto"/>
        <w:rPr>
          <w:b/>
          <w:bCs/>
        </w:rPr>
      </w:pPr>
      <w:r>
        <w:rPr>
          <w:b/>
          <w:bCs/>
        </w:rPr>
        <w:lastRenderedPageBreak/>
        <w:t>Conclusion</w:t>
      </w:r>
    </w:p>
    <w:p w14:paraId="2242991F" w14:textId="77777777" w:rsidR="00F21326" w:rsidRPr="000132DF" w:rsidRDefault="00F21326" w:rsidP="00F21326">
      <w:pPr>
        <w:spacing w:line="360" w:lineRule="auto"/>
      </w:pPr>
      <w:r w:rsidRPr="000132DF">
        <w:t>In conclusion, the literature collectively highlights the complexity and richness of early childhood education, emphasising the importance of theory-informed, reflective, and individualised practice. McMahon and Dyer (2018) demonstrate that bridging theory and practice through reflective study and professional development enables early years practitioners to grow into competent and confident professionals. Theories of learning dispositions (Katz, 1998; Carr, 1999) further reinforce the understanding that children’s learning behaviours are both innate and shaped by experience, influencing how they engage with and interpret the world.</w:t>
      </w:r>
    </w:p>
    <w:p w14:paraId="6FF90A48" w14:textId="77777777" w:rsidR="00F21326" w:rsidRPr="000132DF" w:rsidRDefault="00F21326" w:rsidP="00F21326">
      <w:pPr>
        <w:spacing w:line="360" w:lineRule="auto"/>
      </w:pPr>
      <w:r w:rsidRPr="000132DF">
        <w:t>Frameworks such as the EYFS and Te Whāriki underscore the need for practitioners to recognise each child as unique, continually evolving, and deserving of a learning environment that nurtures individuality, curiosity, and well-being. Effective assessment within these frameworks</w:t>
      </w:r>
      <w:r>
        <w:t xml:space="preserve">, </w:t>
      </w:r>
      <w:r w:rsidRPr="000132DF">
        <w:t>whether through professional observation, formative assessment, or narrative approaches like learning stories</w:t>
      </w:r>
      <w:r>
        <w:t xml:space="preserve">, </w:t>
      </w:r>
      <w:r w:rsidRPr="000132DF">
        <w:t>relies on practitioner expertise, critical reflection, and a deep understanding of child development rather than excessive documentation or rigid testing.</w:t>
      </w:r>
    </w:p>
    <w:p w14:paraId="400C6C0F" w14:textId="77777777" w:rsidR="00F21326" w:rsidRPr="000132DF" w:rsidRDefault="00F21326" w:rsidP="00F21326">
      <w:pPr>
        <w:spacing w:line="360" w:lineRule="auto"/>
      </w:pPr>
      <w:r w:rsidRPr="000132DF">
        <w:t>While the Welsh Government’s Foundation Phase Profile and other initiatives have been largely successful in capturing children’s progress, challenges remain in ensuring assessments are meaningful, inclusive, and responsive to individual learning journeys. Similarly, the Education Review Office’s critique of Te Whāriki highlights that curriculum frameworks must be actively and authentically embedded into practice to avoid superficial implementation.</w:t>
      </w:r>
    </w:p>
    <w:p w14:paraId="379A57B0" w14:textId="77777777" w:rsidR="00F21326" w:rsidRPr="00F21326" w:rsidRDefault="00F21326" w:rsidP="00F21326">
      <w:pPr>
        <w:spacing w:line="360" w:lineRule="auto"/>
      </w:pPr>
      <w:r w:rsidRPr="000132DF">
        <w:t>Ultimately, across international contexts, the consistent message is that high-quality early childhood education depends on well-informed, reflective practitioners who value play, recognise diverse learning pathways, and commit to equitable, child-centred practice. When theory, observation, and practice align, assessment becomes not merely a measure of attainment but a dynamic process that supports holistic growth, fosters curiosity, and empowers both children and educators in their shared journey of learning.</w:t>
      </w:r>
    </w:p>
    <w:p w14:paraId="6F7E0C07" w14:textId="1B2BE577" w:rsidR="00F21326" w:rsidRPr="00F21326" w:rsidRDefault="00F21326" w:rsidP="00F21326">
      <w:pPr>
        <w:spacing w:line="360" w:lineRule="auto"/>
        <w:rPr>
          <w:b/>
          <w:bCs/>
        </w:rPr>
      </w:pPr>
      <w:r w:rsidRPr="00F21326">
        <w:rPr>
          <w:b/>
          <w:bCs/>
        </w:rPr>
        <w:t>Section 3</w:t>
      </w:r>
    </w:p>
    <w:p w14:paraId="51A04AC6" w14:textId="77777777" w:rsidR="00F21326" w:rsidRDefault="00F21326" w:rsidP="00F21326">
      <w:pPr>
        <w:spacing w:line="360" w:lineRule="auto"/>
        <w:rPr>
          <w:b/>
          <w:bCs/>
          <w:u w:val="single"/>
        </w:rPr>
      </w:pPr>
      <w:r>
        <w:rPr>
          <w:b/>
          <w:bCs/>
          <w:u w:val="single"/>
        </w:rPr>
        <w:t>Should every Early Years Setting have a wellbeing support worker in alliance with the Early Years Curriculum?</w:t>
      </w:r>
    </w:p>
    <w:p w14:paraId="0D616CDE" w14:textId="77777777" w:rsidR="00F21326" w:rsidRPr="005C50B4" w:rsidRDefault="00F21326" w:rsidP="00F21326">
      <w:pPr>
        <w:spacing w:line="360" w:lineRule="auto"/>
        <w:rPr>
          <w:b/>
          <w:bCs/>
        </w:rPr>
      </w:pPr>
      <w:r w:rsidRPr="005C50B4">
        <w:rPr>
          <w:b/>
          <w:bCs/>
        </w:rPr>
        <w:t>Do you want your child taken care of in school?</w:t>
      </w:r>
    </w:p>
    <w:p w14:paraId="6D9A3971" w14:textId="77777777" w:rsidR="00F21326" w:rsidRDefault="00F21326" w:rsidP="00F21326">
      <w:pPr>
        <w:spacing w:line="360" w:lineRule="auto"/>
      </w:pPr>
      <w:r w:rsidRPr="002A0C2D">
        <w:lastRenderedPageBreak/>
        <w:t>According to Claudio Sisera</w:t>
      </w:r>
      <w:r>
        <w:t xml:space="preserve"> (2024)</w:t>
      </w:r>
      <w:r w:rsidRPr="002A0C2D">
        <w:t>, staff wellbeing is fundamental in early years education for building a positive and effective learning environment. When practitioners feel supported, healthy, and appreciated, they are better equipped to deliver high-quality care and education, resulting in improved outcomes for children. On the other hand, neglecting staff wellbeing can lead to burnout, increased turnover, and a decrease in the standard of care provided.</w:t>
      </w:r>
    </w:p>
    <w:p w14:paraId="509A981D" w14:textId="29183EA8" w:rsidR="00F21326" w:rsidRDefault="00F21326" w:rsidP="00F21326">
      <w:pPr>
        <w:spacing w:line="360" w:lineRule="auto"/>
      </w:pPr>
      <w:r>
        <w:t xml:space="preserve">Anna Freud, Mentally Healthy Schools (no date), says good staff wellbeing is critical for educating a mentally healthy setting, for maintaining and motivating staff and for promoting pupil wellbeing and success. Well-being is all about holistic health, including the physical and emotional. When the children have good levels of well-being, they feel that life is in balance and that they can generally cope well. Children will start to feel more motivated and engaged, they will become more resilient and be able to deal effectively with daily struggles, as well as ‘bounce back’ from life’s challenges. As Early Years practitioners organise a collection of different tasks and demands, it is essential that everyone is given the right emotional and practical support so that they can, in performance, care for their pupils. </w:t>
      </w:r>
      <w:r w:rsidRPr="006D16DD">
        <w:t>Beyond positively influencing colleagues and students, supporting staff wellbeing can enhance performance and job satisfaction, helping to lower staff turnover. It can also reduce both short and long-term absences, boost productivity, and foster greater staff engagement.</w:t>
      </w:r>
    </w:p>
    <w:p w14:paraId="55CA784F" w14:textId="77777777" w:rsidR="00F21326" w:rsidRPr="005C50B4" w:rsidRDefault="00F21326" w:rsidP="00F21326">
      <w:pPr>
        <w:spacing w:line="360" w:lineRule="auto"/>
        <w:rPr>
          <w:b/>
          <w:bCs/>
        </w:rPr>
      </w:pPr>
      <w:r>
        <w:rPr>
          <w:b/>
          <w:bCs/>
        </w:rPr>
        <w:t>Are key persons good for your child?</w:t>
      </w:r>
    </w:p>
    <w:p w14:paraId="53765E7E" w14:textId="7429A5C8" w:rsidR="00F21326" w:rsidRDefault="00F21326" w:rsidP="00F21326">
      <w:pPr>
        <w:spacing w:line="360" w:lineRule="auto"/>
      </w:pPr>
      <w:r>
        <w:t xml:space="preserve">The </w:t>
      </w:r>
      <w:r w:rsidR="006A6277">
        <w:t>Department</w:t>
      </w:r>
      <w:r>
        <w:t xml:space="preserve"> for Education (2025) mentions that every child in the early years should have a named key person. The named key person has a close relationship with their key children and works closely with the children’s parents and carers. Having a key person will help in a positive way for children and their mental health. </w:t>
      </w:r>
    </w:p>
    <w:p w14:paraId="7F13E1E9" w14:textId="693E5A03" w:rsidR="00F21326" w:rsidRDefault="00F21326" w:rsidP="00F21326">
      <w:pPr>
        <w:spacing w:line="360" w:lineRule="auto"/>
      </w:pPr>
      <w:r>
        <w:t>Birth to 5 Matters (</w:t>
      </w:r>
      <w:r w:rsidR="00B81A8E">
        <w:t>no date</w:t>
      </w:r>
      <w:r>
        <w:t>) mentions, t</w:t>
      </w:r>
      <w:r w:rsidRPr="00676B80">
        <w:t xml:space="preserve">he role of the key person </w:t>
      </w:r>
      <w:r>
        <w:t>centres</w:t>
      </w:r>
      <w:r w:rsidRPr="00676B80">
        <w:t xml:space="preserve"> around a “triangle of trust” connecting the child, their family, and the caregiver. This approach ensures that every child and family has at least one individual within the setting who provides a special, supportive relationship. Having a key person helps children feel emotionally safe and settled when away from home, while also offering parents a reliable and familiar point of contact. Different strategies can be used to maintain this continuity of care, such as shared or paired key working, or assigning a support partner or buddy.</w:t>
      </w:r>
    </w:p>
    <w:p w14:paraId="38CE9531" w14:textId="77777777" w:rsidR="00F21326" w:rsidRPr="00094625" w:rsidRDefault="00F21326" w:rsidP="00F21326">
      <w:pPr>
        <w:spacing w:line="360" w:lineRule="auto"/>
      </w:pPr>
      <w:r>
        <w:t xml:space="preserve">I believe having a key person to be with a child can help the child to talk about any problems that could be affecting them, whether that is at home or in their setting, the National Day </w:t>
      </w:r>
      <w:r>
        <w:lastRenderedPageBreak/>
        <w:t>Nurseries Association (2021), says the</w:t>
      </w:r>
      <w:r w:rsidRPr="00094625">
        <w:t xml:space="preserve"> </w:t>
      </w:r>
      <w:r>
        <w:t>Early Years Foundation Stage (</w:t>
      </w:r>
      <w:r w:rsidRPr="00094625">
        <w:t>EYFS</w:t>
      </w:r>
      <w:r>
        <w:t>)</w:t>
      </w:r>
      <w:r w:rsidRPr="00094625">
        <w:t xml:space="preserve"> Statutory Framework highlights the importance of strong nursery–parent partnerships as a key aspect of fostering </w:t>
      </w:r>
      <w:r w:rsidRPr="00094625">
        <w:rPr>
          <w:i/>
          <w:iCs/>
        </w:rPr>
        <w:t>Positive Relationships</w:t>
      </w:r>
      <w:r w:rsidRPr="00094625">
        <w:t>. By sharing information, nurseries and parents can better meet each child’s individual needs and promote their learning and development. The Key Person plays a crucial role in involving and supporting parents and carers to guide their child’s growth at home.</w:t>
      </w:r>
    </w:p>
    <w:p w14:paraId="683E41DB" w14:textId="77777777" w:rsidR="00F21326" w:rsidRDefault="00F21326" w:rsidP="00F21326">
      <w:pPr>
        <w:spacing w:line="360" w:lineRule="auto"/>
      </w:pPr>
      <w:r w:rsidRPr="00094625">
        <w:t>Building positive relationships with parents also contributes to children’s safety and emotional well</w:t>
      </w:r>
      <w:r>
        <w:t>-</w:t>
      </w:r>
      <w:r w:rsidRPr="00094625">
        <w:t>being. Clear communication and mutual trust help ease the settling-in period and support smooth transitions. Furthermore, maintaining a good rapport with parents creates a foundation for handling sensitive or challenging discussions, as parents are more likely to seek help or engage openly when they feel supported and connected.</w:t>
      </w:r>
      <w:r>
        <w:t xml:space="preserve">  </w:t>
      </w:r>
    </w:p>
    <w:p w14:paraId="37714C38" w14:textId="77777777" w:rsidR="00F21326" w:rsidRDefault="00F21326" w:rsidP="00F21326">
      <w:pPr>
        <w:spacing w:line="360" w:lineRule="auto"/>
        <w:rPr>
          <w:b/>
          <w:bCs/>
        </w:rPr>
      </w:pPr>
      <w:r>
        <w:rPr>
          <w:b/>
          <w:bCs/>
        </w:rPr>
        <w:t>Should we be teaching our children how to cope with their emotions?</w:t>
      </w:r>
    </w:p>
    <w:p w14:paraId="1085DC22" w14:textId="7E6AF014" w:rsidR="00F21326" w:rsidRDefault="00F21326" w:rsidP="00F21326">
      <w:pPr>
        <w:spacing w:line="360" w:lineRule="auto"/>
      </w:pPr>
      <w:r>
        <w:t>According to</w:t>
      </w:r>
      <w:r w:rsidR="00094227">
        <w:t xml:space="preserve"> Hoggs and Moody</w:t>
      </w:r>
      <w:r>
        <w:t xml:space="preserve"> (</w:t>
      </w:r>
      <w:r w:rsidR="00094227">
        <w:t>2023</w:t>
      </w:r>
      <w:r>
        <w:t xml:space="preserve">), mental health issues can be experienced differently by each child. If children are mentally healthy during early childhood and infancy, it will help babies and young children to recognise and cope with their emotions, express relationships, gain knowledge </w:t>
      </w:r>
      <w:r w:rsidR="005A3850">
        <w:t xml:space="preserve">and </w:t>
      </w:r>
      <w:r>
        <w:t xml:space="preserve">nurturing, and to explore play and to learn. </w:t>
      </w:r>
    </w:p>
    <w:p w14:paraId="7A5ACB61" w14:textId="12C4050A" w:rsidR="00F21326" w:rsidRDefault="00F21326" w:rsidP="00F21326">
      <w:pPr>
        <w:spacing w:line="360" w:lineRule="auto"/>
      </w:pPr>
      <w:r>
        <w:t xml:space="preserve">Robert Schlack and Nele Peerenboom </w:t>
      </w:r>
      <w:r>
        <w:rPr>
          <w:i/>
          <w:iCs/>
        </w:rPr>
        <w:t>Et al</w:t>
      </w:r>
      <w:r w:rsidR="005A3850">
        <w:t xml:space="preserve"> (</w:t>
      </w:r>
      <w:r w:rsidR="006A6277">
        <w:t>2021</w:t>
      </w:r>
      <w:r w:rsidR="005A3850">
        <w:t xml:space="preserve">) </w:t>
      </w:r>
      <w:r>
        <w:t xml:space="preserve">also talk about how mental health can affect a child’s life if they do not know how to talk or deal with their emotions. Children and teenagers with mental health difficulties often display weakened mental health, lower life satisfaction and poorer health-related value of life as adults. </w:t>
      </w:r>
    </w:p>
    <w:p w14:paraId="08394FF0" w14:textId="77777777" w:rsidR="00F21326" w:rsidRDefault="00F21326" w:rsidP="00F21326">
      <w:pPr>
        <w:spacing w:line="360" w:lineRule="auto"/>
      </w:pPr>
      <w:r>
        <w:t>Lisa Firestone talks about in their (2016) Psychology Today article, w</w:t>
      </w:r>
      <w:r w:rsidRPr="00BF2E58">
        <w:t>hen children are taught emotional intelligence</w:t>
      </w:r>
      <w:r>
        <w:t xml:space="preserve">, </w:t>
      </w:r>
      <w:r w:rsidRPr="00BF2E58">
        <w:t>how to identify their emotions, understand their origins, and manage them effectively</w:t>
      </w:r>
      <w:r>
        <w:t xml:space="preserve">, </w:t>
      </w:r>
      <w:r w:rsidRPr="00BF2E58">
        <w:t>they gain some of the most important skills for lifelong success. Studies reveal that emotional intelligence (EQ) accounts for more than 54% of the differences in overall success, including relationships, performance, health, and life satisfaction. Further research shows that young people with higher EQ tend to achieve better grades, remain in school longer, and make healthier life decisions.</w:t>
      </w:r>
    </w:p>
    <w:p w14:paraId="19BC5BDE" w14:textId="77777777" w:rsidR="00F21326" w:rsidRDefault="00F21326" w:rsidP="00F21326">
      <w:pPr>
        <w:spacing w:line="360" w:lineRule="auto"/>
      </w:pPr>
      <w:r>
        <w:t xml:space="preserve">The Foundation Years (no date) agrees with what Lisa Firestone says,  by talking about </w:t>
      </w:r>
      <w:r w:rsidRPr="00572611">
        <w:t xml:space="preserve">if children are not supported in developing strong self-regulation skills, they may experience more frequent emotional outbursts and social difficulties. This can make it harder for them to concentrate, listen, and engage effectively, ultimately impacting their learning and overall development. </w:t>
      </w:r>
      <w:r w:rsidRPr="00572611">
        <w:lastRenderedPageBreak/>
        <w:t>Moreover, it can disrupt the learning environment in early years settings and schools, as teachers who are constantly managing challenging behaviours have less opportunity to focus on teaching and supporting children’s growth.</w:t>
      </w:r>
    </w:p>
    <w:p w14:paraId="6A1D1788" w14:textId="77777777" w:rsidR="00F21326" w:rsidRPr="000A7C02" w:rsidRDefault="00F21326" w:rsidP="00F21326">
      <w:pPr>
        <w:spacing w:line="360" w:lineRule="auto"/>
        <w:rPr>
          <w:b/>
          <w:bCs/>
        </w:rPr>
      </w:pPr>
      <w:r>
        <w:rPr>
          <w:b/>
          <w:bCs/>
        </w:rPr>
        <w:t>Conclusion</w:t>
      </w:r>
      <w:r w:rsidRPr="000A7C02">
        <w:br/>
      </w:r>
      <w:r w:rsidRPr="006D4B06">
        <w:t xml:space="preserve">In conclusion, the </w:t>
      </w:r>
      <w:r>
        <w:t>well-being</w:t>
      </w:r>
      <w:r w:rsidRPr="006D4B06">
        <w:t xml:space="preserve"> of both staff and children plays a vital role in creating a positive, nurturing, and effective learning environment. When early years practitioners feel supported, valued, and emotionally healthy, they can provide higher-quality care and education, which directly benefits children’s overall development. The key person system strengthens this support by building secure, trusting relationships between children, families, and practitioners</w:t>
      </w:r>
      <w:r>
        <w:t xml:space="preserve">, </w:t>
      </w:r>
      <w:r w:rsidRPr="006D4B06">
        <w:t>helping children feel safe, confident, and emotionally settled. Furthermore, teaching children to understand and manage their emotions from an early age fosters emotional intelligence, resilience, and self-regulation</w:t>
      </w:r>
      <w:r>
        <w:t xml:space="preserve">, </w:t>
      </w:r>
      <w:r w:rsidRPr="006D4B06">
        <w:t xml:space="preserve">skills essential for lifelong success. </w:t>
      </w:r>
      <w:r>
        <w:t>Prioritising</w:t>
      </w:r>
      <w:r w:rsidRPr="006D4B06">
        <w:t xml:space="preserve"> staff wellbeing, nurturing strong partnerships with parents, and supporting children’s emotional development together form the foundation for a mentally healthy, engaging, and successful educational experience for every child.</w:t>
      </w:r>
    </w:p>
    <w:p w14:paraId="7E58AAEA" w14:textId="79DAC8F7" w:rsidR="00497243" w:rsidRPr="00F01FA0" w:rsidRDefault="00C3117D" w:rsidP="00F01FA0">
      <w:pPr>
        <w:spacing w:line="360" w:lineRule="auto"/>
        <w:rPr>
          <w:rFonts w:cs="Arial"/>
          <w:b/>
          <w:bCs/>
        </w:rPr>
      </w:pPr>
      <w:r>
        <w:rPr>
          <w:rFonts w:cs="Arial"/>
          <w:b/>
          <w:bCs/>
        </w:rPr>
        <w:t xml:space="preserve">Reference list </w:t>
      </w:r>
    </w:p>
    <w:p w14:paraId="2AA1BDEF" w14:textId="595CA08B" w:rsidR="00497243" w:rsidRPr="00F01FA0" w:rsidRDefault="00497243" w:rsidP="00F01FA0">
      <w:pPr>
        <w:spacing w:line="360" w:lineRule="auto"/>
      </w:pPr>
      <w:r w:rsidRPr="00F01FA0">
        <w:t xml:space="preserve">Bakopoulou, I. &amp; Sheppard, J. (2024). </w:t>
      </w:r>
      <w:r w:rsidRPr="00F01FA0">
        <w:rPr>
          <w:i/>
          <w:iCs/>
        </w:rPr>
        <w:t>Universal mental health support in the early years in the context of the UK: Early years professionals’ views</w:t>
      </w:r>
      <w:r w:rsidRPr="00F01FA0">
        <w:t>. Early Years, pp.1-16. doi:10.1080/09575146.2024.2378065.</w:t>
      </w:r>
    </w:p>
    <w:p w14:paraId="1A003518" w14:textId="1D40160E" w:rsidR="00497243" w:rsidRPr="00F01FA0" w:rsidRDefault="00497243" w:rsidP="00F01FA0">
      <w:pPr>
        <w:spacing w:after="0" w:line="360" w:lineRule="auto"/>
        <w:rPr>
          <w:rFonts w:eastAsia="Times New Roman" w:cs="Times New Roman"/>
          <w:kern w:val="0"/>
          <w:lang w:eastAsia="en-GB"/>
          <w14:ligatures w14:val="none"/>
        </w:rPr>
      </w:pPr>
      <w:r w:rsidRPr="00F01FA0">
        <w:rPr>
          <w:rFonts w:eastAsia="Times New Roman" w:cs="Times New Roman"/>
          <w:kern w:val="0"/>
          <w:lang w:eastAsia="en-GB"/>
          <w14:ligatures w14:val="none"/>
        </w:rPr>
        <w:t xml:space="preserve">Daniels, K. (2013) ‘Supporting the development of positive dispositions and learner identities: an action research study into the impact and potential of developing photographic learning stories in the Early Years’, </w:t>
      </w:r>
      <w:r w:rsidRPr="00F01FA0">
        <w:rPr>
          <w:rFonts w:eastAsia="Times New Roman" w:cs="Times New Roman"/>
          <w:i/>
          <w:iCs/>
          <w:kern w:val="0"/>
          <w:lang w:eastAsia="en-GB"/>
          <w14:ligatures w14:val="none"/>
        </w:rPr>
        <w:t>Education 3-13</w:t>
      </w:r>
      <w:r w:rsidRPr="00F01FA0">
        <w:rPr>
          <w:rFonts w:eastAsia="Times New Roman" w:cs="Times New Roman"/>
          <w:kern w:val="0"/>
          <w:lang w:eastAsia="en-GB"/>
          <w14:ligatures w14:val="none"/>
        </w:rPr>
        <w:t xml:space="preserve">, 41(3), pp. 300–315. Available at: </w:t>
      </w:r>
      <w:r w:rsidR="00F01FA0" w:rsidRPr="00F01FA0">
        <w:rPr>
          <w:rFonts w:eastAsia="Times New Roman" w:cs="Times New Roman"/>
          <w:kern w:val="0"/>
          <w:lang w:eastAsia="en-GB"/>
          <w14:ligatures w14:val="none"/>
        </w:rPr>
        <w:t>https://doi.org/10.1080/03004279.2011.582846</w:t>
      </w:r>
      <w:r w:rsidRPr="00F01FA0">
        <w:rPr>
          <w:rFonts w:eastAsia="Times New Roman" w:cs="Times New Roman"/>
          <w:kern w:val="0"/>
          <w:lang w:eastAsia="en-GB"/>
          <w14:ligatures w14:val="none"/>
        </w:rPr>
        <w:t>.</w:t>
      </w:r>
    </w:p>
    <w:p w14:paraId="61D4570A" w14:textId="77777777" w:rsidR="00F01FA0" w:rsidRPr="00F01FA0" w:rsidRDefault="00F01FA0" w:rsidP="00F01FA0">
      <w:pPr>
        <w:spacing w:after="0" w:line="360" w:lineRule="auto"/>
        <w:rPr>
          <w:rFonts w:eastAsia="Times New Roman" w:cs="Times New Roman"/>
          <w:kern w:val="0"/>
          <w:lang w:eastAsia="en-GB"/>
          <w14:ligatures w14:val="none"/>
        </w:rPr>
      </w:pPr>
    </w:p>
    <w:p w14:paraId="1501A733" w14:textId="77777777" w:rsidR="00497243" w:rsidRPr="00F01FA0" w:rsidRDefault="00497243" w:rsidP="00F01FA0">
      <w:pPr>
        <w:spacing w:line="360" w:lineRule="auto"/>
      </w:pPr>
      <w:r w:rsidRPr="00F01FA0">
        <w:t xml:space="preserve">Department for Education (DfE) (2023) </w:t>
      </w:r>
      <w:r w:rsidRPr="00F01FA0">
        <w:rPr>
          <w:i/>
          <w:iCs/>
        </w:rPr>
        <w:t>Mental health for early years children</w:t>
      </w:r>
      <w:r w:rsidRPr="00F01FA0">
        <w:t>. Available at: https://help-for-early-years-providers.education.gov.uk/health-and-wellbeing/mental-health-for-early-years-children (Accessed: 30 October 2025).</w:t>
      </w:r>
    </w:p>
    <w:p w14:paraId="7B77FBF5" w14:textId="40649433" w:rsidR="00497243" w:rsidRPr="00315CD8" w:rsidRDefault="00497243" w:rsidP="00F01FA0">
      <w:pPr>
        <w:spacing w:line="360" w:lineRule="auto"/>
      </w:pPr>
      <w:r w:rsidRPr="00315CD8">
        <w:t xml:space="preserve">Department for Education. (2025) </w:t>
      </w:r>
      <w:r w:rsidRPr="00315CD8">
        <w:rPr>
          <w:i/>
          <w:iCs/>
        </w:rPr>
        <w:t>Early Years Foundation Stage (EYFS) statutory framework for group and school-based providers</w:t>
      </w:r>
      <w:r w:rsidRPr="00315CD8">
        <w:t xml:space="preserve"> (Dated: 14 July 2025; effective from 1 September 2025). GOV.UK. Available at: https://assets.publishing.service.gov.uk/media/68c024cb8c6d992f23edd79c/Early_years_foun</w:t>
      </w:r>
      <w:r w:rsidRPr="00315CD8">
        <w:lastRenderedPageBreak/>
        <w:t>dation_stage_statutory_framework_-_for_group_and_school-based_providers.pdf.pdf (Accessed: 5 November 2025).</w:t>
      </w:r>
    </w:p>
    <w:p w14:paraId="4509DB31" w14:textId="0C6CCBAE" w:rsidR="00497243" w:rsidRPr="00F01FA0" w:rsidRDefault="00497243" w:rsidP="00F01FA0">
      <w:pPr>
        <w:spacing w:line="360" w:lineRule="auto"/>
      </w:pPr>
      <w:r w:rsidRPr="00F01FA0">
        <w:t>Early Excellence (2025)</w:t>
      </w:r>
      <w:r w:rsidR="00F01FA0" w:rsidRPr="00F01FA0">
        <w:t>.</w:t>
      </w:r>
      <w:r w:rsidRPr="00F01FA0">
        <w:t xml:space="preserve"> </w:t>
      </w:r>
      <w:r w:rsidRPr="00F01FA0">
        <w:rPr>
          <w:i/>
          <w:iCs/>
        </w:rPr>
        <w:t>Reggio Emilia Approach: Practice &amp; pedagogy</w:t>
      </w:r>
      <w:r w:rsidRPr="00F01FA0">
        <w:t>. Available at: https://earlyexcellence.com/practice-and-pedagogy/reggio-emilia-approach/#:~:text=In%20the%20schools%2C%20there%20is,that%20are%20meaningful%20to%20them. (Accessed: 30 October 2025).</w:t>
      </w:r>
    </w:p>
    <w:p w14:paraId="262AC3F0" w14:textId="0E41C69A" w:rsidR="00497243" w:rsidRPr="00F01FA0" w:rsidRDefault="00497243" w:rsidP="00F01FA0">
      <w:pPr>
        <w:spacing w:line="360" w:lineRule="auto"/>
      </w:pPr>
      <w:r w:rsidRPr="00F01FA0">
        <w:t>Early</w:t>
      </w:r>
      <w:r w:rsidRPr="00F01FA0">
        <w:rPr>
          <w:rFonts w:ascii="Arial" w:hAnsi="Arial" w:cs="Arial"/>
        </w:rPr>
        <w:t> </w:t>
      </w:r>
      <w:r w:rsidRPr="00F01FA0">
        <w:t>Excellence (no date)</w:t>
      </w:r>
      <w:r w:rsidR="00F01FA0" w:rsidRPr="00F01FA0">
        <w:t>.</w:t>
      </w:r>
      <w:r w:rsidRPr="00F01FA0">
        <w:t xml:space="preserve"> </w:t>
      </w:r>
      <w:r w:rsidRPr="00F01FA0">
        <w:rPr>
          <w:i/>
          <w:iCs/>
        </w:rPr>
        <w:t>Principles of effective assessment – Practice &amp; pedagogy</w:t>
      </w:r>
      <w:r w:rsidRPr="00F01FA0">
        <w:t>. Available at: https://earlyexcellence.com/practice-and-pedagogy/principles-of-effective-assessment/ (Accessed: 30 October 2025).</w:t>
      </w:r>
    </w:p>
    <w:p w14:paraId="51AB9F8F" w14:textId="33102AAC" w:rsidR="00497243" w:rsidRPr="00F01FA0" w:rsidRDefault="00497243" w:rsidP="00F01FA0">
      <w:pPr>
        <w:spacing w:line="360" w:lineRule="auto"/>
      </w:pPr>
      <w:r w:rsidRPr="00F01FA0">
        <w:t>Early</w:t>
      </w:r>
      <w:r w:rsidRPr="00F01FA0">
        <w:rPr>
          <w:rFonts w:ascii="Arial" w:hAnsi="Arial" w:cs="Arial"/>
        </w:rPr>
        <w:t> </w:t>
      </w:r>
      <w:r w:rsidRPr="00F01FA0">
        <w:t>Excellence (no date)</w:t>
      </w:r>
      <w:r w:rsidR="00F01FA0" w:rsidRPr="00F01FA0">
        <w:t>.</w:t>
      </w:r>
      <w:r w:rsidRPr="00F01FA0">
        <w:t xml:space="preserve"> </w:t>
      </w:r>
      <w:r w:rsidRPr="00F01FA0">
        <w:rPr>
          <w:i/>
          <w:iCs/>
        </w:rPr>
        <w:t>Reggio</w:t>
      </w:r>
      <w:r w:rsidRPr="00F01FA0">
        <w:rPr>
          <w:rFonts w:ascii="Arial" w:hAnsi="Arial" w:cs="Arial"/>
          <w:i/>
          <w:iCs/>
        </w:rPr>
        <w:t> </w:t>
      </w:r>
      <w:r w:rsidRPr="00F01FA0">
        <w:rPr>
          <w:i/>
          <w:iCs/>
        </w:rPr>
        <w:t>Emilia Approach: Practice &amp; Pedagogy</w:t>
      </w:r>
      <w:r w:rsidRPr="00F01FA0">
        <w:t>. Available at: https://earlyexcellence.com/practice-and-pedagogy/reggio-emilia-approach/#:~:text=In%20the%20schools%2C%20there%20is,that%20are%20meaningful%20to%20them (Accessed: 30</w:t>
      </w:r>
      <w:r w:rsidRPr="00F01FA0">
        <w:rPr>
          <w:rFonts w:ascii="Arial" w:hAnsi="Arial" w:cs="Arial"/>
        </w:rPr>
        <w:t> </w:t>
      </w:r>
      <w:r w:rsidRPr="00F01FA0">
        <w:t>October</w:t>
      </w:r>
      <w:r w:rsidRPr="00F01FA0">
        <w:rPr>
          <w:rFonts w:ascii="Arial" w:hAnsi="Arial" w:cs="Arial"/>
        </w:rPr>
        <w:t> </w:t>
      </w:r>
      <w:r w:rsidRPr="00F01FA0">
        <w:t>2025).</w:t>
      </w:r>
    </w:p>
    <w:p w14:paraId="401514D4" w14:textId="143CB3BB" w:rsidR="00497243" w:rsidRPr="00F01FA0" w:rsidRDefault="00497243" w:rsidP="00F01FA0">
      <w:pPr>
        <w:spacing w:line="360" w:lineRule="auto"/>
      </w:pPr>
      <w:r w:rsidRPr="00F01FA0">
        <w:t>Early Years Alliance (2018)</w:t>
      </w:r>
      <w:r w:rsidR="00F01FA0" w:rsidRPr="00F01FA0">
        <w:t>.</w:t>
      </w:r>
      <w:r w:rsidRPr="00F01FA0">
        <w:t xml:space="preserve"> </w:t>
      </w:r>
      <w:r w:rsidRPr="00F01FA0">
        <w:rPr>
          <w:i/>
          <w:iCs/>
        </w:rPr>
        <w:t>Minds Matter: The impact of working in the early years sector on practitioners’ mental health and wellbeing</w:t>
      </w:r>
      <w:r w:rsidRPr="00F01FA0">
        <w:t xml:space="preserve">. London: Early Years Alliance. Available at: https://www.eyalliance.org.uk/sites/default/files/minds_matter_report_pre-school_learning_alliance.pdf (Accessed: 30 October 2025). </w:t>
      </w:r>
    </w:p>
    <w:p w14:paraId="03CCE7BB" w14:textId="5AA26DBD" w:rsidR="00497243" w:rsidRPr="00F01FA0" w:rsidRDefault="00497243" w:rsidP="00F01FA0">
      <w:pPr>
        <w:spacing w:line="360" w:lineRule="auto"/>
      </w:pPr>
      <w:r w:rsidRPr="00F01FA0">
        <w:t>Early Years Coalition (2021)</w:t>
      </w:r>
      <w:r w:rsidR="00F01FA0" w:rsidRPr="00F01FA0">
        <w:t>.</w:t>
      </w:r>
      <w:r w:rsidRPr="00F01FA0">
        <w:t xml:space="preserve"> </w:t>
      </w:r>
      <w:r w:rsidRPr="00F01FA0">
        <w:rPr>
          <w:i/>
          <w:iCs/>
        </w:rPr>
        <w:t>Attachment and the role of the key person</w:t>
      </w:r>
      <w:r w:rsidRPr="00F01FA0">
        <w:t xml:space="preserve">. In: </w:t>
      </w:r>
      <w:r w:rsidRPr="00F01FA0">
        <w:rPr>
          <w:i/>
          <w:iCs/>
        </w:rPr>
        <w:t>Birth to 5 Matters</w:t>
      </w:r>
      <w:r w:rsidRPr="00F01FA0">
        <w:t xml:space="preserve">. Available at: https://birthto5matters.org.uk/attachment-and-the-role-of-the-key-person/ (Accessed: 30 October 2025). </w:t>
      </w:r>
    </w:p>
    <w:p w14:paraId="66E294D2" w14:textId="77777777" w:rsidR="00497243" w:rsidRPr="00F01FA0" w:rsidRDefault="00497243" w:rsidP="00F01FA0">
      <w:pPr>
        <w:spacing w:line="360" w:lineRule="auto"/>
      </w:pPr>
      <w:r w:rsidRPr="00F01FA0">
        <w:t xml:space="preserve">Education and Health Partnership (EHP) (no date) </w:t>
      </w:r>
      <w:r w:rsidRPr="00F01FA0">
        <w:rPr>
          <w:i/>
          <w:iCs/>
        </w:rPr>
        <w:t>Early years settings – who we work with</w:t>
      </w:r>
      <w:r w:rsidRPr="00F01FA0">
        <w:t>. Available at: https://ehp.org.uk/who-we-work-with/early-years-settings/ (Accessed: 30 October 2025).</w:t>
      </w:r>
    </w:p>
    <w:p w14:paraId="1D743CB8" w14:textId="77718FB1" w:rsidR="00497243" w:rsidRPr="00F01FA0" w:rsidRDefault="00497243" w:rsidP="00F01FA0">
      <w:pPr>
        <w:spacing w:line="360" w:lineRule="auto"/>
      </w:pPr>
      <w:r w:rsidRPr="00F01FA0">
        <w:t>Education and Health Partnership (n</w:t>
      </w:r>
      <w:r w:rsidR="00F01FA0" w:rsidRPr="00F01FA0">
        <w:t>o date</w:t>
      </w:r>
      <w:r w:rsidRPr="00F01FA0">
        <w:t xml:space="preserve">) </w:t>
      </w:r>
      <w:r w:rsidRPr="00F01FA0">
        <w:rPr>
          <w:i/>
          <w:iCs/>
        </w:rPr>
        <w:t>Early years settings – who we work with</w:t>
      </w:r>
      <w:r w:rsidRPr="00F01FA0">
        <w:t>. Available at: https://ehp.org.uk/who-we-work-with/early-years-settings/ (Accessed: 30 October</w:t>
      </w:r>
      <w:r w:rsidRPr="00F01FA0">
        <w:rPr>
          <w:rFonts w:ascii="Arial" w:hAnsi="Arial" w:cs="Arial"/>
        </w:rPr>
        <w:t> </w:t>
      </w:r>
      <w:r w:rsidRPr="00F01FA0">
        <w:t xml:space="preserve">2025). </w:t>
      </w:r>
    </w:p>
    <w:p w14:paraId="0F4A1F10" w14:textId="17B8F5F3" w:rsidR="00497243" w:rsidRPr="00F01FA0" w:rsidRDefault="00497243" w:rsidP="00F01FA0">
      <w:pPr>
        <w:spacing w:line="360" w:lineRule="auto"/>
      </w:pPr>
      <w:r w:rsidRPr="00F01FA0">
        <w:t>Hargraves, V. (2020)</w:t>
      </w:r>
      <w:r w:rsidR="00F01FA0" w:rsidRPr="00F01FA0">
        <w:t>.</w:t>
      </w:r>
      <w:r w:rsidRPr="00F01FA0">
        <w:t xml:space="preserve"> </w:t>
      </w:r>
      <w:r w:rsidRPr="00F01FA0">
        <w:rPr>
          <w:i/>
          <w:iCs/>
        </w:rPr>
        <w:t>What do I need to know to implement</w:t>
      </w:r>
      <w:r w:rsidRPr="00F01FA0">
        <w:rPr>
          <w:rFonts w:ascii="Arial" w:hAnsi="Arial" w:cs="Arial"/>
          <w:i/>
          <w:iCs/>
        </w:rPr>
        <w:t> </w:t>
      </w:r>
      <w:r w:rsidRPr="00F01FA0">
        <w:rPr>
          <w:i/>
          <w:iCs/>
        </w:rPr>
        <w:t>Te</w:t>
      </w:r>
      <w:r w:rsidRPr="00F01FA0">
        <w:rPr>
          <w:rFonts w:ascii="Arial" w:hAnsi="Arial" w:cs="Arial"/>
          <w:i/>
          <w:iCs/>
        </w:rPr>
        <w:t> </w:t>
      </w:r>
      <w:r w:rsidRPr="00F01FA0">
        <w:rPr>
          <w:i/>
          <w:iCs/>
        </w:rPr>
        <w:t>Wh</w:t>
      </w:r>
      <w:r w:rsidRPr="00F01FA0">
        <w:rPr>
          <w:rFonts w:cs="Aptos"/>
          <w:i/>
          <w:iCs/>
        </w:rPr>
        <w:t>ā</w:t>
      </w:r>
      <w:r w:rsidRPr="00F01FA0">
        <w:rPr>
          <w:i/>
          <w:iCs/>
        </w:rPr>
        <w:t>riki</w:t>
      </w:r>
      <w:r w:rsidRPr="00F01FA0">
        <w:rPr>
          <w:rFonts w:ascii="Arial" w:hAnsi="Arial" w:cs="Arial"/>
          <w:i/>
          <w:iCs/>
        </w:rPr>
        <w:t> </w:t>
      </w:r>
      <w:r w:rsidRPr="00F01FA0">
        <w:rPr>
          <w:i/>
          <w:iCs/>
        </w:rPr>
        <w:t>2017?</w:t>
      </w:r>
      <w:r w:rsidRPr="00F01FA0">
        <w:t xml:space="preserve"> The</w:t>
      </w:r>
      <w:r w:rsidRPr="00F01FA0">
        <w:rPr>
          <w:rFonts w:ascii="Arial" w:hAnsi="Arial" w:cs="Arial"/>
        </w:rPr>
        <w:t> </w:t>
      </w:r>
      <w:r w:rsidRPr="00F01FA0">
        <w:t>Education</w:t>
      </w:r>
      <w:r w:rsidRPr="00F01FA0">
        <w:rPr>
          <w:rFonts w:ascii="Arial" w:hAnsi="Arial" w:cs="Arial"/>
        </w:rPr>
        <w:t> </w:t>
      </w:r>
      <w:r w:rsidRPr="00F01FA0">
        <w:t xml:space="preserve">Hub. Available at: https://theeducationhub.org.nz/what-do-i-need-to-know-to-implement-te-whariki-2017/ (Accessed: 30 October 2025). </w:t>
      </w:r>
    </w:p>
    <w:p w14:paraId="29964F7A" w14:textId="269C610F" w:rsidR="00497243" w:rsidRPr="00F01FA0" w:rsidRDefault="00497243" w:rsidP="00F01FA0">
      <w:pPr>
        <w:spacing w:line="360" w:lineRule="auto"/>
      </w:pPr>
      <w:r w:rsidRPr="00F01FA0">
        <w:lastRenderedPageBreak/>
        <w:t>Hargraves,</w:t>
      </w:r>
      <w:r w:rsidRPr="00F01FA0">
        <w:rPr>
          <w:rFonts w:ascii="Arial" w:hAnsi="Arial" w:cs="Arial"/>
        </w:rPr>
        <w:t> </w:t>
      </w:r>
      <w:r w:rsidRPr="00F01FA0">
        <w:t>V. (2020)</w:t>
      </w:r>
      <w:r w:rsidR="00F01FA0" w:rsidRPr="00F01FA0">
        <w:t>.</w:t>
      </w:r>
      <w:r w:rsidRPr="00F01FA0">
        <w:t xml:space="preserve"> </w:t>
      </w:r>
      <w:r w:rsidRPr="00F01FA0">
        <w:rPr>
          <w:i/>
          <w:iCs/>
        </w:rPr>
        <w:t>What do I need to know to implement</w:t>
      </w:r>
      <w:r w:rsidRPr="00F01FA0">
        <w:rPr>
          <w:rFonts w:ascii="Arial" w:hAnsi="Arial" w:cs="Arial"/>
          <w:i/>
          <w:iCs/>
        </w:rPr>
        <w:t> </w:t>
      </w:r>
      <w:r w:rsidRPr="00F01FA0">
        <w:rPr>
          <w:i/>
          <w:iCs/>
        </w:rPr>
        <w:t>Te</w:t>
      </w:r>
      <w:r w:rsidRPr="00F01FA0">
        <w:rPr>
          <w:rFonts w:ascii="Arial" w:hAnsi="Arial" w:cs="Arial"/>
          <w:i/>
          <w:iCs/>
        </w:rPr>
        <w:t> </w:t>
      </w:r>
      <w:r w:rsidRPr="00F01FA0">
        <w:rPr>
          <w:i/>
          <w:iCs/>
        </w:rPr>
        <w:t>Wh</w:t>
      </w:r>
      <w:r w:rsidRPr="00F01FA0">
        <w:rPr>
          <w:rFonts w:cs="Aptos"/>
          <w:i/>
          <w:iCs/>
        </w:rPr>
        <w:t>ā</w:t>
      </w:r>
      <w:r w:rsidRPr="00F01FA0">
        <w:rPr>
          <w:i/>
          <w:iCs/>
        </w:rPr>
        <w:t>riki</w:t>
      </w:r>
      <w:r w:rsidRPr="00F01FA0">
        <w:rPr>
          <w:rFonts w:ascii="Arial" w:hAnsi="Arial" w:cs="Arial"/>
          <w:i/>
          <w:iCs/>
        </w:rPr>
        <w:t> </w:t>
      </w:r>
      <w:r w:rsidRPr="00F01FA0">
        <w:rPr>
          <w:i/>
          <w:iCs/>
        </w:rPr>
        <w:t>2017?</w:t>
      </w:r>
      <w:r w:rsidRPr="00F01FA0">
        <w:t xml:space="preserve"> The</w:t>
      </w:r>
      <w:r w:rsidRPr="00F01FA0">
        <w:rPr>
          <w:rFonts w:ascii="Arial" w:hAnsi="Arial" w:cs="Arial"/>
        </w:rPr>
        <w:t> </w:t>
      </w:r>
      <w:r w:rsidRPr="00F01FA0">
        <w:t>Education</w:t>
      </w:r>
      <w:r w:rsidRPr="00F01FA0">
        <w:rPr>
          <w:rFonts w:ascii="Arial" w:hAnsi="Arial" w:cs="Arial"/>
        </w:rPr>
        <w:t> </w:t>
      </w:r>
      <w:r w:rsidRPr="00F01FA0">
        <w:t>Hub. Available at: https://theeducationhub.org.nz/what-do-i-need-to-know-to-implement-te-whariki-2017/ (Accessed: 30 October 2025)</w:t>
      </w:r>
    </w:p>
    <w:p w14:paraId="0673CAAC" w14:textId="38BFEB47" w:rsidR="00497243" w:rsidRPr="00F01FA0" w:rsidRDefault="00497243" w:rsidP="00F01FA0">
      <w:pPr>
        <w:spacing w:line="360" w:lineRule="auto"/>
      </w:pPr>
      <w:r w:rsidRPr="00F01FA0">
        <w:t>Hogg, S. &amp; Moody, J. (2023)</w:t>
      </w:r>
      <w:r w:rsidR="00F01FA0" w:rsidRPr="00F01FA0">
        <w:t>.</w:t>
      </w:r>
      <w:r w:rsidRPr="00F01FA0">
        <w:t xml:space="preserve"> </w:t>
      </w:r>
      <w:r w:rsidRPr="00F01FA0">
        <w:rPr>
          <w:i/>
          <w:iCs/>
        </w:rPr>
        <w:t>Understanding and supporting mental health in infancy and early childhood – a toolkit to support local action in the UK</w:t>
      </w:r>
      <w:r w:rsidRPr="00F01FA0">
        <w:t>. London: UNICEF UK. Available at: https://www.unicef.org.uk/wp-content/uploads/2023/04/UnderstandingAndSupportingMentalHealthInInfancyAndEarlyChildhood-1.pdf (Accessed: 30 October 2025).</w:t>
      </w:r>
    </w:p>
    <w:p w14:paraId="2332E9AD" w14:textId="52C68246" w:rsidR="00497243" w:rsidRPr="00F01FA0" w:rsidRDefault="00497243" w:rsidP="00F01FA0">
      <w:pPr>
        <w:spacing w:line="360" w:lineRule="auto"/>
      </w:pPr>
      <w:r w:rsidRPr="00F01FA0">
        <w:t xml:space="preserve">James, M. </w:t>
      </w:r>
      <w:r w:rsidRPr="00F01FA0">
        <w:rPr>
          <w:i/>
          <w:iCs/>
        </w:rPr>
        <w:t>et al.</w:t>
      </w:r>
      <w:r w:rsidRPr="00F01FA0">
        <w:t xml:space="preserve"> (2025)</w:t>
      </w:r>
      <w:r w:rsidR="00321845" w:rsidRPr="00F01FA0">
        <w:t xml:space="preserve">. </w:t>
      </w:r>
      <w:r w:rsidRPr="00F01FA0">
        <w:t xml:space="preserve">To what extent does self-reported physical activity impact children’s wellbeing and mental health? Insights from school-aged children in Wales’, </w:t>
      </w:r>
      <w:proofErr w:type="spellStart"/>
      <w:r w:rsidRPr="00F01FA0">
        <w:rPr>
          <w:i/>
          <w:iCs/>
        </w:rPr>
        <w:t>PloS</w:t>
      </w:r>
      <w:proofErr w:type="spellEnd"/>
      <w:r w:rsidRPr="00F01FA0">
        <w:rPr>
          <w:i/>
          <w:iCs/>
        </w:rPr>
        <w:t xml:space="preserve"> one</w:t>
      </w:r>
      <w:r w:rsidRPr="00F01FA0">
        <w:t>, 20(5), p. e0313970. Available at: https://doi.org/10.1371/journal.pone.0313970.</w:t>
      </w:r>
    </w:p>
    <w:p w14:paraId="733B465F" w14:textId="6C5FF827" w:rsidR="00497243" w:rsidRPr="00F01FA0" w:rsidRDefault="00497243" w:rsidP="00F01FA0">
      <w:pPr>
        <w:spacing w:line="360" w:lineRule="auto"/>
      </w:pPr>
      <w:r w:rsidRPr="00F01FA0">
        <w:t>Jones, N. (2025)</w:t>
      </w:r>
      <w:r w:rsidR="00F01FA0" w:rsidRPr="00F01FA0">
        <w:t>.</w:t>
      </w:r>
      <w:r w:rsidRPr="00F01FA0">
        <w:t xml:space="preserve"> </w:t>
      </w:r>
      <w:r w:rsidRPr="00F01FA0">
        <w:rPr>
          <w:i/>
          <w:iCs/>
        </w:rPr>
        <w:t>Progressive Early-Years Education and the Disadvantaged Learner: Insights from the Welsh Foundation Phase</w:t>
      </w:r>
      <w:r w:rsidRPr="00F01FA0">
        <w:t xml:space="preserve"> [Preprint]. OSF Preprints. Available at: https://osf.io/preprints/osf/btx5f_v2 (Accessed: 30 October 2025).</w:t>
      </w:r>
    </w:p>
    <w:p w14:paraId="44079104" w14:textId="77777777" w:rsidR="00497243" w:rsidRPr="00F01FA0" w:rsidRDefault="00497243" w:rsidP="00F01FA0">
      <w:pPr>
        <w:spacing w:line="360" w:lineRule="auto"/>
      </w:pPr>
      <w:r w:rsidRPr="00F01FA0">
        <w:t>Jones,</w:t>
      </w:r>
      <w:r w:rsidRPr="00F01FA0">
        <w:rPr>
          <w:rFonts w:ascii="Arial" w:hAnsi="Arial" w:cs="Arial"/>
        </w:rPr>
        <w:t> </w:t>
      </w:r>
      <w:r w:rsidRPr="00F01FA0">
        <w:t xml:space="preserve">N. (2025) </w:t>
      </w:r>
      <w:r w:rsidRPr="00F01FA0">
        <w:rPr>
          <w:i/>
          <w:iCs/>
        </w:rPr>
        <w:t>Progressive Early</w:t>
      </w:r>
      <w:r w:rsidRPr="00F01FA0">
        <w:rPr>
          <w:i/>
          <w:iCs/>
        </w:rPr>
        <w:noBreakHyphen/>
        <w:t>Years Education and the Disadvantaged Learner: Insights from the Welsh Foundation Phase</w:t>
      </w:r>
      <w:r w:rsidRPr="00F01FA0">
        <w:t xml:space="preserve"> [Preprint]. OSF Preprints. Available at: https://osf.io/preprints/osf/btx5f_v2 (Accessed: 30 October</w:t>
      </w:r>
      <w:r w:rsidRPr="00F01FA0">
        <w:rPr>
          <w:rFonts w:ascii="Arial" w:hAnsi="Arial" w:cs="Arial"/>
        </w:rPr>
        <w:t> </w:t>
      </w:r>
      <w:r w:rsidRPr="00F01FA0">
        <w:t>2025).</w:t>
      </w:r>
    </w:p>
    <w:p w14:paraId="71530C82" w14:textId="0E3887C7" w:rsidR="00497243" w:rsidRPr="00F01FA0" w:rsidRDefault="00497243" w:rsidP="00F01FA0">
      <w:pPr>
        <w:spacing w:line="360" w:lineRule="auto"/>
      </w:pPr>
      <w:r w:rsidRPr="00F01FA0">
        <w:t>Lumen</w:t>
      </w:r>
      <w:r w:rsidRPr="00F01FA0">
        <w:rPr>
          <w:rFonts w:ascii="Arial" w:hAnsi="Arial" w:cs="Arial"/>
        </w:rPr>
        <w:t> </w:t>
      </w:r>
      <w:r w:rsidRPr="00F01FA0">
        <w:t>Learning (no date)</w:t>
      </w:r>
      <w:r w:rsidR="00321845" w:rsidRPr="00F01FA0">
        <w:t>.</w:t>
      </w:r>
      <w:r w:rsidRPr="00F01FA0">
        <w:t xml:space="preserve"> </w:t>
      </w:r>
      <w:r w:rsidRPr="00F01FA0">
        <w:rPr>
          <w:i/>
          <w:iCs/>
        </w:rPr>
        <w:t>Challenges of Early Childhood Assessment – Assessment Methods</w:t>
      </w:r>
      <w:r w:rsidRPr="00F01FA0">
        <w:t xml:space="preserve"> [online module]. Available at: https://courses.lumenlearning.com/suny-canton-echd250/chapter/assessment-purpose-and-considerations/ (Accessed: 30</w:t>
      </w:r>
      <w:r w:rsidRPr="00F01FA0">
        <w:rPr>
          <w:rFonts w:ascii="Arial" w:hAnsi="Arial" w:cs="Arial"/>
        </w:rPr>
        <w:t> </w:t>
      </w:r>
      <w:r w:rsidRPr="00F01FA0">
        <w:t>October</w:t>
      </w:r>
      <w:r w:rsidRPr="00F01FA0">
        <w:rPr>
          <w:rFonts w:ascii="Arial" w:hAnsi="Arial" w:cs="Arial"/>
        </w:rPr>
        <w:t> </w:t>
      </w:r>
      <w:r w:rsidRPr="00F01FA0">
        <w:t xml:space="preserve">2025). </w:t>
      </w:r>
    </w:p>
    <w:p w14:paraId="1A13D110" w14:textId="6F07F2D5" w:rsidR="00497243" w:rsidRPr="00F01FA0" w:rsidRDefault="00497243" w:rsidP="00F01FA0">
      <w:pPr>
        <w:spacing w:line="360" w:lineRule="auto"/>
      </w:pPr>
      <w:r w:rsidRPr="00F01FA0">
        <w:t>Manera, L. (2022)</w:t>
      </w:r>
      <w:r w:rsidR="00321845" w:rsidRPr="00F01FA0">
        <w:t xml:space="preserve">. </w:t>
      </w:r>
      <w:r w:rsidRPr="00F01FA0">
        <w:t xml:space="preserve">The Reggio Emilia Approach to Early Childhood Education. An Analysis to Its Inclusive Perspectives and Their Relationships to Aesthetic Aspects’, in Postiglione, E. (ed.) </w:t>
      </w:r>
      <w:r w:rsidRPr="00F01FA0">
        <w:rPr>
          <w:i/>
          <w:iCs/>
        </w:rPr>
        <w:t>Fostering Inclusion in Education</w:t>
      </w:r>
      <w:r w:rsidRPr="00F01FA0">
        <w:t xml:space="preserve">. Cham: Palgrave Macmillan, pp. 145-153. doi:10.1007/978-3-031-07492-9_7. </w:t>
      </w:r>
    </w:p>
    <w:p w14:paraId="054813C7" w14:textId="77777777" w:rsidR="00497243" w:rsidRPr="00F01FA0" w:rsidRDefault="00497243" w:rsidP="00F01FA0">
      <w:pPr>
        <w:spacing w:line="360" w:lineRule="auto"/>
      </w:pPr>
      <w:r w:rsidRPr="00F01FA0">
        <w:t xml:space="preserve">Maynard, T. and Chicken, S. (2010) ‘Through a different lens: exploring Reggio Emilia in a Welsh context’, </w:t>
      </w:r>
      <w:r w:rsidRPr="00F01FA0">
        <w:rPr>
          <w:i/>
          <w:iCs/>
        </w:rPr>
        <w:t>Early years (London, England)</w:t>
      </w:r>
      <w:r w:rsidRPr="00F01FA0">
        <w:t>, 30(1), pp. 29–39. Available at: https://doi.org/10.1080/09575140903443000.</w:t>
      </w:r>
    </w:p>
    <w:p w14:paraId="392B7F47" w14:textId="77777777" w:rsidR="00497243" w:rsidRPr="00F01FA0" w:rsidRDefault="00497243" w:rsidP="00F01FA0">
      <w:pPr>
        <w:spacing w:line="360" w:lineRule="auto"/>
      </w:pPr>
      <w:r w:rsidRPr="00F01FA0">
        <w:t xml:space="preserve">McMahon, S. and Dyer, M. (eds) (2018). </w:t>
      </w:r>
      <w:r w:rsidRPr="00F01FA0">
        <w:rPr>
          <w:i/>
          <w:iCs/>
        </w:rPr>
        <w:t>Advanced Work-based Practice in the Early Years</w:t>
      </w:r>
      <w:r w:rsidRPr="00F01FA0">
        <w:rPr>
          <w:rFonts w:ascii="Arial" w:hAnsi="Arial" w:cs="Arial"/>
          <w:i/>
          <w:iCs/>
        </w:rPr>
        <w:t> </w:t>
      </w:r>
      <w:r w:rsidRPr="00F01FA0">
        <w:rPr>
          <w:i/>
          <w:iCs/>
        </w:rPr>
        <w:t>: A Guide for Students</w:t>
      </w:r>
      <w:r w:rsidRPr="00F01FA0">
        <w:t>. First edition. Boca Raton, FL: Routledge.</w:t>
      </w:r>
    </w:p>
    <w:p w14:paraId="54BE934B" w14:textId="77777777" w:rsidR="00497243" w:rsidRPr="00F01FA0" w:rsidRDefault="00497243" w:rsidP="00F01FA0">
      <w:pPr>
        <w:spacing w:line="360" w:lineRule="auto"/>
      </w:pPr>
      <w:r w:rsidRPr="00F01FA0">
        <w:lastRenderedPageBreak/>
        <w:t xml:space="preserve">Mentally Healthy Schools (no date) </w:t>
      </w:r>
      <w:r w:rsidRPr="00F01FA0">
        <w:rPr>
          <w:i/>
          <w:iCs/>
        </w:rPr>
        <w:t>Supporting staff wellbeing</w:t>
      </w:r>
      <w:r w:rsidRPr="00F01FA0">
        <w:t>. Available at: https://www.mentallyhealthyschools.org.uk/whole-school-approach/supporting-staff-wellbeing/ (Accessed: 30 October</w:t>
      </w:r>
      <w:r w:rsidRPr="00F01FA0">
        <w:rPr>
          <w:rFonts w:ascii="Arial" w:hAnsi="Arial" w:cs="Arial"/>
        </w:rPr>
        <w:t> </w:t>
      </w:r>
      <w:r w:rsidRPr="00F01FA0">
        <w:t xml:space="preserve">2025). </w:t>
      </w:r>
    </w:p>
    <w:p w14:paraId="2E258F8B" w14:textId="77777777" w:rsidR="00497243" w:rsidRPr="00F01FA0" w:rsidRDefault="00497243" w:rsidP="00F01FA0">
      <w:pPr>
        <w:spacing w:line="360" w:lineRule="auto"/>
      </w:pPr>
      <w:r w:rsidRPr="00F01FA0">
        <w:t>Ministry of Education (New</w:t>
      </w:r>
      <w:r w:rsidRPr="00F01FA0">
        <w:rPr>
          <w:rFonts w:ascii="Arial" w:hAnsi="Arial" w:cs="Arial"/>
        </w:rPr>
        <w:t> </w:t>
      </w:r>
      <w:r w:rsidRPr="00F01FA0">
        <w:t xml:space="preserve">Zealand) (2017) </w:t>
      </w:r>
      <w:r w:rsidRPr="00F01FA0">
        <w:rPr>
          <w:i/>
          <w:iCs/>
        </w:rPr>
        <w:t>Te Whāriki: He whāriki mātauranga mō ngā mokopuna o Aotearoa – Early Childhood Curriculum</w:t>
      </w:r>
      <w:r w:rsidRPr="00F01FA0">
        <w:t>. Wellington: Ministry of Education. Available at: https://birthto5matters.org.uk/wp-content/uploads/2021/03/PDF-8-Te-Whariki-Early-Childhood-Curriculum-ENG-Web.pdf (Accessed: 30 October 2025).</w:t>
      </w:r>
    </w:p>
    <w:p w14:paraId="7200A587" w14:textId="77777777" w:rsidR="00497243" w:rsidRPr="00F01FA0" w:rsidRDefault="00497243" w:rsidP="00F01FA0">
      <w:pPr>
        <w:spacing w:line="360" w:lineRule="auto"/>
      </w:pPr>
      <w:r w:rsidRPr="00F01FA0">
        <w:t>National</w:t>
      </w:r>
      <w:r w:rsidRPr="00F01FA0">
        <w:rPr>
          <w:rFonts w:ascii="Arial" w:hAnsi="Arial" w:cs="Arial"/>
        </w:rPr>
        <w:t> </w:t>
      </w:r>
      <w:r w:rsidRPr="00F01FA0">
        <w:t>Day</w:t>
      </w:r>
      <w:r w:rsidRPr="00F01FA0">
        <w:rPr>
          <w:rFonts w:ascii="Arial" w:hAnsi="Arial" w:cs="Arial"/>
        </w:rPr>
        <w:t> </w:t>
      </w:r>
      <w:r w:rsidRPr="00F01FA0">
        <w:t>Nurseries</w:t>
      </w:r>
      <w:r w:rsidRPr="00F01FA0">
        <w:rPr>
          <w:rFonts w:ascii="Arial" w:hAnsi="Arial" w:cs="Arial"/>
        </w:rPr>
        <w:t> </w:t>
      </w:r>
      <w:r w:rsidRPr="00F01FA0">
        <w:t xml:space="preserve">Association (NDNA) (2021) </w:t>
      </w:r>
      <w:r w:rsidRPr="00F01FA0">
        <w:rPr>
          <w:i/>
          <w:iCs/>
        </w:rPr>
        <w:t>Tip – Every child is unique</w:t>
      </w:r>
      <w:r w:rsidRPr="00F01FA0">
        <w:t>. Huddersfield: NDNA. Available at: https://ndna.org.uk/wp-content/uploads/2021/11/Tip-Every-child-is-unique.pdf (Accessed: 30 October 2025).</w:t>
      </w:r>
    </w:p>
    <w:p w14:paraId="1DDB2AAD" w14:textId="032F8FC2" w:rsidR="00497243" w:rsidRPr="00F01FA0" w:rsidRDefault="00497243" w:rsidP="00F01FA0">
      <w:pPr>
        <w:spacing w:after="0" w:line="360" w:lineRule="auto"/>
        <w:rPr>
          <w:rFonts w:eastAsia="Times New Roman" w:cs="Times New Roman"/>
          <w:kern w:val="0"/>
          <w:lang w:eastAsia="en-GB"/>
          <w14:ligatures w14:val="none"/>
        </w:rPr>
      </w:pPr>
      <w:r w:rsidRPr="00F01FA0">
        <w:rPr>
          <w:rFonts w:eastAsia="Times New Roman" w:cs="Times New Roman"/>
          <w:kern w:val="0"/>
          <w:lang w:eastAsia="en-GB"/>
          <w14:ligatures w14:val="none"/>
        </w:rPr>
        <w:t>Palaiologou, I. (2008)</w:t>
      </w:r>
      <w:r w:rsidRPr="00F01FA0">
        <w:rPr>
          <w:rFonts w:eastAsia="Times New Roman" w:cs="Times New Roman"/>
          <w:kern w:val="0"/>
          <w:lang w:eastAsia="en-GB"/>
          <w14:ligatures w14:val="none"/>
        </w:rPr>
        <w:t>.</w:t>
      </w:r>
      <w:r w:rsidRPr="00F01FA0">
        <w:rPr>
          <w:rFonts w:eastAsia="Times New Roman" w:cs="Times New Roman"/>
          <w:kern w:val="0"/>
          <w:lang w:eastAsia="en-GB"/>
          <w14:ligatures w14:val="none"/>
        </w:rPr>
        <w:t xml:space="preserve"> </w:t>
      </w:r>
      <w:r w:rsidRPr="00F01FA0">
        <w:rPr>
          <w:rFonts w:eastAsia="Times New Roman" w:cs="Times New Roman"/>
          <w:i/>
          <w:iCs/>
          <w:kern w:val="0"/>
          <w:lang w:eastAsia="en-GB"/>
          <w14:ligatures w14:val="none"/>
        </w:rPr>
        <w:t>Childhood observation</w:t>
      </w:r>
      <w:r w:rsidRPr="00F01FA0">
        <w:rPr>
          <w:rFonts w:eastAsia="Times New Roman" w:cs="Times New Roman"/>
          <w:kern w:val="0"/>
          <w:lang w:eastAsia="en-GB"/>
          <w14:ligatures w14:val="none"/>
        </w:rPr>
        <w:t>. Exeter [England: Learning Matters.</w:t>
      </w:r>
    </w:p>
    <w:p w14:paraId="03B90B0F" w14:textId="77777777" w:rsidR="00321845" w:rsidRPr="00F01FA0" w:rsidRDefault="00321845" w:rsidP="00F01FA0">
      <w:pPr>
        <w:spacing w:after="0" w:line="360" w:lineRule="auto"/>
        <w:rPr>
          <w:rFonts w:eastAsia="Times New Roman" w:cs="Times New Roman"/>
          <w:kern w:val="0"/>
          <w:lang w:eastAsia="en-GB"/>
          <w14:ligatures w14:val="none"/>
        </w:rPr>
      </w:pPr>
    </w:p>
    <w:p w14:paraId="7C00E16C" w14:textId="77777777" w:rsidR="00497243" w:rsidRPr="00F01FA0" w:rsidRDefault="00497243" w:rsidP="00F01FA0">
      <w:pPr>
        <w:spacing w:line="360" w:lineRule="auto"/>
      </w:pPr>
      <w:r w:rsidRPr="00F01FA0">
        <w:t xml:space="preserve">Parents (no date) </w:t>
      </w:r>
      <w:r w:rsidRPr="00F01FA0">
        <w:rPr>
          <w:i/>
          <w:iCs/>
        </w:rPr>
        <w:t>Reggio</w:t>
      </w:r>
      <w:r w:rsidRPr="00F01FA0">
        <w:rPr>
          <w:rFonts w:ascii="Arial" w:hAnsi="Arial" w:cs="Arial"/>
          <w:i/>
          <w:iCs/>
        </w:rPr>
        <w:t> </w:t>
      </w:r>
      <w:r w:rsidRPr="00F01FA0">
        <w:rPr>
          <w:i/>
          <w:iCs/>
        </w:rPr>
        <w:t>Emilia philosophy: what to know</w:t>
      </w:r>
      <w:r w:rsidRPr="00F01FA0">
        <w:t xml:space="preserve"> [online]. Available at: https://www.parents.com/toddlers</w:t>
      </w:r>
      <w:r w:rsidRPr="00F01FA0">
        <w:noBreakHyphen/>
        <w:t>preschoolers/starting</w:t>
      </w:r>
      <w:r w:rsidRPr="00F01FA0">
        <w:noBreakHyphen/>
        <w:t>preschool/curriculum/reggio</w:t>
      </w:r>
      <w:r w:rsidRPr="00F01FA0">
        <w:noBreakHyphen/>
        <w:t>emilia</w:t>
      </w:r>
      <w:r w:rsidRPr="00F01FA0">
        <w:noBreakHyphen/>
        <w:t>philosophy</w:t>
      </w:r>
      <w:r w:rsidRPr="00F01FA0">
        <w:noBreakHyphen/>
        <w:t>what</w:t>
      </w:r>
      <w:r w:rsidRPr="00F01FA0">
        <w:noBreakHyphen/>
        <w:t>to</w:t>
      </w:r>
      <w:r w:rsidRPr="00F01FA0">
        <w:noBreakHyphen/>
        <w:t>know/#:~:text=Disadvantages%20of%20the%20Reggio%20Emilia,Black%20Children%20in%20White%20Spaces. (Accessed: 30 October 2025).</w:t>
      </w:r>
    </w:p>
    <w:p w14:paraId="48D4DD60" w14:textId="77777777" w:rsidR="00497243" w:rsidRPr="00F01FA0" w:rsidRDefault="00497243" w:rsidP="00F01FA0">
      <w:pPr>
        <w:spacing w:line="360" w:lineRule="auto"/>
      </w:pPr>
      <w:r w:rsidRPr="00F01FA0">
        <w:t xml:space="preserve">Power, S., Rhys, M., Taylor, C. &amp; Waldron, S. (2018) ‘How child-centred education favours some learners more than others’, </w:t>
      </w:r>
      <w:r w:rsidRPr="00F01FA0">
        <w:rPr>
          <w:i/>
          <w:iCs/>
        </w:rPr>
        <w:t>Review of Education</w:t>
      </w:r>
      <w:r w:rsidRPr="00F01FA0">
        <w:t xml:space="preserve">, 7(3), pp. 570-592. Doi:10.1002/REV3.3137. </w:t>
      </w:r>
    </w:p>
    <w:p w14:paraId="293D9081" w14:textId="77777777" w:rsidR="00497243" w:rsidRPr="00F01FA0" w:rsidRDefault="00497243" w:rsidP="00F01FA0">
      <w:pPr>
        <w:spacing w:line="360" w:lineRule="auto"/>
      </w:pPr>
      <w:r w:rsidRPr="00F01FA0">
        <w:t xml:space="preserve">Reggio Children (no date) </w:t>
      </w:r>
      <w:r w:rsidRPr="00F01FA0">
        <w:rPr>
          <w:i/>
          <w:iCs/>
        </w:rPr>
        <w:t>Timeline – Reggio Emilia Approach</w:t>
      </w:r>
      <w:r w:rsidRPr="00F01FA0">
        <w:t>. Available at: https://www.reggiochildren.it/en/reggio-emilia-approach/timeline-en/ (Accessed: 30 October 2025).</w:t>
      </w:r>
    </w:p>
    <w:p w14:paraId="39DD7C88" w14:textId="77777777" w:rsidR="00497243" w:rsidRPr="00F01FA0" w:rsidRDefault="00497243" w:rsidP="00F01FA0">
      <w:pPr>
        <w:spacing w:line="360" w:lineRule="auto"/>
      </w:pPr>
      <w:r w:rsidRPr="00F01FA0">
        <w:t xml:space="preserve">Reggio Children (no date) </w:t>
      </w:r>
      <w:r w:rsidRPr="00F01FA0">
        <w:rPr>
          <w:i/>
          <w:iCs/>
        </w:rPr>
        <w:t>Timeline –</w:t>
      </w:r>
      <w:r w:rsidRPr="00F01FA0">
        <w:rPr>
          <w:rFonts w:ascii="Arial" w:hAnsi="Arial" w:cs="Arial"/>
          <w:i/>
          <w:iCs/>
        </w:rPr>
        <w:t> </w:t>
      </w:r>
      <w:r w:rsidRPr="00F01FA0">
        <w:rPr>
          <w:i/>
          <w:iCs/>
        </w:rPr>
        <w:t>Reggio</w:t>
      </w:r>
      <w:r w:rsidRPr="00F01FA0">
        <w:rPr>
          <w:rFonts w:ascii="Arial" w:hAnsi="Arial" w:cs="Arial"/>
          <w:i/>
          <w:iCs/>
        </w:rPr>
        <w:t> </w:t>
      </w:r>
      <w:r w:rsidRPr="00F01FA0">
        <w:rPr>
          <w:i/>
          <w:iCs/>
        </w:rPr>
        <w:t>Emilia Approach</w:t>
      </w:r>
      <w:r w:rsidRPr="00F01FA0">
        <w:t>. Available at: https://www.reggiochildren.it/en/reggio-emilia-approach/timeline-en/ (Accessed:</w:t>
      </w:r>
      <w:r w:rsidRPr="00F01FA0">
        <w:rPr>
          <w:rFonts w:ascii="Arial" w:hAnsi="Arial" w:cs="Arial"/>
        </w:rPr>
        <w:t> </w:t>
      </w:r>
      <w:r w:rsidRPr="00F01FA0">
        <w:t>30</w:t>
      </w:r>
      <w:r w:rsidRPr="00F01FA0">
        <w:rPr>
          <w:rFonts w:ascii="Arial" w:hAnsi="Arial" w:cs="Arial"/>
        </w:rPr>
        <w:t> </w:t>
      </w:r>
      <w:r w:rsidRPr="00F01FA0">
        <w:t>October</w:t>
      </w:r>
      <w:r w:rsidRPr="00F01FA0">
        <w:rPr>
          <w:rFonts w:ascii="Arial" w:hAnsi="Arial" w:cs="Arial"/>
        </w:rPr>
        <w:t> </w:t>
      </w:r>
      <w:r w:rsidRPr="00F01FA0">
        <w:t>2025).</w:t>
      </w:r>
    </w:p>
    <w:p w14:paraId="00FF34D1" w14:textId="77777777" w:rsidR="00497243" w:rsidRPr="00F01FA0" w:rsidRDefault="00497243" w:rsidP="00F01FA0">
      <w:pPr>
        <w:spacing w:line="360" w:lineRule="auto"/>
      </w:pPr>
      <w:r w:rsidRPr="00F01FA0">
        <w:t xml:space="preserve">Schlack, R., Peerenboom, N., Neuperdt, L., Junker, S. &amp; Beyer, A-K. (2021) ‘The effects of mental health problems in childhood and adolescence in young adults: Results of the </w:t>
      </w:r>
      <w:proofErr w:type="spellStart"/>
      <w:r w:rsidRPr="00F01FA0">
        <w:t>KiGGS</w:t>
      </w:r>
      <w:proofErr w:type="spellEnd"/>
      <w:r w:rsidRPr="00F01FA0">
        <w:t xml:space="preserve"> cohort’, </w:t>
      </w:r>
      <w:r w:rsidRPr="00F01FA0">
        <w:rPr>
          <w:i/>
          <w:iCs/>
        </w:rPr>
        <w:t>Journal of Health Monitoring</w:t>
      </w:r>
      <w:r w:rsidRPr="00F01FA0">
        <w:t>, 6(4), pp. 3-19. doi: 10.25646/8863.</w:t>
      </w:r>
    </w:p>
    <w:p w14:paraId="5999ED5F" w14:textId="77777777" w:rsidR="00497243" w:rsidRPr="00F01FA0" w:rsidRDefault="00497243" w:rsidP="00F01FA0">
      <w:pPr>
        <w:spacing w:line="360" w:lineRule="auto"/>
      </w:pPr>
      <w:r w:rsidRPr="00F01FA0">
        <w:t>Siraj,</w:t>
      </w:r>
      <w:r w:rsidRPr="00F01FA0">
        <w:rPr>
          <w:rFonts w:ascii="Arial" w:hAnsi="Arial" w:cs="Arial"/>
        </w:rPr>
        <w:t> </w:t>
      </w:r>
      <w:r w:rsidRPr="00F01FA0">
        <w:t>I. &amp; Kingston,</w:t>
      </w:r>
      <w:r w:rsidRPr="00F01FA0">
        <w:rPr>
          <w:rFonts w:ascii="Arial" w:hAnsi="Arial" w:cs="Arial"/>
        </w:rPr>
        <w:t> </w:t>
      </w:r>
      <w:r w:rsidRPr="00F01FA0">
        <w:t xml:space="preserve">D. (2014) </w:t>
      </w:r>
      <w:r w:rsidRPr="00F01FA0">
        <w:rPr>
          <w:i/>
          <w:iCs/>
        </w:rPr>
        <w:t>An independent stocktake of the Foundation Phase in Wales: Final report</w:t>
      </w:r>
      <w:r w:rsidRPr="00F01FA0">
        <w:t xml:space="preserve"> [Report commissioned by the Welsh Government]. Cardiff: Welsh Government. Available </w:t>
      </w:r>
      <w:r w:rsidRPr="00F01FA0">
        <w:lastRenderedPageBreak/>
        <w:t>at: https://dera.ioe.ac.uk/id/eprint/20340/1/140519-independent-stocktake-of-the-foundation-phase-in-wales-en.pdf (Accessed:</w:t>
      </w:r>
      <w:r w:rsidRPr="00F01FA0">
        <w:rPr>
          <w:rFonts w:ascii="Arial" w:hAnsi="Arial" w:cs="Arial"/>
        </w:rPr>
        <w:t> </w:t>
      </w:r>
      <w:r w:rsidRPr="00F01FA0">
        <w:t>30</w:t>
      </w:r>
      <w:r w:rsidRPr="00F01FA0">
        <w:rPr>
          <w:rFonts w:ascii="Arial" w:hAnsi="Arial" w:cs="Arial"/>
        </w:rPr>
        <w:t> </w:t>
      </w:r>
      <w:r w:rsidRPr="00F01FA0">
        <w:t>October</w:t>
      </w:r>
      <w:r w:rsidRPr="00F01FA0">
        <w:rPr>
          <w:rFonts w:ascii="Arial" w:hAnsi="Arial" w:cs="Arial"/>
        </w:rPr>
        <w:t> </w:t>
      </w:r>
      <w:r w:rsidRPr="00F01FA0">
        <w:t>2025).</w:t>
      </w:r>
    </w:p>
    <w:p w14:paraId="01343F3E" w14:textId="77777777" w:rsidR="00497243" w:rsidRPr="00F01FA0" w:rsidRDefault="00497243" w:rsidP="00F01FA0">
      <w:pPr>
        <w:spacing w:line="360" w:lineRule="auto"/>
      </w:pPr>
      <w:r w:rsidRPr="00F01FA0">
        <w:t>Taylor,</w:t>
      </w:r>
      <w:r w:rsidRPr="00F01FA0">
        <w:rPr>
          <w:rFonts w:ascii="Arial" w:hAnsi="Arial" w:cs="Arial"/>
        </w:rPr>
        <w:t> </w:t>
      </w:r>
      <w:r w:rsidRPr="00F01FA0">
        <w:t>C., Rhys,</w:t>
      </w:r>
      <w:r w:rsidRPr="00F01FA0">
        <w:rPr>
          <w:rFonts w:ascii="Arial" w:hAnsi="Arial" w:cs="Arial"/>
        </w:rPr>
        <w:t> </w:t>
      </w:r>
      <w:r w:rsidRPr="00F01FA0">
        <w:t>M.,</w:t>
      </w:r>
      <w:r w:rsidRPr="00F01FA0">
        <w:rPr>
          <w:rFonts w:ascii="Arial" w:hAnsi="Arial" w:cs="Arial"/>
        </w:rPr>
        <w:t> </w:t>
      </w:r>
      <w:r w:rsidRPr="00F01FA0">
        <w:t>Waldron,</w:t>
      </w:r>
      <w:r w:rsidRPr="00F01FA0">
        <w:rPr>
          <w:rFonts w:ascii="Arial" w:hAnsi="Arial" w:cs="Arial"/>
        </w:rPr>
        <w:t> </w:t>
      </w:r>
      <w:r w:rsidRPr="00F01FA0">
        <w:t>S., Davies,</w:t>
      </w:r>
      <w:r w:rsidRPr="00F01FA0">
        <w:rPr>
          <w:rFonts w:ascii="Arial" w:hAnsi="Arial" w:cs="Arial"/>
        </w:rPr>
        <w:t> </w:t>
      </w:r>
      <w:r w:rsidRPr="00F01FA0">
        <w:t>R., Power,</w:t>
      </w:r>
      <w:r w:rsidRPr="00F01FA0">
        <w:rPr>
          <w:rFonts w:ascii="Arial" w:hAnsi="Arial" w:cs="Arial"/>
        </w:rPr>
        <w:t> </w:t>
      </w:r>
      <w:r w:rsidRPr="00F01FA0">
        <w:t>S., Maynard,</w:t>
      </w:r>
      <w:r w:rsidRPr="00F01FA0">
        <w:rPr>
          <w:rFonts w:ascii="Arial" w:hAnsi="Arial" w:cs="Arial"/>
        </w:rPr>
        <w:t> </w:t>
      </w:r>
      <w:r w:rsidRPr="00F01FA0">
        <w:t>T., Moore,</w:t>
      </w:r>
      <w:r w:rsidRPr="00F01FA0">
        <w:rPr>
          <w:rFonts w:ascii="Arial" w:hAnsi="Arial" w:cs="Arial"/>
        </w:rPr>
        <w:t> </w:t>
      </w:r>
      <w:r w:rsidRPr="00F01FA0">
        <w:t>L., Blackaby,</w:t>
      </w:r>
      <w:r w:rsidRPr="00F01FA0">
        <w:rPr>
          <w:rFonts w:ascii="Arial" w:hAnsi="Arial" w:cs="Arial"/>
        </w:rPr>
        <w:t> </w:t>
      </w:r>
      <w:r w:rsidRPr="00F01FA0">
        <w:t xml:space="preserve">D. &amp; </w:t>
      </w:r>
      <w:proofErr w:type="spellStart"/>
      <w:r w:rsidRPr="00F01FA0">
        <w:t>Plewis</w:t>
      </w:r>
      <w:proofErr w:type="spellEnd"/>
      <w:r w:rsidRPr="00F01FA0">
        <w:t>,</w:t>
      </w:r>
      <w:r w:rsidRPr="00F01FA0">
        <w:rPr>
          <w:rFonts w:ascii="Arial" w:hAnsi="Arial" w:cs="Arial"/>
        </w:rPr>
        <w:t> </w:t>
      </w:r>
      <w:r w:rsidRPr="00F01FA0">
        <w:t xml:space="preserve">I. (2015) </w:t>
      </w:r>
      <w:r w:rsidRPr="00F01FA0">
        <w:rPr>
          <w:i/>
          <w:iCs/>
        </w:rPr>
        <w:t>Evaluating the Foundation Phase: Final</w:t>
      </w:r>
      <w:r w:rsidRPr="00F01FA0">
        <w:rPr>
          <w:rFonts w:ascii="Arial" w:hAnsi="Arial" w:cs="Arial"/>
          <w:i/>
          <w:iCs/>
        </w:rPr>
        <w:t> </w:t>
      </w:r>
      <w:r w:rsidRPr="00F01FA0">
        <w:rPr>
          <w:i/>
          <w:iCs/>
        </w:rPr>
        <w:t>Report</w:t>
      </w:r>
      <w:r w:rsidRPr="00F01FA0">
        <w:t>. Cardiff:</w:t>
      </w:r>
      <w:r w:rsidRPr="00F01FA0">
        <w:rPr>
          <w:rFonts w:ascii="Arial" w:hAnsi="Arial" w:cs="Arial"/>
        </w:rPr>
        <w:t> </w:t>
      </w:r>
      <w:r w:rsidRPr="00F01FA0">
        <w:t>Welsh Government. Available at: https://www.gov.wales/sites/default/files/statistics-and-research/2019-07/150514-foundation-phase-final-en_0.pdf (Accessed: 30</w:t>
      </w:r>
      <w:r w:rsidRPr="00F01FA0">
        <w:rPr>
          <w:rFonts w:ascii="Arial" w:hAnsi="Arial" w:cs="Arial"/>
        </w:rPr>
        <w:t> </w:t>
      </w:r>
      <w:r w:rsidRPr="00F01FA0">
        <w:t>October</w:t>
      </w:r>
      <w:r w:rsidRPr="00F01FA0">
        <w:rPr>
          <w:rFonts w:ascii="Arial" w:hAnsi="Arial" w:cs="Arial"/>
        </w:rPr>
        <w:t> </w:t>
      </w:r>
      <w:r w:rsidRPr="00F01FA0">
        <w:t xml:space="preserve">2025). </w:t>
      </w:r>
    </w:p>
    <w:p w14:paraId="4C6AD16A" w14:textId="1CC0D3C2" w:rsidR="00497243" w:rsidRPr="00F01FA0" w:rsidRDefault="00497243" w:rsidP="00F01FA0">
      <w:pPr>
        <w:spacing w:line="360" w:lineRule="auto"/>
      </w:pPr>
      <w:r w:rsidRPr="00F01FA0">
        <w:t>Welsh</w:t>
      </w:r>
      <w:r w:rsidRPr="00F01FA0">
        <w:rPr>
          <w:rFonts w:ascii="Arial" w:hAnsi="Arial" w:cs="Arial"/>
        </w:rPr>
        <w:t> </w:t>
      </w:r>
      <w:r w:rsidRPr="00F01FA0">
        <w:t>Government (2015)</w:t>
      </w:r>
      <w:r w:rsidRPr="00F01FA0">
        <w:t>.</w:t>
      </w:r>
      <w:r w:rsidRPr="00F01FA0">
        <w:t xml:space="preserve"> </w:t>
      </w:r>
      <w:r w:rsidRPr="00F01FA0">
        <w:rPr>
          <w:i/>
          <w:iCs/>
        </w:rPr>
        <w:t>Foundation</w:t>
      </w:r>
      <w:r w:rsidRPr="00F01FA0">
        <w:rPr>
          <w:rFonts w:ascii="Arial" w:hAnsi="Arial" w:cs="Arial"/>
          <w:i/>
          <w:iCs/>
        </w:rPr>
        <w:t> </w:t>
      </w:r>
      <w:r w:rsidRPr="00F01FA0">
        <w:rPr>
          <w:i/>
          <w:iCs/>
        </w:rPr>
        <w:t>Phase Framework (revised 2015)</w:t>
      </w:r>
      <w:r w:rsidRPr="00F01FA0">
        <w:t>. Cardiff: Welsh</w:t>
      </w:r>
      <w:r w:rsidRPr="00F01FA0">
        <w:rPr>
          <w:rFonts w:ascii="Arial" w:hAnsi="Arial" w:cs="Arial"/>
        </w:rPr>
        <w:t> </w:t>
      </w:r>
      <w:r w:rsidRPr="00F01FA0">
        <w:t>Government. Available at: https://hwb.gov.wales/storage/d5d8e39c-b534-40cb-a3f5-7e2e126d8077/foundation-phase-framework.pdf (Accessed: 30 October</w:t>
      </w:r>
      <w:r w:rsidRPr="00F01FA0">
        <w:rPr>
          <w:rFonts w:ascii="Arial" w:hAnsi="Arial" w:cs="Arial"/>
        </w:rPr>
        <w:t> </w:t>
      </w:r>
      <w:r w:rsidRPr="00F01FA0">
        <w:t xml:space="preserve">2025). </w:t>
      </w:r>
    </w:p>
    <w:p w14:paraId="38F0A993" w14:textId="21D8FF24" w:rsidR="00497243" w:rsidRPr="00F01FA0" w:rsidRDefault="00497243" w:rsidP="00F01FA0">
      <w:pPr>
        <w:spacing w:line="360" w:lineRule="auto"/>
      </w:pPr>
      <w:r w:rsidRPr="00F01FA0">
        <w:t>Welsh</w:t>
      </w:r>
      <w:r w:rsidRPr="00F01FA0">
        <w:rPr>
          <w:rFonts w:ascii="Arial" w:hAnsi="Arial" w:cs="Arial"/>
        </w:rPr>
        <w:t> </w:t>
      </w:r>
      <w:r w:rsidRPr="00F01FA0">
        <w:t>Government (2017)</w:t>
      </w:r>
      <w:r w:rsidRPr="00F01FA0">
        <w:t>.</w:t>
      </w:r>
      <w:r w:rsidRPr="00F01FA0">
        <w:t xml:space="preserve"> </w:t>
      </w:r>
      <w:r w:rsidRPr="00F01FA0">
        <w:rPr>
          <w:i/>
          <w:iCs/>
        </w:rPr>
        <w:t>Foundation Phase Profile Handbook: Revised September</w:t>
      </w:r>
      <w:r w:rsidRPr="00F01FA0">
        <w:rPr>
          <w:rFonts w:ascii="Arial" w:hAnsi="Arial" w:cs="Arial"/>
          <w:i/>
          <w:iCs/>
        </w:rPr>
        <w:t> </w:t>
      </w:r>
      <w:r w:rsidRPr="00F01FA0">
        <w:rPr>
          <w:i/>
          <w:iCs/>
        </w:rPr>
        <w:t>2017</w:t>
      </w:r>
      <w:r w:rsidRPr="00F01FA0">
        <w:t xml:space="preserve">. Cardiff: Welsh Government. Available at: https://hwb.gov.wales/storage/f9d85dba-85a4-4e87-bb58-a24730ad7e57/foundation-phase-profile-handbook-revised-september-2017.pdf (Accessed: 30 October 2025). </w:t>
      </w:r>
    </w:p>
    <w:p w14:paraId="03A63815" w14:textId="3CBC1550" w:rsidR="00497243" w:rsidRPr="00F01FA0" w:rsidRDefault="00497243" w:rsidP="00F01FA0">
      <w:pPr>
        <w:spacing w:line="360" w:lineRule="auto"/>
      </w:pPr>
      <w:r w:rsidRPr="00F01FA0">
        <w:t>Welsh Government (2019)</w:t>
      </w:r>
      <w:r w:rsidRPr="00F01FA0">
        <w:t>.</w:t>
      </w:r>
      <w:r w:rsidRPr="00F01FA0">
        <w:t xml:space="preserve"> </w:t>
      </w:r>
      <w:r w:rsidRPr="00F01FA0">
        <w:rPr>
          <w:i/>
          <w:iCs/>
        </w:rPr>
        <w:t>How is my child doing in the Foundation Phase? A guide for parents and carers</w:t>
      </w:r>
      <w:r w:rsidRPr="00F01FA0">
        <w:t>. Available at: https://www.gov.wales/sites/default/files/publications/2019-07/how-is-my-child-doing-in-the-foundation-phase-a-guide-for-parents-and-carers.pdf (Accessed: 30 October 2025).</w:t>
      </w:r>
    </w:p>
    <w:p w14:paraId="1AC242A4" w14:textId="6B9C48C1" w:rsidR="00497243" w:rsidRPr="00F01FA0" w:rsidRDefault="00497243" w:rsidP="00F01FA0">
      <w:pPr>
        <w:spacing w:line="360" w:lineRule="auto"/>
      </w:pPr>
      <w:r w:rsidRPr="00F01FA0">
        <w:t>Welsh Government (2019)</w:t>
      </w:r>
      <w:r w:rsidRPr="00F01FA0">
        <w:t>.</w:t>
      </w:r>
      <w:r w:rsidRPr="00F01FA0">
        <w:t xml:space="preserve"> </w:t>
      </w:r>
      <w:r w:rsidRPr="00F01FA0">
        <w:rPr>
          <w:i/>
          <w:iCs/>
        </w:rPr>
        <w:t>How is my child doing in the Foundation</w:t>
      </w:r>
      <w:r w:rsidRPr="00F01FA0">
        <w:rPr>
          <w:rFonts w:ascii="Arial" w:hAnsi="Arial" w:cs="Arial"/>
          <w:i/>
          <w:iCs/>
        </w:rPr>
        <w:t> </w:t>
      </w:r>
      <w:r w:rsidRPr="00F01FA0">
        <w:rPr>
          <w:i/>
          <w:iCs/>
        </w:rPr>
        <w:t>Phase? A guide for parents and carers</w:t>
      </w:r>
      <w:r w:rsidRPr="00F01FA0">
        <w:t>. Available at: https://www.gov.wales/sites/default/files/publications/2019-07/how-is-my-child-doing-in-the-foundation-phase-a-guide-for-parents-and-carers.pdf (Accessed: 30 October 2025).</w:t>
      </w:r>
    </w:p>
    <w:p w14:paraId="29834C38" w14:textId="77777777" w:rsidR="00497243" w:rsidRPr="00F01FA0" w:rsidRDefault="00497243" w:rsidP="00F01FA0">
      <w:pPr>
        <w:spacing w:line="360" w:lineRule="auto"/>
      </w:pPr>
      <w:r w:rsidRPr="00F01FA0">
        <w:t xml:space="preserve">Welsh Government (no date) </w:t>
      </w:r>
      <w:r w:rsidRPr="00F01FA0">
        <w:rPr>
          <w:i/>
          <w:iCs/>
        </w:rPr>
        <w:t>Foundation Phase – Curriculum 2008</w:t>
      </w:r>
      <w:r w:rsidRPr="00F01FA0">
        <w:t>. Available at: https://hwb.gov.wales/curriculum-2008/foundation-phase (Accessed: 30 October 2025).</w:t>
      </w:r>
    </w:p>
    <w:p w14:paraId="2D0FD47D" w14:textId="77777777" w:rsidR="00497243" w:rsidRPr="00F01FA0" w:rsidRDefault="00497243" w:rsidP="00F01FA0">
      <w:pPr>
        <w:spacing w:line="360" w:lineRule="auto"/>
      </w:pPr>
      <w:r w:rsidRPr="00F01FA0">
        <w:t xml:space="preserve">Welsh Government (no date) </w:t>
      </w:r>
      <w:r w:rsidRPr="00F01FA0">
        <w:rPr>
          <w:i/>
          <w:iCs/>
        </w:rPr>
        <w:t>Research: Assessment Practices in the Foundation Phase – Summary</w:t>
      </w:r>
      <w:r w:rsidRPr="00F01FA0">
        <w:t>. Available at: https://www.gov.wales/research-assessment-practices-foundation-phase-summary-html (Accessed: 30</w:t>
      </w:r>
      <w:r w:rsidRPr="00F01FA0">
        <w:rPr>
          <w:rFonts w:ascii="Arial" w:hAnsi="Arial" w:cs="Arial"/>
        </w:rPr>
        <w:t> </w:t>
      </w:r>
      <w:r w:rsidRPr="00F01FA0">
        <w:t>October</w:t>
      </w:r>
      <w:r w:rsidRPr="00F01FA0">
        <w:rPr>
          <w:rFonts w:ascii="Arial" w:hAnsi="Arial" w:cs="Arial"/>
        </w:rPr>
        <w:t> </w:t>
      </w:r>
      <w:r w:rsidRPr="00F01FA0">
        <w:t>2025).</w:t>
      </w:r>
    </w:p>
    <w:p w14:paraId="496AA0AC" w14:textId="04527D44" w:rsidR="00D21BC4" w:rsidRPr="00F01FA0" w:rsidRDefault="00497243" w:rsidP="00F01FA0">
      <w:pPr>
        <w:spacing w:line="360" w:lineRule="auto"/>
      </w:pPr>
      <w:r w:rsidRPr="00F01FA0">
        <w:t>Welsh</w:t>
      </w:r>
      <w:r w:rsidRPr="00F01FA0">
        <w:rPr>
          <w:rFonts w:ascii="Arial" w:hAnsi="Arial" w:cs="Arial"/>
        </w:rPr>
        <w:t> </w:t>
      </w:r>
      <w:r w:rsidRPr="00F01FA0">
        <w:t xml:space="preserve">Government (no date) </w:t>
      </w:r>
      <w:r w:rsidRPr="00F01FA0">
        <w:rPr>
          <w:i/>
          <w:iCs/>
        </w:rPr>
        <w:t>Research:</w:t>
      </w:r>
      <w:r w:rsidRPr="00F01FA0">
        <w:rPr>
          <w:rFonts w:ascii="Arial" w:hAnsi="Arial" w:cs="Arial"/>
          <w:i/>
          <w:iCs/>
        </w:rPr>
        <w:t> </w:t>
      </w:r>
      <w:r w:rsidRPr="00F01FA0">
        <w:rPr>
          <w:i/>
          <w:iCs/>
        </w:rPr>
        <w:t>Assessment</w:t>
      </w:r>
      <w:r w:rsidRPr="00F01FA0">
        <w:rPr>
          <w:rFonts w:ascii="Arial" w:hAnsi="Arial" w:cs="Arial"/>
          <w:i/>
          <w:iCs/>
        </w:rPr>
        <w:t> </w:t>
      </w:r>
      <w:r w:rsidRPr="00F01FA0">
        <w:rPr>
          <w:i/>
          <w:iCs/>
        </w:rPr>
        <w:t>Practices in the Foundation Phase</w:t>
      </w:r>
      <w:r w:rsidRPr="00F01FA0">
        <w:rPr>
          <w:rFonts w:ascii="Arial" w:hAnsi="Arial" w:cs="Arial"/>
          <w:i/>
          <w:iCs/>
        </w:rPr>
        <w:t> </w:t>
      </w:r>
      <w:r w:rsidRPr="00F01FA0">
        <w:rPr>
          <w:rFonts w:cs="Aptos"/>
          <w:i/>
          <w:iCs/>
        </w:rPr>
        <w:t>–</w:t>
      </w:r>
      <w:r w:rsidRPr="00F01FA0">
        <w:rPr>
          <w:i/>
          <w:iCs/>
        </w:rPr>
        <w:t xml:space="preserve"> Summary</w:t>
      </w:r>
      <w:r w:rsidRPr="00F01FA0">
        <w:t>. Available at: https://www.gov.wales/research-assessment-practices-foundation-phase-summary-html (Accessed: 30</w:t>
      </w:r>
      <w:r w:rsidRPr="00F01FA0">
        <w:rPr>
          <w:rFonts w:ascii="Arial" w:hAnsi="Arial" w:cs="Arial"/>
        </w:rPr>
        <w:t> </w:t>
      </w:r>
      <w:r w:rsidRPr="00F01FA0">
        <w:t>October</w:t>
      </w:r>
      <w:r w:rsidRPr="00F01FA0">
        <w:rPr>
          <w:rFonts w:ascii="Arial" w:hAnsi="Arial" w:cs="Arial"/>
        </w:rPr>
        <w:t> </w:t>
      </w:r>
      <w:r w:rsidRPr="00F01FA0">
        <w:t>2025).</w:t>
      </w:r>
    </w:p>
    <w:sectPr w:rsidR="00D21BC4" w:rsidRPr="00F01FA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90BE" w14:textId="77777777" w:rsidR="005F5DDD" w:rsidRDefault="005F5DDD" w:rsidP="00F21326">
      <w:pPr>
        <w:spacing w:after="0" w:line="240" w:lineRule="auto"/>
      </w:pPr>
      <w:r>
        <w:separator/>
      </w:r>
    </w:p>
  </w:endnote>
  <w:endnote w:type="continuationSeparator" w:id="0">
    <w:p w14:paraId="532F3C32" w14:textId="77777777" w:rsidR="005F5DDD" w:rsidRDefault="005F5DDD" w:rsidP="00F21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D9EBD" w14:textId="77777777" w:rsidR="005F5DDD" w:rsidRDefault="005F5DDD" w:rsidP="00F21326">
      <w:pPr>
        <w:spacing w:after="0" w:line="240" w:lineRule="auto"/>
      </w:pPr>
      <w:r>
        <w:separator/>
      </w:r>
    </w:p>
  </w:footnote>
  <w:footnote w:type="continuationSeparator" w:id="0">
    <w:p w14:paraId="41434D7A" w14:textId="77777777" w:rsidR="005F5DDD" w:rsidRDefault="005F5DDD" w:rsidP="00F21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F68BD" w14:textId="21395CB4" w:rsidR="00F21326" w:rsidRDefault="00F21326">
    <w:pPr>
      <w:pStyle w:val="Header"/>
    </w:pPr>
    <w:r>
      <w:t>ECEY6010</w:t>
    </w:r>
  </w:p>
  <w:p w14:paraId="6F488BFD" w14:textId="42D11610" w:rsidR="00F21326" w:rsidRDefault="00F21326" w:rsidP="00F21326">
    <w:pPr>
      <w:pStyle w:val="Header"/>
      <w:jc w:val="right"/>
    </w:pPr>
    <w:r>
      <w:t>Student No.: 2208347</w:t>
    </w:r>
  </w:p>
  <w:p w14:paraId="6EA0564A" w14:textId="69F8F27B" w:rsidR="00F21326" w:rsidRDefault="00F21326" w:rsidP="00F21326">
    <w:pPr>
      <w:pStyle w:val="Header"/>
      <w:jc w:val="right"/>
    </w:pPr>
    <w:r>
      <w:t>Word Count: 4168</w:t>
    </w:r>
  </w:p>
  <w:p w14:paraId="059423D8" w14:textId="119F2B4C" w:rsidR="00F21326" w:rsidRDefault="00F21326" w:rsidP="00F21326">
    <w:pPr>
      <w:pStyle w:val="Header"/>
    </w:pPr>
    <w:r>
      <w:t>I have used Grammarly in correspondence with</w:t>
    </w:r>
  </w:p>
  <w:p w14:paraId="6238CBE8" w14:textId="1D22C5F0" w:rsidR="00F21326" w:rsidRDefault="00F21326" w:rsidP="00F21326">
    <w:pPr>
      <w:pStyle w:val="Header"/>
    </w:pPr>
    <w:r>
      <w:t xml:space="preserve">my dyslexia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326"/>
    <w:rsid w:val="00094227"/>
    <w:rsid w:val="000C4516"/>
    <w:rsid w:val="000F0AE6"/>
    <w:rsid w:val="00162CC2"/>
    <w:rsid w:val="0028363A"/>
    <w:rsid w:val="00321845"/>
    <w:rsid w:val="003632E0"/>
    <w:rsid w:val="003E423B"/>
    <w:rsid w:val="00497243"/>
    <w:rsid w:val="005A3850"/>
    <w:rsid w:val="005C3712"/>
    <w:rsid w:val="005F5DDD"/>
    <w:rsid w:val="005F6A62"/>
    <w:rsid w:val="006166CA"/>
    <w:rsid w:val="00630C97"/>
    <w:rsid w:val="006A6277"/>
    <w:rsid w:val="006D5792"/>
    <w:rsid w:val="00746401"/>
    <w:rsid w:val="00820BB2"/>
    <w:rsid w:val="00845602"/>
    <w:rsid w:val="00951A0D"/>
    <w:rsid w:val="00A53D22"/>
    <w:rsid w:val="00AC624E"/>
    <w:rsid w:val="00B51015"/>
    <w:rsid w:val="00B81A8E"/>
    <w:rsid w:val="00C3117D"/>
    <w:rsid w:val="00D21BC4"/>
    <w:rsid w:val="00E0386F"/>
    <w:rsid w:val="00EA04D2"/>
    <w:rsid w:val="00F01FA0"/>
    <w:rsid w:val="00F21326"/>
    <w:rsid w:val="00F65812"/>
    <w:rsid w:val="00FA2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C4387"/>
  <w15:chartTrackingRefBased/>
  <w15:docId w15:val="{69644D62-D2EB-40CB-80F6-F5EB259F5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326"/>
  </w:style>
  <w:style w:type="paragraph" w:styleId="Heading1">
    <w:name w:val="heading 1"/>
    <w:basedOn w:val="Normal"/>
    <w:next w:val="Normal"/>
    <w:link w:val="Heading1Char"/>
    <w:uiPriority w:val="9"/>
    <w:qFormat/>
    <w:rsid w:val="00F21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1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1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1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1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1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1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1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1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1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326"/>
    <w:rPr>
      <w:rFonts w:eastAsiaTheme="majorEastAsia" w:cstheme="majorBidi"/>
      <w:color w:val="272727" w:themeColor="text1" w:themeTint="D8"/>
    </w:rPr>
  </w:style>
  <w:style w:type="paragraph" w:styleId="Title">
    <w:name w:val="Title"/>
    <w:basedOn w:val="Normal"/>
    <w:next w:val="Normal"/>
    <w:link w:val="TitleChar"/>
    <w:uiPriority w:val="10"/>
    <w:qFormat/>
    <w:rsid w:val="00F21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326"/>
    <w:pPr>
      <w:spacing w:before="160"/>
      <w:jc w:val="center"/>
    </w:pPr>
    <w:rPr>
      <w:i/>
      <w:iCs/>
      <w:color w:val="404040" w:themeColor="text1" w:themeTint="BF"/>
    </w:rPr>
  </w:style>
  <w:style w:type="character" w:customStyle="1" w:styleId="QuoteChar">
    <w:name w:val="Quote Char"/>
    <w:basedOn w:val="DefaultParagraphFont"/>
    <w:link w:val="Quote"/>
    <w:uiPriority w:val="29"/>
    <w:rsid w:val="00F21326"/>
    <w:rPr>
      <w:i/>
      <w:iCs/>
      <w:color w:val="404040" w:themeColor="text1" w:themeTint="BF"/>
    </w:rPr>
  </w:style>
  <w:style w:type="paragraph" w:styleId="ListParagraph">
    <w:name w:val="List Paragraph"/>
    <w:basedOn w:val="Normal"/>
    <w:uiPriority w:val="34"/>
    <w:qFormat/>
    <w:rsid w:val="00F21326"/>
    <w:pPr>
      <w:ind w:left="720"/>
      <w:contextualSpacing/>
    </w:pPr>
  </w:style>
  <w:style w:type="character" w:styleId="IntenseEmphasis">
    <w:name w:val="Intense Emphasis"/>
    <w:basedOn w:val="DefaultParagraphFont"/>
    <w:uiPriority w:val="21"/>
    <w:qFormat/>
    <w:rsid w:val="00F21326"/>
    <w:rPr>
      <w:i/>
      <w:iCs/>
      <w:color w:val="0F4761" w:themeColor="accent1" w:themeShade="BF"/>
    </w:rPr>
  </w:style>
  <w:style w:type="paragraph" w:styleId="IntenseQuote">
    <w:name w:val="Intense Quote"/>
    <w:basedOn w:val="Normal"/>
    <w:next w:val="Normal"/>
    <w:link w:val="IntenseQuoteChar"/>
    <w:uiPriority w:val="30"/>
    <w:qFormat/>
    <w:rsid w:val="00F21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326"/>
    <w:rPr>
      <w:i/>
      <w:iCs/>
      <w:color w:val="0F4761" w:themeColor="accent1" w:themeShade="BF"/>
    </w:rPr>
  </w:style>
  <w:style w:type="character" w:styleId="IntenseReference">
    <w:name w:val="Intense Reference"/>
    <w:basedOn w:val="DefaultParagraphFont"/>
    <w:uiPriority w:val="32"/>
    <w:qFormat/>
    <w:rsid w:val="00F21326"/>
    <w:rPr>
      <w:b/>
      <w:bCs/>
      <w:smallCaps/>
      <w:color w:val="0F4761" w:themeColor="accent1" w:themeShade="BF"/>
      <w:spacing w:val="5"/>
    </w:rPr>
  </w:style>
  <w:style w:type="paragraph" w:styleId="Header">
    <w:name w:val="header"/>
    <w:basedOn w:val="Normal"/>
    <w:link w:val="HeaderChar"/>
    <w:uiPriority w:val="99"/>
    <w:unhideWhenUsed/>
    <w:rsid w:val="00F21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326"/>
  </w:style>
  <w:style w:type="paragraph" w:styleId="Footer">
    <w:name w:val="footer"/>
    <w:basedOn w:val="Normal"/>
    <w:link w:val="FooterChar"/>
    <w:uiPriority w:val="99"/>
    <w:unhideWhenUsed/>
    <w:rsid w:val="00F21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326"/>
  </w:style>
  <w:style w:type="character" w:styleId="Hyperlink">
    <w:name w:val="Hyperlink"/>
    <w:basedOn w:val="DefaultParagraphFont"/>
    <w:uiPriority w:val="99"/>
    <w:unhideWhenUsed/>
    <w:rsid w:val="00497243"/>
    <w:rPr>
      <w:color w:val="467886" w:themeColor="hyperlink"/>
      <w:u w:val="single"/>
    </w:rPr>
  </w:style>
  <w:style w:type="character" w:styleId="UnresolvedMention">
    <w:name w:val="Unresolved Mention"/>
    <w:basedOn w:val="DefaultParagraphFont"/>
    <w:uiPriority w:val="99"/>
    <w:semiHidden/>
    <w:unhideWhenUsed/>
    <w:rsid w:val="00F01F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16</Pages>
  <Words>5054</Words>
  <Characters>34456</Characters>
  <Application>Microsoft Office Word</Application>
  <DocSecurity>0</DocSecurity>
  <Lines>492</Lines>
  <Paragraphs>115</Paragraphs>
  <ScaleCrop>false</ScaleCrop>
  <Company/>
  <LinksUpToDate>false</LinksUpToDate>
  <CharactersWithSpaces>39395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dc:creator>
  <cp:keywords/>
  <dc:description/>
  <cp:lastModifiedBy>Brionny Coombes</cp:lastModifiedBy>
  <cp:revision>28</cp:revision>
  <dcterms:created xsi:type="dcterms:W3CDTF">2025-10-30T21:07:00Z</dcterms:created>
  <dcterms:modified xsi:type="dcterms:W3CDTF">2025-11-05T13:24:00Z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23634877-ce08-4d54-81c6-5234f9074207</vt:lpwstr>
  </property>
</Properties>
</file>