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C05A86">
      <w:pPr>
        <w:jc w:val="center"/>
        <w:rPr>
          <w:rFonts w:hint="default"/>
          <w:lang w:val="en-GB"/>
        </w:rPr>
      </w:pPr>
      <w:r>
        <w:rPr>
          <w:sz w:val="32"/>
        </w:rPr>
        <mc:AlternateContent>
          <mc:Choice Requires="wps">
            <w:drawing>
              <wp:anchor distT="0" distB="0" distL="114300" distR="114300" simplePos="0" relativeHeight="251659264" behindDoc="0" locked="0" layoutInCell="1" allowOverlap="1">
                <wp:simplePos x="0" y="0"/>
                <wp:positionH relativeFrom="column">
                  <wp:posOffset>-959485</wp:posOffset>
                </wp:positionH>
                <wp:positionV relativeFrom="paragraph">
                  <wp:posOffset>-873125</wp:posOffset>
                </wp:positionV>
                <wp:extent cx="3505200" cy="891540"/>
                <wp:effectExtent l="4445" t="4445" r="14605" b="18415"/>
                <wp:wrapNone/>
                <wp:docPr id="1" name="Text Box 1"/>
                <wp:cNvGraphicFramePr/>
                <a:graphic xmlns:a="http://schemas.openxmlformats.org/drawingml/2006/main">
                  <a:graphicData uri="http://schemas.microsoft.com/office/word/2010/wordprocessingShape">
                    <wps:wsp>
                      <wps:cNvSpPr txBox="1"/>
                      <wps:spPr>
                        <a:xfrm>
                          <a:off x="183515" y="140335"/>
                          <a:ext cx="3505200" cy="89154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B274343">
                            <w:pPr>
                              <w:rPr>
                                <w:rFonts w:hint="default"/>
                                <w:sz w:val="22"/>
                                <w:szCs w:val="22"/>
                                <w:lang w:val="en-GB"/>
                              </w:rPr>
                            </w:pPr>
                            <w:r>
                              <w:rPr>
                                <w:rFonts w:hint="default"/>
                                <w:sz w:val="22"/>
                                <w:szCs w:val="22"/>
                                <w:lang w:val="en-GB"/>
                              </w:rPr>
                              <w:t xml:space="preserve">Dimple Fernanmdes </w:t>
                            </w:r>
                          </w:p>
                          <w:p w14:paraId="32ED83F0">
                            <w:pPr>
                              <w:rPr>
                                <w:rFonts w:hint="default"/>
                                <w:sz w:val="22"/>
                                <w:szCs w:val="22"/>
                                <w:lang w:val="en-GB"/>
                              </w:rPr>
                            </w:pPr>
                            <w:r>
                              <w:rPr>
                                <w:rFonts w:hint="default"/>
                                <w:sz w:val="22"/>
                                <w:szCs w:val="22"/>
                                <w:lang w:val="en-GB"/>
                              </w:rPr>
                              <w:t>Student Id: 2427621</w:t>
                            </w:r>
                          </w:p>
                          <w:p w14:paraId="1603292C">
                            <w:pPr>
                              <w:rPr>
                                <w:rFonts w:hint="default"/>
                                <w:sz w:val="22"/>
                                <w:szCs w:val="22"/>
                                <w:lang w:val="en-GB"/>
                              </w:rPr>
                            </w:pPr>
                            <w:r>
                              <w:rPr>
                                <w:rFonts w:hint="default"/>
                                <w:sz w:val="22"/>
                                <w:szCs w:val="22"/>
                                <w:lang w:val="en-GB"/>
                              </w:rPr>
                              <w:t>Module code: LCHS4010</w:t>
                            </w:r>
                          </w:p>
                          <w:p w14:paraId="147F78C1">
                            <w:pPr>
                              <w:rPr>
                                <w:rFonts w:hint="default"/>
                                <w:sz w:val="22"/>
                                <w:szCs w:val="22"/>
                                <w:lang w:val="en-GB"/>
                              </w:rPr>
                            </w:pPr>
                            <w:r>
                              <w:rPr>
                                <w:rFonts w:hint="default"/>
                                <w:sz w:val="22"/>
                                <w:szCs w:val="22"/>
                                <w:lang w:val="en-GB"/>
                              </w:rPr>
                              <w:t>Lecturer name: farah wiita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5.55pt;margin-top:-68.75pt;height:70.2pt;width:276pt;z-index:251659264;mso-width-relative:page;mso-height-relative:page;" fillcolor="#FFFFFF [3201]" filled="t" stroked="t" coordsize="21600,21600" o:gfxdata="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H6OyY/YAAAACwEAAA8A&#10;AAAAAAAAAQAgAAAAIgAAAGRycy9kb3ducmV2LnhtbFBLAQIUABQAAAAIAIdO4kAt0vTxUAIAAMAE&#10;AAAOAAAAAAAAAAEAIAAAACcBAABkcnMvZTJvRG9jLnhtbFBLBQYAAAAABgAGAFkBAADpBQAAAAA=&#10;">
                <v:fill on="t" focussize="0,0"/>
                <v:stroke weight="0.5pt" color="#000000 [3204]" joinstyle="round"/>
                <v:imagedata o:title=""/>
                <o:lock v:ext="edit" aspectratio="f"/>
                <v:textbox>
                  <w:txbxContent>
                    <w:p w14:paraId="6B274343">
                      <w:pPr>
                        <w:rPr>
                          <w:rFonts w:hint="default"/>
                          <w:sz w:val="22"/>
                          <w:szCs w:val="22"/>
                          <w:lang w:val="en-GB"/>
                        </w:rPr>
                      </w:pPr>
                      <w:r>
                        <w:rPr>
                          <w:rFonts w:hint="default"/>
                          <w:sz w:val="22"/>
                          <w:szCs w:val="22"/>
                          <w:lang w:val="en-GB"/>
                        </w:rPr>
                        <w:t xml:space="preserve">Dimple Fernanmdes </w:t>
                      </w:r>
                    </w:p>
                    <w:p w14:paraId="32ED83F0">
                      <w:pPr>
                        <w:rPr>
                          <w:rFonts w:hint="default"/>
                          <w:sz w:val="22"/>
                          <w:szCs w:val="22"/>
                          <w:lang w:val="en-GB"/>
                        </w:rPr>
                      </w:pPr>
                      <w:r>
                        <w:rPr>
                          <w:rFonts w:hint="default"/>
                          <w:sz w:val="22"/>
                          <w:szCs w:val="22"/>
                          <w:lang w:val="en-GB"/>
                        </w:rPr>
                        <w:t>Student Id: 2427621</w:t>
                      </w:r>
                    </w:p>
                    <w:p w14:paraId="1603292C">
                      <w:pPr>
                        <w:rPr>
                          <w:rFonts w:hint="default"/>
                          <w:sz w:val="22"/>
                          <w:szCs w:val="22"/>
                          <w:lang w:val="en-GB"/>
                        </w:rPr>
                      </w:pPr>
                      <w:r>
                        <w:rPr>
                          <w:rFonts w:hint="default"/>
                          <w:sz w:val="22"/>
                          <w:szCs w:val="22"/>
                          <w:lang w:val="en-GB"/>
                        </w:rPr>
                        <w:t>Module code: LCHS4010</w:t>
                      </w:r>
                    </w:p>
                    <w:p w14:paraId="147F78C1">
                      <w:pPr>
                        <w:rPr>
                          <w:rFonts w:hint="default"/>
                          <w:sz w:val="22"/>
                          <w:szCs w:val="22"/>
                          <w:lang w:val="en-GB"/>
                        </w:rPr>
                      </w:pPr>
                      <w:r>
                        <w:rPr>
                          <w:rFonts w:hint="default"/>
                          <w:sz w:val="22"/>
                          <w:szCs w:val="22"/>
                          <w:lang w:val="en-GB"/>
                        </w:rPr>
                        <w:t>Lecturer name: farah wiita</w:t>
                      </w:r>
                    </w:p>
                  </w:txbxContent>
                </v:textbox>
              </v:shape>
            </w:pict>
          </mc:Fallback>
        </mc:AlternateContent>
      </w:r>
      <w:r>
        <w:rPr>
          <w:rFonts w:hint="default"/>
          <w:sz w:val="32"/>
          <w:szCs w:val="32"/>
          <w:lang w:val="en-GB"/>
        </w:rPr>
        <w:t>Psychology in health and social care</w:t>
      </w:r>
    </w:p>
    <w:p w14:paraId="4CDA8233">
      <w:pPr>
        <w:jc w:val="left"/>
        <w:rPr>
          <w:rFonts w:hint="default"/>
          <w:sz w:val="24"/>
          <w:szCs w:val="24"/>
          <w:lang w:val="en-GB"/>
        </w:rPr>
      </w:pPr>
      <w:r>
        <w:rPr>
          <w:rFonts w:hint="default"/>
          <w:sz w:val="24"/>
          <w:szCs w:val="24"/>
          <w:lang w:val="en-GB"/>
        </w:rPr>
        <w:t xml:space="preserve">Introduction </w:t>
      </w:r>
    </w:p>
    <w:p w14:paraId="70B1CC59">
      <w:pPr>
        <w:pStyle w:val="4"/>
        <w:keepNext w:val="0"/>
        <w:keepLines w:val="0"/>
        <w:widowControl/>
        <w:suppressLineNumbers w:val="0"/>
      </w:pPr>
      <w:r>
        <w:t>Psychological theories are important for explaining adult development and health, especially in the context of health and social care. They also offer models to aid practitioners in co</w:t>
      </w:r>
      <w:bookmarkStart w:id="0" w:name="_GoBack"/>
      <w:bookmarkEnd w:id="0"/>
      <w:r>
        <w:t xml:space="preserve">mprehending how people develop, adapt and experience the positives of </w:t>
      </w:r>
      <w:r>
        <w:rPr>
          <w:lang w:val="en-GB"/>
        </w:rPr>
        <w:t xml:space="preserve">life </w:t>
      </w:r>
      <w:r>
        <w:t xml:space="preserve">across their adult years. Adult development is determined by more than just </w:t>
      </w:r>
      <w:r>
        <w:rPr>
          <w:lang w:val="en-GB"/>
        </w:rPr>
        <w:t xml:space="preserve">genetics </w:t>
      </w:r>
      <w:r>
        <w:t xml:space="preserve">and physical changes. Similarly, being well is influenced by </w:t>
      </w:r>
      <w:r>
        <w:rPr>
          <w:lang w:val="en-GB"/>
        </w:rPr>
        <w:t xml:space="preserve">motivation, </w:t>
      </w:r>
      <w:r>
        <w:t>relationships, self-esteem and life satisfaction.</w:t>
      </w:r>
      <w:r>
        <w:rPr>
          <w:rFonts w:hint="default"/>
          <w:lang w:val="en-GB"/>
        </w:rPr>
        <w:t xml:space="preserve"> </w:t>
      </w:r>
      <w:r>
        <w:t xml:space="preserve">This essay will investigate two of </w:t>
      </w:r>
      <w:r>
        <w:rPr>
          <w:lang w:val="en-GB"/>
        </w:rPr>
        <w:t>the fundraising</w:t>
      </w:r>
      <w:r>
        <w:t xml:space="preserve"> </w:t>
      </w:r>
      <w:r>
        <w:rPr>
          <w:lang w:val="en-GB"/>
        </w:rPr>
        <w:t>results,</w:t>
      </w:r>
      <w:r>
        <w:t xml:space="preserve"> autopilot ultra good psychological theories that are truly relevant to adult development and health: Erikson’s Psychosocial Theory of Development (Erikson 1950,1982) and Maslow’s Hierarchy of Needs(Erikson 1950). Both theories have been discussed with their roots in always looking toward reward and punishment fobbing back, but we will look at practical guidance for self help crutches further along down the line. Every chapter is structured according to a prescribed order: first enter abovefocus is set until next presentation are posted on health psychology (part II). Each theory will be delineated and critically discussed, with particular emphasis on how it helps to elucidate adult behavior, well-being and health outcomes. The essay also raises the issue of their relevance and usefulness within health and social care practice.</w:t>
      </w:r>
    </w:p>
    <w:p w14:paraId="3A7AF213">
      <w:pPr>
        <w:pStyle w:val="4"/>
        <w:keepNext w:val="0"/>
        <w:keepLines w:val="0"/>
        <w:widowControl/>
        <w:suppressLineNumbers w:val="0"/>
        <w:rPr>
          <w:rFonts w:hint="default" w:ascii="Times New Roman" w:hAnsi="Times New Roman" w:eastAsia="SimSun" w:cs="Times New Roman"/>
          <w:sz w:val="24"/>
          <w:szCs w:val="24"/>
        </w:rPr>
      </w:pPr>
      <w:r>
        <w:rPr>
          <w:rFonts w:hint="default" w:ascii="Times New Roman" w:hAnsi="Times New Roman" w:eastAsia="SimSun" w:cs="Times New Roman"/>
          <w:sz w:val="24"/>
          <w:szCs w:val="24"/>
        </w:rPr>
        <w:t>Erikson’s Psychosocial Theory of Development</w:t>
      </w:r>
    </w:p>
    <w:p w14:paraId="5FB1B0D9">
      <w:pPr>
        <w:pStyle w:val="4"/>
        <w:keepNext w:val="0"/>
        <w:keepLines w:val="0"/>
        <w:widowControl/>
        <w:suppressLineNumbers w:val="0"/>
      </w:pPr>
      <w:r>
        <w:t>Ericsson proposed that human beings develop throughout their livetimethe growth of human beings. While earlier theorists such as Freud were concerned largely with childhood, he emphasized that development continues into adulthood and old age. His theory consists of eight stages, each characterized by a psychosocial conflict which people must resolve successfully to evolve properly (Erikson, 1963). Whether problems are successfully resolved results in positive psychological traits; unsuccessful outcomes bring with them poor mental health and disability.</w:t>
      </w:r>
    </w:p>
    <w:p w14:paraId="59F9F393">
      <w:pPr>
        <w:pStyle w:val="4"/>
        <w:keepNext w:val="0"/>
        <w:keepLines w:val="0"/>
        <w:widowControl/>
        <w:suppressLineNumbers w:val="0"/>
      </w:pPr>
      <w:r>
        <w:t>It is a stage which has a direct connection with adult mental health. Those with strong social ties have better psychological wellbeing, less stress and better physical health than those without relationships. Adults who find themselves isolated are also more likely to suffer from low self-esteem, depression and anxiety. Professionals in health and social care settings may need to put in added effort help adults who are in some way connected with their circle of relationships because they have been scarred by past trauma, have mental health problems or suffer from social exclusion. Erikson’s theory is helpful for practitioners. It provides them with insight into the way troubles at this stage may affect mental health</w:t>
      </w:r>
    </w:p>
    <w:p w14:paraId="5D891B13">
      <w:pPr>
        <w:pStyle w:val="4"/>
        <w:keepNext w:val="0"/>
        <w:keepLines w:val="0"/>
        <w:widowControl/>
        <w:suppressLineNumbers w:val="0"/>
      </w:pPr>
      <w:r>
        <w:rPr>
          <w:lang w:val="en-GB"/>
        </w:rPr>
        <w:t>Generality</w:t>
      </w:r>
      <w:r>
        <w:t xml:space="preserve"> vs Stagnation (Middle Adulthood)The next stage, </w:t>
      </w:r>
      <w:r>
        <w:rPr>
          <w:lang w:val="en-GB"/>
        </w:rPr>
        <w:t>generality</w:t>
      </w:r>
      <w:r>
        <w:t xml:space="preserve"> vs stagnation happens in middle age. It is about furthering one's family and helping the next generation. This may be parenting, work, helping others with their work (volunteerism) or being a mentor. The successful resolution of this stage can result in a sense of purpose and. Productive. Without success, problems such as stagnation may arise, together with self-centre.</w:t>
      </w:r>
    </w:p>
    <w:p w14:paraId="39029834">
      <w:pPr>
        <w:pStyle w:val="4"/>
        <w:keepNext w:val="0"/>
        <w:keepLines w:val="0"/>
        <w:widowControl/>
        <w:suppressLineNumbers w:val="0"/>
      </w:pPr>
      <w:r>
        <w:t xml:space="preserve">Adult health should not be adversely affected. Better mental health, lower levels of stress, and improved life satisfaction have all been variously associated with feelings of purposefulness. From a strictly physical standpoint, a person who feels he is making a contribution to society and is connected will enjoy good health naturally. Such adults may also begin to experience feelings of worthlessness and an anger which can find physical expression. Young adults in particular could become lost in a wilderness this way--a psychological wilderness. In those situations, when hands must remain firmly cemented to the workbench so as not slip back over their </w:t>
      </w:r>
      <w:r>
        <w:rPr>
          <w:lang w:val="en-GB"/>
        </w:rPr>
        <w:t>progression</w:t>
      </w:r>
      <w:r>
        <w:t xml:space="preserve"> points opposite direction for long periods of time (so long as depression is kept at bay), some sufferers will develop serious diseases. It is expected that adults can lead a meaningful life with these types of diseases and depressions kept away. Supports that help adults involve themselves in meaningful activities can also promote good health and prevent mental illness.</w:t>
      </w:r>
    </w:p>
    <w:p w14:paraId="37074A4B">
      <w:pPr>
        <w:pStyle w:val="4"/>
        <w:keepNext w:val="0"/>
        <w:keepLines w:val="0"/>
        <w:widowControl/>
        <w:suppressLineNumbers w:val="0"/>
      </w:pPr>
      <w:r>
        <w:t>Integrative Integrity vs Despair (The Late Adulthood)</w:t>
      </w:r>
    </w:p>
    <w:p w14:paraId="4CB09BC9">
      <w:pPr>
        <w:pStyle w:val="4"/>
        <w:keepNext w:val="0"/>
        <w:keepLines w:val="0"/>
        <w:widowControl/>
        <w:suppressLineNumbers w:val="0"/>
      </w:pPr>
      <w:r>
        <w:t>The last stage of adult development occurs in later life, and it revolves around looking back on one's life. People who are comfortable with their achievements gain integrity as a result; those who sense regret may come to experience despair. Moreover, this stage of life is very much connected with mental health in older people.</w:t>
      </w:r>
    </w:p>
    <w:p w14:paraId="154A7F1F">
      <w:pPr>
        <w:pStyle w:val="4"/>
        <w:keepNext w:val="0"/>
        <w:keepLines w:val="0"/>
        <w:widowControl/>
        <w:suppressLineNumbers w:val="0"/>
      </w:pPr>
      <w:r>
        <w:t xml:space="preserve">Whether it is medical staff or social workers working with older people face health problems, they are confronted with issues such as depression, anxiety and bereavement. On the heels of </w:t>
      </w:r>
      <w:r>
        <w:rPr>
          <w:lang w:val="en-GB"/>
        </w:rPr>
        <w:t>Erickson</w:t>
      </w:r>
      <w:r>
        <w:t xml:space="preserve"> theory we know that not only must old people review their lives but dignity and emotional sustenance also promote healthy ageing.</w:t>
      </w:r>
    </w:p>
    <w:p w14:paraId="0342E292">
      <w:pPr>
        <w:pStyle w:val="4"/>
        <w:keepNext w:val="0"/>
        <w:keepLines w:val="0"/>
        <w:widowControl/>
        <w:suppressLineNumbers w:val="0"/>
      </w:pPr>
      <w:r>
        <w:rPr>
          <w:lang w:val="en-GB"/>
        </w:rPr>
        <w:t>Erickson</w:t>
      </w:r>
      <w:r>
        <w:t xml:space="preserve"> Theory: What We Like </w:t>
      </w:r>
      <w:r>
        <w:rPr>
          <w:lang w:val="en-GB"/>
        </w:rPr>
        <w:t>Erik son</w:t>
      </w:r>
      <w:r>
        <w:t xml:space="preserve"> offered the field of psychology something that was tailored perfectly for the new, feminist-dominated 1970s-an understanding of life stages and development that stressed telos (a purpose driven nature to human all too human existence-imagine Quentin Tarantino and you will understand more than most of them do about what I just said).</w:t>
      </w:r>
    </w:p>
    <w:p w14:paraId="7750E439">
      <w:pPr>
        <w:pStyle w:val="4"/>
        <w:keepNext w:val="0"/>
        <w:keepLines w:val="0"/>
        <w:widowControl/>
        <w:suppressLineNumbers w:val="0"/>
      </w:pPr>
      <w:r>
        <w:rPr>
          <w:lang w:val="en-GB"/>
        </w:rPr>
        <w:t>Erickson</w:t>
      </w:r>
      <w:r>
        <w:t xml:space="preserve"> theory is strong in connection with lifespan and therefore also in relevance for adult development. It acknowledges the significance of social connection, identity and purpose that are crucial to adult health and </w:t>
      </w:r>
      <w:r>
        <w:rPr>
          <w:lang w:val="en-GB"/>
        </w:rPr>
        <w:t>well-being</w:t>
      </w:r>
      <w:r>
        <w:t>. It is also applied across health and social care education to facilitate comprehension of emotional growth.</w:t>
      </w:r>
    </w:p>
    <w:p w14:paraId="75277B89">
      <w:pPr>
        <w:pStyle w:val="4"/>
        <w:keepNext w:val="0"/>
        <w:keepLines w:val="0"/>
        <w:widowControl/>
        <w:suppressLineNumbers w:val="0"/>
      </w:pPr>
      <w:r>
        <w:t>However, the theory has limitations. The steps are very general and do not imply cultural differences or personal experiences.</w:t>
      </w:r>
    </w:p>
    <w:p w14:paraId="3A6B59EB">
      <w:pPr>
        <w:pStyle w:val="4"/>
        <w:keepNext w:val="0"/>
        <w:keepLines w:val="0"/>
        <w:widowControl/>
        <w:suppressLineNumbers w:val="0"/>
        <w:rPr>
          <w:rFonts w:hint="default" w:ascii="Times New Roman" w:hAnsi="Times New Roman" w:eastAsia="SimSun" w:cs="Times New Roman"/>
          <w:sz w:val="24"/>
          <w:szCs w:val="24"/>
        </w:rPr>
      </w:pPr>
      <w:r>
        <w:rPr>
          <w:rFonts w:hint="default" w:ascii="Times New Roman" w:hAnsi="Times New Roman" w:eastAsia="SimSun" w:cs="Times New Roman"/>
          <w:sz w:val="24"/>
          <w:szCs w:val="24"/>
        </w:rPr>
        <w:t>Maslow’s Hierarchy of Needs</w:t>
      </w:r>
    </w:p>
    <w:p w14:paraId="5719EDA5">
      <w:pPr>
        <w:pStyle w:val="4"/>
        <w:keepNext w:val="0"/>
        <w:keepLines w:val="0"/>
        <w:widowControl/>
        <w:suppressLineNumbers w:val="0"/>
      </w:pPr>
      <w:r>
        <w:rPr>
          <w:lang w:val="en-GB"/>
        </w:rPr>
        <w:t>Mas-low's</w:t>
      </w:r>
      <w:r>
        <w:t xml:space="preserve"> Hierarchy of Needs is a humanistic approach to motivation and behavior that explains how people behave based on the satisfaction of their needs (Maslow, 1943). </w:t>
      </w:r>
      <w:r>
        <w:rPr>
          <w:lang w:val="en-GB"/>
        </w:rPr>
        <w:t>Mas-low's</w:t>
      </w:r>
      <w:r>
        <w:t xml:space="preserve"> hierarchy of needs </w:t>
      </w:r>
      <w:r>
        <w:rPr>
          <w:lang w:val="en-GB"/>
        </w:rPr>
        <w:t>categories</w:t>
      </w:r>
      <w:r>
        <w:t xml:space="preserve"> human needs according to a Hierarchy, from basic physiological need upwards to </w:t>
      </w:r>
      <w:r>
        <w:rPr>
          <w:lang w:val="en-GB"/>
        </w:rPr>
        <w:t>self-actualization</w:t>
      </w:r>
      <w:r>
        <w:t>. No context Effects of Need Fulfillment </w:t>
      </w:r>
      <w:r>
        <w:rPr>
          <w:lang w:val="en-GB"/>
        </w:rPr>
        <w:t>Mas-low's</w:t>
      </w:r>
      <w:r>
        <w:t xml:space="preserve"> hierarchy states that the fulfillment of lower order needs is necessary before individuals can promote higher order, psychological growth.</w:t>
      </w:r>
    </w:p>
    <w:p w14:paraId="4DAAE099">
      <w:pPr>
        <w:pStyle w:val="4"/>
        <w:keepNext w:val="0"/>
        <w:keepLines w:val="0"/>
        <w:widowControl/>
        <w:suppressLineNumbers w:val="0"/>
      </w:pPr>
      <w:r>
        <w:t>The hierarchy is composed of five levels: the first four are computed as deficiency needs, and the fifth level is considered growth needs.</w:t>
      </w:r>
    </w:p>
    <w:p w14:paraId="49FBE0AA">
      <w:pPr>
        <w:pStyle w:val="4"/>
        <w:keepNext w:val="0"/>
        <w:keepLines w:val="0"/>
        <w:widowControl/>
        <w:suppressLineNumbers w:val="0"/>
      </w:pPr>
      <w:r>
        <w:t>Physiological and Safety Needs</w:t>
      </w:r>
    </w:p>
    <w:p w14:paraId="3E6F004D">
      <w:pPr>
        <w:pStyle w:val="4"/>
        <w:keepNext w:val="0"/>
        <w:keepLines w:val="0"/>
        <w:widowControl/>
        <w:suppressLineNumbers w:val="0"/>
      </w:pPr>
      <w:r>
        <w:t>Needs on the bottom level are physiological - food, water, sleep and a home; those of safety - security, order and protection above that. In adult life they are essential requirements for health. There can be no good physical or mental health without proper nutrition, housing or security.”</w:t>
      </w:r>
    </w:p>
    <w:p w14:paraId="42DAB426">
      <w:pPr>
        <w:pStyle w:val="4"/>
        <w:keepNext w:val="0"/>
        <w:keepLines w:val="0"/>
        <w:widowControl/>
        <w:suppressLineNumbers w:val="0"/>
      </w:pPr>
      <w:r>
        <w:t xml:space="preserve">In health and social care, Maslow’s model supports professionals to </w:t>
      </w:r>
      <w:r>
        <w:rPr>
          <w:lang w:val="en-GB"/>
        </w:rPr>
        <w:t>prioritize</w:t>
      </w:r>
      <w:r>
        <w:t xml:space="preserve"> care. For instance, adults who experience homelessness, poverty or abuse may experience mental health problems if their basic needs are not met.</w:t>
      </w:r>
    </w:p>
    <w:p w14:paraId="18F52C01">
      <w:pPr>
        <w:pStyle w:val="4"/>
        <w:keepNext w:val="0"/>
        <w:keepLines w:val="0"/>
        <w:widowControl/>
        <w:suppressLineNumbers w:val="0"/>
      </w:pPr>
      <w:r>
        <w:t>Love and Belonging Needs</w:t>
      </w:r>
    </w:p>
    <w:p w14:paraId="54EE8176">
      <w:pPr>
        <w:pStyle w:val="4"/>
        <w:keepNext w:val="0"/>
        <w:keepLines w:val="0"/>
        <w:widowControl/>
        <w:suppressLineNumbers w:val="0"/>
      </w:pPr>
      <w:r>
        <w:t>At this level you are in relationships, have friends and social support. Social bonding is important for adult mental health and well-being. Isolation and loneliness can exacerbate other underlying conditions adults may face like depression, anxiety and physical illness.</w:t>
      </w:r>
    </w:p>
    <w:p w14:paraId="0FA05C26">
      <w:pPr>
        <w:pStyle w:val="4"/>
        <w:keepNext w:val="0"/>
        <w:keepLines w:val="0"/>
        <w:widowControl/>
        <w:suppressLineNumbers w:val="0"/>
      </w:pPr>
      <w:r>
        <w:t>Maslow’s pyramid emphasizes the role of a sense of community in aiding good health. In reality, this could mean getting them to join the community, the peer support group or more family members involved in care. This stage is related to the level of intimacy vs isolation in Erikson’s.</w:t>
      </w:r>
    </w:p>
    <w:p w14:paraId="7679AC49">
      <w:pPr>
        <w:pStyle w:val="4"/>
        <w:keepNext w:val="0"/>
        <w:keepLines w:val="0"/>
        <w:widowControl/>
        <w:suppressLineNumbers w:val="0"/>
      </w:pPr>
      <w:r>
        <w:t>Esteem Needs</w:t>
      </w:r>
    </w:p>
    <w:p w14:paraId="1093BAF7">
      <w:pPr>
        <w:pStyle w:val="4"/>
        <w:keepNext w:val="0"/>
        <w:keepLines w:val="0"/>
        <w:widowControl/>
        <w:suppressLineNumbers w:val="0"/>
      </w:pPr>
      <w:r>
        <w:t>Esteem needs are those such as respect, self-esteem, status and recognition. In adolescence, satisfying self-esteem needs can enhance motivation, resilience and mental wellbeing. It is often the case that work, learning and independence can enhance a person’s sense of worth.</w:t>
      </w:r>
    </w:p>
    <w:p w14:paraId="018981FF">
      <w:pPr>
        <w:pStyle w:val="4"/>
        <w:keepNext w:val="0"/>
        <w:keepLines w:val="0"/>
        <w:widowControl/>
        <w:suppressLineNumbers w:val="0"/>
      </w:pPr>
      <w:r>
        <w:t>Low self-esteem is linked with low mental health and unhealthful practices. Health care professionals can help adults through fostering independence, acknowledging sucesses and encouraging self determination. Maslow’s theory is a useful model for exploring the impact of self-esteem on health.</w:t>
      </w:r>
    </w:p>
    <w:p w14:paraId="518503A6">
      <w:pPr>
        <w:pStyle w:val="4"/>
        <w:keepNext w:val="0"/>
        <w:keepLines w:val="0"/>
        <w:widowControl/>
        <w:suppressLineNumbers w:val="0"/>
      </w:pPr>
      <w:r>
        <w:t>Self-Actualisation</w:t>
      </w:r>
    </w:p>
    <w:p w14:paraId="6B04A776">
      <w:pPr>
        <w:pStyle w:val="4"/>
        <w:keepNext w:val="0"/>
        <w:keepLines w:val="0"/>
        <w:widowControl/>
        <w:suppressLineNumbers w:val="0"/>
      </w:pPr>
      <w:r>
        <w:t>Self-actualisation isn't just reaching a potential; it's also personal growth. This may be such things as creative activity, personal goals, moral development or life satisfaction in adulthood. But some people never achieve this self-actualisation, and yet aiming for it could help them live better lives.</w:t>
      </w:r>
    </w:p>
    <w:p w14:paraId="693CCAD3">
      <w:pPr>
        <w:pStyle w:val="4"/>
        <w:keepNext w:val="0"/>
        <w:keepLines w:val="0"/>
        <w:widowControl/>
        <w:suppressLineNumbers w:val="0"/>
      </w:pPr>
      <w:r>
        <w:t>In health and social care, fostering self-actualisation could consist in person centred approach or lifelong learning as well as chances for meaningful living. In later adulthood this stage corresponds with Erikson’s idea of integrity.</w:t>
      </w:r>
    </w:p>
    <w:p w14:paraId="327AE18E">
      <w:pPr>
        <w:pStyle w:val="4"/>
        <w:keepNext w:val="0"/>
        <w:keepLines w:val="0"/>
        <w:widowControl/>
        <w:suppressLineNumbers w:val="0"/>
      </w:pPr>
      <w:r>
        <w:t>Pros and cons of Maslow’s theory Provide strengths or criticisms (limitations)of the theory.</w:t>
      </w:r>
    </w:p>
    <w:p w14:paraId="62204014">
      <w:pPr>
        <w:pStyle w:val="4"/>
        <w:keepNext w:val="0"/>
        <w:keepLines w:val="0"/>
        <w:widowControl/>
        <w:suppressLineNumbers w:val="0"/>
      </w:pPr>
      <w:r>
        <w:t>One of the main benefits of Maslow\'s hierarchy is its simplicity and ease of use. It is commonly used in health and social care for identifying needs and planning holistic care. The theory focuses on human potential and well-being rather than on limitation or illness.</w:t>
      </w:r>
    </w:p>
    <w:p w14:paraId="148D8297">
      <w:pPr>
        <w:pStyle w:val="4"/>
        <w:keepNext w:val="0"/>
        <w:keepLines w:val="0"/>
        <w:widowControl/>
        <w:suppressLineNumbers w:val="0"/>
      </w:pPr>
      <w:r>
        <w:t>However, the hierarchy has limitations. Needs are not necessarily in any kind of order, as it will be different for you compared to others and you can go after higher needs when lower needs are not being met. Cultural differences may also determine the prioritisation of needs.</w:t>
      </w:r>
    </w:p>
    <w:p w14:paraId="114394B5">
      <w:pPr>
        <w:pStyle w:val="4"/>
        <w:keepNext w:val="0"/>
        <w:keepLines w:val="0"/>
        <w:widowControl/>
        <w:suppressLineNumbers w:val="0"/>
      </w:pPr>
      <w:r>
        <w:t>Comparison and Relevance to Health and Social Care.</w:t>
      </w:r>
    </w:p>
    <w:p w14:paraId="10116DB5">
      <w:pPr>
        <w:pStyle w:val="4"/>
        <w:keepNext w:val="0"/>
        <w:keepLines w:val="0"/>
        <w:widowControl/>
        <w:suppressLineNumbers w:val="0"/>
      </w:pPr>
      <w:r>
        <w:t>Erikson and Maslow are both applicable to adult development and well-being. Erikson in this context describes psychosocial stages and emotional struggles, Maslow focuses on motivation and unfilled needs. Collectively, they offer a comprehensive overview of adult well-being.</w:t>
      </w:r>
    </w:p>
    <w:p w14:paraId="7B2C6AAC">
      <w:pPr>
        <w:pStyle w:val="4"/>
        <w:keepNext w:val="0"/>
        <w:keepLines w:val="0"/>
        <w:widowControl/>
        <w:suppressLineNumbers w:val="0"/>
      </w:pPr>
      <w:r>
        <w:t>In health and social care this theories aid practicing professionals in their understanding of behaviour, mental health issues and the impact of social networks. They are strong supporters of a person-centred approach that encompasses psychological, social, and emotional needs as well as physical ones</w:t>
      </w:r>
    </w:p>
    <w:p w14:paraId="635D6CE0">
      <w:pPr>
        <w:pStyle w:val="4"/>
        <w:keepNext w:val="0"/>
        <w:keepLines w:val="0"/>
        <w:widowControl/>
        <w:suppressLineNumbers w:val="0"/>
        <w:rPr>
          <w:rFonts w:hint="default"/>
          <w:lang w:val="en-GB"/>
        </w:rPr>
      </w:pPr>
      <w:r>
        <w:rPr>
          <w:rFonts w:hint="default"/>
          <w:lang w:val="en-GB"/>
        </w:rPr>
        <w:t>Conclution</w:t>
      </w:r>
    </w:p>
    <w:p w14:paraId="14B301C5">
      <w:pPr>
        <w:pStyle w:val="4"/>
        <w:keepNext w:val="0"/>
        <w:keepLines w:val="0"/>
        <w:widowControl/>
        <w:suppressLineNumbers w:val="0"/>
      </w:pPr>
      <w:r>
        <w:t>In sum, to understand adult development and health psychological theories are necessary. 3 Eriksonian Psychosocial Theory stresses the significance of relationship, striving towards a purpose and reflection on life in adulthood because one lives to find something or someone according to Maslow's Hierarchy of Needs. Theories both are very relevant in health and social care applications, providing perspectives on the behaviour of adults, mental health and quality of life. While these theories each contribute valuable insights, they are considered important and influential models that have promoted a more holistic, person-centred approach to adult health.</w:t>
      </w:r>
    </w:p>
    <w:p w14:paraId="7A97BDB9">
      <w:pPr>
        <w:pStyle w:val="4"/>
        <w:keepNext w:val="0"/>
        <w:keepLines w:val="0"/>
        <w:widowControl/>
        <w:suppressLineNumbers w:val="0"/>
      </w:pPr>
      <w:r>
        <w:t>Erikson, E.H. Identity and the Life Cycle 1959. New York: International Universities Press.</w:t>
      </w:r>
    </w:p>
    <w:p w14:paraId="07BCD34B">
      <w:pPr>
        <w:pStyle w:val="4"/>
        <w:keepNext w:val="0"/>
        <w:keepLines w:val="0"/>
        <w:widowControl/>
        <w:suppressLineNumbers w:val="0"/>
      </w:pPr>
      <w:r>
        <w:t>Erikson, E.H. (1963) Childhood and Society. 2nd edn. New York: W.W. Norton &amp; Co.</w:t>
      </w:r>
    </w:p>
    <w:p w14:paraId="16793751">
      <w:pPr>
        <w:pStyle w:val="4"/>
        <w:keepNext w:val="0"/>
        <w:keepLines w:val="0"/>
        <w:widowControl/>
        <w:suppressLineNumbers w:val="0"/>
      </w:pPr>
      <w:r>
        <w:t>Erikson, E.H. (1982) The Life Cycle Concluded. New York: W.W. Norton &amp; Co.</w:t>
      </w:r>
    </w:p>
    <w:p w14:paraId="16036E0A">
      <w:pPr>
        <w:pStyle w:val="4"/>
        <w:keepNext w:val="0"/>
        <w:keepLines w:val="0"/>
        <w:widowControl/>
        <w:suppressLineNumbers w:val="0"/>
      </w:pPr>
      <w:r>
        <w:t>Maslow, A.H. (1943) "A theory of human motivation Psychological Review, 50(4),370-396.rooms</w:t>
      </w:r>
    </w:p>
    <w:p w14:paraId="6F410ED8">
      <w:pPr>
        <w:pStyle w:val="4"/>
        <w:keepNext w:val="0"/>
        <w:keepLines w:val="0"/>
        <w:widowControl/>
        <w:suppressLineNumbers w:val="0"/>
      </w:pPr>
      <w:r>
        <w:t>Maslow, A.H. (1954) Motivation and Personality. New York: Harper &amp; Row.</w:t>
      </w:r>
    </w:p>
    <w:p w14:paraId="7F95A3E8">
      <w:pPr>
        <w:pStyle w:val="4"/>
        <w:keepNext w:val="0"/>
        <w:keepLines w:val="0"/>
        <w:widowControl/>
        <w:suppressLineNumbers w:val="0"/>
      </w:pPr>
      <w:r>
        <w:t>Maslow, A.H. (1970). Motivation and Personality. 2nd edn. New York: Harper &amp; Row.</w:t>
      </w:r>
    </w:p>
    <w:p w14:paraId="3E56BB3B">
      <w:pPr>
        <w:pStyle w:val="4"/>
        <w:keepNext w:val="0"/>
        <w:keepLines w:val="0"/>
        <w:widowControl/>
        <w:suppressLineNumbers w:val="0"/>
        <w:rPr>
          <w:rFonts w:hint="default"/>
          <w:lang w:val="en-GB"/>
        </w:rPr>
      </w:pPr>
    </w:p>
    <w:p w14:paraId="15549EDD">
      <w:pPr>
        <w:pStyle w:val="4"/>
        <w:keepNext w:val="0"/>
        <w:keepLines w:val="0"/>
        <w:widowControl/>
        <w:suppressLineNumbers w:val="0"/>
        <w:rPr>
          <w:rFonts w:hint="default" w:ascii="Times New Roman" w:hAnsi="Times New Roman" w:eastAsia="SimSun" w:cs="Times New Roman"/>
          <w:sz w:val="24"/>
          <w:szCs w:val="24"/>
        </w:rPr>
      </w:pPr>
    </w:p>
    <w:p w14:paraId="3F9C089C">
      <w:pPr>
        <w:pStyle w:val="4"/>
        <w:keepNext w:val="0"/>
        <w:keepLines w:val="0"/>
        <w:widowControl/>
        <w:suppressLineNumbers w:val="0"/>
        <w:rPr>
          <w:rFonts w:hint="default" w:ascii="Times New Roman" w:hAnsi="Times New Roman" w:eastAsia="SimSun" w:cs="Times New Roman"/>
          <w:sz w:val="24"/>
          <w:szCs w:val="24"/>
          <w:lang w:val="en-GB"/>
        </w:rPr>
      </w:pPr>
    </w:p>
    <w:p w14:paraId="4B4412D4">
      <w:pPr>
        <w:pStyle w:val="4"/>
        <w:keepNext w:val="0"/>
        <w:keepLines w:val="0"/>
        <w:widowControl/>
        <w:suppressLineNumbers w:val="0"/>
      </w:pPr>
    </w:p>
    <w:p w14:paraId="1403DD0F">
      <w:pPr>
        <w:jc w:val="left"/>
        <w:rPr>
          <w:rFonts w:hint="default"/>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Pristina">
    <w:panose1 w:val="03060402040406080204"/>
    <w:charset w:val="00"/>
    <w:family w:val="auto"/>
    <w:pitch w:val="default"/>
    <w:sig w:usb0="00000003" w:usb1="00000000" w:usb2="00000000" w:usb3="00000000" w:csb0="20000001" w:csb1="00000000"/>
  </w:font>
  <w:font w:name="Segoe UI Variable Display Semibold">
    <w:panose1 w:val="00000000000000000000"/>
    <w:charset w:val="00"/>
    <w:family w:val="auto"/>
    <w:pitch w:val="default"/>
    <w:sig w:usb0="A00002FF" w:usb1="0000000B"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B80D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188</TotalTime>
  <ScaleCrop>false</ScaleCrop>
  <LinksUpToDate>false</LinksUpToDate>
  <CharactersWithSpaces>0</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2025-12-17T11:24:55Z</dcterms:created>
  <dc:creator>dexte</dc:creator>
  <cp:lastModifiedBy>Dexter Dias</cp:lastModifiedBy>
  <dcterms:modified xsi:type="dcterms:W3CDTF">2025-12-17T14:34:18Z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2057-12.2.0.19805</vt:lpwstr>
  </property>
  <property fmtid="{D5CDD505-2E9C-101B-9397-08002B2CF9AE}" pid="3" name="ICV">
    <vt:lpwstr>81F853A26B5541C8953C58C6E089D5CA_13</vt:lpwstr>
  </property>
</Properties>
</file>