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EC16DE" w14:textId="7FA2D462" w:rsidR="00FD633A" w:rsidRPr="00FD633A" w:rsidRDefault="007F52FD" w:rsidP="00FD633A">
      <w:pPr>
        <w:spacing w:line="276" w:lineRule="auto"/>
        <w:jc w:val="both"/>
        <w:rPr>
          <w:sz w:val="24"/>
          <w:szCs w:val="24"/>
          <w:u w:val="single"/>
        </w:rPr>
      </w:pPr>
      <w:r>
        <w:rPr>
          <w:sz w:val="24"/>
          <w:szCs w:val="24"/>
          <w:u w:val="single"/>
        </w:rPr>
        <w:t>Christian-Muslim</w:t>
      </w:r>
      <w:r w:rsidR="00FD633A" w:rsidRPr="00FD633A">
        <w:rPr>
          <w:sz w:val="24"/>
          <w:szCs w:val="24"/>
          <w:u w:val="single"/>
        </w:rPr>
        <w:t xml:space="preserve"> </w:t>
      </w:r>
      <w:r w:rsidR="001C7B21">
        <w:rPr>
          <w:sz w:val="24"/>
          <w:szCs w:val="24"/>
          <w:u w:val="single"/>
        </w:rPr>
        <w:t>Relations</w:t>
      </w:r>
      <w:r w:rsidR="00FD633A" w:rsidRPr="00FD633A">
        <w:rPr>
          <w:sz w:val="24"/>
          <w:szCs w:val="24"/>
          <w:u w:val="single"/>
        </w:rPr>
        <w:t xml:space="preserve"> in Nigeria: A very </w:t>
      </w:r>
      <w:r w:rsidR="00FD633A">
        <w:rPr>
          <w:sz w:val="24"/>
          <w:szCs w:val="24"/>
          <w:u w:val="single"/>
        </w:rPr>
        <w:t>b</w:t>
      </w:r>
      <w:r w:rsidR="00FD633A" w:rsidRPr="00FD633A">
        <w:rPr>
          <w:sz w:val="24"/>
          <w:szCs w:val="24"/>
          <w:u w:val="single"/>
        </w:rPr>
        <w:t>rief Introductory Background</w:t>
      </w:r>
    </w:p>
    <w:p w14:paraId="520724CD" w14:textId="50A619FA" w:rsidR="000D3108" w:rsidRDefault="00FD633A" w:rsidP="00FD633A">
      <w:pPr>
        <w:spacing w:line="276" w:lineRule="auto"/>
        <w:jc w:val="both"/>
        <w:rPr>
          <w:sz w:val="24"/>
          <w:szCs w:val="24"/>
        </w:rPr>
      </w:pPr>
      <w:r>
        <w:rPr>
          <w:sz w:val="24"/>
          <w:szCs w:val="24"/>
        </w:rPr>
        <w:t xml:space="preserve">Interreligious relations in Nigeria, perhaps not unlike some other </w:t>
      </w:r>
      <w:r w:rsidR="00A855F4">
        <w:rPr>
          <w:sz w:val="24"/>
          <w:szCs w:val="24"/>
        </w:rPr>
        <w:t xml:space="preserve">Sub-Saharan </w:t>
      </w:r>
      <w:r w:rsidR="007B5612">
        <w:rPr>
          <w:sz w:val="24"/>
          <w:szCs w:val="24"/>
        </w:rPr>
        <w:t xml:space="preserve">African </w:t>
      </w:r>
      <w:r>
        <w:rPr>
          <w:sz w:val="24"/>
          <w:szCs w:val="24"/>
        </w:rPr>
        <w:t>contexts, has been characterised by tensions and contradictions. One the one hand, as</w:t>
      </w:r>
      <w:r w:rsidR="00966CBD">
        <w:rPr>
          <w:sz w:val="24"/>
          <w:szCs w:val="24"/>
        </w:rPr>
        <w:t xml:space="preserve"> </w:t>
      </w:r>
      <w:r w:rsidR="007D5BCC">
        <w:rPr>
          <w:sz w:val="24"/>
          <w:szCs w:val="24"/>
        </w:rPr>
        <w:t xml:space="preserve">an </w:t>
      </w:r>
      <w:r w:rsidR="00966CBD">
        <w:rPr>
          <w:sz w:val="24"/>
          <w:szCs w:val="24"/>
        </w:rPr>
        <w:t>a</w:t>
      </w:r>
      <w:r>
        <w:rPr>
          <w:sz w:val="24"/>
          <w:szCs w:val="24"/>
        </w:rPr>
        <w:t xml:space="preserve">nthropologist of Nigerian religions, J D Y Peel </w:t>
      </w:r>
      <w:r w:rsidR="00535D97">
        <w:rPr>
          <w:sz w:val="24"/>
          <w:szCs w:val="24"/>
        </w:rPr>
        <w:t>notes</w:t>
      </w:r>
      <w:r>
        <w:rPr>
          <w:sz w:val="24"/>
          <w:szCs w:val="24"/>
        </w:rPr>
        <w:t xml:space="preserve">, Christianity, Islam, and traditional </w:t>
      </w:r>
      <w:r w:rsidR="00C05F2B">
        <w:rPr>
          <w:sz w:val="24"/>
          <w:szCs w:val="24"/>
        </w:rPr>
        <w:t xml:space="preserve">African </w:t>
      </w:r>
      <w:r>
        <w:rPr>
          <w:sz w:val="24"/>
          <w:szCs w:val="24"/>
        </w:rPr>
        <w:t>religion</w:t>
      </w:r>
      <w:r w:rsidR="00BA6181">
        <w:rPr>
          <w:sz w:val="24"/>
          <w:szCs w:val="24"/>
        </w:rPr>
        <w:t>s</w:t>
      </w:r>
      <w:r>
        <w:rPr>
          <w:sz w:val="24"/>
          <w:szCs w:val="24"/>
        </w:rPr>
        <w:t xml:space="preserve"> continue, in the main, to peacefully coexist together in the Southern parts of the country</w:t>
      </w:r>
      <w:r w:rsidR="00854A95">
        <w:rPr>
          <w:sz w:val="24"/>
          <w:szCs w:val="24"/>
        </w:rPr>
        <w:t xml:space="preserve"> </w:t>
      </w:r>
      <w:r w:rsidR="00EF0D91">
        <w:rPr>
          <w:rStyle w:val="FootnoteReference"/>
          <w:sz w:val="24"/>
          <w:szCs w:val="24"/>
        </w:rPr>
        <w:fldChar w:fldCharType="begin" w:fldLock="1"/>
      </w:r>
      <w:r w:rsidR="00CE4D4A">
        <w:rPr>
          <w:sz w:val="24"/>
          <w:szCs w:val="24"/>
        </w:rPr>
        <w:instrText>ADDIN CSL_CITATION {"citationItems":[{"id":"ITEM-1","itemData":{"abstract":"\"The Yoruba of southwestern Nigeria are exceptional for the copresence among them of three religious traditions: Islam, Christianity, and the indigenous oriṣa religion. In this comparative study, at once historical and anthropological, Peel explores the intertwined character of the three religions and the dense imbrication of religion in all aspects of Yoruba history up to the present. For over 400 years, the Yoruba have straddled two geocultural spheres: one reaching north over the Sahara to the world of Islam, the other linking them to the Euro-American world via the Atlantic. These two external spheres were the source of contrasting cultural influences, notably those emanating from the world religions. However, the Yoruba not only imported Islam and Christianity but also exported their own oriṣa religion to the New World. Before the voluntary modern diaspora that has brought many Yoruba to Europe and the Americas, tens of thousands were sold as slaves in the New World, bringing with them the worship of the oriṣa. Peel offers deep insight into important contemporary themes such as religious conversion, new religious movements, relations between world religions, the conditions of religious violence, the transnational flows of contemporary religion, and the interplay between tradition and the demands of an ever-changing present. In the process, he makes a major theoretical contribution to the anthropology of world religions.\"","author":[{"dropping-particle":"","family":"Peel","given":"J.D.Y.","non-dropping-particle":"","parse-names":false,"suffix":""}],"id":"ITEM-1","issued":{"date-parts":[["2015","12","9"]]},"publisher":"University of California Press","title":"Christianity, Islam, and Oriṣa Religion: Three Traditions in Comparison and Interaction","type":"book"},"locator":"2","uris":["http://www.mendeley.com/documents/?uuid=2b981a21-09e3-300a-9bbb-c16460bde8a4"]}],"mendeley":{"formattedCitation":"(Peel 2015, p. 2)","plainTextFormattedCitation":"(Peel 2015, p. 2)","previouslyFormattedCitation":"(Peel 2015, p. 2)"},"properties":{"noteIndex":0},"schema":"https://github.com/citation-style-language/schema/raw/master/csl-citation.json"}</w:instrText>
      </w:r>
      <w:r w:rsidR="00EF0D91">
        <w:rPr>
          <w:rStyle w:val="FootnoteReference"/>
          <w:sz w:val="24"/>
          <w:szCs w:val="24"/>
        </w:rPr>
        <w:fldChar w:fldCharType="separate"/>
      </w:r>
      <w:r w:rsidR="00A4290C" w:rsidRPr="00A4290C">
        <w:rPr>
          <w:bCs/>
          <w:noProof/>
          <w:sz w:val="24"/>
          <w:szCs w:val="24"/>
          <w:lang w:val="en-US"/>
        </w:rPr>
        <w:t>(Peel 2015, p. 2)</w:t>
      </w:r>
      <w:r w:rsidR="00EF0D91">
        <w:rPr>
          <w:rStyle w:val="FootnoteReference"/>
          <w:sz w:val="24"/>
          <w:szCs w:val="24"/>
        </w:rPr>
        <w:fldChar w:fldCharType="end"/>
      </w:r>
      <w:r w:rsidR="00854A95">
        <w:rPr>
          <w:sz w:val="24"/>
          <w:szCs w:val="24"/>
        </w:rPr>
        <w:t>.</w:t>
      </w:r>
      <w:r>
        <w:rPr>
          <w:sz w:val="24"/>
          <w:szCs w:val="24"/>
        </w:rPr>
        <w:t xml:space="preserve"> The Northern region, however, has, and continues</w:t>
      </w:r>
      <w:r w:rsidR="00966CBD">
        <w:rPr>
          <w:sz w:val="24"/>
          <w:szCs w:val="24"/>
        </w:rPr>
        <w:t>,</w:t>
      </w:r>
      <w:r>
        <w:rPr>
          <w:sz w:val="24"/>
          <w:szCs w:val="24"/>
        </w:rPr>
        <w:t xml:space="preserve"> unfortunately, to be witness to various forms of interreligious conflicts. More recent scholarly attention has been focused, understandably, on the growth, ideology, and activities of the Islamic fundamentalist group, </w:t>
      </w:r>
      <w:r w:rsidRPr="00914B4B">
        <w:rPr>
          <w:i/>
          <w:iCs/>
          <w:sz w:val="24"/>
          <w:szCs w:val="24"/>
        </w:rPr>
        <w:t>Jama'atu Ahlis Sunna Lidda'awati wal-Jihad</w:t>
      </w:r>
      <w:r>
        <w:rPr>
          <w:i/>
          <w:iCs/>
          <w:sz w:val="24"/>
          <w:szCs w:val="24"/>
        </w:rPr>
        <w:t>,</w:t>
      </w:r>
      <w:r>
        <w:rPr>
          <w:sz w:val="24"/>
          <w:szCs w:val="24"/>
        </w:rPr>
        <w:t xml:space="preserve"> more popularly known as </w:t>
      </w:r>
      <w:r w:rsidRPr="00652F25">
        <w:rPr>
          <w:i/>
          <w:iCs/>
          <w:sz w:val="24"/>
          <w:szCs w:val="24"/>
        </w:rPr>
        <w:t>Boko Haram</w:t>
      </w:r>
      <w:r>
        <w:rPr>
          <w:sz w:val="24"/>
          <w:szCs w:val="24"/>
        </w:rPr>
        <w:t xml:space="preserve">, whose emergence is itself connected to a long historical pattern of dissent by sometimes outrightly fundamentalist groups and </w:t>
      </w:r>
      <w:r w:rsidR="00C80D82">
        <w:rPr>
          <w:sz w:val="24"/>
          <w:szCs w:val="24"/>
        </w:rPr>
        <w:t xml:space="preserve">individual </w:t>
      </w:r>
      <w:r>
        <w:rPr>
          <w:sz w:val="24"/>
          <w:szCs w:val="24"/>
        </w:rPr>
        <w:t>agents in the Northern region of the country.</w:t>
      </w:r>
      <w:r w:rsidRPr="00535D97">
        <w:rPr>
          <w:rStyle w:val="FootnoteReference"/>
        </w:rPr>
        <w:footnoteReference w:id="1"/>
      </w:r>
      <w:r>
        <w:rPr>
          <w:sz w:val="24"/>
          <w:szCs w:val="24"/>
        </w:rPr>
        <w:t xml:space="preserve"> </w:t>
      </w:r>
    </w:p>
    <w:p w14:paraId="7A4102CF" w14:textId="0B9BEF0A" w:rsidR="000D3108" w:rsidRDefault="00523801" w:rsidP="00FD633A">
      <w:pPr>
        <w:spacing w:line="276" w:lineRule="auto"/>
        <w:jc w:val="both"/>
        <w:rPr>
          <w:sz w:val="24"/>
          <w:szCs w:val="24"/>
        </w:rPr>
      </w:pPr>
      <w:r>
        <w:rPr>
          <w:sz w:val="24"/>
          <w:szCs w:val="24"/>
        </w:rPr>
        <w:t>However,</w:t>
      </w:r>
      <w:r w:rsidR="00FD633A">
        <w:rPr>
          <w:sz w:val="24"/>
          <w:szCs w:val="24"/>
        </w:rPr>
        <w:t xml:space="preserve"> while patterns of the more overt forms of conflict have tended to map on to a geographical South/North divide, it would be incorrect to conclude that interreligious </w:t>
      </w:r>
      <w:r w:rsidR="0083197F">
        <w:rPr>
          <w:sz w:val="24"/>
          <w:szCs w:val="24"/>
        </w:rPr>
        <w:t>conflicts</w:t>
      </w:r>
      <w:r w:rsidR="00FD633A">
        <w:rPr>
          <w:sz w:val="24"/>
          <w:szCs w:val="24"/>
        </w:rPr>
        <w:t xml:space="preserve"> and the </w:t>
      </w:r>
      <w:r w:rsidR="00854A95">
        <w:rPr>
          <w:sz w:val="24"/>
          <w:szCs w:val="24"/>
        </w:rPr>
        <w:t xml:space="preserve">less pronounced </w:t>
      </w:r>
      <w:r w:rsidR="00FD633A">
        <w:rPr>
          <w:sz w:val="24"/>
          <w:szCs w:val="24"/>
        </w:rPr>
        <w:t xml:space="preserve">tensions which often precipitate them are located only within selected regions of the country. </w:t>
      </w:r>
      <w:r w:rsidR="00E01194">
        <w:rPr>
          <w:sz w:val="24"/>
          <w:szCs w:val="24"/>
        </w:rPr>
        <w:t>To the contrary, s</w:t>
      </w:r>
      <w:r w:rsidR="00FD633A">
        <w:rPr>
          <w:sz w:val="24"/>
          <w:szCs w:val="24"/>
        </w:rPr>
        <w:t xml:space="preserve">cholars like Ebenezer Obadare </w:t>
      </w:r>
      <w:r w:rsidR="00854A95">
        <w:rPr>
          <w:sz w:val="24"/>
          <w:szCs w:val="24"/>
        </w:rPr>
        <w:t>have argued</w:t>
      </w:r>
      <w:r w:rsidR="00FD633A">
        <w:rPr>
          <w:sz w:val="24"/>
          <w:szCs w:val="24"/>
        </w:rPr>
        <w:t xml:space="preserve"> that the public sphere – and </w:t>
      </w:r>
      <w:r w:rsidR="002C5D56">
        <w:rPr>
          <w:sz w:val="24"/>
          <w:szCs w:val="24"/>
        </w:rPr>
        <w:t>electoral</w:t>
      </w:r>
      <w:r w:rsidR="00FD633A">
        <w:rPr>
          <w:sz w:val="24"/>
          <w:szCs w:val="24"/>
        </w:rPr>
        <w:t xml:space="preserve"> politics in particular – has, in contemporary Nigeria, become a keenly contested space, often witnessing the instrumentalization </w:t>
      </w:r>
      <w:r w:rsidR="00754790">
        <w:rPr>
          <w:sz w:val="24"/>
          <w:szCs w:val="24"/>
        </w:rPr>
        <w:t xml:space="preserve">and </w:t>
      </w:r>
      <w:r w:rsidR="00A16A91">
        <w:rPr>
          <w:sz w:val="24"/>
          <w:szCs w:val="24"/>
        </w:rPr>
        <w:t>valorisation</w:t>
      </w:r>
      <w:r w:rsidR="00754790">
        <w:rPr>
          <w:sz w:val="24"/>
          <w:szCs w:val="24"/>
        </w:rPr>
        <w:t xml:space="preserve"> </w:t>
      </w:r>
      <w:r w:rsidR="00FD633A">
        <w:rPr>
          <w:sz w:val="24"/>
          <w:szCs w:val="24"/>
        </w:rPr>
        <w:t>of religious identities, which are put to the service of both religious and political corporate interests</w:t>
      </w:r>
      <w:r w:rsidR="00854A95">
        <w:rPr>
          <w:sz w:val="24"/>
          <w:szCs w:val="24"/>
        </w:rPr>
        <w:t xml:space="preserve"> </w:t>
      </w:r>
      <w:r w:rsidR="00EF0D91">
        <w:rPr>
          <w:rStyle w:val="FootnoteReference"/>
          <w:sz w:val="24"/>
          <w:szCs w:val="24"/>
        </w:rPr>
        <w:fldChar w:fldCharType="begin" w:fldLock="1"/>
      </w:r>
      <w:r w:rsidR="00CE4D4A">
        <w:rPr>
          <w:sz w:val="24"/>
          <w:szCs w:val="24"/>
        </w:rPr>
        <w:instrText>ADDIN CSL_CITATION {"citationItems":[{"id":"ITEM-1","itemData":{"author":[{"dropping-particle":"","family":"Obadare","given":"Ebenezer","non-dropping-particle":"","parse-names":false,"suffix":""}],"id":"ITEM-1","issued":{"date-parts":[["2018"]]},"publisher":"Zed Books","publisher-place":"London","title":"Pentecostal Republic: Religion and the Struggle for State Power in Nigeria","type":"book"},"uris":["http://www.mendeley.com/documents/?uuid=8590ad89-df65-41a2-9a87-1ff5d94ed8df"]}],"mendeley":{"formattedCitation":"(Obadare 2018)","plainTextFormattedCitation":"(Obadare 2018)","previouslyFormattedCitation":"(Obadare 2018)"},"properties":{"noteIndex":0},"schema":"https://github.com/citation-style-language/schema/raw/master/csl-citation.json"}</w:instrText>
      </w:r>
      <w:r w:rsidR="00EF0D91">
        <w:rPr>
          <w:rStyle w:val="FootnoteReference"/>
          <w:sz w:val="24"/>
          <w:szCs w:val="24"/>
        </w:rPr>
        <w:fldChar w:fldCharType="separate"/>
      </w:r>
      <w:r w:rsidR="00A4290C" w:rsidRPr="00A4290C">
        <w:rPr>
          <w:noProof/>
          <w:sz w:val="24"/>
          <w:szCs w:val="24"/>
        </w:rPr>
        <w:t>(Obadare 2018)</w:t>
      </w:r>
      <w:r w:rsidR="00EF0D91">
        <w:rPr>
          <w:rStyle w:val="FootnoteReference"/>
          <w:sz w:val="24"/>
          <w:szCs w:val="24"/>
        </w:rPr>
        <w:fldChar w:fldCharType="end"/>
      </w:r>
      <w:r w:rsidR="00854A95">
        <w:rPr>
          <w:sz w:val="24"/>
          <w:szCs w:val="24"/>
        </w:rPr>
        <w:t>. T</w:t>
      </w:r>
      <w:r w:rsidR="00FD633A">
        <w:rPr>
          <w:sz w:val="24"/>
          <w:szCs w:val="24"/>
        </w:rPr>
        <w:t xml:space="preserve">he conflicted nature of Christian-Muslim relations in Nigeria’s public life, </w:t>
      </w:r>
      <w:r w:rsidR="00E01194">
        <w:rPr>
          <w:sz w:val="24"/>
          <w:szCs w:val="24"/>
        </w:rPr>
        <w:t>therefore</w:t>
      </w:r>
      <w:r w:rsidR="00FD633A">
        <w:rPr>
          <w:sz w:val="24"/>
          <w:szCs w:val="24"/>
        </w:rPr>
        <w:t xml:space="preserve">, although connected to historical dynamics linked directly or indirectly to Northern Nigeria, extend beyond </w:t>
      </w:r>
      <w:r w:rsidR="00ED2AF0">
        <w:rPr>
          <w:sz w:val="24"/>
          <w:szCs w:val="24"/>
        </w:rPr>
        <w:t xml:space="preserve">Nigeria’s </w:t>
      </w:r>
      <w:r w:rsidR="00FD633A">
        <w:rPr>
          <w:sz w:val="24"/>
          <w:szCs w:val="24"/>
        </w:rPr>
        <w:t xml:space="preserve">Northern region to the whole of the Nigerian polity. In significant ways, this dynamic of </w:t>
      </w:r>
      <w:r w:rsidR="00ED2AF0">
        <w:rPr>
          <w:sz w:val="24"/>
          <w:szCs w:val="24"/>
        </w:rPr>
        <w:t xml:space="preserve">cross-regional </w:t>
      </w:r>
      <w:r w:rsidR="00E01194">
        <w:rPr>
          <w:sz w:val="24"/>
          <w:szCs w:val="24"/>
        </w:rPr>
        <w:t>Christian-Muslim</w:t>
      </w:r>
      <w:r w:rsidR="00FD633A">
        <w:rPr>
          <w:sz w:val="24"/>
          <w:szCs w:val="24"/>
        </w:rPr>
        <w:t xml:space="preserve"> rivalry is intimately related to a number of historical factors which co-joined in the making of Nigeria. </w:t>
      </w:r>
      <w:r w:rsidR="008B4DB9">
        <w:rPr>
          <w:sz w:val="24"/>
          <w:szCs w:val="24"/>
        </w:rPr>
        <w:t xml:space="preserve">As </w:t>
      </w:r>
      <w:r w:rsidR="00FD633A">
        <w:rPr>
          <w:sz w:val="24"/>
          <w:szCs w:val="24"/>
        </w:rPr>
        <w:t xml:space="preserve">Olufemi Vaughan’s </w:t>
      </w:r>
      <w:r w:rsidR="00FD633A" w:rsidRPr="00277819">
        <w:rPr>
          <w:i/>
          <w:iCs/>
          <w:sz w:val="24"/>
          <w:szCs w:val="24"/>
        </w:rPr>
        <w:t>Religion and the Making of Nigeria</w:t>
      </w:r>
      <w:r w:rsidR="00FD633A">
        <w:rPr>
          <w:sz w:val="24"/>
          <w:szCs w:val="24"/>
        </w:rPr>
        <w:t xml:space="preserve"> has </w:t>
      </w:r>
      <w:r w:rsidR="0054561E">
        <w:rPr>
          <w:sz w:val="24"/>
          <w:szCs w:val="24"/>
        </w:rPr>
        <w:t xml:space="preserve">recently </w:t>
      </w:r>
      <w:r w:rsidR="00FD633A">
        <w:rPr>
          <w:sz w:val="24"/>
          <w:szCs w:val="24"/>
        </w:rPr>
        <w:t>argued</w:t>
      </w:r>
      <w:r w:rsidR="008B4DB9">
        <w:rPr>
          <w:sz w:val="24"/>
          <w:szCs w:val="24"/>
        </w:rPr>
        <w:t xml:space="preserve">, </w:t>
      </w:r>
      <w:r w:rsidR="00FD633A">
        <w:rPr>
          <w:sz w:val="24"/>
          <w:szCs w:val="24"/>
        </w:rPr>
        <w:t>religion was crucial to the birth of the Nigerian state and continues to re</w:t>
      </w:r>
      <w:r w:rsidR="00AE2468">
        <w:rPr>
          <w:sz w:val="24"/>
          <w:szCs w:val="24"/>
        </w:rPr>
        <w:t>tain both ubiquity and strategic importance</w:t>
      </w:r>
      <w:r w:rsidR="006A7864">
        <w:rPr>
          <w:sz w:val="24"/>
          <w:szCs w:val="24"/>
        </w:rPr>
        <w:t xml:space="preserve"> in the country</w:t>
      </w:r>
      <w:r w:rsidR="007C5AE0">
        <w:rPr>
          <w:sz w:val="24"/>
          <w:szCs w:val="24"/>
        </w:rPr>
        <w:t xml:space="preserve">’s </w:t>
      </w:r>
      <w:r w:rsidR="00627846">
        <w:rPr>
          <w:sz w:val="24"/>
          <w:szCs w:val="24"/>
        </w:rPr>
        <w:t xml:space="preserve">cultural and </w:t>
      </w:r>
      <w:r w:rsidR="00E86689">
        <w:rPr>
          <w:sz w:val="24"/>
          <w:szCs w:val="24"/>
        </w:rPr>
        <w:t>political</w:t>
      </w:r>
      <w:r w:rsidR="00627846">
        <w:rPr>
          <w:sz w:val="24"/>
          <w:szCs w:val="24"/>
        </w:rPr>
        <w:t xml:space="preserve"> f</w:t>
      </w:r>
      <w:r w:rsidR="00661F1D">
        <w:rPr>
          <w:sz w:val="24"/>
          <w:szCs w:val="24"/>
        </w:rPr>
        <w:t>ormations</w:t>
      </w:r>
      <w:r w:rsidR="002F47A8">
        <w:rPr>
          <w:sz w:val="24"/>
          <w:szCs w:val="24"/>
        </w:rPr>
        <w:t xml:space="preserve"> </w:t>
      </w:r>
      <w:r w:rsidR="00EF0D91">
        <w:rPr>
          <w:rStyle w:val="FootnoteReference"/>
          <w:sz w:val="24"/>
          <w:szCs w:val="24"/>
        </w:rPr>
        <w:fldChar w:fldCharType="begin" w:fldLock="1"/>
      </w:r>
      <w:r w:rsidR="00CE4D4A">
        <w:rPr>
          <w:sz w:val="24"/>
          <w:szCs w:val="24"/>
        </w:rPr>
        <w:instrText>ADDIN CSL_CITATION {"citationItems":[{"id":"ITEM-1","itemData":{"author":[{"dropping-particle":"","family":"Vaughan","given":"Olufemi","non-dropping-particle":"","parse-names":false,"suffix":""}],"id":"ITEM-1","issued":{"date-parts":[["2016"]]},"publisher":"Duke University Press","publisher-place":"Durham and London","title":"Religion and the Making of Nigeria","type":"book"},"uris":["http://www.mendeley.com/documents/?uuid=60c930f8-c79c-4bbb-b6f9-d797e2d255a7"]}],"mendeley":{"formattedCitation":"(Vaughan 2016)","plainTextFormattedCitation":"(Vaughan 2016)","previouslyFormattedCitation":"(Vaughan 2016)"},"properties":{"noteIndex":0},"schema":"https://github.com/citation-style-language/schema/raw/master/csl-citation.json"}</w:instrText>
      </w:r>
      <w:r w:rsidR="00EF0D91">
        <w:rPr>
          <w:rStyle w:val="FootnoteReference"/>
          <w:sz w:val="24"/>
          <w:szCs w:val="24"/>
        </w:rPr>
        <w:fldChar w:fldCharType="separate"/>
      </w:r>
      <w:r w:rsidR="00A4290C" w:rsidRPr="00A4290C">
        <w:rPr>
          <w:noProof/>
          <w:sz w:val="24"/>
          <w:szCs w:val="24"/>
        </w:rPr>
        <w:t>(Vaughan 2016)</w:t>
      </w:r>
      <w:r w:rsidR="00EF0D91">
        <w:rPr>
          <w:rStyle w:val="FootnoteReference"/>
          <w:sz w:val="24"/>
          <w:szCs w:val="24"/>
        </w:rPr>
        <w:fldChar w:fldCharType="end"/>
      </w:r>
      <w:r w:rsidR="002F47A8">
        <w:rPr>
          <w:sz w:val="24"/>
          <w:szCs w:val="24"/>
        </w:rPr>
        <w:t xml:space="preserve">. </w:t>
      </w:r>
      <w:r w:rsidR="00FD633A">
        <w:rPr>
          <w:sz w:val="24"/>
          <w:szCs w:val="24"/>
        </w:rPr>
        <w:t xml:space="preserve">Such key moments as the </w:t>
      </w:r>
      <w:r w:rsidR="00FD633A" w:rsidRPr="00993D9E">
        <w:rPr>
          <w:i/>
          <w:iCs/>
          <w:sz w:val="24"/>
          <w:szCs w:val="24"/>
        </w:rPr>
        <w:t>jihad</w:t>
      </w:r>
      <w:r w:rsidR="00FD633A">
        <w:rPr>
          <w:sz w:val="24"/>
          <w:szCs w:val="24"/>
        </w:rPr>
        <w:t xml:space="preserve"> of Uthman Dan Fodio from 1804 to 1808 in Northern Nigeria, the cataclysmic changes which </w:t>
      </w:r>
      <w:r w:rsidR="002F47A8">
        <w:rPr>
          <w:sz w:val="24"/>
          <w:szCs w:val="24"/>
        </w:rPr>
        <w:t xml:space="preserve">Western-led </w:t>
      </w:r>
      <w:r w:rsidR="00FD633A">
        <w:rPr>
          <w:sz w:val="24"/>
          <w:szCs w:val="24"/>
        </w:rPr>
        <w:t xml:space="preserve">mission Christianity brought about in </w:t>
      </w:r>
      <w:r w:rsidR="00A01A08">
        <w:rPr>
          <w:sz w:val="24"/>
          <w:szCs w:val="24"/>
        </w:rPr>
        <w:t>precolonial</w:t>
      </w:r>
      <w:r w:rsidR="006F1658">
        <w:rPr>
          <w:sz w:val="24"/>
          <w:szCs w:val="24"/>
        </w:rPr>
        <w:t xml:space="preserve"> Nigeria</w:t>
      </w:r>
      <w:r w:rsidR="00FD633A">
        <w:rPr>
          <w:sz w:val="24"/>
          <w:szCs w:val="24"/>
        </w:rPr>
        <w:t xml:space="preserve"> in the 19</w:t>
      </w:r>
      <w:r w:rsidR="00FD633A" w:rsidRPr="00F26534">
        <w:rPr>
          <w:sz w:val="24"/>
          <w:szCs w:val="24"/>
          <w:vertAlign w:val="superscript"/>
        </w:rPr>
        <w:t>th</w:t>
      </w:r>
      <w:r w:rsidR="00FD633A">
        <w:rPr>
          <w:sz w:val="24"/>
          <w:szCs w:val="24"/>
        </w:rPr>
        <w:t xml:space="preserve"> century, and the early debates around the place of </w:t>
      </w:r>
      <w:r w:rsidR="00FD633A" w:rsidRPr="00733EF9">
        <w:rPr>
          <w:i/>
          <w:iCs/>
          <w:sz w:val="24"/>
          <w:szCs w:val="24"/>
        </w:rPr>
        <w:t>Sharia</w:t>
      </w:r>
      <w:r w:rsidR="00FD633A">
        <w:rPr>
          <w:sz w:val="24"/>
          <w:szCs w:val="24"/>
        </w:rPr>
        <w:t xml:space="preserve"> in the legal framework of </w:t>
      </w:r>
      <w:r w:rsidR="006F1658">
        <w:rPr>
          <w:sz w:val="24"/>
          <w:szCs w:val="24"/>
        </w:rPr>
        <w:t>Nigeria</w:t>
      </w:r>
      <w:r w:rsidR="00FD633A">
        <w:rPr>
          <w:sz w:val="24"/>
          <w:szCs w:val="24"/>
        </w:rPr>
        <w:t xml:space="preserve"> during the decolonisation years in the mid-20</w:t>
      </w:r>
      <w:r w:rsidR="00FD633A" w:rsidRPr="00374214">
        <w:rPr>
          <w:sz w:val="24"/>
          <w:szCs w:val="24"/>
          <w:vertAlign w:val="superscript"/>
        </w:rPr>
        <w:t>th</w:t>
      </w:r>
      <w:r w:rsidR="00FD633A">
        <w:rPr>
          <w:sz w:val="24"/>
          <w:szCs w:val="24"/>
        </w:rPr>
        <w:t xml:space="preserve"> century were</w:t>
      </w:r>
      <w:r w:rsidR="006F1658">
        <w:rPr>
          <w:sz w:val="24"/>
          <w:szCs w:val="24"/>
        </w:rPr>
        <w:t xml:space="preserve"> </w:t>
      </w:r>
      <w:r w:rsidR="00FD633A">
        <w:rPr>
          <w:sz w:val="24"/>
          <w:szCs w:val="24"/>
        </w:rPr>
        <w:t xml:space="preserve">significant in shaping the climate of precolonial and </w:t>
      </w:r>
      <w:r w:rsidR="00D85241">
        <w:rPr>
          <w:sz w:val="24"/>
          <w:szCs w:val="24"/>
        </w:rPr>
        <w:t>post</w:t>
      </w:r>
      <w:r w:rsidR="00FD633A">
        <w:rPr>
          <w:sz w:val="24"/>
          <w:szCs w:val="24"/>
        </w:rPr>
        <w:t>colonial Nigeria</w:t>
      </w:r>
      <w:r w:rsidR="006F1658">
        <w:rPr>
          <w:sz w:val="24"/>
          <w:szCs w:val="24"/>
        </w:rPr>
        <w:t xml:space="preserve"> </w:t>
      </w:r>
      <w:r w:rsidR="00EF0D91">
        <w:rPr>
          <w:rStyle w:val="FootnoteReference"/>
          <w:sz w:val="24"/>
          <w:szCs w:val="24"/>
        </w:rPr>
        <w:fldChar w:fldCharType="begin" w:fldLock="1"/>
      </w:r>
      <w:r w:rsidR="00CE4D4A">
        <w:rPr>
          <w:sz w:val="24"/>
          <w:szCs w:val="24"/>
        </w:rPr>
        <w:instrText>ADDIN CSL_CITATION {"citationItems":[{"id":"ITEM-1","itemData":{"author":[{"dropping-particle":"","family":"Vaughan","given":"Olufemi","non-dropping-particle":"","parse-names":false,"suffix":""}],"id":"ITEM-1","issued":{"date-parts":[["2016"]]},"publisher":"Duke University Press","publisher-place":"Durham and London","title":"Religion and the Making of Nigeria","type":"book"},"locator":"13-111","uris":["http://www.mendeley.com/documents/?uuid=60c930f8-c79c-4bbb-b6f9-d797e2d255a7"]}],"mendeley":{"formattedCitation":"(Vaughan 2016, pp. 13–111)","plainTextFormattedCitation":"(Vaughan 2016, pp. 13–111)","previouslyFormattedCitation":"(Vaughan 2016, pp. 13–111)"},"properties":{"noteIndex":0},"schema":"https://github.com/citation-style-language/schema/raw/master/csl-citation.json"}</w:instrText>
      </w:r>
      <w:r w:rsidR="00EF0D91">
        <w:rPr>
          <w:rStyle w:val="FootnoteReference"/>
          <w:sz w:val="24"/>
          <w:szCs w:val="24"/>
        </w:rPr>
        <w:fldChar w:fldCharType="separate"/>
      </w:r>
      <w:r w:rsidR="00A4290C" w:rsidRPr="00A4290C">
        <w:rPr>
          <w:bCs/>
          <w:noProof/>
          <w:sz w:val="24"/>
          <w:szCs w:val="24"/>
          <w:lang w:val="en-US"/>
        </w:rPr>
        <w:t>(Vaughan 2016, pp. 13–111)</w:t>
      </w:r>
      <w:r w:rsidR="00EF0D91">
        <w:rPr>
          <w:rStyle w:val="FootnoteReference"/>
          <w:sz w:val="24"/>
          <w:szCs w:val="24"/>
        </w:rPr>
        <w:fldChar w:fldCharType="end"/>
      </w:r>
      <w:r w:rsidR="006F1658">
        <w:rPr>
          <w:sz w:val="24"/>
          <w:szCs w:val="24"/>
        </w:rPr>
        <w:t xml:space="preserve">. </w:t>
      </w:r>
    </w:p>
    <w:p w14:paraId="2D3621E2" w14:textId="771BA2C9" w:rsidR="00FD633A" w:rsidRDefault="003A57F4" w:rsidP="00FD633A">
      <w:pPr>
        <w:spacing w:line="276" w:lineRule="auto"/>
        <w:jc w:val="both"/>
        <w:rPr>
          <w:sz w:val="24"/>
          <w:szCs w:val="24"/>
        </w:rPr>
      </w:pPr>
      <w:r>
        <w:rPr>
          <w:sz w:val="24"/>
          <w:szCs w:val="24"/>
        </w:rPr>
        <w:t>Beginning s</w:t>
      </w:r>
      <w:r w:rsidR="00FD633A">
        <w:rPr>
          <w:sz w:val="24"/>
          <w:szCs w:val="24"/>
        </w:rPr>
        <w:t>tudents of Christian</w:t>
      </w:r>
      <w:r w:rsidR="006F1658">
        <w:rPr>
          <w:sz w:val="24"/>
          <w:szCs w:val="24"/>
        </w:rPr>
        <w:t>-</w:t>
      </w:r>
      <w:r w:rsidR="00FD633A">
        <w:rPr>
          <w:sz w:val="24"/>
          <w:szCs w:val="24"/>
        </w:rPr>
        <w:t>Muslim relations in Nigeria</w:t>
      </w:r>
      <w:r w:rsidR="000876FC">
        <w:rPr>
          <w:sz w:val="24"/>
          <w:szCs w:val="24"/>
        </w:rPr>
        <w:t xml:space="preserve"> </w:t>
      </w:r>
      <w:r w:rsidR="00FD633A">
        <w:rPr>
          <w:sz w:val="24"/>
          <w:szCs w:val="24"/>
        </w:rPr>
        <w:t xml:space="preserve">would benefit from paying </w:t>
      </w:r>
      <w:r w:rsidR="000876FC">
        <w:rPr>
          <w:sz w:val="24"/>
          <w:szCs w:val="24"/>
        </w:rPr>
        <w:t xml:space="preserve">close </w:t>
      </w:r>
      <w:r w:rsidR="00FD633A">
        <w:rPr>
          <w:sz w:val="24"/>
          <w:szCs w:val="24"/>
        </w:rPr>
        <w:t>attention to the peculiarities of the history of the country, the intense diversity of ethnic identities in the country, and the evolution and patterns of change which have occurred within Christianity and Islam in Nigeria especially since the turn of the 20</w:t>
      </w:r>
      <w:r w:rsidR="00FD633A" w:rsidRPr="005E199D">
        <w:rPr>
          <w:sz w:val="24"/>
          <w:szCs w:val="24"/>
          <w:vertAlign w:val="superscript"/>
        </w:rPr>
        <w:t>th</w:t>
      </w:r>
      <w:r w:rsidR="00FD633A">
        <w:rPr>
          <w:sz w:val="24"/>
          <w:szCs w:val="24"/>
        </w:rPr>
        <w:t xml:space="preserve"> century, and how these evolutions connect </w:t>
      </w:r>
      <w:r w:rsidR="00A0643D">
        <w:rPr>
          <w:sz w:val="24"/>
          <w:szCs w:val="24"/>
        </w:rPr>
        <w:t xml:space="preserve">to </w:t>
      </w:r>
      <w:r w:rsidR="0031110C">
        <w:rPr>
          <w:sz w:val="24"/>
          <w:szCs w:val="24"/>
        </w:rPr>
        <w:t xml:space="preserve">aspects of the country’s </w:t>
      </w:r>
      <w:r w:rsidR="003B176E">
        <w:rPr>
          <w:sz w:val="24"/>
          <w:szCs w:val="24"/>
        </w:rPr>
        <w:t xml:space="preserve">dynamic </w:t>
      </w:r>
      <w:r w:rsidR="00A0643D">
        <w:rPr>
          <w:sz w:val="24"/>
          <w:szCs w:val="24"/>
        </w:rPr>
        <w:t>socio-politics</w:t>
      </w:r>
      <w:r w:rsidR="00FD633A">
        <w:rPr>
          <w:sz w:val="24"/>
          <w:szCs w:val="24"/>
        </w:rPr>
        <w:t>.</w:t>
      </w:r>
      <w:r w:rsidR="007177CB">
        <w:rPr>
          <w:sz w:val="24"/>
          <w:szCs w:val="24"/>
        </w:rPr>
        <w:t xml:space="preserve"> With reference to interfaith studies, </w:t>
      </w:r>
      <w:r w:rsidR="00091FAE">
        <w:rPr>
          <w:sz w:val="24"/>
          <w:szCs w:val="24"/>
        </w:rPr>
        <w:t xml:space="preserve">students might be interested in exploring </w:t>
      </w:r>
      <w:r w:rsidR="00715BD6">
        <w:rPr>
          <w:sz w:val="24"/>
          <w:szCs w:val="24"/>
        </w:rPr>
        <w:t xml:space="preserve">the </w:t>
      </w:r>
      <w:r w:rsidR="00746E11">
        <w:rPr>
          <w:sz w:val="24"/>
          <w:szCs w:val="24"/>
        </w:rPr>
        <w:t xml:space="preserve">interplay between religion </w:t>
      </w:r>
      <w:r w:rsidR="00746E11">
        <w:rPr>
          <w:sz w:val="24"/>
          <w:szCs w:val="24"/>
        </w:rPr>
        <w:lastRenderedPageBreak/>
        <w:t>and politics</w:t>
      </w:r>
      <w:r w:rsidR="00D50B91">
        <w:rPr>
          <w:sz w:val="24"/>
          <w:szCs w:val="24"/>
        </w:rPr>
        <w:t xml:space="preserve"> in Nigeria</w:t>
      </w:r>
      <w:r w:rsidR="00BA5B5B">
        <w:rPr>
          <w:sz w:val="24"/>
          <w:szCs w:val="24"/>
        </w:rPr>
        <w:t>;</w:t>
      </w:r>
      <w:r w:rsidR="006111FF">
        <w:rPr>
          <w:sz w:val="24"/>
          <w:szCs w:val="24"/>
        </w:rPr>
        <w:t xml:space="preserve"> </w:t>
      </w:r>
      <w:r w:rsidR="006A7961">
        <w:rPr>
          <w:sz w:val="24"/>
          <w:szCs w:val="24"/>
        </w:rPr>
        <w:t xml:space="preserve">the relationship between political </w:t>
      </w:r>
      <w:r w:rsidR="006111FF">
        <w:rPr>
          <w:sz w:val="24"/>
          <w:szCs w:val="24"/>
        </w:rPr>
        <w:t xml:space="preserve">secularisation and </w:t>
      </w:r>
      <w:r w:rsidR="006A7961">
        <w:rPr>
          <w:sz w:val="24"/>
          <w:szCs w:val="24"/>
        </w:rPr>
        <w:t>religious pluralism</w:t>
      </w:r>
      <w:r w:rsidR="00BA5B5B">
        <w:rPr>
          <w:sz w:val="24"/>
          <w:szCs w:val="24"/>
        </w:rPr>
        <w:t xml:space="preserve">; </w:t>
      </w:r>
      <w:r w:rsidR="006A7961">
        <w:rPr>
          <w:sz w:val="24"/>
          <w:szCs w:val="24"/>
        </w:rPr>
        <w:t xml:space="preserve">and the </w:t>
      </w:r>
      <w:r w:rsidR="00207FD0">
        <w:rPr>
          <w:sz w:val="24"/>
          <w:szCs w:val="24"/>
        </w:rPr>
        <w:t xml:space="preserve">issues </w:t>
      </w:r>
      <w:r w:rsidR="006A7961">
        <w:rPr>
          <w:sz w:val="24"/>
          <w:szCs w:val="24"/>
        </w:rPr>
        <w:t>whi</w:t>
      </w:r>
      <w:r w:rsidR="00207FD0">
        <w:rPr>
          <w:sz w:val="24"/>
          <w:szCs w:val="24"/>
        </w:rPr>
        <w:t xml:space="preserve">ch come when </w:t>
      </w:r>
      <w:r w:rsidR="00FD2B3A">
        <w:rPr>
          <w:sz w:val="24"/>
          <w:szCs w:val="24"/>
        </w:rPr>
        <w:t>religious di</w:t>
      </w:r>
      <w:r w:rsidR="00207FD0">
        <w:rPr>
          <w:sz w:val="24"/>
          <w:szCs w:val="24"/>
        </w:rPr>
        <w:t>versities map on to</w:t>
      </w:r>
      <w:r w:rsidR="00FD2B3A">
        <w:rPr>
          <w:sz w:val="24"/>
          <w:szCs w:val="24"/>
        </w:rPr>
        <w:t xml:space="preserve"> ethnic di</w:t>
      </w:r>
      <w:r w:rsidR="00207FD0">
        <w:rPr>
          <w:sz w:val="24"/>
          <w:szCs w:val="24"/>
        </w:rPr>
        <w:t>fferences</w:t>
      </w:r>
      <w:r w:rsidR="00D50B91">
        <w:rPr>
          <w:sz w:val="24"/>
          <w:szCs w:val="24"/>
        </w:rPr>
        <w:t xml:space="preserve"> as they do in the Nigerian context</w:t>
      </w:r>
      <w:r w:rsidR="00207FD0">
        <w:rPr>
          <w:sz w:val="24"/>
          <w:szCs w:val="24"/>
        </w:rPr>
        <w:t>.</w:t>
      </w:r>
      <w:r w:rsidR="00FD2B3A">
        <w:rPr>
          <w:sz w:val="24"/>
          <w:szCs w:val="24"/>
        </w:rPr>
        <w:t xml:space="preserve"> </w:t>
      </w:r>
    </w:p>
    <w:p w14:paraId="6F49123A" w14:textId="080E9C7F" w:rsidR="001B0296" w:rsidRDefault="00A47485" w:rsidP="00FD633A">
      <w:pPr>
        <w:spacing w:line="276" w:lineRule="auto"/>
        <w:jc w:val="both"/>
        <w:rPr>
          <w:sz w:val="24"/>
          <w:szCs w:val="24"/>
        </w:rPr>
      </w:pPr>
      <w:r>
        <w:rPr>
          <w:sz w:val="24"/>
          <w:szCs w:val="24"/>
        </w:rPr>
        <w:t xml:space="preserve">Introductory </w:t>
      </w:r>
      <w:r w:rsidR="00C53039">
        <w:rPr>
          <w:sz w:val="24"/>
          <w:szCs w:val="24"/>
        </w:rPr>
        <w:t>Further Readings</w:t>
      </w:r>
    </w:p>
    <w:p w14:paraId="3B2CD71E" w14:textId="0F3F721A" w:rsidR="00F23B86" w:rsidRDefault="00EF0D91" w:rsidP="00F23B86">
      <w:pPr>
        <w:spacing w:line="276" w:lineRule="auto"/>
        <w:jc w:val="both"/>
        <w:rPr>
          <w:sz w:val="24"/>
          <w:szCs w:val="24"/>
        </w:rPr>
      </w:pPr>
      <w:r w:rsidRPr="00A4290C">
        <w:rPr>
          <w:sz w:val="24"/>
          <w:szCs w:val="24"/>
        </w:rPr>
        <w:fldChar w:fldCharType="begin" w:fldLock="1"/>
      </w:r>
      <w:r w:rsidR="00CE4D4A">
        <w:rPr>
          <w:sz w:val="24"/>
          <w:szCs w:val="24"/>
        </w:rPr>
        <w:instrText>ADDIN CSL_CITATION {"citationItems":[{"id":"ITEM-1","itemData":{"DOI":"10.1080/09596419808721150","ISSN":"15497879","abstract":"This study identifies ethno–political factors as the major contributor to the Christian–Muslim conflict in Nigeria, while indicating the secondary role of socio–economic considerations and religious fundamentalism, as exemplified in the Zangon Katafriot of 1992 and the Tafawa Balewa and Bauchi disturbances of 1991 and 1995 respectively. The study reveals that the tension that erupted from these episodes merely ignited the bomb of ethno–political rivalry between the minority and majority ethnic groups. The eruption of violence on each occasion was the manifestation of the collective anger of minorities that had been incubating over a long period against the domination of the Hausa/Fulani hegemony. Religious and socio–economic considerations were only incidental factors. It is stressed that, even though the disturbances started as ethnic conflicts, they spread rapidly to other towns in the wake of rumours of their religious connotations. The Christian–Muslim conflict, which is traced back to the 1979 Shari'a controversy, is believed to have done serious damage to the unity of Nigerian society. The article sees the practical solution to this problem as lying more in the use of the school system in inculcating the spirit of mutual acceptance and harmonious co–existence, than in the creation of chiefdoms which tend to cause separation and division. © 1998, Taylor &amp; Francis Group, LLC.","author":[{"dropping-particle":"","family":"Opeloye","given":"Muhib O.","non-dropping-particle":"","parse-names":false,"suffix":""}],"container-title":"Islam and Christian-Muslim Relations","id":"ITEM-1","issue":"1","issued":{"date-parts":[["1998","7","18"]]},"page":"231-237","title":"The socio–political factor in the christian–muslim conflict in nigeria","type":"article-journal","volume":"21"},"uris":["http://www.mendeley.com/documents/?uuid=c4be4a39-d578-3a55-a534-2af8554eb426"]},{"id":"ITEM-2","itemData":{"DOI":"10.1080/09596410701214019","ISSN":"09596410","abstract":"Christian - Muslim relations, even at the best of times, have always been disturbingly marred by suspicion, accusations and counter-accusations over interpretations of history and experiences. This has been further confounded by the very complex nature of the colonial histories on the African continent, where the destruction of existing civilizations, empires and emperors provided the foundation stones for the establishment of the colonial states that later emerged. The article provides insights into some of the major issues that serve as constraints in Christian - Muslim relations in some of the countries in sub-Saharan Africa. It reviews issues of Christian - Muslim relations against the backdrop of the return of democracy in most of sub-Saharan Africa in the last ten or fifteen years and points out some policy issues that African states will need to address to lay a foundation for dialogue.","author":[{"dropping-particle":"","family":"Kukah","given":"Matthew Hassan","non-dropping-particle":"","parse-names":false,"suffix":""}],"container-title":"Islam and Christian-Muslim Relations","id":"ITEM-2","issue":"2","issued":{"date-parts":[["2007","4"]]},"page":"155-164","publisher":" Routledge ","title":"Christian - Muslim relations in sub-Saharan Africa: Problems and prospects","type":"paper-conference","volume":"18"},"uris":["http://www.mendeley.com/documents/?uuid=38b79052-3c18-3477-b312-a1f94319fa94"]}],"mendeley":{"formattedCitation":"(Opeloye 1998, Kukah 2007)","plainTextFormattedCitation":"(Opeloye 1998, Kukah 2007)","previouslyFormattedCitation":"(Opeloye 1998, Kukah 2007)"},"properties":{"noteIndex":0},"schema":"https://github.com/citation-style-language/schema/raw/master/csl-citation.json"}</w:instrText>
      </w:r>
      <w:r w:rsidRPr="00A4290C">
        <w:rPr>
          <w:sz w:val="24"/>
          <w:szCs w:val="24"/>
        </w:rPr>
        <w:fldChar w:fldCharType="separate"/>
      </w:r>
      <w:r w:rsidR="00A4290C" w:rsidRPr="00A4290C">
        <w:rPr>
          <w:noProof/>
          <w:sz w:val="24"/>
          <w:szCs w:val="24"/>
        </w:rPr>
        <w:t>(Opeloye 1998, Kukah 2007)</w:t>
      </w:r>
      <w:r w:rsidRPr="00A4290C">
        <w:rPr>
          <w:sz w:val="24"/>
          <w:szCs w:val="24"/>
        </w:rPr>
        <w:fldChar w:fldCharType="end"/>
      </w:r>
      <w:r w:rsidR="00997A73">
        <w:rPr>
          <w:sz w:val="24"/>
          <w:szCs w:val="24"/>
        </w:rPr>
        <w:t xml:space="preserve"> – </w:t>
      </w:r>
      <w:r w:rsidR="00997A73" w:rsidRPr="00997A73">
        <w:rPr>
          <w:i/>
          <w:iCs/>
          <w:sz w:val="24"/>
          <w:szCs w:val="24"/>
        </w:rPr>
        <w:t>PDF copies a</w:t>
      </w:r>
      <w:r w:rsidR="000D3108">
        <w:rPr>
          <w:i/>
          <w:iCs/>
          <w:sz w:val="24"/>
          <w:szCs w:val="24"/>
        </w:rPr>
        <w:t>vailable.</w:t>
      </w:r>
    </w:p>
    <w:p w14:paraId="3DA09795" w14:textId="42457C94" w:rsidR="00F23B86" w:rsidRDefault="00F23B86" w:rsidP="00F23B86">
      <w:pPr>
        <w:spacing w:line="276" w:lineRule="auto"/>
        <w:jc w:val="both"/>
        <w:rPr>
          <w:sz w:val="24"/>
          <w:szCs w:val="24"/>
        </w:rPr>
      </w:pPr>
      <w:r>
        <w:rPr>
          <w:sz w:val="24"/>
          <w:szCs w:val="24"/>
        </w:rPr>
        <w:t>References</w:t>
      </w:r>
    </w:p>
    <w:p w14:paraId="71470D14" w14:textId="7B891F65" w:rsidR="00CE4D4A" w:rsidRPr="00CE4D4A" w:rsidRDefault="00F23B86" w:rsidP="00CE4D4A">
      <w:pPr>
        <w:widowControl w:val="0"/>
        <w:autoSpaceDE w:val="0"/>
        <w:autoSpaceDN w:val="0"/>
        <w:adjustRightInd w:val="0"/>
        <w:spacing w:line="240" w:lineRule="auto"/>
        <w:ind w:left="480" w:hanging="480"/>
        <w:rPr>
          <w:rFonts w:ascii="Calibri" w:hAnsi="Calibri" w:cs="Calibri"/>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00CE4D4A" w:rsidRPr="00CE4D4A">
        <w:rPr>
          <w:rFonts w:ascii="Calibri" w:hAnsi="Calibri" w:cs="Calibri"/>
          <w:noProof/>
          <w:sz w:val="24"/>
          <w:szCs w:val="24"/>
        </w:rPr>
        <w:t xml:space="preserve">Kassim, A. and Nwankpa, M., eds., 2018. </w:t>
      </w:r>
      <w:r w:rsidR="00CE4D4A" w:rsidRPr="00CE4D4A">
        <w:rPr>
          <w:rFonts w:ascii="Calibri" w:hAnsi="Calibri" w:cs="Calibri"/>
          <w:i/>
          <w:iCs/>
          <w:noProof/>
          <w:sz w:val="24"/>
          <w:szCs w:val="24"/>
        </w:rPr>
        <w:t>The Boko Haram Reader: From Nigerian Preachers to the Islamic State</w:t>
      </w:r>
      <w:r w:rsidR="00CE4D4A" w:rsidRPr="00CE4D4A">
        <w:rPr>
          <w:rFonts w:ascii="Calibri" w:hAnsi="Calibri" w:cs="Calibri"/>
          <w:noProof/>
          <w:sz w:val="24"/>
          <w:szCs w:val="24"/>
        </w:rPr>
        <w:t>. London: Hurst and Company.</w:t>
      </w:r>
    </w:p>
    <w:p w14:paraId="4DCDB971" w14:textId="77777777" w:rsidR="00CE4D4A" w:rsidRPr="00CE4D4A" w:rsidRDefault="00CE4D4A" w:rsidP="00CE4D4A">
      <w:pPr>
        <w:widowControl w:val="0"/>
        <w:autoSpaceDE w:val="0"/>
        <w:autoSpaceDN w:val="0"/>
        <w:adjustRightInd w:val="0"/>
        <w:spacing w:line="240" w:lineRule="auto"/>
        <w:ind w:left="480" w:hanging="480"/>
        <w:rPr>
          <w:rFonts w:ascii="Calibri" w:hAnsi="Calibri" w:cs="Calibri"/>
          <w:noProof/>
          <w:sz w:val="24"/>
          <w:szCs w:val="24"/>
        </w:rPr>
      </w:pPr>
      <w:r w:rsidRPr="00CE4D4A">
        <w:rPr>
          <w:rFonts w:ascii="Calibri" w:hAnsi="Calibri" w:cs="Calibri"/>
          <w:noProof/>
          <w:sz w:val="24"/>
          <w:szCs w:val="24"/>
        </w:rPr>
        <w:t xml:space="preserve">Kukah, M.H., 2007. Christian - Muslim relations in sub-Saharan Africa: Problems and prospects. </w:t>
      </w:r>
      <w:r w:rsidRPr="00CE4D4A">
        <w:rPr>
          <w:rFonts w:ascii="Calibri" w:hAnsi="Calibri" w:cs="Calibri"/>
          <w:i/>
          <w:iCs/>
          <w:noProof/>
          <w:sz w:val="24"/>
          <w:szCs w:val="24"/>
        </w:rPr>
        <w:t>In</w:t>
      </w:r>
      <w:r w:rsidRPr="00CE4D4A">
        <w:rPr>
          <w:rFonts w:ascii="Calibri" w:hAnsi="Calibri" w:cs="Calibri"/>
          <w:noProof/>
          <w:sz w:val="24"/>
          <w:szCs w:val="24"/>
        </w:rPr>
        <w:t xml:space="preserve">: </w:t>
      </w:r>
      <w:r w:rsidRPr="00CE4D4A">
        <w:rPr>
          <w:rFonts w:ascii="Calibri" w:hAnsi="Calibri" w:cs="Calibri"/>
          <w:i/>
          <w:iCs/>
          <w:noProof/>
          <w:sz w:val="24"/>
          <w:szCs w:val="24"/>
        </w:rPr>
        <w:t>Islam and Christian-Muslim Relations</w:t>
      </w:r>
      <w:r w:rsidRPr="00CE4D4A">
        <w:rPr>
          <w:rFonts w:ascii="Calibri" w:hAnsi="Calibri" w:cs="Calibri"/>
          <w:noProof/>
          <w:sz w:val="24"/>
          <w:szCs w:val="24"/>
        </w:rPr>
        <w:t>.  Routledge , 155–164.</w:t>
      </w:r>
    </w:p>
    <w:p w14:paraId="68500395" w14:textId="77777777" w:rsidR="00CE4D4A" w:rsidRPr="00CE4D4A" w:rsidRDefault="00CE4D4A" w:rsidP="00CE4D4A">
      <w:pPr>
        <w:widowControl w:val="0"/>
        <w:autoSpaceDE w:val="0"/>
        <w:autoSpaceDN w:val="0"/>
        <w:adjustRightInd w:val="0"/>
        <w:spacing w:line="240" w:lineRule="auto"/>
        <w:ind w:left="480" w:hanging="480"/>
        <w:rPr>
          <w:rFonts w:ascii="Calibri" w:hAnsi="Calibri" w:cs="Calibri"/>
          <w:noProof/>
          <w:sz w:val="24"/>
          <w:szCs w:val="24"/>
        </w:rPr>
      </w:pPr>
      <w:r w:rsidRPr="00CE4D4A">
        <w:rPr>
          <w:rFonts w:ascii="Calibri" w:hAnsi="Calibri" w:cs="Calibri"/>
          <w:noProof/>
          <w:sz w:val="24"/>
          <w:szCs w:val="24"/>
        </w:rPr>
        <w:t xml:space="preserve">Obadare, E., 2018. </w:t>
      </w:r>
      <w:r w:rsidRPr="00CE4D4A">
        <w:rPr>
          <w:rFonts w:ascii="Calibri" w:hAnsi="Calibri" w:cs="Calibri"/>
          <w:i/>
          <w:iCs/>
          <w:noProof/>
          <w:sz w:val="24"/>
          <w:szCs w:val="24"/>
        </w:rPr>
        <w:t>Pentecostal Republic: Religion and the Struggle for State Power in Nigeria</w:t>
      </w:r>
      <w:r w:rsidRPr="00CE4D4A">
        <w:rPr>
          <w:rFonts w:ascii="Calibri" w:hAnsi="Calibri" w:cs="Calibri"/>
          <w:noProof/>
          <w:sz w:val="24"/>
          <w:szCs w:val="24"/>
        </w:rPr>
        <w:t>. London: Zed Books.</w:t>
      </w:r>
    </w:p>
    <w:p w14:paraId="60A65BAB" w14:textId="77777777" w:rsidR="00CE4D4A" w:rsidRPr="00CE4D4A" w:rsidRDefault="00CE4D4A" w:rsidP="00CE4D4A">
      <w:pPr>
        <w:widowControl w:val="0"/>
        <w:autoSpaceDE w:val="0"/>
        <w:autoSpaceDN w:val="0"/>
        <w:adjustRightInd w:val="0"/>
        <w:spacing w:line="240" w:lineRule="auto"/>
        <w:ind w:left="480" w:hanging="480"/>
        <w:rPr>
          <w:rFonts w:ascii="Calibri" w:hAnsi="Calibri" w:cs="Calibri"/>
          <w:noProof/>
          <w:sz w:val="24"/>
          <w:szCs w:val="24"/>
        </w:rPr>
      </w:pPr>
      <w:r w:rsidRPr="00CE4D4A">
        <w:rPr>
          <w:rFonts w:ascii="Calibri" w:hAnsi="Calibri" w:cs="Calibri"/>
          <w:noProof/>
          <w:sz w:val="24"/>
          <w:szCs w:val="24"/>
        </w:rPr>
        <w:t xml:space="preserve">Opeloye, M.O., 1998. The socio–political factor in the christian–muslim conflict in nigeria. </w:t>
      </w:r>
      <w:r w:rsidRPr="00CE4D4A">
        <w:rPr>
          <w:rFonts w:ascii="Calibri" w:hAnsi="Calibri" w:cs="Calibri"/>
          <w:i/>
          <w:iCs/>
          <w:noProof/>
          <w:sz w:val="24"/>
          <w:szCs w:val="24"/>
        </w:rPr>
        <w:t>Islam and Christian-Muslim Relations</w:t>
      </w:r>
      <w:r w:rsidRPr="00CE4D4A">
        <w:rPr>
          <w:rFonts w:ascii="Calibri" w:hAnsi="Calibri" w:cs="Calibri"/>
          <w:noProof/>
          <w:sz w:val="24"/>
          <w:szCs w:val="24"/>
        </w:rPr>
        <w:t>, 21 (1), 231–237.</w:t>
      </w:r>
    </w:p>
    <w:p w14:paraId="6917A894" w14:textId="77777777" w:rsidR="00CE4D4A" w:rsidRPr="00CE4D4A" w:rsidRDefault="00CE4D4A" w:rsidP="00CE4D4A">
      <w:pPr>
        <w:widowControl w:val="0"/>
        <w:autoSpaceDE w:val="0"/>
        <w:autoSpaceDN w:val="0"/>
        <w:adjustRightInd w:val="0"/>
        <w:spacing w:line="240" w:lineRule="auto"/>
        <w:ind w:left="480" w:hanging="480"/>
        <w:rPr>
          <w:rFonts w:ascii="Calibri" w:hAnsi="Calibri" w:cs="Calibri"/>
          <w:noProof/>
          <w:sz w:val="24"/>
          <w:szCs w:val="24"/>
        </w:rPr>
      </w:pPr>
      <w:r w:rsidRPr="00CE4D4A">
        <w:rPr>
          <w:rFonts w:ascii="Calibri" w:hAnsi="Calibri" w:cs="Calibri"/>
          <w:noProof/>
          <w:sz w:val="24"/>
          <w:szCs w:val="24"/>
        </w:rPr>
        <w:t xml:space="preserve">Peel, J.D.Y., 2015. </w:t>
      </w:r>
      <w:r w:rsidRPr="00CE4D4A">
        <w:rPr>
          <w:rFonts w:ascii="Calibri" w:hAnsi="Calibri" w:cs="Calibri"/>
          <w:i/>
          <w:iCs/>
          <w:noProof/>
          <w:sz w:val="24"/>
          <w:szCs w:val="24"/>
        </w:rPr>
        <w:t>Christianity, Islam, and Oriṣa Religion: Three Traditions in Comparison and Interaction</w:t>
      </w:r>
      <w:r w:rsidRPr="00CE4D4A">
        <w:rPr>
          <w:rFonts w:ascii="Calibri" w:hAnsi="Calibri" w:cs="Calibri"/>
          <w:noProof/>
          <w:sz w:val="24"/>
          <w:szCs w:val="24"/>
        </w:rPr>
        <w:t>. University of California Press.</w:t>
      </w:r>
    </w:p>
    <w:p w14:paraId="4BAB2077" w14:textId="77777777" w:rsidR="00CE4D4A" w:rsidRPr="00CE4D4A" w:rsidRDefault="00CE4D4A" w:rsidP="00CE4D4A">
      <w:pPr>
        <w:widowControl w:val="0"/>
        <w:autoSpaceDE w:val="0"/>
        <w:autoSpaceDN w:val="0"/>
        <w:adjustRightInd w:val="0"/>
        <w:spacing w:line="240" w:lineRule="auto"/>
        <w:ind w:left="480" w:hanging="480"/>
        <w:rPr>
          <w:rFonts w:ascii="Calibri" w:hAnsi="Calibri" w:cs="Calibri"/>
          <w:noProof/>
          <w:sz w:val="24"/>
          <w:szCs w:val="24"/>
        </w:rPr>
      </w:pPr>
      <w:r w:rsidRPr="00CE4D4A">
        <w:rPr>
          <w:rFonts w:ascii="Calibri" w:hAnsi="Calibri" w:cs="Calibri"/>
          <w:noProof/>
          <w:sz w:val="24"/>
          <w:szCs w:val="24"/>
        </w:rPr>
        <w:t xml:space="preserve">Thurston, A., 2018. </w:t>
      </w:r>
      <w:r w:rsidRPr="00CE4D4A">
        <w:rPr>
          <w:rFonts w:ascii="Calibri" w:hAnsi="Calibri" w:cs="Calibri"/>
          <w:i/>
          <w:iCs/>
          <w:noProof/>
          <w:sz w:val="24"/>
          <w:szCs w:val="24"/>
        </w:rPr>
        <w:t>Boko Haram: The History of an African Jihadist Movement</w:t>
      </w:r>
      <w:r w:rsidRPr="00CE4D4A">
        <w:rPr>
          <w:rFonts w:ascii="Calibri" w:hAnsi="Calibri" w:cs="Calibri"/>
          <w:noProof/>
          <w:sz w:val="24"/>
          <w:szCs w:val="24"/>
        </w:rPr>
        <w:t>. Princeton and London: Princeton University Press.</w:t>
      </w:r>
    </w:p>
    <w:p w14:paraId="7F0941E1" w14:textId="77777777" w:rsidR="00CE4D4A" w:rsidRPr="00CE4D4A" w:rsidRDefault="00CE4D4A" w:rsidP="00CE4D4A">
      <w:pPr>
        <w:widowControl w:val="0"/>
        <w:autoSpaceDE w:val="0"/>
        <w:autoSpaceDN w:val="0"/>
        <w:adjustRightInd w:val="0"/>
        <w:spacing w:line="240" w:lineRule="auto"/>
        <w:ind w:left="480" w:hanging="480"/>
        <w:rPr>
          <w:rFonts w:ascii="Calibri" w:hAnsi="Calibri" w:cs="Calibri"/>
          <w:noProof/>
          <w:sz w:val="24"/>
        </w:rPr>
      </w:pPr>
      <w:r w:rsidRPr="00CE4D4A">
        <w:rPr>
          <w:rFonts w:ascii="Calibri" w:hAnsi="Calibri" w:cs="Calibri"/>
          <w:noProof/>
          <w:sz w:val="24"/>
          <w:szCs w:val="24"/>
        </w:rPr>
        <w:t xml:space="preserve">Vaughan, O., 2016. </w:t>
      </w:r>
      <w:r w:rsidRPr="00CE4D4A">
        <w:rPr>
          <w:rFonts w:ascii="Calibri" w:hAnsi="Calibri" w:cs="Calibri"/>
          <w:i/>
          <w:iCs/>
          <w:noProof/>
          <w:sz w:val="24"/>
          <w:szCs w:val="24"/>
        </w:rPr>
        <w:t>Religion and the Making of Nigeria</w:t>
      </w:r>
      <w:r w:rsidRPr="00CE4D4A">
        <w:rPr>
          <w:rFonts w:ascii="Calibri" w:hAnsi="Calibri" w:cs="Calibri"/>
          <w:noProof/>
          <w:sz w:val="24"/>
          <w:szCs w:val="24"/>
        </w:rPr>
        <w:t>. Durham and London: Duke University Press.</w:t>
      </w:r>
    </w:p>
    <w:p w14:paraId="7EC91C11" w14:textId="2C1C5838" w:rsidR="00F23B86" w:rsidRDefault="00F23B86" w:rsidP="00F23B86">
      <w:pPr>
        <w:spacing w:line="276" w:lineRule="auto"/>
        <w:jc w:val="both"/>
        <w:rPr>
          <w:sz w:val="24"/>
          <w:szCs w:val="24"/>
        </w:rPr>
      </w:pPr>
      <w:r>
        <w:rPr>
          <w:sz w:val="24"/>
          <w:szCs w:val="24"/>
        </w:rPr>
        <w:fldChar w:fldCharType="end"/>
      </w:r>
    </w:p>
    <w:p w14:paraId="09A21A65" w14:textId="77777777" w:rsidR="00F23B86" w:rsidRPr="00F23B86" w:rsidRDefault="00F23B86" w:rsidP="00F23B86">
      <w:pPr>
        <w:spacing w:line="276" w:lineRule="auto"/>
        <w:jc w:val="both"/>
        <w:rPr>
          <w:sz w:val="24"/>
          <w:szCs w:val="24"/>
        </w:rPr>
      </w:pPr>
    </w:p>
    <w:p w14:paraId="67D02770" w14:textId="77777777" w:rsidR="006161EB" w:rsidRDefault="006161EB"/>
    <w:sectPr w:rsidR="006161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F0E204" w14:textId="77777777" w:rsidR="00E177DD" w:rsidRDefault="00E177DD" w:rsidP="00FD633A">
      <w:pPr>
        <w:spacing w:after="0" w:line="240" w:lineRule="auto"/>
      </w:pPr>
      <w:r>
        <w:separator/>
      </w:r>
    </w:p>
  </w:endnote>
  <w:endnote w:type="continuationSeparator" w:id="0">
    <w:p w14:paraId="16C65668" w14:textId="77777777" w:rsidR="00E177DD" w:rsidRDefault="00E177DD" w:rsidP="00FD6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2CCC94" w14:textId="77777777" w:rsidR="00E177DD" w:rsidRDefault="00E177DD" w:rsidP="00FD633A">
      <w:pPr>
        <w:spacing w:after="0" w:line="240" w:lineRule="auto"/>
      </w:pPr>
      <w:r>
        <w:separator/>
      </w:r>
    </w:p>
  </w:footnote>
  <w:footnote w:type="continuationSeparator" w:id="0">
    <w:p w14:paraId="314230E0" w14:textId="77777777" w:rsidR="00E177DD" w:rsidRDefault="00E177DD" w:rsidP="00FD633A">
      <w:pPr>
        <w:spacing w:after="0" w:line="240" w:lineRule="auto"/>
      </w:pPr>
      <w:r>
        <w:continuationSeparator/>
      </w:r>
    </w:p>
  </w:footnote>
  <w:footnote w:id="1">
    <w:p w14:paraId="7E69FC25" w14:textId="262BB019" w:rsidR="00FD633A" w:rsidRDefault="00FD633A" w:rsidP="00FD633A">
      <w:pPr>
        <w:pStyle w:val="FootnoteText"/>
      </w:pPr>
      <w:r w:rsidRPr="00535D97">
        <w:rPr>
          <w:rStyle w:val="FootnoteReference"/>
        </w:rPr>
        <w:footnoteRef/>
      </w:r>
      <w:r>
        <w:t xml:space="preserve"> See, for instance, </w:t>
      </w:r>
      <w:r>
        <w:fldChar w:fldCharType="begin" w:fldLock="1"/>
      </w:r>
      <w:r w:rsidR="00CE4D4A">
        <w:instrText>ADDIN CSL_CITATION {"citationItems":[{"id":"ITEM-1","itemData":{"author":[{"dropping-particle":"","family":"Thurston","given":"Alexander","non-dropping-particle":"","parse-names":false,"suffix":""}],"id":"ITEM-1","issued":{"date-parts":[["2018"]]},"publisher":"Princeton University Press","publisher-place":"Princeton and London","title":"Boko Haram: The History of an African Jihadist Movement","type":"book"},"uris":["http://www.mendeley.com/documents/?uuid=254571b0-c13d-422c-9e68-7bfc3680a5f9"]},{"id":"ITEM-2","itemData":{"editor":[{"dropping-particle":"","family":"Kassim","given":"Abdulbasit","non-dropping-particle":"","parse-names":false,"suffix":""},{"dropping-particle":"","family":"Nwankpa","given":"Michael","non-dropping-particle":"","parse-names":false,"suffix":""}],"id":"ITEM-2","issued":{"date-parts":[["2018"]]},"publisher":"Hurst and Company","publisher-place":"London","title":"The Boko Haram Reader: From Nigerian Preachers to the Islamic State","type":"book"},"uris":["http://www.mendeley.com/documents/?uuid=b2e6948d-56be-4d99-b54d-ede32ffeb13e"]}],"mendeley":{"formattedCitation":"(Kassim and Nwankpa 2018, Thurston 2018)","plainTextFormattedCitation":"(Kassim and Nwankpa 2018, Thurston 2018)","previouslyFormattedCitation":"(Kassim and Nwankpa n.d., Thurston 2018)"},"properties":{"noteIndex":0},"schema":"https://github.com/citation-style-language/schema/raw/master/csl-citation.json"}</w:instrText>
      </w:r>
      <w:r>
        <w:fldChar w:fldCharType="separate"/>
      </w:r>
      <w:r w:rsidR="00CE4D4A" w:rsidRPr="00CE4D4A">
        <w:rPr>
          <w:noProof/>
        </w:rPr>
        <w:t>(Kassim and Nwankpa 2018, Thurston 2018)</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632391"/>
    <w:multiLevelType w:val="hybridMultilevel"/>
    <w:tmpl w:val="78A6D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MxMjA1NjG3NDS1NLZQ0lEKTi0uzszPAykwrwUA7HH0VCwAAAA="/>
  </w:docVars>
  <w:rsids>
    <w:rsidRoot w:val="00FD633A"/>
    <w:rsid w:val="000322A5"/>
    <w:rsid w:val="000876FC"/>
    <w:rsid w:val="00091FAE"/>
    <w:rsid w:val="000D3108"/>
    <w:rsid w:val="001649D4"/>
    <w:rsid w:val="001B0296"/>
    <w:rsid w:val="001C7B21"/>
    <w:rsid w:val="0020388C"/>
    <w:rsid w:val="00207FD0"/>
    <w:rsid w:val="002C5D56"/>
    <w:rsid w:val="002F47A8"/>
    <w:rsid w:val="0031110C"/>
    <w:rsid w:val="003350B7"/>
    <w:rsid w:val="00373FA6"/>
    <w:rsid w:val="003A57F4"/>
    <w:rsid w:val="003B176E"/>
    <w:rsid w:val="003B6E67"/>
    <w:rsid w:val="0049482E"/>
    <w:rsid w:val="004E47D7"/>
    <w:rsid w:val="004F14FD"/>
    <w:rsid w:val="00523801"/>
    <w:rsid w:val="00535D97"/>
    <w:rsid w:val="00541B16"/>
    <w:rsid w:val="0054561E"/>
    <w:rsid w:val="005D463A"/>
    <w:rsid w:val="006111FF"/>
    <w:rsid w:val="006161EB"/>
    <w:rsid w:val="00627846"/>
    <w:rsid w:val="00661F1D"/>
    <w:rsid w:val="006A7864"/>
    <w:rsid w:val="006A7961"/>
    <w:rsid w:val="006F1658"/>
    <w:rsid w:val="00715BD6"/>
    <w:rsid w:val="007177CB"/>
    <w:rsid w:val="00740E19"/>
    <w:rsid w:val="00746E11"/>
    <w:rsid w:val="00754790"/>
    <w:rsid w:val="007B5612"/>
    <w:rsid w:val="007C5AE0"/>
    <w:rsid w:val="007D5BCC"/>
    <w:rsid w:val="007F52FD"/>
    <w:rsid w:val="0083197F"/>
    <w:rsid w:val="00854A95"/>
    <w:rsid w:val="008B4DB9"/>
    <w:rsid w:val="00966CBD"/>
    <w:rsid w:val="00995019"/>
    <w:rsid w:val="00997A73"/>
    <w:rsid w:val="00A01A08"/>
    <w:rsid w:val="00A0643D"/>
    <w:rsid w:val="00A16A91"/>
    <w:rsid w:val="00A4290C"/>
    <w:rsid w:val="00A47485"/>
    <w:rsid w:val="00A855F4"/>
    <w:rsid w:val="00A86F18"/>
    <w:rsid w:val="00AE1567"/>
    <w:rsid w:val="00AE2468"/>
    <w:rsid w:val="00BA5B5B"/>
    <w:rsid w:val="00BA6181"/>
    <w:rsid w:val="00BE28D2"/>
    <w:rsid w:val="00C05F2B"/>
    <w:rsid w:val="00C37424"/>
    <w:rsid w:val="00C44721"/>
    <w:rsid w:val="00C53039"/>
    <w:rsid w:val="00C5477E"/>
    <w:rsid w:val="00C56CEF"/>
    <w:rsid w:val="00C801D2"/>
    <w:rsid w:val="00C80D82"/>
    <w:rsid w:val="00CC4F0F"/>
    <w:rsid w:val="00CE4D4A"/>
    <w:rsid w:val="00D50B91"/>
    <w:rsid w:val="00D85241"/>
    <w:rsid w:val="00E01194"/>
    <w:rsid w:val="00E177DD"/>
    <w:rsid w:val="00E86689"/>
    <w:rsid w:val="00E96F07"/>
    <w:rsid w:val="00ED2AF0"/>
    <w:rsid w:val="00EF0D91"/>
    <w:rsid w:val="00EF5D31"/>
    <w:rsid w:val="00F23B86"/>
    <w:rsid w:val="00FD2B3A"/>
    <w:rsid w:val="00FD6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AE9442"/>
  <w15:chartTrackingRefBased/>
  <w15:docId w15:val="{B7C31594-C5EE-4A29-A8E2-D546D3CE0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3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D63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633A"/>
    <w:rPr>
      <w:sz w:val="20"/>
      <w:szCs w:val="20"/>
    </w:rPr>
  </w:style>
  <w:style w:type="character" w:styleId="FootnoteReference">
    <w:name w:val="footnote reference"/>
    <w:basedOn w:val="DefaultParagraphFont"/>
    <w:uiPriority w:val="99"/>
    <w:semiHidden/>
    <w:unhideWhenUsed/>
    <w:rsid w:val="00FD633A"/>
    <w:rPr>
      <w:vertAlign w:val="superscript"/>
    </w:rPr>
  </w:style>
  <w:style w:type="paragraph" w:styleId="ListParagraph">
    <w:name w:val="List Paragraph"/>
    <w:basedOn w:val="Normal"/>
    <w:uiPriority w:val="34"/>
    <w:qFormat/>
    <w:rsid w:val="00BE28D2"/>
    <w:pPr>
      <w:ind w:left="720"/>
      <w:contextualSpacing/>
    </w:pPr>
  </w:style>
  <w:style w:type="character" w:styleId="EndnoteReference">
    <w:name w:val="endnote reference"/>
    <w:basedOn w:val="DefaultParagraphFont"/>
    <w:uiPriority w:val="99"/>
    <w:semiHidden/>
    <w:unhideWhenUsed/>
    <w:rsid w:val="00535D9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E5BA14-312A-484F-BD96-4A068F0D9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Pages>
  <Words>1945</Words>
  <Characters>11091</Characters>
  <Application>Microsoft Office Word</Application>
  <DocSecurity>0</DocSecurity>
  <Lines>92</Lines>
  <Paragraphs>26</Paragraphs>
  <ScaleCrop>false</ScaleCrop>
  <Company/>
  <LinksUpToDate>false</LinksUpToDate>
  <CharactersWithSpaces>13010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Wemimo Jaiyesimi (1710721)</dc:creator>
  <cp:keywords/>
  <dc:description/>
  <cp:lastModifiedBy>Wemimo Jaiyesimi (1710721)</cp:lastModifiedBy>
  <cp:revision>78</cp:revision>
  <dcterms:created xsi:type="dcterms:W3CDTF">2020-10-06T01:15:00Z</dcterms:created>
  <dcterms:modified xsi:type="dcterms:W3CDTF">2020-10-26T01:02:00Z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dd4e84d3-a015-39c6-b4d6-e0b50acfe519</vt:lpwstr>
  </property>
  <property fmtid="{D5CDD505-2E9C-101B-9397-08002B2CF9AE}" pid="4" name="Mendeley Citation Style_1">
    <vt:lpwstr>http://www.zotero.org/styles/taylor-and-francis-harvard-x</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6th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http://www.zotero.org/styles/chicago-fullnote-bibliography</vt:lpwstr>
  </property>
  <property fmtid="{D5CDD505-2E9C-101B-9397-08002B2CF9AE}" pid="14" name="Mendeley Recent Style Name 4_1">
    <vt:lpwstr>Chicago Manual of Style 17th edition (full note)</vt:lpwstr>
  </property>
  <property fmtid="{D5CDD505-2E9C-101B-9397-08002B2CF9AE}" pid="15" name="Mendeley Recent Style Id 5_1">
    <vt:lpwstr>http://www.zotero.org/styles/chicago-note-bibliography</vt:lpwstr>
  </property>
  <property fmtid="{D5CDD505-2E9C-101B-9397-08002B2CF9AE}" pid="16" name="Mendeley Recent Style Name 5_1">
    <vt:lpwstr>Chicago Manual of Style 17th edition (note)</vt:lpwstr>
  </property>
  <property fmtid="{D5CDD505-2E9C-101B-9397-08002B2CF9AE}" pid="17" name="Mendeley Recent Style Id 6_1">
    <vt:lpwstr>http://www.zotero.org/styles/harvard-cite-them-right</vt:lpwstr>
  </property>
  <property fmtid="{D5CDD505-2E9C-101B-9397-08002B2CF9AE}" pid="18" name="Mendeley Recent Style Name 6_1">
    <vt:lpwstr>Cite Them Right 10th edition - Harvard</vt:lpwstr>
  </property>
  <property fmtid="{D5CDD505-2E9C-101B-9397-08002B2CF9AE}" pid="19" name="Mendeley Recent Style Id 7_1">
    <vt:lpwstr>http://www.zotero.org/styles/ieee</vt:lpwstr>
  </property>
  <property fmtid="{D5CDD505-2E9C-101B-9397-08002B2CF9AE}" pid="20" name="Mendeley Recent Style Name 7_1">
    <vt:lpwstr>IEEE</vt:lpwstr>
  </property>
  <property fmtid="{D5CDD505-2E9C-101B-9397-08002B2CF9AE}" pid="21" name="Mendeley Recent Style Id 8_1">
    <vt:lpwstr>http://www.zotero.org/styles/religions</vt:lpwstr>
  </property>
  <property fmtid="{D5CDD505-2E9C-101B-9397-08002B2CF9AE}" pid="22" name="Mendeley Recent Style Name 8_1">
    <vt:lpwstr>Religions</vt:lpwstr>
  </property>
  <property fmtid="{D5CDD505-2E9C-101B-9397-08002B2CF9AE}" pid="23" name="Mendeley Recent Style Id 9_1">
    <vt:lpwstr>http://www.zotero.org/styles/taylor-and-francis-harvard-x</vt:lpwstr>
  </property>
  <property fmtid="{D5CDD505-2E9C-101B-9397-08002B2CF9AE}" pid="24" name="Mendeley Recent Style Name 9_1">
    <vt:lpwstr>Taylor &amp; Francis - Harvard X</vt:lpwstr>
  </property>
</Properties>
</file>