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35221387"/>
        <w:docPartObj>
          <w:docPartGallery w:val="Cover Pages"/>
          <w:docPartUnique/>
        </w:docPartObj>
      </w:sdtPr>
      <w:sdtEndPr>
        <w:rPr>
          <w:rFonts w:ascii="Arial" w:hAnsi="Arial" w:cs="Arial"/>
          <w:b/>
          <w:bCs/>
          <w:color w:val="196B24" w:themeColor="accent3"/>
          <w:u w:val="double"/>
        </w:rPr>
      </w:sdtEndPr>
      <w:sdtContent>
        <w:p w14:paraId="1D61F4DA" w14:textId="5D81B627" w:rsidR="00227287" w:rsidRPr="00B124B0" w:rsidRDefault="00227287" w:rsidP="00227287">
          <w:pPr>
            <w:rPr>
              <w:rFonts w:ascii="Arial Black" w:hAnsi="Arial Black"/>
              <w:color w:val="196B24" w:themeColor="accent3"/>
            </w:rPr>
          </w:pPr>
          <w:r w:rsidRPr="00B124B0">
            <w:rPr>
              <w:rFonts w:ascii="Arial Black" w:hAnsi="Arial Black"/>
              <w:color w:val="196B24" w:themeColor="accent3"/>
            </w:rPr>
            <w:t>Student name:</w:t>
          </w:r>
          <w:r w:rsidRPr="00B124B0">
            <w:rPr>
              <w:rFonts w:ascii="Arial Black" w:hAnsi="Arial Black"/>
              <w:color w:val="196B24" w:themeColor="accent3"/>
            </w:rPr>
            <w:t xml:space="preserve"> Armina Margel </w:t>
          </w:r>
          <w:r w:rsidRPr="00B124B0">
            <w:rPr>
              <w:rFonts w:ascii="Arial Black" w:hAnsi="Arial Black"/>
              <w:color w:val="196B24" w:themeColor="accent3"/>
            </w:rPr>
            <w:tab/>
          </w:r>
        </w:p>
        <w:p w14:paraId="51FB1CE5" w14:textId="6DEDBB6A" w:rsidR="00227287" w:rsidRPr="00B124B0" w:rsidRDefault="00227287" w:rsidP="00227287">
          <w:pPr>
            <w:rPr>
              <w:rFonts w:ascii="Arial Black" w:hAnsi="Arial Black"/>
              <w:color w:val="196B24" w:themeColor="accent3"/>
            </w:rPr>
          </w:pPr>
          <w:r w:rsidRPr="00B124B0">
            <w:rPr>
              <w:rFonts w:ascii="Arial Black" w:hAnsi="Arial Black"/>
              <w:color w:val="196B24" w:themeColor="accent3"/>
            </w:rPr>
            <w:t>Programme:</w:t>
          </w:r>
          <w:r w:rsidR="00B124B0">
            <w:rPr>
              <w:rFonts w:ascii="Arial Black" w:hAnsi="Arial Black"/>
              <w:color w:val="196B24" w:themeColor="accent3"/>
            </w:rPr>
            <w:t xml:space="preserve"> </w:t>
          </w:r>
          <w:r w:rsidRPr="00B124B0">
            <w:rPr>
              <w:rFonts w:ascii="Arial Black" w:hAnsi="Arial Black"/>
              <w:color w:val="196B24" w:themeColor="accent3"/>
            </w:rPr>
            <w:t>Sustainability Enterprise</w:t>
          </w:r>
        </w:p>
        <w:p w14:paraId="299064E5" w14:textId="3308E567" w:rsidR="00227287" w:rsidRPr="00B124B0" w:rsidRDefault="00227287" w:rsidP="00227287">
          <w:pPr>
            <w:rPr>
              <w:rFonts w:ascii="Arial Black" w:hAnsi="Arial Black"/>
              <w:color w:val="196B24" w:themeColor="accent3"/>
            </w:rPr>
          </w:pPr>
          <w:r w:rsidRPr="00B124B0">
            <w:rPr>
              <w:rFonts w:ascii="Arial Black" w:hAnsi="Arial Black"/>
              <w:color w:val="196B24" w:themeColor="accent3"/>
            </w:rPr>
            <w:t>Module:</w:t>
          </w:r>
          <w:r w:rsidRPr="00B124B0">
            <w:rPr>
              <w:rFonts w:ascii="Arial Black" w:hAnsi="Arial Black"/>
              <w:color w:val="196B24" w:themeColor="accent3"/>
            </w:rPr>
            <w:t xml:space="preserve"> </w:t>
          </w:r>
          <w:r w:rsidRPr="00B124B0">
            <w:rPr>
              <w:rFonts w:ascii="Arial Black" w:hAnsi="Arial Black"/>
              <w:color w:val="196B24" w:themeColor="accent3"/>
            </w:rPr>
            <w:t>Community Development</w:t>
          </w:r>
        </w:p>
        <w:p w14:paraId="237B67A8" w14:textId="119C1653" w:rsidR="00227287" w:rsidRPr="00B124B0" w:rsidRDefault="00227287" w:rsidP="00227287">
          <w:pPr>
            <w:rPr>
              <w:rFonts w:ascii="Arial Black" w:hAnsi="Arial Black"/>
              <w:color w:val="196B24" w:themeColor="accent3"/>
            </w:rPr>
          </w:pPr>
          <w:r w:rsidRPr="00B124B0">
            <w:rPr>
              <w:rFonts w:ascii="Arial Black" w:hAnsi="Arial Black"/>
              <w:color w:val="196B24" w:themeColor="accent3"/>
            </w:rPr>
            <w:t>Module code:</w:t>
          </w:r>
          <w:r w:rsidR="00B124B0">
            <w:rPr>
              <w:rFonts w:ascii="Arial Black" w:hAnsi="Arial Black"/>
              <w:color w:val="196B24" w:themeColor="accent3"/>
            </w:rPr>
            <w:t xml:space="preserve"> </w:t>
          </w:r>
          <w:r w:rsidRPr="00B124B0">
            <w:rPr>
              <w:rFonts w:ascii="Arial Black" w:hAnsi="Arial Black"/>
              <w:color w:val="196B24" w:themeColor="accent3"/>
            </w:rPr>
            <w:t>BMSE4004D</w:t>
          </w:r>
        </w:p>
        <w:p w14:paraId="06EE39B3" w14:textId="4E3A01A1" w:rsidR="00227287" w:rsidRPr="00B124B0" w:rsidRDefault="00227287" w:rsidP="00227287">
          <w:pPr>
            <w:rPr>
              <w:rFonts w:ascii="Arial Black" w:hAnsi="Arial Black"/>
              <w:color w:val="196B24" w:themeColor="accent3"/>
            </w:rPr>
          </w:pPr>
          <w:r w:rsidRPr="00B124B0">
            <w:rPr>
              <w:rFonts w:ascii="Arial Black" w:hAnsi="Arial Black"/>
              <w:color w:val="196B24" w:themeColor="accent3"/>
            </w:rPr>
            <w:t>Lecturer:</w:t>
          </w:r>
          <w:r w:rsidRPr="00B124B0">
            <w:rPr>
              <w:rFonts w:ascii="Arial Black" w:hAnsi="Arial Black"/>
              <w:color w:val="196B24" w:themeColor="accent3"/>
            </w:rPr>
            <w:t xml:space="preserve"> </w:t>
          </w:r>
          <w:r w:rsidR="00B124B0" w:rsidRPr="00B124B0">
            <w:rPr>
              <w:rFonts w:ascii="Arial Black" w:hAnsi="Arial Black"/>
              <w:color w:val="196B24" w:themeColor="accent3"/>
            </w:rPr>
            <w:t>Christian Felices</w:t>
          </w:r>
          <w:r w:rsidRPr="00B124B0">
            <w:rPr>
              <w:rFonts w:ascii="Arial Black" w:hAnsi="Arial Black"/>
              <w:noProof/>
              <w:color w:val="196B24" w:themeColor="accent3"/>
            </w:rPr>
            <w:t xml:space="preserve"> </w:t>
          </w:r>
          <w:r w:rsidRPr="00B124B0">
            <w:rPr>
              <w:rFonts w:ascii="Arial Black" w:hAnsi="Arial Black"/>
              <w:noProof/>
              <w:color w:val="196B24" w:themeColor="accent3"/>
            </w:rPr>
            <mc:AlternateContent>
              <mc:Choice Requires="wpg">
                <w:drawing>
                  <wp:anchor distT="0" distB="0" distL="114300" distR="114300" simplePos="0" relativeHeight="251659264" behindDoc="0" locked="0" layoutInCell="1" allowOverlap="1" wp14:anchorId="311D5767" wp14:editId="1EF4B1E0">
                    <wp:simplePos x="0" y="0"/>
                    <wp:positionH relativeFrom="page">
                      <wp:posOffset>6776977</wp:posOffset>
                    </wp:positionH>
                    <wp:positionV relativeFrom="page">
                      <wp:align>top</wp:align>
                    </wp:positionV>
                    <wp:extent cx="781581"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781581"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3E0A3112" id="Group 252" o:spid="_x0000_s1026" style="position:absolute;margin-left:533.6pt;margin-top:0;width:61.55pt;height:11in;z-index:251659264;mso-height-percent:1000;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6"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w10:wrap anchorx="page" anchory="page"/>
                  </v:group>
                </w:pict>
              </mc:Fallback>
            </mc:AlternateContent>
          </w:r>
        </w:p>
        <w:p w14:paraId="776F91F6" w14:textId="225D4D24" w:rsidR="00227287" w:rsidRDefault="00B124B0">
          <w:pPr>
            <w:rPr>
              <w:rFonts w:ascii="Arial" w:hAnsi="Arial" w:cs="Arial"/>
              <w:b/>
              <w:bCs/>
              <w:color w:val="196B24" w:themeColor="accent3"/>
              <w:u w:val="double"/>
            </w:rPr>
          </w:pPr>
          <w:r>
            <w:rPr>
              <w:noProof/>
            </w:rPr>
            <mc:AlternateContent>
              <mc:Choice Requires="wps">
                <w:drawing>
                  <wp:anchor distT="0" distB="0" distL="114300" distR="114300" simplePos="0" relativeHeight="251661312" behindDoc="0" locked="0" layoutInCell="0" allowOverlap="1" wp14:anchorId="493E0C3C" wp14:editId="3A87450A">
                    <wp:simplePos x="0" y="0"/>
                    <wp:positionH relativeFrom="page">
                      <wp:posOffset>63660</wp:posOffset>
                    </wp:positionH>
                    <wp:positionV relativeFrom="page">
                      <wp:posOffset>4473213</wp:posOffset>
                    </wp:positionV>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Arial Black" w:hAnsi="Arial Black"/>
                                    <w:color w:val="84E290" w:themeColor="accent3" w:themeTint="66"/>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2AAAE76" w14:textId="3B23129F" w:rsidR="00227287" w:rsidRDefault="00227287">
                                    <w:pPr>
                                      <w:pStyle w:val="NoSpacing"/>
                                      <w:jc w:val="right"/>
                                      <w:rPr>
                                        <w:color w:val="FFFFFF" w:themeColor="background1"/>
                                        <w:sz w:val="72"/>
                                        <w:szCs w:val="72"/>
                                      </w:rPr>
                                    </w:pPr>
                                    <w:r w:rsidRPr="00227287">
                                      <w:rPr>
                                        <w:rFonts w:ascii="Arial Black" w:hAnsi="Arial Black"/>
                                        <w:color w:val="84E290" w:themeColor="accent3" w:themeTint="66"/>
                                        <w:sz w:val="72"/>
                                        <w:szCs w:val="72"/>
                                      </w:rPr>
                                      <w:t>Assignment 2: Report Community Development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93E0C3C" id="Rectangle 16" o:spid="_x0000_s1026" style="position:absolute;margin-left:5pt;margin-top:352.2pt;width:548.85pt;height:50.4pt;z-index:251661312;visibility:visible;mso-wrap-style:square;mso-width-percent:900;mso-height-percent:73;mso-wrap-distance-left:9pt;mso-wrap-distance-top:0;mso-wrap-distance-right:9pt;mso-wrap-distance-bottom:0;mso-position-horizontal:absolute;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" o:allowincell="f" fillcolor="black [3213]" strokecolor="black [3213]" strokeweight="1.5pt">
                    <v:textbox style="mso-fit-shape-to-text:t" inset="14.4pt,,14.4pt">
                      <w:txbxContent>
                        <w:sdt>
                          <w:sdtPr>
                            <w:rPr>
                              <w:rFonts w:ascii="Arial Black" w:hAnsi="Arial Black"/>
                              <w:color w:val="84E290" w:themeColor="accent3" w:themeTint="66"/>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2AAAE76" w14:textId="3B23129F" w:rsidR="00227287" w:rsidRDefault="00227287">
                              <w:pPr>
                                <w:pStyle w:val="NoSpacing"/>
                                <w:jc w:val="right"/>
                                <w:rPr>
                                  <w:color w:val="FFFFFF" w:themeColor="background1"/>
                                  <w:sz w:val="72"/>
                                  <w:szCs w:val="72"/>
                                </w:rPr>
                              </w:pPr>
                              <w:r w:rsidRPr="00227287">
                                <w:rPr>
                                  <w:rFonts w:ascii="Arial Black" w:hAnsi="Arial Black"/>
                                  <w:color w:val="84E290" w:themeColor="accent3" w:themeTint="66"/>
                                  <w:sz w:val="72"/>
                                  <w:szCs w:val="72"/>
                                </w:rPr>
                                <w:t>Assignment 2: Report Community Development</w:t>
                              </w:r>
                            </w:p>
                          </w:sdtContent>
                        </w:sdt>
                      </w:txbxContent>
                    </v:textbox>
                    <w10:wrap anchorx="page" anchory="page"/>
                  </v:rect>
                </w:pict>
              </mc:Fallback>
            </mc:AlternateContent>
          </w:r>
          <w:r w:rsidR="00227287">
            <w:rPr>
              <w:rFonts w:ascii="Arial" w:hAnsi="Arial" w:cs="Arial"/>
              <w:b/>
              <w:bCs/>
              <w:color w:val="196B24" w:themeColor="accent3"/>
              <w:u w:val="double"/>
            </w:rPr>
            <w:br w:type="page"/>
          </w:r>
        </w:p>
      </w:sdtContent>
    </w:sdt>
    <w:p w14:paraId="012F398F" w14:textId="182FA8E8" w:rsidR="00CF650B" w:rsidRPr="00CF650B" w:rsidRDefault="00CF650B" w:rsidP="00CF650B">
      <w:pPr>
        <w:spacing w:line="480" w:lineRule="auto"/>
        <w:rPr>
          <w:rFonts w:ascii="Arial" w:hAnsi="Arial" w:cs="Arial"/>
          <w:b/>
          <w:bCs/>
          <w:color w:val="196B24" w:themeColor="accent3"/>
          <w:u w:val="double"/>
        </w:rPr>
      </w:pPr>
      <w:r w:rsidRPr="00CF650B">
        <w:rPr>
          <w:rFonts w:ascii="Arial" w:hAnsi="Arial" w:cs="Arial"/>
          <w:b/>
          <w:bCs/>
          <w:color w:val="196B24" w:themeColor="accent3"/>
          <w:u w:val="double"/>
        </w:rPr>
        <w:lastRenderedPageBreak/>
        <w:t>Executive Summary</w:t>
      </w:r>
    </w:p>
    <w:p w14:paraId="7D82E1B9" w14:textId="4CD7784E" w:rsidR="00CF650B" w:rsidRPr="00CF650B" w:rsidRDefault="00CF650B" w:rsidP="00CF650B">
      <w:pPr>
        <w:spacing w:line="480" w:lineRule="auto"/>
        <w:rPr>
          <w:rFonts w:ascii="Arial" w:hAnsi="Arial" w:cs="Arial"/>
        </w:rPr>
      </w:pPr>
      <w:r w:rsidRPr="00CF650B">
        <w:rPr>
          <w:rFonts w:ascii="Arial" w:hAnsi="Arial" w:cs="Arial"/>
        </w:rPr>
        <w:t xml:space="preserve">This </w:t>
      </w:r>
      <w:r>
        <w:rPr>
          <w:rFonts w:ascii="Arial" w:hAnsi="Arial" w:cs="Arial"/>
        </w:rPr>
        <w:t>report</w:t>
      </w:r>
      <w:r w:rsidRPr="00CF650B">
        <w:rPr>
          <w:rFonts w:ascii="Arial" w:hAnsi="Arial" w:cs="Arial"/>
        </w:rPr>
        <w:t xml:space="preserve"> will examine the way Pembrokeshire's farming people relate to and develop their communities. Pembrokeshire is a rural county located in the southwest region of Wales, where agriculture is an important part of everyday life and the culture of the </w:t>
      </w:r>
      <w:r w:rsidRPr="00CF650B">
        <w:rPr>
          <w:rFonts w:ascii="Arial" w:hAnsi="Arial" w:cs="Arial"/>
        </w:rPr>
        <w:t>province</w:t>
      </w:r>
      <w:r w:rsidRPr="00CF650B">
        <w:rPr>
          <w:rFonts w:ascii="Arial" w:hAnsi="Arial" w:cs="Arial"/>
        </w:rPr>
        <w:t xml:space="preserve">. The farming community is comprised of individuals who engage in the same types of economic activities, support each other through a variety of cultural traditions, learn from each other throughout their lifetime, and are heavily influenced by their physical environment (i.e., most farms are established within </w:t>
      </w:r>
      <w:r w:rsidRPr="00CF650B">
        <w:rPr>
          <w:rFonts w:ascii="Arial" w:hAnsi="Arial" w:cs="Arial"/>
        </w:rPr>
        <w:t>proximity</w:t>
      </w:r>
      <w:r w:rsidRPr="00CF650B">
        <w:rPr>
          <w:rFonts w:ascii="Arial" w:hAnsi="Arial" w:cs="Arial"/>
        </w:rPr>
        <w:t xml:space="preserve"> to the sea, mountains, forests, and rivers). In addition, the farming families within this community have developed a community-based network that allows them to work together to provide mutual support, build resilience, and promote community involvement through a variety of ways.</w:t>
      </w:r>
    </w:p>
    <w:p w14:paraId="211A7A02" w14:textId="77777777" w:rsidR="00CF650B" w:rsidRPr="00CF650B" w:rsidRDefault="00CF650B" w:rsidP="00CF650B">
      <w:pPr>
        <w:spacing w:line="480" w:lineRule="auto"/>
        <w:rPr>
          <w:rFonts w:ascii="Arial" w:hAnsi="Arial" w:cs="Arial"/>
        </w:rPr>
      </w:pPr>
    </w:p>
    <w:p w14:paraId="3B000389" w14:textId="77777777" w:rsidR="00CF650B" w:rsidRDefault="00CF650B" w:rsidP="00CF650B">
      <w:pPr>
        <w:spacing w:line="480" w:lineRule="auto"/>
        <w:rPr>
          <w:rFonts w:ascii="Arial" w:hAnsi="Arial" w:cs="Arial"/>
        </w:rPr>
      </w:pPr>
    </w:p>
    <w:p w14:paraId="7DF1FE2F" w14:textId="77777777" w:rsidR="00CF650B" w:rsidRDefault="00CF650B" w:rsidP="00CF650B">
      <w:pPr>
        <w:spacing w:line="480" w:lineRule="auto"/>
        <w:rPr>
          <w:rFonts w:ascii="Arial" w:hAnsi="Arial" w:cs="Arial"/>
        </w:rPr>
      </w:pPr>
    </w:p>
    <w:p w14:paraId="77E6E9C7" w14:textId="77777777" w:rsidR="00CF650B" w:rsidRDefault="00CF650B" w:rsidP="00CF650B">
      <w:pPr>
        <w:spacing w:line="480" w:lineRule="auto"/>
        <w:rPr>
          <w:rFonts w:ascii="Arial" w:hAnsi="Arial" w:cs="Arial"/>
        </w:rPr>
      </w:pPr>
    </w:p>
    <w:p w14:paraId="4B3D28AC" w14:textId="77777777" w:rsidR="00CF650B" w:rsidRDefault="00CF650B" w:rsidP="00CF650B">
      <w:pPr>
        <w:spacing w:line="480" w:lineRule="auto"/>
        <w:rPr>
          <w:rFonts w:ascii="Arial" w:hAnsi="Arial" w:cs="Arial"/>
        </w:rPr>
      </w:pPr>
    </w:p>
    <w:p w14:paraId="46483FFF" w14:textId="77777777" w:rsidR="00CF650B" w:rsidRDefault="00CF650B" w:rsidP="00CF650B">
      <w:pPr>
        <w:spacing w:line="480" w:lineRule="auto"/>
        <w:rPr>
          <w:rFonts w:ascii="Arial" w:hAnsi="Arial" w:cs="Arial"/>
        </w:rPr>
      </w:pPr>
    </w:p>
    <w:p w14:paraId="1645ACA2" w14:textId="77777777" w:rsidR="00CF650B" w:rsidRDefault="00CF650B" w:rsidP="00CF650B">
      <w:pPr>
        <w:spacing w:line="480" w:lineRule="auto"/>
        <w:rPr>
          <w:rFonts w:ascii="Arial" w:hAnsi="Arial" w:cs="Arial"/>
        </w:rPr>
      </w:pPr>
    </w:p>
    <w:p w14:paraId="391A1ABC" w14:textId="77777777" w:rsidR="00CF650B" w:rsidRDefault="00CF650B" w:rsidP="00CF650B">
      <w:pPr>
        <w:spacing w:line="480" w:lineRule="auto"/>
        <w:rPr>
          <w:rFonts w:ascii="Arial" w:hAnsi="Arial" w:cs="Arial"/>
        </w:rPr>
      </w:pPr>
    </w:p>
    <w:p w14:paraId="0FF26F60" w14:textId="77777777" w:rsidR="00CF650B" w:rsidRDefault="00CF650B" w:rsidP="00CF650B">
      <w:pPr>
        <w:spacing w:line="480" w:lineRule="auto"/>
        <w:rPr>
          <w:rFonts w:ascii="Arial" w:hAnsi="Arial" w:cs="Arial"/>
        </w:rPr>
      </w:pPr>
    </w:p>
    <w:p w14:paraId="1F98124F" w14:textId="77777777" w:rsidR="00CF650B" w:rsidRDefault="00CF650B" w:rsidP="00CF650B">
      <w:pPr>
        <w:spacing w:line="480" w:lineRule="auto"/>
        <w:rPr>
          <w:rFonts w:ascii="Arial" w:hAnsi="Arial" w:cs="Arial"/>
        </w:rPr>
      </w:pPr>
    </w:p>
    <w:p w14:paraId="074074BA" w14:textId="51D2D090" w:rsidR="00CF650B" w:rsidRPr="00CF650B" w:rsidRDefault="00CF650B" w:rsidP="00CF650B">
      <w:pPr>
        <w:spacing w:line="480" w:lineRule="auto"/>
        <w:rPr>
          <w:rFonts w:ascii="Arial" w:hAnsi="Arial" w:cs="Arial"/>
          <w:b/>
          <w:bCs/>
          <w:color w:val="196B24" w:themeColor="accent3"/>
          <w:u w:val="double"/>
        </w:rPr>
      </w:pPr>
      <w:r w:rsidRPr="00CF650B">
        <w:rPr>
          <w:rFonts w:ascii="Arial" w:hAnsi="Arial" w:cs="Arial"/>
          <w:b/>
          <w:bCs/>
          <w:color w:val="196B24" w:themeColor="accent3"/>
          <w:u w:val="double"/>
        </w:rPr>
        <w:lastRenderedPageBreak/>
        <w:t xml:space="preserve">Introduction </w:t>
      </w:r>
    </w:p>
    <w:p w14:paraId="730975FD" w14:textId="3D410A45" w:rsidR="00CF650B" w:rsidRDefault="00CF650B" w:rsidP="00CF650B">
      <w:pPr>
        <w:spacing w:line="480" w:lineRule="auto"/>
        <w:rPr>
          <w:rFonts w:ascii="Arial" w:hAnsi="Arial" w:cs="Arial"/>
        </w:rPr>
      </w:pPr>
      <w:r w:rsidRPr="00CF650B">
        <w:rPr>
          <w:rFonts w:ascii="Arial" w:hAnsi="Arial" w:cs="Arial"/>
        </w:rPr>
        <w:t>This</w:t>
      </w:r>
      <w:r>
        <w:rPr>
          <w:rFonts w:ascii="Arial" w:hAnsi="Arial" w:cs="Arial"/>
        </w:rPr>
        <w:t xml:space="preserve"> report</w:t>
      </w:r>
      <w:r w:rsidRPr="00CF650B">
        <w:rPr>
          <w:rFonts w:ascii="Arial" w:hAnsi="Arial" w:cs="Arial"/>
        </w:rPr>
        <w:t xml:space="preserve"> will discuss how farmers within Pembrokeshire's farming community develop their respective communities through a variety of strategies designed to facilitate behaviour changes. The strategies used to develop communities include communication, imagery, community values, social influences, political conditions, and physical/environmental conditions. The authors will evaluate the extent to which each of these factors has been integrated into the development of the </w:t>
      </w:r>
      <w:r w:rsidRPr="00CF650B">
        <w:rPr>
          <w:rFonts w:ascii="Arial" w:hAnsi="Arial" w:cs="Arial"/>
        </w:rPr>
        <w:t>community. Gathering</w:t>
      </w:r>
      <w:r w:rsidRPr="00CF650B">
        <w:rPr>
          <w:rFonts w:ascii="Arial" w:hAnsi="Arial" w:cs="Arial"/>
        </w:rPr>
        <w:t xml:space="preserve"> spaces provide opportunities for people to come together with each other </w:t>
      </w:r>
      <w:r w:rsidR="00227287" w:rsidRPr="00CF650B">
        <w:rPr>
          <w:rFonts w:ascii="Arial" w:hAnsi="Arial" w:cs="Arial"/>
        </w:rPr>
        <w:t>to</w:t>
      </w:r>
      <w:r w:rsidRPr="00CF650B">
        <w:rPr>
          <w:rFonts w:ascii="Arial" w:hAnsi="Arial" w:cs="Arial"/>
        </w:rPr>
        <w:t xml:space="preserve"> exchange information, discuss issues, and develop relations</w:t>
      </w:r>
      <w:r w:rsidR="00227287">
        <w:rPr>
          <w:rFonts w:ascii="Arial" w:hAnsi="Arial" w:cs="Arial"/>
        </w:rPr>
        <w:t xml:space="preserve"> (Green, 2011). </w:t>
      </w:r>
      <w:r w:rsidRPr="00CF650B">
        <w:rPr>
          <w:rFonts w:ascii="Arial" w:hAnsi="Arial" w:cs="Arial"/>
        </w:rPr>
        <w:t>Gathering spaces include local organizations work at agricultural shows, support animal sales, have community services available, have local or regional office buildings where many types of social and education programs are conducted, and there is one additional venue where farmers participate in external training programs to enhance their agricultural practices</w:t>
      </w:r>
      <w:r w:rsidR="00227287">
        <w:rPr>
          <w:rFonts w:ascii="Arial" w:hAnsi="Arial" w:cs="Arial"/>
        </w:rPr>
        <w:t xml:space="preserve"> (Chen, 2025).</w:t>
      </w:r>
    </w:p>
    <w:p w14:paraId="3B2024F1" w14:textId="77777777" w:rsidR="00CF650B" w:rsidRDefault="00CF650B" w:rsidP="00CF650B">
      <w:pPr>
        <w:spacing w:line="480" w:lineRule="auto"/>
        <w:rPr>
          <w:rFonts w:ascii="Arial" w:hAnsi="Arial" w:cs="Arial"/>
          <w:b/>
          <w:bCs/>
          <w:color w:val="196B24" w:themeColor="accent3"/>
        </w:rPr>
      </w:pPr>
      <w:r w:rsidRPr="00CF650B">
        <w:rPr>
          <w:rFonts w:ascii="Arial" w:hAnsi="Arial" w:cs="Arial"/>
          <w:b/>
          <w:bCs/>
          <w:color w:val="196B24" w:themeColor="accent3"/>
        </w:rPr>
        <w:t xml:space="preserve">Motivators and Binding Characteristics of the Farming Community </w:t>
      </w:r>
    </w:p>
    <w:p w14:paraId="570900EC" w14:textId="31920911" w:rsidR="00CF650B" w:rsidRDefault="00CF650B" w:rsidP="00CF650B">
      <w:pPr>
        <w:spacing w:line="480" w:lineRule="auto"/>
        <w:rPr>
          <w:rFonts w:ascii="Arial" w:hAnsi="Arial" w:cs="Arial"/>
          <w:b/>
          <w:bCs/>
          <w:color w:val="196B24" w:themeColor="accent3"/>
        </w:rPr>
      </w:pPr>
      <w:r w:rsidRPr="00CF650B">
        <w:rPr>
          <w:rFonts w:ascii="Arial" w:hAnsi="Arial" w:cs="Arial"/>
        </w:rPr>
        <w:t>A defining characteristic of the farming community is a deep connection to the land by all who call it home. Farming families prior to World War II passed down to their descendants the responsibility of caring for and protecting their land, their animals, and the food that they produce. In this generation and the previous generations, these family values have created great motivation for individuals to actively participate in programs that promote sustainable farming and environmental stewardship</w:t>
      </w:r>
      <w:r w:rsidR="00227287">
        <w:rPr>
          <w:rFonts w:ascii="Arial" w:hAnsi="Arial" w:cs="Arial"/>
        </w:rPr>
        <w:t xml:space="preserve"> (Green, 2011).</w:t>
      </w:r>
    </w:p>
    <w:p w14:paraId="1B7F3447" w14:textId="6B1604A1" w:rsidR="00CF650B" w:rsidRDefault="00CF650B" w:rsidP="00CF650B">
      <w:pPr>
        <w:spacing w:line="480" w:lineRule="auto"/>
        <w:rPr>
          <w:rFonts w:ascii="Arial" w:hAnsi="Arial" w:cs="Arial"/>
          <w:b/>
          <w:bCs/>
          <w:color w:val="196B24" w:themeColor="accent3"/>
        </w:rPr>
      </w:pPr>
      <w:r w:rsidRPr="00CF650B">
        <w:rPr>
          <w:rFonts w:ascii="Arial" w:hAnsi="Arial" w:cs="Arial"/>
        </w:rPr>
        <w:t xml:space="preserve">The economic viability of farming also serves as a motivation for many farming families. Farming is exposed to variable markets, changing weather conditions, and </w:t>
      </w:r>
      <w:r w:rsidRPr="00CF650B">
        <w:rPr>
          <w:rFonts w:ascii="Arial" w:hAnsi="Arial" w:cs="Arial"/>
        </w:rPr>
        <w:lastRenderedPageBreak/>
        <w:t xml:space="preserve">policy changes; therefore, farmers have a need to seek out training and/or consult with other farmers </w:t>
      </w:r>
      <w:r w:rsidRPr="00CF650B">
        <w:rPr>
          <w:rFonts w:ascii="Arial" w:hAnsi="Arial" w:cs="Arial"/>
        </w:rPr>
        <w:t>to</w:t>
      </w:r>
      <w:r w:rsidRPr="00CF650B">
        <w:rPr>
          <w:rFonts w:ascii="Arial" w:hAnsi="Arial" w:cs="Arial"/>
        </w:rPr>
        <w:t xml:space="preserve"> create opportunities that would help to ensure farm viability for their family farm. Additionally, the need to keep family farms has motivated many farmers to pursue continuing education as well as modernize farming equipment and processes</w:t>
      </w:r>
      <w:r w:rsidR="00227287">
        <w:rPr>
          <w:rFonts w:ascii="Arial" w:hAnsi="Arial" w:cs="Arial"/>
        </w:rPr>
        <w:t xml:space="preserve"> (Roseland, 2000).</w:t>
      </w:r>
    </w:p>
    <w:p w14:paraId="240E55AC" w14:textId="77777777" w:rsidR="00CF650B" w:rsidRDefault="00CF650B" w:rsidP="00CF650B">
      <w:pPr>
        <w:spacing w:line="480" w:lineRule="auto"/>
        <w:rPr>
          <w:rFonts w:ascii="Arial" w:hAnsi="Arial" w:cs="Arial"/>
          <w:b/>
          <w:bCs/>
          <w:color w:val="196B24" w:themeColor="accent3"/>
        </w:rPr>
      </w:pPr>
      <w:r w:rsidRPr="00CF650B">
        <w:rPr>
          <w:rFonts w:ascii="Arial" w:hAnsi="Arial" w:cs="Arial"/>
        </w:rPr>
        <w:t xml:space="preserve">A sense of pride in rural culture also serves as a motivator for farmers </w:t>
      </w:r>
      <w:r w:rsidRPr="00CF650B">
        <w:rPr>
          <w:rFonts w:ascii="Arial" w:hAnsi="Arial" w:cs="Arial"/>
        </w:rPr>
        <w:t>to</w:t>
      </w:r>
      <w:r w:rsidRPr="00CF650B">
        <w:rPr>
          <w:rFonts w:ascii="Arial" w:hAnsi="Arial" w:cs="Arial"/>
        </w:rPr>
        <w:t xml:space="preserve"> demonstrate a commitment to their rural culture. Farmers share pride in their ability to be self-sufficient </w:t>
      </w:r>
      <w:r w:rsidRPr="00CF650B">
        <w:rPr>
          <w:rFonts w:ascii="Arial" w:hAnsi="Arial" w:cs="Arial"/>
        </w:rPr>
        <w:t>using</w:t>
      </w:r>
      <w:r w:rsidRPr="00CF650B">
        <w:rPr>
          <w:rFonts w:ascii="Arial" w:hAnsi="Arial" w:cs="Arial"/>
        </w:rPr>
        <w:t xml:space="preserve"> practical knowledge and traditional ways of farming. Many cultural events and traditions in farming communities create additional motivation for farmers to use their knowledge and skills to preserve their cultural heritage for the benefit of future generations.</w:t>
      </w:r>
    </w:p>
    <w:p w14:paraId="14447DE5" w14:textId="21F59720" w:rsidR="00CF650B" w:rsidRDefault="00CF650B" w:rsidP="00CF650B">
      <w:pPr>
        <w:spacing w:line="480" w:lineRule="auto"/>
        <w:rPr>
          <w:rFonts w:ascii="Arial" w:hAnsi="Arial" w:cs="Arial"/>
        </w:rPr>
      </w:pPr>
      <w:r w:rsidRPr="00CF650B">
        <w:rPr>
          <w:rFonts w:ascii="Arial" w:hAnsi="Arial" w:cs="Arial"/>
        </w:rPr>
        <w:t xml:space="preserve">Interdependence among farmers in a farming community also enhances the sense of unity. Farmers who rely on other farmers for assistance during emergency situations, livestock or harvest problems, and busy seasons have established strong social bonds with one another </w:t>
      </w:r>
      <w:r w:rsidRPr="00CF650B">
        <w:rPr>
          <w:rFonts w:ascii="Arial" w:hAnsi="Arial" w:cs="Arial"/>
        </w:rPr>
        <w:t>because of</w:t>
      </w:r>
      <w:r w:rsidRPr="00CF650B">
        <w:rPr>
          <w:rFonts w:ascii="Arial" w:hAnsi="Arial" w:cs="Arial"/>
        </w:rPr>
        <w:t xml:space="preserve"> working together. Strong bond of friendship and mutual respect results from this cooperative </w:t>
      </w:r>
      <w:r w:rsidRPr="00CF650B">
        <w:rPr>
          <w:rFonts w:ascii="Arial" w:hAnsi="Arial" w:cs="Arial"/>
        </w:rPr>
        <w:t>relationship</w:t>
      </w:r>
      <w:r w:rsidR="00227287">
        <w:rPr>
          <w:rFonts w:ascii="Arial" w:hAnsi="Arial" w:cs="Arial"/>
        </w:rPr>
        <w:t xml:space="preserve"> (Chen, 2025).</w:t>
      </w:r>
    </w:p>
    <w:p w14:paraId="28731F1D" w14:textId="416329B9" w:rsidR="00CF650B" w:rsidRPr="00CF650B" w:rsidRDefault="00CF650B" w:rsidP="00CF650B">
      <w:pPr>
        <w:spacing w:line="480" w:lineRule="auto"/>
        <w:rPr>
          <w:rFonts w:ascii="Arial" w:hAnsi="Arial" w:cs="Arial"/>
          <w:b/>
          <w:bCs/>
          <w:color w:val="196B24" w:themeColor="accent3"/>
        </w:rPr>
      </w:pPr>
      <w:r w:rsidRPr="00CF650B">
        <w:rPr>
          <w:rFonts w:ascii="Arial" w:hAnsi="Arial" w:cs="Arial"/>
          <w:b/>
          <w:bCs/>
          <w:color w:val="196B24" w:themeColor="accent3"/>
        </w:rPr>
        <w:t>Methods</w:t>
      </w:r>
      <w:r w:rsidRPr="00CF650B">
        <w:rPr>
          <w:rFonts w:ascii="Arial" w:hAnsi="Arial" w:cs="Arial"/>
          <w:b/>
          <w:bCs/>
          <w:color w:val="196B24" w:themeColor="accent3"/>
        </w:rPr>
        <w:t xml:space="preserve"> for Supporting Advancement and Evolving</w:t>
      </w:r>
    </w:p>
    <w:p w14:paraId="3C7163A7" w14:textId="77777777" w:rsidR="00CF650B" w:rsidRDefault="00CF650B" w:rsidP="00CF650B">
      <w:pPr>
        <w:spacing w:line="480" w:lineRule="auto"/>
        <w:rPr>
          <w:rFonts w:ascii="Arial" w:hAnsi="Arial" w:cs="Arial"/>
        </w:rPr>
      </w:pPr>
      <w:r w:rsidRPr="00CF650B">
        <w:rPr>
          <w:rFonts w:ascii="Arial" w:hAnsi="Arial" w:cs="Arial"/>
        </w:rPr>
        <w:t xml:space="preserve">Agriculture messages generally depict rural areas. Examples of this include traditional posters and flyers containing images of farmland, animals, agricultural machinery and/or actual photographs of where people live in their communities. In addition to being culturally relevant to farmers, these types of visual representations can help build a sense of trust about the information being delivered. Campaigns designed for safety, healthy environmental practices and well-being are most effective when messages utilize imagery familiar to farmers. These images allow </w:t>
      </w:r>
      <w:r w:rsidRPr="00CF650B">
        <w:rPr>
          <w:rFonts w:ascii="Arial" w:hAnsi="Arial" w:cs="Arial"/>
        </w:rPr>
        <w:lastRenderedPageBreak/>
        <w:t>farmers to connect with messages as well as lower the likelihood of potential resistance towards changing their current way of doing things.</w:t>
      </w:r>
    </w:p>
    <w:p w14:paraId="7773EA1B" w14:textId="77777777" w:rsidR="00CF650B" w:rsidRDefault="00CF650B" w:rsidP="00CF650B">
      <w:pPr>
        <w:spacing w:line="480" w:lineRule="auto"/>
        <w:rPr>
          <w:rFonts w:ascii="Arial" w:hAnsi="Arial" w:cs="Arial"/>
        </w:rPr>
      </w:pPr>
      <w:r w:rsidRPr="00CF650B">
        <w:rPr>
          <w:rFonts w:ascii="Arial" w:hAnsi="Arial" w:cs="Arial"/>
        </w:rPr>
        <w:t xml:space="preserve">When creating a message directed at farmers, cultural factors must be </w:t>
      </w:r>
      <w:r w:rsidRPr="00CF650B">
        <w:rPr>
          <w:rFonts w:ascii="Arial" w:hAnsi="Arial" w:cs="Arial"/>
        </w:rPr>
        <w:t>considered</w:t>
      </w:r>
      <w:r w:rsidRPr="00CF650B">
        <w:rPr>
          <w:rFonts w:ascii="Arial" w:hAnsi="Arial" w:cs="Arial"/>
        </w:rPr>
        <w:t xml:space="preserve">. Independence, Tradition, and Practicality are just a few of the cultural values held dear by farmers; therefore, messages developed </w:t>
      </w:r>
      <w:r w:rsidRPr="00CF650B">
        <w:rPr>
          <w:rFonts w:ascii="Arial" w:hAnsi="Arial" w:cs="Arial"/>
        </w:rPr>
        <w:t>because of</w:t>
      </w:r>
      <w:r w:rsidRPr="00CF650B">
        <w:rPr>
          <w:rFonts w:ascii="Arial" w:hAnsi="Arial" w:cs="Arial"/>
        </w:rPr>
        <w:t xml:space="preserve"> these factors cannot be overly formal or too conceptualized; therefore, practical and clear messages will have a greater likelihood of a positive impact. When new agricultural technologies provide tangible financial or material benefits (i.e. time-savings), there is an increased acceptance rate for these technologies.</w:t>
      </w:r>
    </w:p>
    <w:p w14:paraId="655E4BD5" w14:textId="77777777" w:rsidR="00CF650B" w:rsidRDefault="00CF650B" w:rsidP="00CF650B">
      <w:pPr>
        <w:spacing w:line="480" w:lineRule="auto"/>
        <w:rPr>
          <w:rFonts w:ascii="Arial" w:hAnsi="Arial" w:cs="Arial"/>
        </w:rPr>
      </w:pPr>
      <w:r w:rsidRPr="00CF650B">
        <w:rPr>
          <w:rFonts w:ascii="Arial" w:hAnsi="Arial" w:cs="Arial"/>
        </w:rPr>
        <w:t>Behavioural Change Theories are utili</w:t>
      </w:r>
      <w:r>
        <w:rPr>
          <w:rFonts w:ascii="Arial" w:hAnsi="Arial" w:cs="Arial"/>
        </w:rPr>
        <w:t>s</w:t>
      </w:r>
      <w:r w:rsidRPr="00CF650B">
        <w:rPr>
          <w:rFonts w:ascii="Arial" w:hAnsi="Arial" w:cs="Arial"/>
        </w:rPr>
        <w:t>ed extensively to facilitate development in communities. Most notably, however, is the Theory of Planned Behaviour, which indicates that farmers are likely to adopt sustainable behaviours if they believe that they are beneficial to them, supported by neighbours, and do not exceed their personal capabilities. For instance, farmer-to-farmer workshops involving accomplished farmers demonstrating innovative farming practices have been successful in enhancing confidence and enhancing motivation (Ajzen, 1991).</w:t>
      </w:r>
    </w:p>
    <w:p w14:paraId="442A25BD" w14:textId="7388E24B" w:rsidR="00CF650B" w:rsidRPr="00CF650B" w:rsidRDefault="00CF650B" w:rsidP="00CF650B">
      <w:pPr>
        <w:spacing w:line="480" w:lineRule="auto"/>
        <w:rPr>
          <w:rFonts w:ascii="Arial" w:hAnsi="Arial" w:cs="Arial"/>
        </w:rPr>
      </w:pPr>
      <w:r w:rsidRPr="00CF650B">
        <w:rPr>
          <w:rFonts w:ascii="Arial" w:hAnsi="Arial" w:cs="Arial"/>
        </w:rPr>
        <w:t xml:space="preserve">In addition, Social Norms Theory is also relevant when evaluating agricultural communities. Farmers are more likely to adopt new technologies if they have observed the use of those same technologies by their peers/colleagues, have noticed others changing from utilizing chemical-based farming methods to sustainable methods, have changed their behaviour to adopt a more environmentally friendly approach, or have joined support groups associated with those specific methodologies. Because rural areas typically consist of close-knit communities with </w:t>
      </w:r>
      <w:r w:rsidRPr="00CF650B">
        <w:rPr>
          <w:rFonts w:ascii="Arial" w:hAnsi="Arial" w:cs="Arial"/>
        </w:rPr>
        <w:lastRenderedPageBreak/>
        <w:t>many people living and working within their respective environments, these communities influence each other’s behaviours (Berkowitz, 2003).</w:t>
      </w:r>
    </w:p>
    <w:p w14:paraId="09744DCA" w14:textId="77777777" w:rsidR="00CF650B" w:rsidRDefault="00CF650B" w:rsidP="00CF650B">
      <w:pPr>
        <w:spacing w:line="480" w:lineRule="auto"/>
        <w:rPr>
          <w:rFonts w:ascii="Arial" w:hAnsi="Arial" w:cs="Arial"/>
        </w:rPr>
      </w:pPr>
      <w:r w:rsidRPr="00CF650B">
        <w:rPr>
          <w:rFonts w:ascii="Arial" w:hAnsi="Arial" w:cs="Arial"/>
        </w:rPr>
        <w:t xml:space="preserve">A second means of categorising or understanding how the implementation of innovative practices occurs is </w:t>
      </w:r>
      <w:r w:rsidRPr="00CF650B">
        <w:rPr>
          <w:rFonts w:ascii="Arial" w:hAnsi="Arial" w:cs="Arial"/>
        </w:rPr>
        <w:t>using</w:t>
      </w:r>
      <w:r w:rsidRPr="00CF650B">
        <w:rPr>
          <w:rFonts w:ascii="Arial" w:hAnsi="Arial" w:cs="Arial"/>
        </w:rPr>
        <w:t xml:space="preserve"> Lewin’s Change Theory (1947)</w:t>
      </w:r>
      <w:r>
        <w:rPr>
          <w:rFonts w:ascii="Arial" w:hAnsi="Arial" w:cs="Arial"/>
        </w:rPr>
        <w:t xml:space="preserve">. </w:t>
      </w:r>
      <w:r w:rsidRPr="00CF650B">
        <w:rPr>
          <w:rFonts w:ascii="Arial" w:hAnsi="Arial" w:cs="Arial"/>
        </w:rPr>
        <w:t>Exemplifying the gradual nature of this process, when promoting environmental programmes organisations will initially raise awareness of the impacts of environmental degradation (awareness</w:t>
      </w:r>
      <w:r w:rsidRPr="00CF650B">
        <w:rPr>
          <w:rFonts w:ascii="Arial" w:hAnsi="Arial" w:cs="Arial"/>
        </w:rPr>
        <w:t>) and</w:t>
      </w:r>
      <w:r w:rsidRPr="00CF650B">
        <w:rPr>
          <w:rFonts w:ascii="Arial" w:hAnsi="Arial" w:cs="Arial"/>
        </w:rPr>
        <w:t xml:space="preserve"> then offer training/supportive services (training), followed by an additional phase of ongoing resources/incentives to solidify new behaviours that have been adopted (reinforcement). The gradual build-up of these components appears to be an effective means of stimulating the long-term/i.e., continuing to adopt positive behavioural changes (Hussain et al., 2018).</w:t>
      </w:r>
    </w:p>
    <w:p w14:paraId="57C80563" w14:textId="71A2B12F" w:rsidR="00CF650B" w:rsidRPr="00CF650B" w:rsidRDefault="00CF650B" w:rsidP="00CF650B">
      <w:pPr>
        <w:spacing w:line="480" w:lineRule="auto"/>
        <w:rPr>
          <w:rFonts w:ascii="Arial" w:hAnsi="Arial" w:cs="Arial"/>
        </w:rPr>
      </w:pPr>
      <w:r w:rsidRPr="00CF650B">
        <w:rPr>
          <w:rFonts w:ascii="Arial" w:hAnsi="Arial" w:cs="Arial"/>
        </w:rPr>
        <w:t>Digital technology influences community development by providing farmers access to a wide variety of online resources such as weather forecasts, market information, training videos, maps, and GPS tools. Rural areas are likely to benefit from increased opportunities to develop knowledge and participate in innovative agricultural practices through digital means (</w:t>
      </w:r>
      <w:proofErr w:type="spellStart"/>
      <w:r w:rsidRPr="00CF650B">
        <w:rPr>
          <w:rFonts w:ascii="Arial" w:hAnsi="Arial" w:cs="Arial"/>
        </w:rPr>
        <w:t>Paunov</w:t>
      </w:r>
      <w:proofErr w:type="spellEnd"/>
      <w:r w:rsidRPr="00CF650B">
        <w:rPr>
          <w:rFonts w:ascii="Arial" w:hAnsi="Arial" w:cs="Arial"/>
        </w:rPr>
        <w:t xml:space="preserve"> &amp; Planes-</w:t>
      </w:r>
      <w:proofErr w:type="spellStart"/>
      <w:r w:rsidRPr="00CF650B">
        <w:rPr>
          <w:rFonts w:ascii="Arial" w:hAnsi="Arial" w:cs="Arial"/>
        </w:rPr>
        <w:t>Satorra</w:t>
      </w:r>
      <w:proofErr w:type="spellEnd"/>
      <w:r w:rsidRPr="00CF650B">
        <w:rPr>
          <w:rFonts w:ascii="Arial" w:hAnsi="Arial" w:cs="Arial"/>
        </w:rPr>
        <w:t>, 2019). However, due to the inequitable distribution of broadband Internet access in many rural areas, full participation would not be possible.</w:t>
      </w:r>
    </w:p>
    <w:p w14:paraId="61B7DE9A" w14:textId="4DD8FFA5" w:rsidR="00CF650B" w:rsidRPr="00CF650B" w:rsidRDefault="00CF650B" w:rsidP="00CF650B">
      <w:pPr>
        <w:spacing w:line="480" w:lineRule="auto"/>
        <w:rPr>
          <w:rFonts w:ascii="Arial" w:hAnsi="Arial" w:cs="Arial"/>
          <w:b/>
          <w:bCs/>
          <w:color w:val="196B24" w:themeColor="accent3"/>
        </w:rPr>
      </w:pPr>
      <w:r w:rsidRPr="00CF650B">
        <w:rPr>
          <w:rFonts w:ascii="Arial" w:hAnsi="Arial" w:cs="Arial"/>
          <w:b/>
          <w:bCs/>
          <w:color w:val="196B24" w:themeColor="accent3"/>
        </w:rPr>
        <w:t xml:space="preserve">The role of social, economic, and political factors </w:t>
      </w:r>
    </w:p>
    <w:p w14:paraId="09D98477" w14:textId="77777777" w:rsidR="00CF650B" w:rsidRDefault="00CF650B" w:rsidP="00CF650B">
      <w:pPr>
        <w:spacing w:line="480" w:lineRule="auto"/>
        <w:rPr>
          <w:rFonts w:ascii="Arial" w:hAnsi="Arial" w:cs="Arial"/>
        </w:rPr>
      </w:pPr>
      <w:r w:rsidRPr="00CF650B">
        <w:rPr>
          <w:rFonts w:ascii="Arial" w:hAnsi="Arial" w:cs="Arial"/>
        </w:rPr>
        <w:t xml:space="preserve">Social factors can be defined as the role that family relationships and community traditions play in shaping the beliefs and behaviours of rural farmers. Many communities pass down community traditions (i.e., what is done) through generations of families, thus developing respect for these traditions. However, this passing down of tradition can limit the speed with which farmers adopt new practices </w:t>
      </w:r>
      <w:r w:rsidRPr="00CF650B">
        <w:rPr>
          <w:rFonts w:ascii="Arial" w:hAnsi="Arial" w:cs="Arial"/>
        </w:rPr>
        <w:lastRenderedPageBreak/>
        <w:t xml:space="preserve">(i.e., as younger generations prefer to follow older generations) and as a result create barriers to implementing new methods of farming. Additionally, the ability of farmers to rely on their relationships with other community members for emotional support is significant, particularly </w:t>
      </w:r>
      <w:r w:rsidRPr="00CF650B">
        <w:rPr>
          <w:rFonts w:ascii="Arial" w:hAnsi="Arial" w:cs="Arial"/>
        </w:rPr>
        <w:t>about</w:t>
      </w:r>
      <w:r w:rsidRPr="00CF650B">
        <w:rPr>
          <w:rFonts w:ascii="Arial" w:hAnsi="Arial" w:cs="Arial"/>
        </w:rPr>
        <w:t xml:space="preserve"> the stress and isolation associated with the process of farming.</w:t>
      </w:r>
    </w:p>
    <w:p w14:paraId="4FB41C95" w14:textId="77777777" w:rsidR="00A02B52" w:rsidRDefault="00CF650B" w:rsidP="00CF650B">
      <w:pPr>
        <w:spacing w:line="480" w:lineRule="auto"/>
        <w:rPr>
          <w:rFonts w:ascii="Arial" w:hAnsi="Arial" w:cs="Arial"/>
        </w:rPr>
      </w:pPr>
      <w:r w:rsidRPr="00CF650B">
        <w:rPr>
          <w:rFonts w:ascii="Arial" w:hAnsi="Arial" w:cs="Arial"/>
        </w:rPr>
        <w:t xml:space="preserve">Economic factors are significant influences on the farming community. Rising input costs, fluctuating market conditions, and increased competition from imported agricultural goods has created a growing need for agricultural communities to rely on cooperation amongst themselves, the education of community members via agricultural-related training and educational opportunities, </w:t>
      </w:r>
      <w:r w:rsidRPr="00CF650B">
        <w:rPr>
          <w:rFonts w:ascii="Arial" w:hAnsi="Arial" w:cs="Arial"/>
        </w:rPr>
        <w:t>and</w:t>
      </w:r>
      <w:r w:rsidRPr="00CF650B">
        <w:rPr>
          <w:rFonts w:ascii="Arial" w:hAnsi="Arial" w:cs="Arial"/>
        </w:rPr>
        <w:t xml:space="preserve"> to participate in diversified forms of agricultural enterprise. Micro-enterprises related to agriculture (i.e., local food products; tourism/hospitality) that are developed </w:t>
      </w:r>
      <w:r w:rsidRPr="00CF650B">
        <w:rPr>
          <w:rFonts w:ascii="Arial" w:hAnsi="Arial" w:cs="Arial"/>
        </w:rPr>
        <w:t>because of</w:t>
      </w:r>
      <w:r w:rsidRPr="00CF650B">
        <w:rPr>
          <w:rFonts w:ascii="Arial" w:hAnsi="Arial" w:cs="Arial"/>
        </w:rPr>
        <w:t xml:space="preserve"> growing community-based cooperative enterprises provide a means of generating additional income for community members (Vargas, 2000) and enhance the resilience of the rural farming community.</w:t>
      </w:r>
    </w:p>
    <w:p w14:paraId="58810C0F" w14:textId="77777777" w:rsidR="00A02B52" w:rsidRDefault="00CF650B" w:rsidP="00CF650B">
      <w:pPr>
        <w:spacing w:line="480" w:lineRule="auto"/>
        <w:rPr>
          <w:rFonts w:ascii="Arial" w:hAnsi="Arial" w:cs="Arial"/>
        </w:rPr>
      </w:pPr>
      <w:r w:rsidRPr="00CF650B">
        <w:rPr>
          <w:rFonts w:ascii="Arial" w:hAnsi="Arial" w:cs="Arial"/>
        </w:rPr>
        <w:t>Finally, there are political influences on farmers from both the Welsh Government and UK Government, such as subsidies, environmental regulations, and trade regulations. Changes in legislation by the Welsh Government and UK Government on agriculture can have serious effects on farm profits and long-term financial stability. Farmers are required to adopt rapidly to the new rules and procedures associated with grant funding and new reporting requirements, thereby necessitating the provision of adequate training and a continuing need for information sharing. Farmers benefit from community organisations providing information on policy changes. It helps reduce farmers' stress and confusion about policies, reducing the pressure (Chen and Meng, 2025).</w:t>
      </w:r>
    </w:p>
    <w:p w14:paraId="6B581E8E" w14:textId="77777777" w:rsidR="00A02B52" w:rsidRDefault="00CF650B" w:rsidP="00CF650B">
      <w:pPr>
        <w:spacing w:line="480" w:lineRule="auto"/>
        <w:rPr>
          <w:rFonts w:ascii="Arial" w:hAnsi="Arial" w:cs="Arial"/>
        </w:rPr>
      </w:pPr>
      <w:r w:rsidRPr="00CF650B">
        <w:rPr>
          <w:rFonts w:ascii="Arial" w:hAnsi="Arial" w:cs="Arial"/>
        </w:rPr>
        <w:lastRenderedPageBreak/>
        <w:t xml:space="preserve">The environment has a major influence on farming communities (Chen and Meng, 2025). The </w:t>
      </w:r>
      <w:r w:rsidR="00A02B52" w:rsidRPr="00CF650B">
        <w:rPr>
          <w:rFonts w:ascii="Arial" w:hAnsi="Arial" w:cs="Arial"/>
        </w:rPr>
        <w:t>weather:</w:t>
      </w:r>
      <w:r w:rsidRPr="00CF650B">
        <w:rPr>
          <w:rFonts w:ascii="Arial" w:hAnsi="Arial" w:cs="Arial"/>
        </w:rPr>
        <w:t xml:space="preserve"> the soil quality and the availability of natural resources impact directly upon the livelihood of farm families. The added uncertainties of climate change associated with floods, drought and unpredictable weather patterns mean that sustainability training will become increasingly necessary. Pembrokeshire farmers are now being encouraged to use environmentally sustainable practices; reduced pesticide use, better soil management and improved water management systems to preserve their farmland for future generations.</w:t>
      </w:r>
    </w:p>
    <w:p w14:paraId="00E3FB8C" w14:textId="4273731A" w:rsidR="00CF650B" w:rsidRPr="00CF650B" w:rsidRDefault="00CF650B" w:rsidP="00CF650B">
      <w:pPr>
        <w:spacing w:line="480" w:lineRule="auto"/>
        <w:rPr>
          <w:rFonts w:ascii="Arial" w:hAnsi="Arial" w:cs="Arial"/>
        </w:rPr>
      </w:pPr>
      <w:r w:rsidRPr="00CF650B">
        <w:rPr>
          <w:rFonts w:ascii="Arial" w:hAnsi="Arial" w:cs="Arial"/>
        </w:rPr>
        <w:t xml:space="preserve">Cultural values have a strong influence on farmers’ attitudes towards environmental sustainability. Many farming families feel a moral obligation to care for their land and, therefore, are more receptive to participating in groups that promote environmentally sustainable practices. At the same time, the concern that strict regulations could jeopardise their economic survival places them in a unique situation with respect to the concept of environmental sustainability. Therefore, community development strategies must </w:t>
      </w:r>
      <w:r w:rsidR="00A02B52" w:rsidRPr="00CF650B">
        <w:rPr>
          <w:rFonts w:ascii="Arial" w:hAnsi="Arial" w:cs="Arial"/>
        </w:rPr>
        <w:t>consider</w:t>
      </w:r>
      <w:r w:rsidRPr="00CF650B">
        <w:rPr>
          <w:rFonts w:ascii="Arial" w:hAnsi="Arial" w:cs="Arial"/>
        </w:rPr>
        <w:t xml:space="preserve"> the reality that environmental and economic goals may sometimes conflict when they are being pursued simultaneously.</w:t>
      </w:r>
    </w:p>
    <w:p w14:paraId="11E5BD41" w14:textId="77777777" w:rsidR="00A02B52" w:rsidRDefault="00CF650B" w:rsidP="00CF650B">
      <w:pPr>
        <w:spacing w:line="480" w:lineRule="auto"/>
        <w:rPr>
          <w:rFonts w:ascii="Arial" w:hAnsi="Arial" w:cs="Arial"/>
        </w:rPr>
      </w:pPr>
      <w:r w:rsidRPr="00CF650B">
        <w:rPr>
          <w:rFonts w:ascii="Arial" w:hAnsi="Arial" w:cs="Arial"/>
        </w:rPr>
        <w:t xml:space="preserve">The Asset-Based Community Development (ABCD) method focuses on harnessing the strengths of farming communities and supporting local leaders to identify and build their communities’ assets. ABCD utilises existing community assets of local knowledge, tight-knit communities, practical skills, and strong local leadership to develop programming to strengthen training, </w:t>
      </w:r>
      <w:r w:rsidR="00A02B52" w:rsidRPr="00CF650B">
        <w:rPr>
          <w:rFonts w:ascii="Arial" w:hAnsi="Arial" w:cs="Arial"/>
        </w:rPr>
        <w:t>aid</w:t>
      </w:r>
      <w:r w:rsidRPr="00CF650B">
        <w:rPr>
          <w:rFonts w:ascii="Arial" w:hAnsi="Arial" w:cs="Arial"/>
        </w:rPr>
        <w:t xml:space="preserve"> in innovation, and encourage local development. (Green and Haines, 2011).</w:t>
      </w:r>
    </w:p>
    <w:p w14:paraId="45C40C7C" w14:textId="77777777" w:rsidR="00A02B52" w:rsidRDefault="00CF650B" w:rsidP="00CF650B">
      <w:pPr>
        <w:spacing w:line="480" w:lineRule="auto"/>
        <w:rPr>
          <w:rFonts w:ascii="Arial" w:hAnsi="Arial" w:cs="Arial"/>
        </w:rPr>
      </w:pPr>
      <w:r w:rsidRPr="00CF650B">
        <w:rPr>
          <w:rFonts w:ascii="Arial" w:hAnsi="Arial" w:cs="Arial"/>
        </w:rPr>
        <w:t>In rural community development, it is important for farmers to be involved in community meetings, agricultural forums, cooperative projects and training groups.</w:t>
      </w:r>
    </w:p>
    <w:p w14:paraId="618E18E4" w14:textId="77777777" w:rsidR="00A02B52" w:rsidRDefault="00CF650B" w:rsidP="00CF650B">
      <w:pPr>
        <w:spacing w:line="480" w:lineRule="auto"/>
        <w:rPr>
          <w:rFonts w:ascii="Arial" w:hAnsi="Arial" w:cs="Arial"/>
        </w:rPr>
      </w:pPr>
      <w:r w:rsidRPr="00CF650B">
        <w:rPr>
          <w:rFonts w:ascii="Arial" w:hAnsi="Arial" w:cs="Arial"/>
        </w:rPr>
        <w:lastRenderedPageBreak/>
        <w:t xml:space="preserve">When farmers participate in the decision-making processes of rural development, they feel that they have a voice and will be more supportive of making changes to improve the </w:t>
      </w:r>
      <w:r w:rsidR="00A02B52" w:rsidRPr="00CF650B">
        <w:rPr>
          <w:rFonts w:ascii="Arial" w:hAnsi="Arial" w:cs="Arial"/>
        </w:rPr>
        <w:t>community. Community</w:t>
      </w:r>
      <w:r w:rsidRPr="00CF650B">
        <w:rPr>
          <w:rFonts w:ascii="Arial" w:hAnsi="Arial" w:cs="Arial"/>
        </w:rPr>
        <w:t xml:space="preserve"> participation is crucial for developing responsibility among members of a community and contributing to long-term success of its members (Head, 2007).</w:t>
      </w:r>
    </w:p>
    <w:p w14:paraId="3BE90F36" w14:textId="14F6F7D3" w:rsidR="00CF650B" w:rsidRPr="00CF650B" w:rsidRDefault="00CF650B" w:rsidP="00CF650B">
      <w:pPr>
        <w:spacing w:line="480" w:lineRule="auto"/>
        <w:rPr>
          <w:rFonts w:ascii="Arial" w:hAnsi="Arial" w:cs="Arial"/>
        </w:rPr>
      </w:pPr>
      <w:r w:rsidRPr="00CF650B">
        <w:rPr>
          <w:rFonts w:ascii="Arial" w:hAnsi="Arial" w:cs="Arial"/>
        </w:rPr>
        <w:t>Also, there are many ways to build a farmer's capacity to be more resilient when faced with challenges, such as going to workshops on business planning, environmental practices, digital technology, attending mentoring programs, visiting farms, or participating in leadership training with other farmers to help them develop the skills they need (Mackle, Pascoe &amp; O'Brien, 2025).</w:t>
      </w:r>
    </w:p>
    <w:p w14:paraId="58E5EA4B" w14:textId="1C357515" w:rsidR="00CF650B" w:rsidRPr="00A02B52" w:rsidRDefault="00CF650B" w:rsidP="00CF650B">
      <w:pPr>
        <w:spacing w:line="480" w:lineRule="auto"/>
        <w:rPr>
          <w:rFonts w:ascii="Arial" w:hAnsi="Arial" w:cs="Arial"/>
          <w:b/>
          <w:bCs/>
          <w:color w:val="196B24" w:themeColor="accent3"/>
        </w:rPr>
      </w:pPr>
      <w:r w:rsidRPr="00A02B52">
        <w:rPr>
          <w:rFonts w:ascii="Arial" w:hAnsi="Arial" w:cs="Arial"/>
          <w:b/>
          <w:bCs/>
          <w:color w:val="196B24" w:themeColor="accent3"/>
        </w:rPr>
        <w:t>The Farming Community</w:t>
      </w:r>
    </w:p>
    <w:p w14:paraId="23E6CC70" w14:textId="77777777" w:rsidR="00A02B52" w:rsidRDefault="00CF650B" w:rsidP="00CF650B">
      <w:pPr>
        <w:spacing w:line="480" w:lineRule="auto"/>
        <w:rPr>
          <w:rFonts w:ascii="Arial" w:hAnsi="Arial" w:cs="Arial"/>
        </w:rPr>
      </w:pPr>
      <w:r w:rsidRPr="00CF650B">
        <w:rPr>
          <w:rFonts w:ascii="Arial" w:hAnsi="Arial" w:cs="Arial"/>
        </w:rPr>
        <w:t xml:space="preserve">The farming community </w:t>
      </w:r>
      <w:r w:rsidR="00A02B52" w:rsidRPr="00CF650B">
        <w:rPr>
          <w:rFonts w:ascii="Arial" w:hAnsi="Arial" w:cs="Arial"/>
        </w:rPr>
        <w:t>must</w:t>
      </w:r>
      <w:r w:rsidRPr="00CF650B">
        <w:rPr>
          <w:rFonts w:ascii="Arial" w:hAnsi="Arial" w:cs="Arial"/>
        </w:rPr>
        <w:t xml:space="preserve"> deal with many obstacles. For some families, the economic conditions are putting pressure on them to not continue farming in the future. The uncertainty about future market prices, as well as rising costs and weather fluctuations, can increase the amount of stress on an already overwhelmed family unit. Many members of the farming community also deal with mental health issues due to the continuous isolation or prolonged hours of work and stress on them financially.</w:t>
      </w:r>
    </w:p>
    <w:p w14:paraId="7DFE3AEE" w14:textId="77777777" w:rsidR="00A02B52" w:rsidRDefault="00CF650B" w:rsidP="00CF650B">
      <w:pPr>
        <w:spacing w:line="480" w:lineRule="auto"/>
        <w:rPr>
          <w:rFonts w:ascii="Arial" w:hAnsi="Arial" w:cs="Arial"/>
        </w:rPr>
      </w:pPr>
      <w:r w:rsidRPr="00CF650B">
        <w:rPr>
          <w:rFonts w:ascii="Arial" w:hAnsi="Arial" w:cs="Arial"/>
        </w:rPr>
        <w:t>Additionally, environmental regulations can cause some frustration for farmers, because often, the regulations have been developed without properly considering the local conditions under which farmers operate. In many rural areas, the lack of reliable internet connection makes access to training and information sources online very difficult.</w:t>
      </w:r>
    </w:p>
    <w:p w14:paraId="55BBC9B2" w14:textId="152D9D95" w:rsidR="00CF650B" w:rsidRPr="00CF650B" w:rsidRDefault="00CF650B" w:rsidP="00CF650B">
      <w:pPr>
        <w:spacing w:line="480" w:lineRule="auto"/>
        <w:rPr>
          <w:rFonts w:ascii="Arial" w:hAnsi="Arial" w:cs="Arial"/>
        </w:rPr>
      </w:pPr>
      <w:r w:rsidRPr="00CF650B">
        <w:rPr>
          <w:rFonts w:ascii="Arial" w:hAnsi="Arial" w:cs="Arial"/>
        </w:rPr>
        <w:lastRenderedPageBreak/>
        <w:t xml:space="preserve">In many cases, young people move out of the area to pursue other opportunities. This creates uncertainty about the ability to continue family farms, and a loss of local knowledge. However, at the same time, many older farmers may resist </w:t>
      </w:r>
      <w:r w:rsidR="00A02B52" w:rsidRPr="00CF650B">
        <w:rPr>
          <w:rFonts w:ascii="Arial" w:hAnsi="Arial" w:cs="Arial"/>
        </w:rPr>
        <w:t>change,</w:t>
      </w:r>
      <w:r w:rsidRPr="00CF650B">
        <w:rPr>
          <w:rFonts w:ascii="Arial" w:hAnsi="Arial" w:cs="Arial"/>
        </w:rPr>
        <w:t xml:space="preserve"> creating generational tension.</w:t>
      </w:r>
    </w:p>
    <w:p w14:paraId="4312D011" w14:textId="1E864F1B" w:rsidR="00CF650B" w:rsidRPr="00CF650B" w:rsidRDefault="00CF650B" w:rsidP="00CF650B">
      <w:pPr>
        <w:spacing w:line="480" w:lineRule="auto"/>
        <w:rPr>
          <w:rFonts w:ascii="Arial" w:hAnsi="Arial" w:cs="Arial"/>
        </w:rPr>
      </w:pPr>
      <w:r w:rsidRPr="00CF650B">
        <w:rPr>
          <w:rFonts w:ascii="Arial" w:hAnsi="Arial" w:cs="Arial"/>
        </w:rPr>
        <w:t>Community organi</w:t>
      </w:r>
      <w:r w:rsidR="00A02B52">
        <w:rPr>
          <w:rFonts w:ascii="Arial" w:hAnsi="Arial" w:cs="Arial"/>
        </w:rPr>
        <w:t>s</w:t>
      </w:r>
      <w:r w:rsidRPr="00CF650B">
        <w:rPr>
          <w:rFonts w:ascii="Arial" w:hAnsi="Arial" w:cs="Arial"/>
        </w:rPr>
        <w:t>ations face the struggle of operating with limited funding; therefore, developing long-term programs can be quite difficult.</w:t>
      </w:r>
    </w:p>
    <w:p w14:paraId="7704BEC7" w14:textId="75672748" w:rsidR="00CF650B" w:rsidRPr="00A02B52" w:rsidRDefault="00CF650B" w:rsidP="00CF650B">
      <w:pPr>
        <w:spacing w:line="480" w:lineRule="auto"/>
        <w:rPr>
          <w:rFonts w:ascii="Arial" w:hAnsi="Arial" w:cs="Arial"/>
          <w:b/>
          <w:bCs/>
          <w:color w:val="196B24" w:themeColor="accent3"/>
        </w:rPr>
      </w:pPr>
      <w:r w:rsidRPr="00A02B52">
        <w:rPr>
          <w:rFonts w:ascii="Arial" w:hAnsi="Arial" w:cs="Arial"/>
          <w:b/>
          <w:bCs/>
          <w:color w:val="196B24" w:themeColor="accent3"/>
        </w:rPr>
        <w:t>How to Evaluate Community Development for Sustainable Improvement</w:t>
      </w:r>
    </w:p>
    <w:p w14:paraId="799445FD" w14:textId="77777777" w:rsidR="00227287" w:rsidRDefault="00CF650B" w:rsidP="00CF650B">
      <w:pPr>
        <w:spacing w:line="480" w:lineRule="auto"/>
        <w:rPr>
          <w:rFonts w:ascii="Arial" w:hAnsi="Arial" w:cs="Arial"/>
        </w:rPr>
      </w:pPr>
      <w:r w:rsidRPr="00CF650B">
        <w:rPr>
          <w:rFonts w:ascii="Arial" w:hAnsi="Arial" w:cs="Arial"/>
        </w:rPr>
        <w:t xml:space="preserve">For the Pembrokeshire farming community, sustainability will be maintained through the need to have equal consideration in the development of the three pillars of sustainable development (the economy, environment, and society). This will mean that the most effective way to facilitate sustainable improvement in the farming community is to allow farmers to be involved in the decision-making process, </w:t>
      </w:r>
      <w:r w:rsidR="00227287" w:rsidRPr="00CF650B">
        <w:rPr>
          <w:rFonts w:ascii="Arial" w:hAnsi="Arial" w:cs="Arial"/>
        </w:rPr>
        <w:t>understand</w:t>
      </w:r>
      <w:r w:rsidRPr="00CF650B">
        <w:rPr>
          <w:rFonts w:ascii="Arial" w:hAnsi="Arial" w:cs="Arial"/>
        </w:rPr>
        <w:t xml:space="preserve"> their peers, and have their </w:t>
      </w:r>
      <w:r w:rsidR="00227287" w:rsidRPr="00CF650B">
        <w:rPr>
          <w:rFonts w:ascii="Arial" w:hAnsi="Arial" w:cs="Arial"/>
        </w:rPr>
        <w:t>economic</w:t>
      </w:r>
      <w:r w:rsidRPr="00CF650B">
        <w:rPr>
          <w:rFonts w:ascii="Arial" w:hAnsi="Arial" w:cs="Arial"/>
        </w:rPr>
        <w:t xml:space="preserve"> benefits tied to their community (Mackle, Pascoe, &amp; O'Brien, 2025). By improving communication and incorporating community members into determining the direction of local farming through the recognition and respect of traditional knowledge, the likelihood of farmers changing their behaviours to promote sustainability should be increased.</w:t>
      </w:r>
    </w:p>
    <w:p w14:paraId="76060A7C" w14:textId="77777777" w:rsidR="00227287" w:rsidRDefault="00CF650B" w:rsidP="00CF650B">
      <w:pPr>
        <w:spacing w:line="480" w:lineRule="auto"/>
        <w:rPr>
          <w:rFonts w:ascii="Arial" w:hAnsi="Arial" w:cs="Arial"/>
        </w:rPr>
      </w:pPr>
      <w:r w:rsidRPr="00CF650B">
        <w:rPr>
          <w:rFonts w:ascii="Arial" w:hAnsi="Arial" w:cs="Arial"/>
        </w:rPr>
        <w:t>Long-term sustainable development also depends on establishing support for younger farmers, encouraging the diversification of commodity production and extending the access to digital connectivity for farmers. Additionally, to support the sustainability of farmers in the Pembrokeshire area, we need to develop environmental solutions for farmers that balance the practical needs of farmers with sustainability objectives.</w:t>
      </w:r>
    </w:p>
    <w:p w14:paraId="1896BE86" w14:textId="707C9250" w:rsidR="00CF650B" w:rsidRDefault="00CF650B" w:rsidP="00CF650B">
      <w:pPr>
        <w:spacing w:line="480" w:lineRule="auto"/>
        <w:rPr>
          <w:rFonts w:ascii="Arial" w:hAnsi="Arial" w:cs="Arial"/>
        </w:rPr>
      </w:pPr>
      <w:r w:rsidRPr="00CF650B">
        <w:rPr>
          <w:rFonts w:ascii="Arial" w:hAnsi="Arial" w:cs="Arial"/>
        </w:rPr>
        <w:lastRenderedPageBreak/>
        <w:t>Social Capital, Shared Identity, and Local Knowledge are the key ingredients to create a strong foundation for developing more sustainable farming communities. When Community Development is based on these fundamental strengths and supported through appropriate training, effective communication, and inclusive development methods, the capacity of farming communities to adapt positively to challenges creates a pathway toward achieving ongoing success.</w:t>
      </w:r>
    </w:p>
    <w:p w14:paraId="3982FE61" w14:textId="77777777" w:rsidR="00227287" w:rsidRDefault="00227287" w:rsidP="00CF650B">
      <w:pPr>
        <w:spacing w:line="480" w:lineRule="auto"/>
        <w:rPr>
          <w:rFonts w:ascii="Arial" w:hAnsi="Arial" w:cs="Arial"/>
        </w:rPr>
      </w:pPr>
    </w:p>
    <w:p w14:paraId="648FD060" w14:textId="77777777" w:rsidR="00227287" w:rsidRDefault="00227287" w:rsidP="00CF650B">
      <w:pPr>
        <w:spacing w:line="480" w:lineRule="auto"/>
        <w:rPr>
          <w:rFonts w:ascii="Arial" w:hAnsi="Arial" w:cs="Arial"/>
        </w:rPr>
      </w:pPr>
    </w:p>
    <w:p w14:paraId="52918194" w14:textId="77777777" w:rsidR="00227287" w:rsidRDefault="00227287" w:rsidP="00CF650B">
      <w:pPr>
        <w:spacing w:line="480" w:lineRule="auto"/>
        <w:rPr>
          <w:rFonts w:ascii="Arial" w:hAnsi="Arial" w:cs="Arial"/>
        </w:rPr>
      </w:pPr>
    </w:p>
    <w:p w14:paraId="2CB5B9B4" w14:textId="77777777" w:rsidR="00227287" w:rsidRDefault="00227287" w:rsidP="00CF650B">
      <w:pPr>
        <w:spacing w:line="480" w:lineRule="auto"/>
        <w:rPr>
          <w:rFonts w:ascii="Arial" w:hAnsi="Arial" w:cs="Arial"/>
        </w:rPr>
      </w:pPr>
    </w:p>
    <w:p w14:paraId="287C86A6" w14:textId="77777777" w:rsidR="00227287" w:rsidRDefault="00227287" w:rsidP="00CF650B">
      <w:pPr>
        <w:spacing w:line="480" w:lineRule="auto"/>
        <w:rPr>
          <w:rFonts w:ascii="Arial" w:hAnsi="Arial" w:cs="Arial"/>
        </w:rPr>
      </w:pPr>
    </w:p>
    <w:p w14:paraId="40FCC8CF" w14:textId="77777777" w:rsidR="00227287" w:rsidRDefault="00227287" w:rsidP="00CF650B">
      <w:pPr>
        <w:spacing w:line="480" w:lineRule="auto"/>
        <w:rPr>
          <w:rFonts w:ascii="Arial" w:hAnsi="Arial" w:cs="Arial"/>
        </w:rPr>
      </w:pPr>
    </w:p>
    <w:p w14:paraId="5922B45C" w14:textId="77777777" w:rsidR="00227287" w:rsidRDefault="00227287" w:rsidP="00CF650B">
      <w:pPr>
        <w:spacing w:line="480" w:lineRule="auto"/>
        <w:rPr>
          <w:rFonts w:ascii="Arial" w:hAnsi="Arial" w:cs="Arial"/>
        </w:rPr>
      </w:pPr>
    </w:p>
    <w:p w14:paraId="4EEB6915" w14:textId="77777777" w:rsidR="00227287" w:rsidRDefault="00227287" w:rsidP="00CF650B">
      <w:pPr>
        <w:spacing w:line="480" w:lineRule="auto"/>
        <w:rPr>
          <w:rFonts w:ascii="Arial" w:hAnsi="Arial" w:cs="Arial"/>
        </w:rPr>
      </w:pPr>
    </w:p>
    <w:p w14:paraId="6873B4AA" w14:textId="77777777" w:rsidR="00227287" w:rsidRDefault="00227287" w:rsidP="00CF650B">
      <w:pPr>
        <w:spacing w:line="480" w:lineRule="auto"/>
        <w:rPr>
          <w:rFonts w:ascii="Arial" w:hAnsi="Arial" w:cs="Arial"/>
        </w:rPr>
      </w:pPr>
    </w:p>
    <w:p w14:paraId="63B3B387" w14:textId="77777777" w:rsidR="00227287" w:rsidRDefault="00227287" w:rsidP="00CF650B">
      <w:pPr>
        <w:spacing w:line="480" w:lineRule="auto"/>
        <w:rPr>
          <w:rFonts w:ascii="Arial" w:hAnsi="Arial" w:cs="Arial"/>
        </w:rPr>
      </w:pPr>
    </w:p>
    <w:p w14:paraId="61B9A421" w14:textId="77777777" w:rsidR="00227287" w:rsidRDefault="00227287" w:rsidP="00CF650B">
      <w:pPr>
        <w:spacing w:line="480" w:lineRule="auto"/>
        <w:rPr>
          <w:rFonts w:ascii="Arial" w:hAnsi="Arial" w:cs="Arial"/>
        </w:rPr>
      </w:pPr>
    </w:p>
    <w:p w14:paraId="3E8BE0C9" w14:textId="77777777" w:rsidR="00227287" w:rsidRDefault="00227287" w:rsidP="00CF650B">
      <w:pPr>
        <w:spacing w:line="480" w:lineRule="auto"/>
        <w:rPr>
          <w:rFonts w:ascii="Arial" w:hAnsi="Arial" w:cs="Arial"/>
        </w:rPr>
      </w:pPr>
    </w:p>
    <w:p w14:paraId="593493F5" w14:textId="77777777" w:rsidR="00227287" w:rsidRDefault="00227287" w:rsidP="00CF650B">
      <w:pPr>
        <w:spacing w:line="480" w:lineRule="auto"/>
        <w:rPr>
          <w:rFonts w:ascii="Arial" w:hAnsi="Arial" w:cs="Arial"/>
        </w:rPr>
      </w:pPr>
    </w:p>
    <w:p w14:paraId="60C15B1A" w14:textId="77777777" w:rsidR="00227287" w:rsidRDefault="00227287" w:rsidP="00CF650B">
      <w:pPr>
        <w:spacing w:line="480" w:lineRule="auto"/>
        <w:rPr>
          <w:rFonts w:ascii="Arial" w:hAnsi="Arial" w:cs="Arial"/>
        </w:rPr>
      </w:pPr>
    </w:p>
    <w:p w14:paraId="0D5DABF7" w14:textId="77777777" w:rsidR="00227287" w:rsidRDefault="00227287" w:rsidP="00CF650B">
      <w:pPr>
        <w:spacing w:line="480" w:lineRule="auto"/>
        <w:rPr>
          <w:rFonts w:ascii="Arial" w:hAnsi="Arial" w:cs="Arial"/>
        </w:rPr>
      </w:pPr>
    </w:p>
    <w:p w14:paraId="19887060" w14:textId="016AA168" w:rsidR="00227287" w:rsidRPr="00227287" w:rsidRDefault="00227287" w:rsidP="00CF650B">
      <w:pPr>
        <w:spacing w:line="480" w:lineRule="auto"/>
        <w:rPr>
          <w:rFonts w:ascii="Arial" w:hAnsi="Arial" w:cs="Arial"/>
          <w:b/>
          <w:bCs/>
          <w:color w:val="196B24" w:themeColor="accent3"/>
          <w:u w:val="double"/>
        </w:rPr>
      </w:pPr>
      <w:r w:rsidRPr="00227287">
        <w:rPr>
          <w:rFonts w:ascii="Arial" w:hAnsi="Arial" w:cs="Arial"/>
          <w:b/>
          <w:bCs/>
          <w:color w:val="196B24" w:themeColor="accent3"/>
          <w:u w:val="double"/>
        </w:rPr>
        <w:lastRenderedPageBreak/>
        <w:t xml:space="preserve">References </w:t>
      </w:r>
    </w:p>
    <w:p w14:paraId="1784A3B7" w14:textId="77777777" w:rsidR="00227287" w:rsidRPr="00227287" w:rsidRDefault="00227287" w:rsidP="00227287">
      <w:pPr>
        <w:spacing w:line="480" w:lineRule="auto"/>
        <w:rPr>
          <w:rFonts w:ascii="Arial" w:hAnsi="Arial" w:cs="Arial"/>
        </w:rPr>
      </w:pPr>
      <w:r w:rsidRPr="00227287">
        <w:rPr>
          <w:rFonts w:ascii="Arial" w:hAnsi="Arial" w:cs="Arial"/>
        </w:rPr>
        <w:t xml:space="preserve">Ajzen, I. (1991). The theory of planned behaviour. </w:t>
      </w:r>
      <w:r w:rsidRPr="00227287">
        <w:rPr>
          <w:rFonts w:ascii="Arial" w:hAnsi="Arial" w:cs="Arial"/>
          <w:i/>
          <w:iCs/>
        </w:rPr>
        <w:t>Organisational behaviour and human decision processes, 50</w:t>
      </w:r>
      <w:r w:rsidRPr="00227287">
        <w:rPr>
          <w:rFonts w:ascii="Arial" w:hAnsi="Arial" w:cs="Arial"/>
        </w:rPr>
        <w:t xml:space="preserve"> (2), 179-211.</w:t>
      </w:r>
    </w:p>
    <w:p w14:paraId="5689620B" w14:textId="77777777" w:rsidR="00227287" w:rsidRDefault="00227287" w:rsidP="00227287">
      <w:pPr>
        <w:spacing w:line="480" w:lineRule="auto"/>
        <w:rPr>
          <w:rFonts w:ascii="Arial" w:hAnsi="Arial" w:cs="Arial"/>
        </w:rPr>
      </w:pPr>
      <w:r w:rsidRPr="00227287">
        <w:rPr>
          <w:rFonts w:ascii="Arial" w:hAnsi="Arial" w:cs="Arial"/>
        </w:rPr>
        <w:t xml:space="preserve">Berkowitz, A. D. (2003). </w:t>
      </w:r>
      <w:r w:rsidRPr="00227287">
        <w:rPr>
          <w:rFonts w:ascii="Arial" w:hAnsi="Arial" w:cs="Arial"/>
          <w:i/>
          <w:iCs/>
        </w:rPr>
        <w:t xml:space="preserve">Applications of social norms theory to other health and social justice issues. </w:t>
      </w:r>
      <w:r w:rsidRPr="00227287">
        <w:rPr>
          <w:rFonts w:ascii="Arial" w:hAnsi="Arial" w:cs="Arial"/>
        </w:rPr>
        <w:t>The social norms approach to preventing school and college age substance abuse: A handbook for educators, counsellors, and clinicians, 1, 259-279.</w:t>
      </w:r>
    </w:p>
    <w:p w14:paraId="126132C4" w14:textId="736412E5" w:rsidR="00227287" w:rsidRPr="00227287" w:rsidRDefault="00227287" w:rsidP="00227287">
      <w:pPr>
        <w:spacing w:line="480" w:lineRule="auto"/>
        <w:rPr>
          <w:rFonts w:ascii="Arial" w:hAnsi="Arial" w:cs="Arial"/>
        </w:rPr>
      </w:pPr>
      <w:r w:rsidRPr="00227287">
        <w:rPr>
          <w:rFonts w:ascii="Arial" w:hAnsi="Arial" w:cs="Arial"/>
        </w:rPr>
        <w:t xml:space="preserve">Cui, Y., Yin, M., Cheng, X., Tang, J., &amp; He, B. J. (2024). </w:t>
      </w:r>
      <w:r w:rsidRPr="00227287">
        <w:rPr>
          <w:rFonts w:ascii="Arial" w:hAnsi="Arial" w:cs="Arial"/>
          <w:i/>
          <w:iCs/>
        </w:rPr>
        <w:t xml:space="preserve">Towards cool cities and communities: Preparing for an increasingly hot future by the development of heat-resilient infrastructure and urban heat management plan. </w:t>
      </w:r>
      <w:r w:rsidRPr="00227287">
        <w:rPr>
          <w:rFonts w:ascii="Arial" w:hAnsi="Arial" w:cs="Arial"/>
        </w:rPr>
        <w:t>Environmental Technology &amp; Innovation, 34, 103568.</w:t>
      </w:r>
    </w:p>
    <w:p w14:paraId="6F833388" w14:textId="77777777" w:rsidR="00227287" w:rsidRPr="00227287" w:rsidRDefault="00227287" w:rsidP="00227287">
      <w:pPr>
        <w:spacing w:line="480" w:lineRule="auto"/>
        <w:rPr>
          <w:rFonts w:ascii="Arial" w:hAnsi="Arial" w:cs="Arial"/>
        </w:rPr>
      </w:pPr>
      <w:r w:rsidRPr="00227287">
        <w:rPr>
          <w:rFonts w:ascii="Arial" w:hAnsi="Arial" w:cs="Arial"/>
        </w:rPr>
        <w:t xml:space="preserve">Chen, W., &amp; Meng, F. (2025). Sustainable development, economic policy uncertainty and tax risk. </w:t>
      </w:r>
      <w:r w:rsidRPr="00227287">
        <w:rPr>
          <w:rFonts w:ascii="Arial" w:hAnsi="Arial" w:cs="Arial"/>
          <w:i/>
          <w:iCs/>
        </w:rPr>
        <w:t>Sustainability Accounting, Management and Policy Journal, 16</w:t>
      </w:r>
      <w:r w:rsidRPr="00227287">
        <w:rPr>
          <w:rFonts w:ascii="Arial" w:hAnsi="Arial" w:cs="Arial"/>
        </w:rPr>
        <w:t>(1), 1-43.</w:t>
      </w:r>
    </w:p>
    <w:p w14:paraId="175CEC0F" w14:textId="3020C040" w:rsidR="00227287" w:rsidRPr="00227287" w:rsidRDefault="00227287" w:rsidP="00227287">
      <w:pPr>
        <w:spacing w:line="480" w:lineRule="auto"/>
        <w:rPr>
          <w:rFonts w:ascii="Arial" w:hAnsi="Arial" w:cs="Arial"/>
        </w:rPr>
      </w:pPr>
      <w:r w:rsidRPr="00227287">
        <w:rPr>
          <w:rFonts w:ascii="Arial" w:hAnsi="Arial" w:cs="Arial"/>
        </w:rPr>
        <w:t>Du, J. T., Xie, I., &amp; Waycott, J. (2020). Marginali</w:t>
      </w:r>
      <w:r>
        <w:rPr>
          <w:rFonts w:ascii="Arial" w:hAnsi="Arial" w:cs="Arial"/>
        </w:rPr>
        <w:t>s</w:t>
      </w:r>
      <w:r w:rsidRPr="00227287">
        <w:rPr>
          <w:rFonts w:ascii="Arial" w:hAnsi="Arial" w:cs="Arial"/>
        </w:rPr>
        <w:t xml:space="preserve">ed communities, emerging technologies, and social innovation in the digital age: Introduction to the special issue. </w:t>
      </w:r>
      <w:r w:rsidRPr="00227287">
        <w:rPr>
          <w:rFonts w:ascii="Arial" w:hAnsi="Arial" w:cs="Arial"/>
          <w:i/>
          <w:iCs/>
        </w:rPr>
        <w:t>Information processing &amp; management, 57</w:t>
      </w:r>
      <w:r w:rsidRPr="00227287">
        <w:rPr>
          <w:rFonts w:ascii="Arial" w:hAnsi="Arial" w:cs="Arial"/>
        </w:rPr>
        <w:t>(3), 102235.</w:t>
      </w:r>
    </w:p>
    <w:p w14:paraId="62D8B478" w14:textId="77777777" w:rsidR="00227287" w:rsidRPr="00227287" w:rsidRDefault="00227287" w:rsidP="00227287">
      <w:pPr>
        <w:spacing w:line="480" w:lineRule="auto"/>
        <w:rPr>
          <w:rFonts w:ascii="Arial" w:hAnsi="Arial" w:cs="Arial"/>
        </w:rPr>
      </w:pPr>
      <w:r w:rsidRPr="00227287">
        <w:rPr>
          <w:rFonts w:ascii="Arial" w:hAnsi="Arial" w:cs="Arial"/>
        </w:rPr>
        <w:t xml:space="preserve">Green, G. P., &amp; Haines, A. (2011). </w:t>
      </w:r>
      <w:r w:rsidRPr="00227287">
        <w:rPr>
          <w:rFonts w:ascii="Arial" w:hAnsi="Arial" w:cs="Arial"/>
          <w:i/>
          <w:iCs/>
        </w:rPr>
        <w:t>Asset building and community development</w:t>
      </w:r>
      <w:r w:rsidRPr="00227287">
        <w:rPr>
          <w:rFonts w:ascii="Arial" w:hAnsi="Arial" w:cs="Arial"/>
        </w:rPr>
        <w:t xml:space="preserve"> (3rd ed.). SAGE Publications.</w:t>
      </w:r>
    </w:p>
    <w:p w14:paraId="2E904233" w14:textId="77777777" w:rsidR="00227287" w:rsidRPr="00227287" w:rsidRDefault="00227287" w:rsidP="00227287">
      <w:pPr>
        <w:spacing w:line="480" w:lineRule="auto"/>
        <w:rPr>
          <w:rFonts w:ascii="Arial" w:hAnsi="Arial" w:cs="Arial"/>
        </w:rPr>
      </w:pPr>
      <w:r w:rsidRPr="00227287">
        <w:rPr>
          <w:rFonts w:ascii="Arial" w:hAnsi="Arial" w:cs="Arial"/>
        </w:rPr>
        <w:t xml:space="preserve">Head, B. W. (2007). Community engagement: Participation on whose terms. </w:t>
      </w:r>
      <w:r w:rsidRPr="00227287">
        <w:rPr>
          <w:rFonts w:ascii="Arial" w:hAnsi="Arial" w:cs="Arial"/>
          <w:i/>
          <w:iCs/>
        </w:rPr>
        <w:t>Australian Journal of Political Science, 42</w:t>
      </w:r>
      <w:r w:rsidRPr="00227287">
        <w:rPr>
          <w:rFonts w:ascii="Arial" w:hAnsi="Arial" w:cs="Arial"/>
        </w:rPr>
        <w:t>(3), 441.</w:t>
      </w:r>
    </w:p>
    <w:p w14:paraId="6F4879DD" w14:textId="77777777" w:rsidR="00227287" w:rsidRPr="00227287" w:rsidRDefault="00227287" w:rsidP="00227287">
      <w:pPr>
        <w:spacing w:line="480" w:lineRule="auto"/>
        <w:rPr>
          <w:rFonts w:ascii="Arial" w:hAnsi="Arial" w:cs="Arial"/>
        </w:rPr>
      </w:pPr>
      <w:r w:rsidRPr="00227287">
        <w:rPr>
          <w:rFonts w:ascii="Arial" w:hAnsi="Arial" w:cs="Arial"/>
        </w:rPr>
        <w:t xml:space="preserve">Hussain, S. T., Lei, S., Akram, T., Haider, M. J., Hussain, S. H., &amp; Ali, M. (2018). Kurt Lewin's change model: A critical review of the role of leadership and employee </w:t>
      </w:r>
      <w:r w:rsidRPr="00227287">
        <w:rPr>
          <w:rFonts w:ascii="Arial" w:hAnsi="Arial" w:cs="Arial"/>
        </w:rPr>
        <w:lastRenderedPageBreak/>
        <w:t xml:space="preserve">involvement in organizational change. </w:t>
      </w:r>
      <w:r w:rsidRPr="00227287">
        <w:rPr>
          <w:rFonts w:ascii="Arial" w:hAnsi="Arial" w:cs="Arial"/>
          <w:i/>
          <w:iCs/>
        </w:rPr>
        <w:t>Journal of innovation &amp; knowledge, 3</w:t>
      </w:r>
      <w:r w:rsidRPr="00227287">
        <w:rPr>
          <w:rFonts w:ascii="Arial" w:hAnsi="Arial" w:cs="Arial"/>
        </w:rPr>
        <w:t>(3), 123-127.</w:t>
      </w:r>
    </w:p>
    <w:p w14:paraId="6F7C7CA0" w14:textId="77777777" w:rsidR="00227287" w:rsidRDefault="00227287" w:rsidP="00227287">
      <w:pPr>
        <w:spacing w:line="480" w:lineRule="auto"/>
        <w:rPr>
          <w:rFonts w:ascii="Arial" w:hAnsi="Arial" w:cs="Arial"/>
        </w:rPr>
      </w:pPr>
      <w:r w:rsidRPr="00227287">
        <w:rPr>
          <w:rFonts w:ascii="Arial" w:hAnsi="Arial" w:cs="Arial"/>
        </w:rPr>
        <w:t xml:space="preserve">Jacob, W. J., Sutin, S. E., Weidman, J. C., &amp; Yeager, J. L. (Eds.). (2015). </w:t>
      </w:r>
      <w:r w:rsidRPr="00227287">
        <w:rPr>
          <w:rFonts w:ascii="Arial" w:hAnsi="Arial" w:cs="Arial"/>
          <w:i/>
          <w:iCs/>
        </w:rPr>
        <w:t>Community engagement in higher education policy reforms and practice</w:t>
      </w:r>
      <w:r w:rsidRPr="00227287">
        <w:rPr>
          <w:rFonts w:ascii="Arial" w:hAnsi="Arial" w:cs="Arial"/>
        </w:rPr>
        <w:t>. Springer.</w:t>
      </w:r>
    </w:p>
    <w:p w14:paraId="783ABAA3" w14:textId="283AB69D" w:rsidR="00227287" w:rsidRPr="00227287" w:rsidRDefault="00227287" w:rsidP="00227287">
      <w:pPr>
        <w:spacing w:line="480" w:lineRule="auto"/>
        <w:rPr>
          <w:rFonts w:ascii="Arial" w:hAnsi="Arial" w:cs="Arial"/>
        </w:rPr>
      </w:pPr>
      <w:r w:rsidRPr="00227287">
        <w:rPr>
          <w:rFonts w:ascii="Arial" w:hAnsi="Arial" w:cs="Arial"/>
        </w:rPr>
        <w:t xml:space="preserve">Mackle, D., Pascoe, K. M., &amp; O’Brien, F. (2025). </w:t>
      </w:r>
      <w:r w:rsidRPr="00227287">
        <w:rPr>
          <w:rFonts w:ascii="Arial" w:hAnsi="Arial" w:cs="Arial"/>
          <w:i/>
          <w:iCs/>
        </w:rPr>
        <w:t>Opportunities to strengthen community development teaching in undergraduate social work programmes: An international curriculum comparative case study analysis</w:t>
      </w:r>
      <w:r w:rsidRPr="00227287">
        <w:rPr>
          <w:rFonts w:ascii="Arial" w:hAnsi="Arial" w:cs="Arial"/>
        </w:rPr>
        <w:t>. Social Work Education, 1-20.</w:t>
      </w:r>
    </w:p>
    <w:p w14:paraId="0017093D" w14:textId="77777777" w:rsidR="00227287" w:rsidRPr="00227287" w:rsidRDefault="00227287" w:rsidP="00227287">
      <w:pPr>
        <w:spacing w:line="480" w:lineRule="auto"/>
        <w:rPr>
          <w:rFonts w:ascii="Arial" w:hAnsi="Arial" w:cs="Arial"/>
        </w:rPr>
      </w:pPr>
      <w:r w:rsidRPr="00227287">
        <w:rPr>
          <w:rFonts w:ascii="Arial" w:hAnsi="Arial" w:cs="Arial"/>
        </w:rPr>
        <w:t>Paunov, C., &amp; Planes-</w:t>
      </w:r>
      <w:proofErr w:type="spellStart"/>
      <w:r w:rsidRPr="00227287">
        <w:rPr>
          <w:rFonts w:ascii="Arial" w:hAnsi="Arial" w:cs="Arial"/>
        </w:rPr>
        <w:t>Satorra</w:t>
      </w:r>
      <w:proofErr w:type="spellEnd"/>
      <w:r w:rsidRPr="00227287">
        <w:rPr>
          <w:rFonts w:ascii="Arial" w:hAnsi="Arial" w:cs="Arial"/>
        </w:rPr>
        <w:t xml:space="preserve">, S. (2019). </w:t>
      </w:r>
      <w:r w:rsidRPr="00227287">
        <w:rPr>
          <w:rFonts w:ascii="Arial" w:hAnsi="Arial" w:cs="Arial"/>
          <w:i/>
          <w:iCs/>
        </w:rPr>
        <w:t>How are digital technologies changing innovation?</w:t>
      </w:r>
      <w:r w:rsidRPr="00227287">
        <w:rPr>
          <w:rFonts w:ascii="Arial" w:hAnsi="Arial" w:cs="Arial"/>
        </w:rPr>
        <w:t xml:space="preserve"> OECD Science, Technology and industry policy papers.</w:t>
      </w:r>
    </w:p>
    <w:p w14:paraId="0ECA0CC1" w14:textId="77777777" w:rsidR="00227287" w:rsidRPr="00227287" w:rsidRDefault="00227287" w:rsidP="00227287">
      <w:pPr>
        <w:spacing w:line="480" w:lineRule="auto"/>
        <w:rPr>
          <w:rFonts w:ascii="Arial" w:hAnsi="Arial" w:cs="Arial"/>
        </w:rPr>
      </w:pPr>
      <w:r w:rsidRPr="00227287">
        <w:rPr>
          <w:rFonts w:ascii="Arial" w:hAnsi="Arial" w:cs="Arial"/>
        </w:rPr>
        <w:t xml:space="preserve">Roseland, M. (2000). Sustainable community development: integrating environmental, economic, and social objectives. </w:t>
      </w:r>
      <w:r w:rsidRPr="00227287">
        <w:rPr>
          <w:rFonts w:ascii="Arial" w:hAnsi="Arial" w:cs="Arial"/>
          <w:i/>
          <w:iCs/>
        </w:rPr>
        <w:t>Progress in planning, 54</w:t>
      </w:r>
      <w:r w:rsidRPr="00227287">
        <w:rPr>
          <w:rFonts w:ascii="Arial" w:hAnsi="Arial" w:cs="Arial"/>
        </w:rPr>
        <w:t>(2), 73-132.</w:t>
      </w:r>
    </w:p>
    <w:p w14:paraId="1DCE0C60" w14:textId="7858064D" w:rsidR="00227287" w:rsidRPr="00CF650B" w:rsidRDefault="00227287" w:rsidP="00227287">
      <w:pPr>
        <w:spacing w:line="480" w:lineRule="auto"/>
        <w:rPr>
          <w:rFonts w:ascii="Arial" w:hAnsi="Arial" w:cs="Arial"/>
        </w:rPr>
      </w:pPr>
      <w:r w:rsidRPr="00227287">
        <w:rPr>
          <w:rFonts w:ascii="Arial" w:hAnsi="Arial" w:cs="Arial"/>
        </w:rPr>
        <w:t>Vargas, C. M. (2000). Community development and micro</w:t>
      </w:r>
      <w:r w:rsidRPr="00227287">
        <w:rPr>
          <w:rFonts w:ascii="Cambria Math" w:hAnsi="Cambria Math" w:cs="Cambria Math"/>
        </w:rPr>
        <w:t>‐</w:t>
      </w:r>
      <w:r w:rsidRPr="00227287">
        <w:rPr>
          <w:rFonts w:ascii="Arial" w:hAnsi="Arial" w:cs="Arial"/>
        </w:rPr>
        <w:t xml:space="preserve">enterprises: fostering sustainable development. </w:t>
      </w:r>
      <w:r w:rsidRPr="00227287">
        <w:rPr>
          <w:rFonts w:ascii="Arial" w:hAnsi="Arial" w:cs="Arial"/>
          <w:i/>
          <w:iCs/>
        </w:rPr>
        <w:t>Sustainable Development, 8</w:t>
      </w:r>
      <w:r w:rsidRPr="00227287">
        <w:rPr>
          <w:rFonts w:ascii="Arial" w:hAnsi="Arial" w:cs="Arial"/>
        </w:rPr>
        <w:t>(1), pp.11–26.</w:t>
      </w:r>
    </w:p>
    <w:sectPr w:rsidR="00227287" w:rsidRPr="00CF650B" w:rsidSect="00227287">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03131F" w14:textId="77777777" w:rsidR="00E47F51" w:rsidRDefault="00E47F51" w:rsidP="00227287">
      <w:pPr>
        <w:spacing w:after="0" w:line="240" w:lineRule="auto"/>
      </w:pPr>
      <w:r>
        <w:separator/>
      </w:r>
    </w:p>
  </w:endnote>
  <w:endnote w:type="continuationSeparator" w:id="0">
    <w:p w14:paraId="5FEF9490" w14:textId="77777777" w:rsidR="00E47F51" w:rsidRDefault="00E47F51" w:rsidP="00227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879C7A" w14:textId="14435584" w:rsidR="00227287" w:rsidRDefault="00227287">
    <w:pPr>
      <w:pStyle w:val="Footer"/>
    </w:pPr>
    <w:r>
      <w:rPr>
        <w:noProof/>
        <w:color w:val="156082" w:themeColor="accent1"/>
      </w:rPr>
      <mc:AlternateContent>
        <mc:Choice Requires="wps">
          <w:drawing>
            <wp:anchor distT="0" distB="0" distL="114300" distR="114300" simplePos="0" relativeHeight="251659264" behindDoc="0" locked="0" layoutInCell="1" allowOverlap="1" wp14:anchorId="7634560F" wp14:editId="50D664A0">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4302BC6"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79E722" w14:textId="77777777" w:rsidR="00E47F51" w:rsidRDefault="00E47F51" w:rsidP="00227287">
      <w:pPr>
        <w:spacing w:after="0" w:line="240" w:lineRule="auto"/>
      </w:pPr>
      <w:r>
        <w:separator/>
      </w:r>
    </w:p>
  </w:footnote>
  <w:footnote w:type="continuationSeparator" w:id="0">
    <w:p w14:paraId="03A3F407" w14:textId="77777777" w:rsidR="00E47F51" w:rsidRDefault="00E47F51" w:rsidP="002272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50B"/>
    <w:rsid w:val="000D6A89"/>
    <w:rsid w:val="00227287"/>
    <w:rsid w:val="00A02B52"/>
    <w:rsid w:val="00B124B0"/>
    <w:rsid w:val="00CF650B"/>
    <w:rsid w:val="00E47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C5360"/>
  <w15:chartTrackingRefBased/>
  <w15:docId w15:val="{FB93B6B1-306F-4765-A2AE-2228F08F6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65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65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65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65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65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65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65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65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65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65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65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65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65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65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65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65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65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650B"/>
    <w:rPr>
      <w:rFonts w:eastAsiaTheme="majorEastAsia" w:cstheme="majorBidi"/>
      <w:color w:val="272727" w:themeColor="text1" w:themeTint="D8"/>
    </w:rPr>
  </w:style>
  <w:style w:type="paragraph" w:styleId="Title">
    <w:name w:val="Title"/>
    <w:basedOn w:val="Normal"/>
    <w:next w:val="Normal"/>
    <w:link w:val="TitleChar"/>
    <w:uiPriority w:val="10"/>
    <w:qFormat/>
    <w:rsid w:val="00CF65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65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65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65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650B"/>
    <w:pPr>
      <w:spacing w:before="160"/>
      <w:jc w:val="center"/>
    </w:pPr>
    <w:rPr>
      <w:i/>
      <w:iCs/>
      <w:color w:val="404040" w:themeColor="text1" w:themeTint="BF"/>
    </w:rPr>
  </w:style>
  <w:style w:type="character" w:customStyle="1" w:styleId="QuoteChar">
    <w:name w:val="Quote Char"/>
    <w:basedOn w:val="DefaultParagraphFont"/>
    <w:link w:val="Quote"/>
    <w:uiPriority w:val="29"/>
    <w:rsid w:val="00CF650B"/>
    <w:rPr>
      <w:i/>
      <w:iCs/>
      <w:color w:val="404040" w:themeColor="text1" w:themeTint="BF"/>
    </w:rPr>
  </w:style>
  <w:style w:type="paragraph" w:styleId="ListParagraph">
    <w:name w:val="List Paragraph"/>
    <w:basedOn w:val="Normal"/>
    <w:uiPriority w:val="34"/>
    <w:qFormat/>
    <w:rsid w:val="00CF650B"/>
    <w:pPr>
      <w:ind w:left="720"/>
      <w:contextualSpacing/>
    </w:pPr>
  </w:style>
  <w:style w:type="character" w:styleId="IntenseEmphasis">
    <w:name w:val="Intense Emphasis"/>
    <w:basedOn w:val="DefaultParagraphFont"/>
    <w:uiPriority w:val="21"/>
    <w:qFormat/>
    <w:rsid w:val="00CF650B"/>
    <w:rPr>
      <w:i/>
      <w:iCs/>
      <w:color w:val="0F4761" w:themeColor="accent1" w:themeShade="BF"/>
    </w:rPr>
  </w:style>
  <w:style w:type="paragraph" w:styleId="IntenseQuote">
    <w:name w:val="Intense Quote"/>
    <w:basedOn w:val="Normal"/>
    <w:next w:val="Normal"/>
    <w:link w:val="IntenseQuoteChar"/>
    <w:uiPriority w:val="30"/>
    <w:qFormat/>
    <w:rsid w:val="00CF65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650B"/>
    <w:rPr>
      <w:i/>
      <w:iCs/>
      <w:color w:val="0F4761" w:themeColor="accent1" w:themeShade="BF"/>
    </w:rPr>
  </w:style>
  <w:style w:type="character" w:styleId="IntenseReference">
    <w:name w:val="Intense Reference"/>
    <w:basedOn w:val="DefaultParagraphFont"/>
    <w:uiPriority w:val="32"/>
    <w:qFormat/>
    <w:rsid w:val="00CF650B"/>
    <w:rPr>
      <w:b/>
      <w:bCs/>
      <w:smallCaps/>
      <w:color w:val="0F4761" w:themeColor="accent1" w:themeShade="BF"/>
      <w:spacing w:val="5"/>
    </w:rPr>
  </w:style>
  <w:style w:type="paragraph" w:styleId="Header">
    <w:name w:val="header"/>
    <w:basedOn w:val="Normal"/>
    <w:link w:val="HeaderChar"/>
    <w:uiPriority w:val="99"/>
    <w:unhideWhenUsed/>
    <w:rsid w:val="002272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287"/>
  </w:style>
  <w:style w:type="paragraph" w:styleId="Footer">
    <w:name w:val="footer"/>
    <w:basedOn w:val="Normal"/>
    <w:link w:val="FooterChar"/>
    <w:uiPriority w:val="99"/>
    <w:unhideWhenUsed/>
    <w:rsid w:val="002272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287"/>
  </w:style>
  <w:style w:type="paragraph" w:styleId="NoSpacing">
    <w:name w:val="No Spacing"/>
    <w:link w:val="NoSpacingChar"/>
    <w:uiPriority w:val="1"/>
    <w:qFormat/>
    <w:rsid w:val="0022728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27287"/>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gif"/><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62</TotalTime>
  <Pages>13</Pages>
  <Words>2707</Words>
  <Characters>15433</Characters>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Report Community Development</dc:title>
  <dc:subject/>
  <cp:keywords/>
  <dc:description/>
  <dcterms:created xsi:type="dcterms:W3CDTF">2025-12-13T11:24:00Z</dcterms:created>
  <dcterms:modified xsi:type="dcterms:W3CDTF">2025-12-13T12:27:00Z</dcterms:modified>
</cp:coreProperties>
</file>