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92B" w:rsidRDefault="0008192B" w:rsidP="0008192B">
      <w:pPr>
        <w:spacing w:after="280"/>
        <w:jc w:val="center"/>
        <w:rPr>
          <w:b/>
          <w:bCs/>
          <w:sz w:val="48"/>
          <w:szCs w:val="48"/>
        </w:rPr>
      </w:pPr>
    </w:p>
    <w:p w:rsidR="0008192B" w:rsidRDefault="0008192B" w:rsidP="0008192B">
      <w:pPr>
        <w:spacing w:after="280"/>
        <w:jc w:val="center"/>
        <w:rPr>
          <w:b/>
          <w:bCs/>
          <w:sz w:val="48"/>
          <w:szCs w:val="48"/>
        </w:rPr>
      </w:pPr>
      <w:proofErr w:type="spellStart"/>
      <w:r>
        <w:rPr>
          <w:b/>
          <w:bCs/>
          <w:sz w:val="48"/>
          <w:szCs w:val="48"/>
        </w:rPr>
        <w:t>Lenuta</w:t>
      </w:r>
      <w:proofErr w:type="spellEnd"/>
      <w:r>
        <w:rPr>
          <w:b/>
          <w:bCs/>
          <w:sz w:val="48"/>
          <w:szCs w:val="48"/>
        </w:rPr>
        <w:t xml:space="preserve"> </w:t>
      </w:r>
      <w:proofErr w:type="spellStart"/>
      <w:r>
        <w:rPr>
          <w:b/>
          <w:bCs/>
          <w:sz w:val="48"/>
          <w:szCs w:val="48"/>
        </w:rPr>
        <w:t>Raducanu</w:t>
      </w:r>
      <w:proofErr w:type="spellEnd"/>
    </w:p>
    <w:p w:rsidR="0008192B" w:rsidRDefault="0008192B" w:rsidP="0008192B">
      <w:pPr>
        <w:pStyle w:val="Heading1"/>
        <w:shd w:val="clear" w:color="auto" w:fill="FFFFFF"/>
        <w:spacing w:before="0"/>
        <w:rPr>
          <w:rFonts w:ascii="Segoe UI" w:hAnsi="Segoe UI" w:cs="Segoe UI"/>
          <w:color w:val="1D2125"/>
        </w:rPr>
      </w:pPr>
      <w:r>
        <w:rPr>
          <w:rFonts w:ascii="Segoe UI" w:hAnsi="Segoe UI" w:cs="Segoe UI"/>
          <w:color w:val="1D2125"/>
        </w:rPr>
        <w:t xml:space="preserve">           People across Time (HPFY3014)</w:t>
      </w:r>
    </w:p>
    <w:p w:rsidR="0008192B" w:rsidRDefault="0008192B" w:rsidP="0008192B">
      <w:pPr>
        <w:spacing w:after="280"/>
        <w:jc w:val="center"/>
        <w:rPr>
          <w:b/>
          <w:bCs/>
          <w:sz w:val="48"/>
          <w:szCs w:val="48"/>
        </w:rPr>
      </w:pPr>
    </w:p>
    <w:p w:rsidR="0008192B" w:rsidRDefault="0008192B" w:rsidP="0008192B">
      <w:pPr>
        <w:spacing w:after="280"/>
        <w:jc w:val="center"/>
        <w:rPr>
          <w:b/>
          <w:bCs/>
          <w:sz w:val="48"/>
          <w:szCs w:val="48"/>
        </w:rPr>
      </w:pPr>
    </w:p>
    <w:p w:rsidR="00A67A5D" w:rsidRDefault="00BE0974" w:rsidP="0008192B">
      <w:pPr>
        <w:spacing w:after="280"/>
        <w:jc w:val="center"/>
        <w:rPr>
          <w:sz w:val="48"/>
          <w:szCs w:val="48"/>
        </w:rPr>
      </w:pPr>
      <w:r>
        <w:rPr>
          <w:b/>
          <w:bCs/>
          <w:sz w:val="48"/>
          <w:szCs w:val="48"/>
        </w:rPr>
        <w:t>Civilisation's rise in the Middle East: Exploring Cultural Shifts, Urbanisation and Technological Advancements in Ancient Mesopotamia</w:t>
      </w:r>
    </w:p>
    <w:p w:rsidR="00A67A5D" w:rsidRDefault="00BE0974">
      <w:pPr>
        <w:spacing w:before="280" w:after="280"/>
      </w:pPr>
      <w:r>
        <w:t>The ancient Middle East, particularly Mesopotamia (modern-day Iraq), has long been recognised as the cradle of human civilisation (Selz, J, G., 2020). This essay examines key cultural shifts, the instinct for settlement, and the impact of new technologies that have shaped urbanisation in this remarkable part of the world.</w:t>
      </w:r>
    </w:p>
    <w:p w:rsidR="00A67A5D" w:rsidRDefault="00BE0974">
      <w:pPr>
        <w:spacing w:before="280" w:after="280"/>
      </w:pPr>
      <w:r>
        <w:t>One of the seminal developments in the region’s history was the shift towards a more settled lifestyle driven by changing relationships with the landscape and environment (Oates, J. et al., 2007). The transition from a hunter-gatherer existence to an agricultural-based economy allowed Neolithic populations to obtain unprecedented wealth and material prosperity, marking a significant turning point often referred to as the "Neolithic Revolution"(Martin-Merino, M., 2021). However, this transition was not without challenges, as the adoption of agriculture and a sedentary lifestyle had far-reaching consequences that continue to be felt today (Martin-Merino, M., 2021).</w:t>
      </w:r>
    </w:p>
    <w:p w:rsidR="00A67A5D" w:rsidRDefault="00BE0974">
      <w:pPr>
        <w:spacing w:before="280" w:after="280"/>
      </w:pPr>
      <w:r>
        <w:t>Crucial to this narrative is the emergence of urbanisation in ancient Mesopotamia, which has traditionally been associated with the southern regions of modern-day Iraq (Oates, J. et al., 2007). Recent archaeological discoveries, however, suggest that northern Mesopotamia was also far along the path to urbanisation, with evidence of monumentality, industrialisation and the production of prestige goods as early as the late fifth millennium BC (Oates, J. et al., 2007). This challenges the prevailing model of core development in the south, which then expanded northward, calls for a re-evaluation of our understanding of the origins of urbanism in the region (Oates, J. et al., 2007).</w:t>
      </w:r>
    </w:p>
    <w:p w:rsidR="00A67A5D" w:rsidRDefault="00BE0974">
      <w:pPr>
        <w:spacing w:before="280" w:after="280"/>
      </w:pPr>
      <w:r>
        <w:lastRenderedPageBreak/>
        <w:t xml:space="preserve">Central to this discussion is the rise of the city of </w:t>
      </w:r>
      <w:proofErr w:type="spellStart"/>
      <w:r>
        <w:t>Uruk</w:t>
      </w:r>
      <w:proofErr w:type="spellEnd"/>
      <w:r>
        <w:t xml:space="preserve">, which has long been regarded as a pivotal force in the urbanisation and state formation of Mesopotamia during the </w:t>
      </w:r>
      <w:proofErr w:type="spellStart"/>
      <w:r>
        <w:t>Urukperiod</w:t>
      </w:r>
      <w:proofErr w:type="spellEnd"/>
      <w:r>
        <w:t xml:space="preserve"> (</w:t>
      </w:r>
      <w:proofErr w:type="spellStart"/>
      <w:r>
        <w:t>Selz</w:t>
      </w:r>
      <w:proofErr w:type="spellEnd"/>
      <w:r>
        <w:t xml:space="preserve">, J, G., 2020). The </w:t>
      </w:r>
      <w:proofErr w:type="spellStart"/>
      <w:r>
        <w:t>Uruk</w:t>
      </w:r>
      <w:proofErr w:type="spellEnd"/>
      <w:r>
        <w:t xml:space="preserve"> period, named after this influential city, witnessed the emergence of complex social, political, and cultural structures that would shape the trajectory of the region for centuries to come (Selz, J, G., 2020).</w:t>
      </w:r>
    </w:p>
    <w:p w:rsidR="00A67A5D" w:rsidRDefault="00BE0974">
      <w:pPr>
        <w:spacing w:before="280" w:after="280"/>
      </w:pPr>
      <w:r>
        <w:t xml:space="preserve">The archaeological record from this period provides insights into the factors that contributed to the rise of urban centres. Contemporary with the demographic expansion in </w:t>
      </w:r>
      <w:proofErr w:type="spellStart"/>
      <w:r>
        <w:t>Uruk</w:t>
      </w:r>
      <w:proofErr w:type="spellEnd"/>
      <w:r>
        <w:t xml:space="preserve"> and other settlements, the appearance of monumental architecture, specialist-produced status-marking goods, record-keeping devices and mass-produced pottery suggests the establishment of a new, centralised form of socio-political organisation, often interpreted as the nascent state (Ur, J., 2014).</w:t>
      </w:r>
    </w:p>
    <w:p w:rsidR="00A67A5D" w:rsidRDefault="00BE0974">
      <w:pPr>
        <w:spacing w:before="280" w:after="280"/>
      </w:pPr>
      <w:r>
        <w:t>The transition towards a more urbanised way of life raises important questions about the motivations and incentives that motivated inhabitants to remain or move to these growing settlements (Ur, J., 2014). While functional approaches have gained prominence in recent years, the fundamental question of why people chose to participate in urbanisation remains a subject of ongoing scholarly debate.</w:t>
      </w:r>
    </w:p>
    <w:p w:rsidR="00A67A5D" w:rsidRDefault="00BE0974">
      <w:pPr>
        <w:spacing w:before="280" w:after="280"/>
      </w:pPr>
      <w:r>
        <w:t>In conclusion, the rise of civilisation in the Middle East, with a particular focus on ancient Mesopotamia, is a complex and multifaceted story. Cultural shifts, the instinct for settlement, and the impact of new technologies all played crucial roles in shaping the trajectory of this pivotal region, ultimately leading to the emergence of some of the world’s earliest urban centres and the foundations of complex sociopolitical structures that would echo throughout human history.</w:t>
      </w:r>
    </w:p>
    <w:p w:rsidR="00A67A5D" w:rsidRDefault="0008192B">
      <w:pPr>
        <w:shd w:val="clear" w:color="auto" w:fill="FFFFFF"/>
        <w:spacing w:before="280" w:after="280"/>
        <w:rPr>
          <w:sz w:val="27"/>
          <w:szCs w:val="27"/>
        </w:rPr>
      </w:pPr>
      <w:r>
        <w:rPr>
          <w:rFonts w:ascii="Arial" w:eastAsia="Arial" w:hAnsi="Arial" w:cs="Arial"/>
          <w:b/>
          <w:bCs/>
          <w:color w:val="171717"/>
          <w:spacing w:val="2"/>
          <w:sz w:val="27"/>
          <w:szCs w:val="27"/>
        </w:rPr>
        <w:t>References</w:t>
      </w:r>
    </w:p>
    <w:p w:rsidR="00A67A5D" w:rsidRPr="00BE0974" w:rsidRDefault="0008192B">
      <w:pPr>
        <w:numPr>
          <w:ilvl w:val="0"/>
          <w:numId w:val="1"/>
        </w:numPr>
        <w:pBdr>
          <w:left w:val="none" w:sz="0" w:space="3" w:color="auto"/>
        </w:pBdr>
        <w:shd w:val="clear" w:color="auto" w:fill="FFFFFF"/>
        <w:spacing w:before="280"/>
        <w:rPr>
          <w:rFonts w:eastAsia="Arial"/>
          <w:color w:val="18181B"/>
          <w:spacing w:val="2"/>
        </w:rPr>
      </w:pPr>
      <w:r w:rsidRPr="00BE0974">
        <w:rPr>
          <w:rFonts w:eastAsia="Arial"/>
          <w:color w:val="18181B"/>
          <w:spacing w:val="2"/>
        </w:rPr>
        <w:t xml:space="preserve">Martin-Merino, M. (2021). The Neolithic </w:t>
      </w:r>
      <w:r w:rsidR="00BE0974" w:rsidRPr="00BE0974">
        <w:rPr>
          <w:rFonts w:eastAsia="Arial"/>
          <w:color w:val="18181B"/>
          <w:spacing w:val="2"/>
        </w:rPr>
        <w:t>Revolution:</w:t>
      </w:r>
      <w:r w:rsidRPr="00BE0974">
        <w:rPr>
          <w:rFonts w:eastAsia="Arial"/>
          <w:color w:val="18181B"/>
          <w:spacing w:val="2"/>
        </w:rPr>
        <w:t xml:space="preserve"> agriculture, sedentary lifestyle and its consequences.</w:t>
      </w:r>
    </w:p>
    <w:p w:rsidR="00A67A5D" w:rsidRPr="00BE0974" w:rsidRDefault="0008192B">
      <w:pPr>
        <w:numPr>
          <w:ilvl w:val="0"/>
          <w:numId w:val="1"/>
        </w:numPr>
        <w:pBdr>
          <w:left w:val="none" w:sz="0" w:space="3" w:color="auto"/>
        </w:pBdr>
        <w:shd w:val="clear" w:color="auto" w:fill="FFFFFF"/>
        <w:rPr>
          <w:rFonts w:eastAsia="Arial"/>
          <w:color w:val="18181B"/>
          <w:spacing w:val="2"/>
        </w:rPr>
      </w:pPr>
      <w:r w:rsidRPr="00BE0974">
        <w:rPr>
          <w:rFonts w:eastAsia="Arial"/>
          <w:color w:val="18181B"/>
          <w:spacing w:val="2"/>
        </w:rPr>
        <w:t>Oates, J. et al. (2007) "Early Mesopotamian urbanism: a new view from the north," Cambridge University Press, 81(313</w:t>
      </w:r>
      <w:r w:rsidR="00BE0974" w:rsidRPr="00BE0974">
        <w:rPr>
          <w:rFonts w:eastAsia="Arial"/>
          <w:color w:val="18181B"/>
          <w:spacing w:val="2"/>
        </w:rPr>
        <w:t>), p.</w:t>
      </w:r>
      <w:r w:rsidRPr="00BE0974">
        <w:rPr>
          <w:rFonts w:eastAsia="Arial"/>
          <w:color w:val="18181B"/>
          <w:spacing w:val="2"/>
        </w:rPr>
        <w:t xml:space="preserve"> 585-600.</w:t>
      </w:r>
    </w:p>
    <w:p w:rsidR="00A67A5D" w:rsidRPr="00BE0974" w:rsidRDefault="0008192B">
      <w:pPr>
        <w:numPr>
          <w:ilvl w:val="0"/>
          <w:numId w:val="1"/>
        </w:numPr>
        <w:pBdr>
          <w:left w:val="none" w:sz="0" w:space="3" w:color="auto"/>
        </w:pBdr>
        <w:shd w:val="clear" w:color="auto" w:fill="FFFFFF"/>
        <w:rPr>
          <w:rFonts w:eastAsia="Arial"/>
          <w:color w:val="18181B"/>
          <w:spacing w:val="2"/>
        </w:rPr>
      </w:pPr>
      <w:r w:rsidRPr="00BE0974">
        <w:rPr>
          <w:rFonts w:eastAsia="Arial"/>
          <w:color w:val="18181B"/>
          <w:spacing w:val="2"/>
        </w:rPr>
        <w:t xml:space="preserve">Selz, J. G. (2020) "The </w:t>
      </w:r>
      <w:proofErr w:type="spellStart"/>
      <w:r w:rsidRPr="00BE0974">
        <w:rPr>
          <w:rFonts w:eastAsia="Arial"/>
          <w:color w:val="18181B"/>
          <w:spacing w:val="2"/>
        </w:rPr>
        <w:t>Uruk</w:t>
      </w:r>
      <w:proofErr w:type="spellEnd"/>
      <w:r w:rsidRPr="00BE0974">
        <w:rPr>
          <w:rFonts w:eastAsia="Arial"/>
          <w:color w:val="18181B"/>
          <w:spacing w:val="2"/>
        </w:rPr>
        <w:t xml:space="preserve"> Phenomenon," Oxford University Press.</w:t>
      </w:r>
    </w:p>
    <w:p w:rsidR="00A67A5D" w:rsidRDefault="0008192B">
      <w:pPr>
        <w:numPr>
          <w:ilvl w:val="0"/>
          <w:numId w:val="1"/>
        </w:numPr>
        <w:pBdr>
          <w:left w:val="none" w:sz="0" w:space="3" w:color="auto"/>
        </w:pBdr>
        <w:shd w:val="clear" w:color="auto" w:fill="FFFFFF"/>
        <w:spacing w:after="280"/>
        <w:rPr>
          <w:rFonts w:ascii="Arial" w:eastAsia="Arial" w:hAnsi="Arial" w:cs="Arial"/>
          <w:color w:val="18181B"/>
          <w:spacing w:val="2"/>
        </w:rPr>
      </w:pPr>
      <w:r w:rsidRPr="00BE0974">
        <w:rPr>
          <w:rFonts w:eastAsia="Arial"/>
          <w:color w:val="18181B"/>
          <w:spacing w:val="2"/>
        </w:rPr>
        <w:t>Ur, J. (2014) "Households and the Emergence of Cities in Ancient Mesopotamia," Cambridge University Press, 24(2</w:t>
      </w:r>
      <w:r w:rsidR="00BE0974" w:rsidRPr="00BE0974">
        <w:rPr>
          <w:rFonts w:eastAsia="Arial"/>
          <w:color w:val="18181B"/>
          <w:spacing w:val="2"/>
        </w:rPr>
        <w:t>), p.</w:t>
      </w:r>
      <w:r w:rsidRPr="00BE0974">
        <w:rPr>
          <w:rFonts w:eastAsia="Arial"/>
          <w:color w:val="18181B"/>
          <w:spacing w:val="2"/>
        </w:rPr>
        <w:t xml:space="preserve"> 249-268</w:t>
      </w:r>
      <w:r>
        <w:rPr>
          <w:rFonts w:ascii="Arial" w:eastAsia="Arial" w:hAnsi="Arial" w:cs="Arial"/>
          <w:color w:val="18181B"/>
          <w:spacing w:val="2"/>
        </w:rPr>
        <w:t>. </w:t>
      </w:r>
    </w:p>
    <w:p w:rsidR="00A67A5D" w:rsidRDefault="00A67A5D">
      <w:pPr>
        <w:spacing w:after="160" w:line="278" w:lineRule="auto"/>
      </w:pPr>
    </w:p>
    <w:sectPr w:rsidR="00A67A5D" w:rsidSect="0085564A">
      <w:pgSz w:w="12240" w:h="15840"/>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compat/>
  <w:rsids>
    <w:rsidRoot w:val="00A67A5D"/>
    <w:rsid w:val="0008192B"/>
    <w:rsid w:val="0085564A"/>
    <w:rsid w:val="00A67A5D"/>
    <w:rsid w:val="00A874D8"/>
    <w:rsid w:val="00BE09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2197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612</Words>
  <Characters>3489</Characters>
  <Application>Microsoft Office Word</Application>
  <DocSecurity>0</DocSecurity>
  <Lines>29</Lines>
  <Paragraphs>8</Paragraphs>
  <ScaleCrop>false</ScaleCrop>
  <Company/>
  <LinksUpToDate>false</LinksUpToDate>
  <CharactersWithSpaces>4093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2024-07-03T14:09:00Z</dcterms:created>
  <dcterms:modified xsi:type="dcterms:W3CDTF">2024-07-03T14:09:00Z</dcterms:modified>
</cp:coreProperties>
</file>