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694191" w14:textId="77777777" w:rsidR="00E52C28" w:rsidRPr="009D4B8F" w:rsidRDefault="00E52C28" w:rsidP="00E52C28">
      <w:pPr>
        <w:spacing w:line="360" w:lineRule="auto"/>
        <w:jc w:val="center"/>
        <w:rPr>
          <w:b/>
          <w:bCs/>
          <w:sz w:val="24"/>
          <w:szCs w:val="24"/>
        </w:rPr>
      </w:pPr>
      <w:bookmarkStart w:id="0" w:name="_heading=h.gjdgxs" w:colFirst="0" w:colLast="0"/>
      <w:bookmarkStart w:id="1" w:name="_Hlk109728334"/>
      <w:bookmarkEnd w:id="0"/>
    </w:p>
    <w:p w14:paraId="44051BDC" w14:textId="77777777" w:rsidR="00E52C28" w:rsidRPr="009D4B8F" w:rsidRDefault="00E52C28" w:rsidP="00E52C28">
      <w:pPr>
        <w:spacing w:line="360" w:lineRule="auto"/>
        <w:jc w:val="center"/>
        <w:rPr>
          <w:b/>
          <w:bCs/>
          <w:sz w:val="32"/>
          <w:szCs w:val="32"/>
        </w:rPr>
      </w:pPr>
    </w:p>
    <w:p w14:paraId="130AAC01" w14:textId="77777777" w:rsidR="00E52C28" w:rsidRPr="009D4B8F" w:rsidRDefault="00E52C28" w:rsidP="00E52C28">
      <w:pPr>
        <w:spacing w:line="360" w:lineRule="auto"/>
        <w:jc w:val="center"/>
        <w:rPr>
          <w:b/>
          <w:bCs/>
          <w:sz w:val="32"/>
          <w:szCs w:val="32"/>
        </w:rPr>
      </w:pPr>
      <w:r w:rsidRPr="009D4B8F">
        <w:rPr>
          <w:b/>
          <w:bCs/>
          <w:sz w:val="32"/>
          <w:szCs w:val="32"/>
        </w:rPr>
        <w:t xml:space="preserve">UNIVERSITY OF WALES TRINITY SAINT DAVID </w:t>
      </w:r>
    </w:p>
    <w:p w14:paraId="1B75571E" w14:textId="0EB2BD08" w:rsidR="00E52C28" w:rsidRPr="009D4B8F" w:rsidRDefault="00E52C28" w:rsidP="00E52C28">
      <w:pPr>
        <w:spacing w:line="360" w:lineRule="auto"/>
        <w:jc w:val="center"/>
        <w:rPr>
          <w:b/>
          <w:bCs/>
          <w:sz w:val="32"/>
          <w:szCs w:val="32"/>
        </w:rPr>
      </w:pPr>
      <w:r w:rsidRPr="009D4B8F">
        <w:rPr>
          <w:b/>
          <w:bCs/>
          <w:sz w:val="32"/>
          <w:szCs w:val="32"/>
        </w:rPr>
        <w:t>London Campus</w:t>
      </w:r>
    </w:p>
    <w:p w14:paraId="7A0A8B68" w14:textId="77777777" w:rsidR="00E52C28" w:rsidRPr="009D4B8F" w:rsidRDefault="00E52C28" w:rsidP="00E52C28">
      <w:pPr>
        <w:spacing w:line="360" w:lineRule="auto"/>
        <w:jc w:val="center"/>
        <w:rPr>
          <w:b/>
          <w:bCs/>
          <w:sz w:val="32"/>
          <w:szCs w:val="32"/>
        </w:rPr>
      </w:pPr>
    </w:p>
    <w:p w14:paraId="61FD9E79" w14:textId="77777777" w:rsidR="00E52C28" w:rsidRPr="009D4B8F" w:rsidRDefault="00E52C28" w:rsidP="00E52C28">
      <w:pPr>
        <w:pStyle w:val="Title"/>
        <w:spacing w:after="0" w:line="360" w:lineRule="auto"/>
        <w:jc w:val="center"/>
        <w:rPr>
          <w:rFonts w:eastAsia="Times New Roman"/>
          <w:b/>
          <w:sz w:val="32"/>
          <w:szCs w:val="32"/>
          <w:u w:val="single"/>
        </w:rPr>
      </w:pPr>
      <w:r w:rsidRPr="009D4B8F">
        <w:rPr>
          <w:rFonts w:eastAsia="Times New Roman"/>
          <w:b/>
          <w:sz w:val="32"/>
          <w:szCs w:val="32"/>
          <w:u w:val="single"/>
        </w:rPr>
        <w:t xml:space="preserve">Managing People </w:t>
      </w:r>
    </w:p>
    <w:bookmarkEnd w:id="1"/>
    <w:p w14:paraId="16CE3466" w14:textId="4ECBE363" w:rsidR="00E52C28" w:rsidRPr="009D4B8F" w:rsidRDefault="00E52C28" w:rsidP="00E52C28">
      <w:pPr>
        <w:spacing w:line="360" w:lineRule="auto"/>
        <w:jc w:val="center"/>
        <w:rPr>
          <w:b/>
          <w:bCs/>
          <w:sz w:val="32"/>
          <w:szCs w:val="32"/>
        </w:rPr>
      </w:pPr>
      <w:r w:rsidRPr="009D4B8F">
        <w:rPr>
          <w:b/>
          <w:bCs/>
          <w:sz w:val="32"/>
          <w:szCs w:val="32"/>
        </w:rPr>
        <w:t>Individual Presentation</w:t>
      </w:r>
    </w:p>
    <w:p w14:paraId="513F9137" w14:textId="3ACEC34B" w:rsidR="00E52C28" w:rsidRPr="009D4B8F" w:rsidRDefault="00E52C28" w:rsidP="00E52C28">
      <w:pPr>
        <w:spacing w:line="360" w:lineRule="auto"/>
        <w:jc w:val="center"/>
        <w:rPr>
          <w:b/>
          <w:bCs/>
          <w:sz w:val="24"/>
          <w:szCs w:val="24"/>
        </w:rPr>
      </w:pPr>
      <w:r w:rsidRPr="009D4B8F">
        <w:rPr>
          <w:b/>
          <w:bCs/>
          <w:sz w:val="32"/>
          <w:szCs w:val="32"/>
        </w:rPr>
        <w:t>LCBB5004</w:t>
      </w:r>
    </w:p>
    <w:p w14:paraId="7FBCF13C" w14:textId="77777777" w:rsidR="00E52C28" w:rsidRPr="009D4B8F" w:rsidRDefault="00E52C28" w:rsidP="00E52C28">
      <w:pPr>
        <w:spacing w:line="360" w:lineRule="auto"/>
        <w:jc w:val="center"/>
        <w:rPr>
          <w:b/>
          <w:bCs/>
          <w:sz w:val="24"/>
          <w:szCs w:val="24"/>
        </w:rPr>
      </w:pPr>
    </w:p>
    <w:p w14:paraId="0E7F963E" w14:textId="77777777" w:rsidR="00E52C28" w:rsidRPr="009D4B8F" w:rsidRDefault="00E52C28" w:rsidP="00E52C28">
      <w:pPr>
        <w:spacing w:line="360" w:lineRule="auto"/>
        <w:jc w:val="center"/>
        <w:rPr>
          <w:b/>
          <w:bCs/>
          <w:sz w:val="24"/>
          <w:szCs w:val="24"/>
        </w:rPr>
      </w:pPr>
    </w:p>
    <w:p w14:paraId="4FB37D59" w14:textId="77777777" w:rsidR="00E52C28" w:rsidRPr="009D4B8F" w:rsidRDefault="00E52C28" w:rsidP="00E52C28">
      <w:pPr>
        <w:spacing w:line="360" w:lineRule="auto"/>
        <w:jc w:val="center"/>
        <w:rPr>
          <w:b/>
          <w:bCs/>
          <w:sz w:val="24"/>
          <w:szCs w:val="24"/>
        </w:rPr>
      </w:pPr>
    </w:p>
    <w:p w14:paraId="33DC9B58" w14:textId="77777777" w:rsidR="00E52C28" w:rsidRPr="009D4B8F" w:rsidRDefault="00E52C28" w:rsidP="00E52C28">
      <w:pPr>
        <w:spacing w:line="360" w:lineRule="auto"/>
        <w:jc w:val="center"/>
        <w:rPr>
          <w:b/>
          <w:bCs/>
          <w:sz w:val="24"/>
          <w:szCs w:val="24"/>
        </w:rPr>
      </w:pPr>
    </w:p>
    <w:p w14:paraId="31405AE8" w14:textId="59B5761A" w:rsidR="00E52C28" w:rsidRPr="009D4B8F" w:rsidRDefault="00E52C28" w:rsidP="00E52C28">
      <w:pPr>
        <w:spacing w:line="360" w:lineRule="auto"/>
        <w:jc w:val="center"/>
        <w:rPr>
          <w:b/>
          <w:bCs/>
          <w:sz w:val="24"/>
          <w:szCs w:val="24"/>
        </w:rPr>
      </w:pPr>
    </w:p>
    <w:p w14:paraId="21809DBC" w14:textId="5E300A6A" w:rsidR="00E52C28" w:rsidRPr="009D4B8F" w:rsidRDefault="00E52C28" w:rsidP="00E52C28">
      <w:pPr>
        <w:spacing w:line="360" w:lineRule="auto"/>
        <w:jc w:val="center"/>
        <w:rPr>
          <w:b/>
          <w:bCs/>
          <w:sz w:val="24"/>
          <w:szCs w:val="24"/>
        </w:rPr>
      </w:pPr>
    </w:p>
    <w:p w14:paraId="740C6B88" w14:textId="1B86373F" w:rsidR="00E52C28" w:rsidRPr="009D4B8F" w:rsidRDefault="00E52C28" w:rsidP="00E52C28">
      <w:pPr>
        <w:spacing w:line="360" w:lineRule="auto"/>
        <w:jc w:val="center"/>
        <w:rPr>
          <w:b/>
          <w:bCs/>
          <w:sz w:val="24"/>
          <w:szCs w:val="24"/>
        </w:rPr>
      </w:pPr>
    </w:p>
    <w:p w14:paraId="070222AA" w14:textId="77F87EC3" w:rsidR="00E52C28" w:rsidRPr="009D4B8F" w:rsidRDefault="00E52C28" w:rsidP="00E52C28">
      <w:pPr>
        <w:spacing w:line="360" w:lineRule="auto"/>
        <w:jc w:val="center"/>
        <w:rPr>
          <w:b/>
          <w:bCs/>
          <w:sz w:val="24"/>
          <w:szCs w:val="24"/>
        </w:rPr>
      </w:pPr>
    </w:p>
    <w:p w14:paraId="13240916" w14:textId="687D4969" w:rsidR="00E52C28" w:rsidRPr="009D4B8F" w:rsidRDefault="00E52C28" w:rsidP="00E52C28">
      <w:pPr>
        <w:spacing w:line="360" w:lineRule="auto"/>
        <w:jc w:val="center"/>
        <w:rPr>
          <w:b/>
          <w:bCs/>
          <w:sz w:val="24"/>
          <w:szCs w:val="24"/>
        </w:rPr>
      </w:pPr>
    </w:p>
    <w:p w14:paraId="297638BB" w14:textId="376B33E1" w:rsidR="00E52C28" w:rsidRPr="009D4B8F" w:rsidRDefault="00E52C28" w:rsidP="00E52C28">
      <w:pPr>
        <w:spacing w:line="360" w:lineRule="auto"/>
        <w:jc w:val="center"/>
        <w:rPr>
          <w:b/>
          <w:bCs/>
          <w:sz w:val="24"/>
          <w:szCs w:val="24"/>
        </w:rPr>
      </w:pPr>
    </w:p>
    <w:p w14:paraId="26B1FF54" w14:textId="77777777" w:rsidR="00E52C28" w:rsidRPr="009D4B8F" w:rsidRDefault="00E52C28" w:rsidP="00E52C28">
      <w:pPr>
        <w:spacing w:line="360" w:lineRule="auto"/>
        <w:jc w:val="center"/>
        <w:rPr>
          <w:b/>
          <w:bCs/>
          <w:sz w:val="24"/>
          <w:szCs w:val="24"/>
        </w:rPr>
      </w:pPr>
    </w:p>
    <w:p w14:paraId="0CEC4B41" w14:textId="77777777" w:rsidR="00E52C28" w:rsidRPr="009D4B8F" w:rsidRDefault="00E52C28" w:rsidP="00E52C28">
      <w:pPr>
        <w:spacing w:line="360" w:lineRule="auto"/>
        <w:jc w:val="center"/>
        <w:rPr>
          <w:b/>
          <w:bCs/>
          <w:sz w:val="24"/>
          <w:szCs w:val="24"/>
        </w:rPr>
      </w:pPr>
    </w:p>
    <w:p w14:paraId="600FAF57" w14:textId="77777777" w:rsidR="00E52C28" w:rsidRPr="009D4B8F" w:rsidRDefault="00E52C28" w:rsidP="00E52C28">
      <w:pPr>
        <w:spacing w:line="360" w:lineRule="auto"/>
        <w:jc w:val="center"/>
        <w:rPr>
          <w:b/>
          <w:bCs/>
          <w:sz w:val="24"/>
          <w:szCs w:val="24"/>
        </w:rPr>
      </w:pPr>
    </w:p>
    <w:p w14:paraId="54C67552" w14:textId="77777777" w:rsidR="00E52C28" w:rsidRPr="009D4B8F" w:rsidRDefault="00E52C28" w:rsidP="00E52C28">
      <w:pPr>
        <w:rPr>
          <w:b/>
          <w:bCs/>
          <w:sz w:val="24"/>
          <w:szCs w:val="24"/>
        </w:rPr>
      </w:pPr>
    </w:p>
    <w:tbl>
      <w:tblPr>
        <w:tblStyle w:val="TableGrid"/>
        <w:tblW w:w="0" w:type="auto"/>
        <w:tblInd w:w="0" w:type="dxa"/>
        <w:tblLook w:val="04A0" w:firstRow="1" w:lastRow="0" w:firstColumn="1" w:lastColumn="0" w:noHBand="0" w:noVBand="1"/>
      </w:tblPr>
      <w:tblGrid>
        <w:gridCol w:w="2689"/>
        <w:gridCol w:w="6661"/>
      </w:tblGrid>
      <w:tr w:rsidR="00E52C28" w:rsidRPr="009D4B8F" w14:paraId="5113E8C9" w14:textId="77777777" w:rsidTr="002E1786">
        <w:tc>
          <w:tcPr>
            <w:tcW w:w="2689" w:type="dxa"/>
            <w:tcBorders>
              <w:top w:val="single" w:sz="4" w:space="0" w:color="auto"/>
              <w:left w:val="single" w:sz="4" w:space="0" w:color="auto"/>
              <w:bottom w:val="single" w:sz="4" w:space="0" w:color="auto"/>
              <w:right w:val="single" w:sz="4" w:space="0" w:color="auto"/>
            </w:tcBorders>
            <w:hideMark/>
          </w:tcPr>
          <w:p w14:paraId="5C8FA706" w14:textId="77777777" w:rsidR="00E52C28" w:rsidRPr="009D4B8F" w:rsidRDefault="00E52C28" w:rsidP="002E1786">
            <w:pPr>
              <w:rPr>
                <w:b/>
                <w:bCs/>
                <w:sz w:val="24"/>
                <w:szCs w:val="24"/>
              </w:rPr>
            </w:pPr>
            <w:r w:rsidRPr="009D4B8F">
              <w:rPr>
                <w:b/>
                <w:bCs/>
                <w:sz w:val="24"/>
                <w:szCs w:val="24"/>
              </w:rPr>
              <w:t xml:space="preserve">STUDENT NAME </w:t>
            </w:r>
          </w:p>
        </w:tc>
        <w:tc>
          <w:tcPr>
            <w:tcW w:w="6661" w:type="dxa"/>
            <w:tcBorders>
              <w:top w:val="single" w:sz="4" w:space="0" w:color="auto"/>
              <w:left w:val="single" w:sz="4" w:space="0" w:color="auto"/>
              <w:bottom w:val="single" w:sz="4" w:space="0" w:color="auto"/>
              <w:right w:val="single" w:sz="4" w:space="0" w:color="auto"/>
            </w:tcBorders>
            <w:hideMark/>
          </w:tcPr>
          <w:p w14:paraId="0E078206" w14:textId="77777777" w:rsidR="00E52C28" w:rsidRPr="009D4B8F" w:rsidRDefault="00E52C28" w:rsidP="002E1786">
            <w:pPr>
              <w:rPr>
                <w:b/>
                <w:bCs/>
                <w:sz w:val="24"/>
                <w:szCs w:val="24"/>
              </w:rPr>
            </w:pPr>
            <w:r w:rsidRPr="009D4B8F">
              <w:rPr>
                <w:b/>
                <w:bCs/>
                <w:sz w:val="24"/>
                <w:szCs w:val="24"/>
              </w:rPr>
              <w:t>FLORENTINA JOITA</w:t>
            </w:r>
          </w:p>
        </w:tc>
      </w:tr>
      <w:tr w:rsidR="00E52C28" w:rsidRPr="009D4B8F" w14:paraId="5E73F70F" w14:textId="77777777" w:rsidTr="002E1786">
        <w:tc>
          <w:tcPr>
            <w:tcW w:w="2689" w:type="dxa"/>
            <w:tcBorders>
              <w:top w:val="single" w:sz="4" w:space="0" w:color="auto"/>
              <w:left w:val="single" w:sz="4" w:space="0" w:color="auto"/>
              <w:bottom w:val="single" w:sz="4" w:space="0" w:color="auto"/>
              <w:right w:val="single" w:sz="4" w:space="0" w:color="auto"/>
            </w:tcBorders>
            <w:hideMark/>
          </w:tcPr>
          <w:p w14:paraId="03D6413D" w14:textId="77777777" w:rsidR="00E52C28" w:rsidRPr="009D4B8F" w:rsidRDefault="00E52C28" w:rsidP="002E1786">
            <w:pPr>
              <w:rPr>
                <w:b/>
                <w:bCs/>
                <w:sz w:val="24"/>
                <w:szCs w:val="24"/>
              </w:rPr>
            </w:pPr>
            <w:r w:rsidRPr="009D4B8F">
              <w:rPr>
                <w:b/>
                <w:bCs/>
                <w:sz w:val="24"/>
                <w:szCs w:val="24"/>
              </w:rPr>
              <w:t>STUDENT ID</w:t>
            </w:r>
          </w:p>
        </w:tc>
        <w:tc>
          <w:tcPr>
            <w:tcW w:w="6661" w:type="dxa"/>
            <w:tcBorders>
              <w:top w:val="single" w:sz="4" w:space="0" w:color="auto"/>
              <w:left w:val="single" w:sz="4" w:space="0" w:color="auto"/>
              <w:bottom w:val="single" w:sz="4" w:space="0" w:color="auto"/>
              <w:right w:val="single" w:sz="4" w:space="0" w:color="auto"/>
            </w:tcBorders>
            <w:hideMark/>
          </w:tcPr>
          <w:p w14:paraId="4D9168F2" w14:textId="77777777" w:rsidR="00E52C28" w:rsidRPr="009D4B8F" w:rsidRDefault="00E52C28" w:rsidP="002E1786">
            <w:pPr>
              <w:rPr>
                <w:b/>
                <w:bCs/>
                <w:sz w:val="24"/>
                <w:szCs w:val="24"/>
              </w:rPr>
            </w:pPr>
            <w:r w:rsidRPr="009D4B8F">
              <w:rPr>
                <w:b/>
                <w:bCs/>
                <w:sz w:val="24"/>
                <w:szCs w:val="24"/>
              </w:rPr>
              <w:t>2124448</w:t>
            </w:r>
          </w:p>
        </w:tc>
      </w:tr>
      <w:tr w:rsidR="00E52C28" w:rsidRPr="009D4B8F" w14:paraId="1DDEDF36" w14:textId="77777777" w:rsidTr="002E1786">
        <w:tc>
          <w:tcPr>
            <w:tcW w:w="2689" w:type="dxa"/>
            <w:tcBorders>
              <w:top w:val="single" w:sz="4" w:space="0" w:color="auto"/>
              <w:left w:val="single" w:sz="4" w:space="0" w:color="auto"/>
              <w:bottom w:val="single" w:sz="4" w:space="0" w:color="auto"/>
              <w:right w:val="single" w:sz="4" w:space="0" w:color="auto"/>
            </w:tcBorders>
            <w:hideMark/>
          </w:tcPr>
          <w:p w14:paraId="21D9F0EA" w14:textId="77777777" w:rsidR="00E52C28" w:rsidRPr="009D4B8F" w:rsidRDefault="00E52C28" w:rsidP="002E1786">
            <w:pPr>
              <w:rPr>
                <w:b/>
                <w:bCs/>
                <w:sz w:val="24"/>
                <w:szCs w:val="24"/>
              </w:rPr>
            </w:pPr>
            <w:r w:rsidRPr="009D4B8F">
              <w:rPr>
                <w:b/>
                <w:bCs/>
                <w:sz w:val="24"/>
                <w:szCs w:val="24"/>
              </w:rPr>
              <w:t>LECTURER</w:t>
            </w:r>
          </w:p>
        </w:tc>
        <w:tc>
          <w:tcPr>
            <w:tcW w:w="6661" w:type="dxa"/>
            <w:tcBorders>
              <w:top w:val="single" w:sz="4" w:space="0" w:color="auto"/>
              <w:left w:val="single" w:sz="4" w:space="0" w:color="auto"/>
              <w:bottom w:val="single" w:sz="4" w:space="0" w:color="auto"/>
              <w:right w:val="single" w:sz="4" w:space="0" w:color="auto"/>
            </w:tcBorders>
            <w:hideMark/>
          </w:tcPr>
          <w:p w14:paraId="40FBFB27" w14:textId="33A146C1" w:rsidR="00E52C28" w:rsidRPr="009D4B8F" w:rsidRDefault="00E52C28" w:rsidP="002E1786">
            <w:pPr>
              <w:rPr>
                <w:b/>
                <w:bCs/>
                <w:sz w:val="24"/>
                <w:szCs w:val="24"/>
              </w:rPr>
            </w:pPr>
            <w:r w:rsidRPr="009D4B8F">
              <w:rPr>
                <w:b/>
                <w:bCs/>
                <w:sz w:val="24"/>
                <w:szCs w:val="24"/>
              </w:rPr>
              <w:t>Mushfiqur Rahman</w:t>
            </w:r>
          </w:p>
        </w:tc>
      </w:tr>
    </w:tbl>
    <w:p w14:paraId="19F807D0" w14:textId="77777777" w:rsidR="008F5403" w:rsidRPr="009D4B8F" w:rsidRDefault="008F5403" w:rsidP="008F5403">
      <w:pPr>
        <w:pStyle w:val="Title"/>
        <w:spacing w:after="0" w:line="360" w:lineRule="auto"/>
        <w:jc w:val="center"/>
        <w:rPr>
          <w:rFonts w:eastAsia="Times New Roman"/>
          <w:b/>
          <w:sz w:val="24"/>
          <w:szCs w:val="24"/>
          <w:u w:val="single"/>
        </w:rPr>
      </w:pPr>
      <w:bookmarkStart w:id="2" w:name="_heading=h.28o5o2q7c1ma" w:colFirst="0" w:colLast="0"/>
      <w:bookmarkEnd w:id="2"/>
    </w:p>
    <w:p w14:paraId="5B507EA4" w14:textId="4739FBCA" w:rsidR="008F5403" w:rsidRPr="009D4B8F" w:rsidRDefault="008F5403" w:rsidP="008F5403">
      <w:pPr>
        <w:pStyle w:val="Title"/>
        <w:spacing w:after="0" w:line="360" w:lineRule="auto"/>
        <w:jc w:val="center"/>
        <w:rPr>
          <w:rFonts w:eastAsia="Times New Roman"/>
          <w:b/>
          <w:sz w:val="24"/>
          <w:szCs w:val="24"/>
          <w:u w:val="single"/>
        </w:rPr>
      </w:pPr>
      <w:bookmarkStart w:id="3" w:name="_heading=h.jfrlv264ww43" w:colFirst="0" w:colLast="0"/>
      <w:bookmarkEnd w:id="3"/>
      <w:r w:rsidRPr="009D4B8F">
        <w:rPr>
          <w:sz w:val="24"/>
          <w:szCs w:val="24"/>
        </w:rPr>
        <w:br w:type="page"/>
      </w:r>
    </w:p>
    <w:bookmarkStart w:id="4" w:name="_heading=h.30j0zll" w:colFirst="0" w:colLast="0" w:displacedByCustomXml="next"/>
    <w:bookmarkEnd w:id="4" w:displacedByCustomXml="next"/>
    <w:sdt>
      <w:sdtPr>
        <w:rPr>
          <w:rFonts w:ascii="Arial" w:eastAsia="Arial" w:hAnsi="Arial" w:cs="Arial"/>
          <w:b w:val="0"/>
          <w:bCs w:val="0"/>
          <w:color w:val="auto"/>
          <w:sz w:val="24"/>
          <w:szCs w:val="24"/>
          <w:lang w:val="en-GB" w:eastAsia="en-IN"/>
        </w:rPr>
        <w:id w:val="397561391"/>
        <w:docPartObj>
          <w:docPartGallery w:val="Table of Contents"/>
          <w:docPartUnique/>
        </w:docPartObj>
      </w:sdtPr>
      <w:sdtEndPr>
        <w:rPr>
          <w:noProof/>
        </w:rPr>
      </w:sdtEndPr>
      <w:sdtContent>
        <w:p w14:paraId="5D3B51F1" w14:textId="77777777" w:rsidR="008F5403" w:rsidRPr="009D4B8F" w:rsidRDefault="008F5403">
          <w:pPr>
            <w:pStyle w:val="TOCHeading"/>
            <w:rPr>
              <w:rFonts w:ascii="Arial" w:hAnsi="Arial" w:cs="Arial"/>
              <w:sz w:val="24"/>
              <w:szCs w:val="24"/>
            </w:rPr>
          </w:pPr>
          <w:r w:rsidRPr="009D4B8F">
            <w:rPr>
              <w:rFonts w:ascii="Arial" w:hAnsi="Arial" w:cs="Arial"/>
              <w:sz w:val="24"/>
              <w:szCs w:val="24"/>
            </w:rPr>
            <w:t>Table of Contents</w:t>
          </w:r>
        </w:p>
        <w:p w14:paraId="2E2A9EC1" w14:textId="7414ED4C" w:rsidR="008F5403" w:rsidRPr="00B60BC7" w:rsidRDefault="008F5403" w:rsidP="006244C0">
          <w:pPr>
            <w:pStyle w:val="TOC1"/>
            <w:rPr>
              <w:rFonts w:eastAsiaTheme="minorEastAsia"/>
              <w:caps/>
              <w:lang w:eastAsia="en-GB"/>
            </w:rPr>
          </w:pPr>
          <w:r w:rsidRPr="009D4B8F">
            <w:rPr>
              <w:noProof w:val="0"/>
            </w:rPr>
            <w:fldChar w:fldCharType="begin"/>
          </w:r>
          <w:r w:rsidRPr="009D4B8F">
            <w:instrText xml:space="preserve"> TOC \o "1-3" \h \z \u </w:instrText>
          </w:r>
          <w:r w:rsidRPr="009D4B8F">
            <w:rPr>
              <w:noProof w:val="0"/>
            </w:rPr>
            <w:fldChar w:fldCharType="separate"/>
          </w:r>
          <w:hyperlink w:anchor="_Toc130577557" w:history="1">
            <w:r w:rsidRPr="00B60BC7">
              <w:rPr>
                <w:rStyle w:val="Hyperlink"/>
                <w:color w:val="000000" w:themeColor="text1"/>
              </w:rPr>
              <w:t>Introduction</w:t>
            </w:r>
            <w:r w:rsidRPr="00B60BC7">
              <w:rPr>
                <w:webHidden/>
              </w:rPr>
              <w:tab/>
            </w:r>
            <w:r w:rsidRPr="00B60BC7">
              <w:rPr>
                <w:webHidden/>
              </w:rPr>
              <w:fldChar w:fldCharType="begin"/>
            </w:r>
            <w:r w:rsidRPr="00B60BC7">
              <w:rPr>
                <w:webHidden/>
              </w:rPr>
              <w:instrText xml:space="preserve"> PAGEREF _Toc130577557 \h </w:instrText>
            </w:r>
            <w:r w:rsidRPr="00B60BC7">
              <w:rPr>
                <w:webHidden/>
              </w:rPr>
            </w:r>
            <w:r w:rsidRPr="00B60BC7">
              <w:rPr>
                <w:webHidden/>
              </w:rPr>
              <w:fldChar w:fldCharType="separate"/>
            </w:r>
            <w:r w:rsidR="00B60BC7" w:rsidRPr="00B60BC7">
              <w:rPr>
                <w:webHidden/>
              </w:rPr>
              <w:t>3</w:t>
            </w:r>
            <w:r w:rsidRPr="00B60BC7">
              <w:rPr>
                <w:webHidden/>
              </w:rPr>
              <w:fldChar w:fldCharType="end"/>
            </w:r>
          </w:hyperlink>
        </w:p>
        <w:p w14:paraId="22D8F4EC" w14:textId="391EEDFA" w:rsidR="005A407B" w:rsidRPr="00B60BC7" w:rsidRDefault="005A407B" w:rsidP="006244C0">
          <w:pPr>
            <w:pStyle w:val="TOC1"/>
            <w:rPr>
              <w:rFonts w:eastAsiaTheme="minorEastAsia"/>
              <w:caps/>
              <w:lang w:eastAsia="en-GB"/>
            </w:rPr>
          </w:pPr>
          <w:r w:rsidRPr="00B60BC7">
            <w:t>Ta</w:t>
          </w:r>
          <w:r w:rsidR="009B3DCD" w:rsidRPr="00B60BC7">
            <w:t>lent Acquisition</w:t>
          </w:r>
          <w:r w:rsidR="00FF6A56" w:rsidRPr="00B60BC7">
            <w:fldChar w:fldCharType="begin"/>
          </w:r>
          <w:r w:rsidR="00FF6A56" w:rsidRPr="00B60BC7">
            <w:instrText xml:space="preserve"> HYPERLINK \l "_Toc130577560" </w:instrText>
          </w:r>
          <w:r w:rsidR="00FF6A56" w:rsidRPr="00B60BC7">
            <w:fldChar w:fldCharType="separate"/>
          </w:r>
          <w:hyperlink w:anchor="_Toc130577557" w:history="1">
            <w:r w:rsidRPr="00B60BC7">
              <w:rPr>
                <w:webHidden/>
              </w:rPr>
              <w:tab/>
            </w:r>
            <w:r w:rsidR="006244C0">
              <w:rPr>
                <w:webHidden/>
              </w:rPr>
              <w:t>4</w:t>
            </w:r>
          </w:hyperlink>
        </w:p>
        <w:p w14:paraId="465D8227" w14:textId="763222B1" w:rsidR="009B3DCD" w:rsidRPr="006244C0" w:rsidRDefault="009B3DCD" w:rsidP="006244C0">
          <w:pPr>
            <w:pStyle w:val="TOC1"/>
            <w:rPr>
              <w:rFonts w:eastAsiaTheme="minorEastAsia"/>
              <w:caps/>
              <w:lang w:eastAsia="en-GB"/>
            </w:rPr>
          </w:pPr>
          <w:hyperlink w:anchor="_Toc130577557" w:history="1">
            <w:r w:rsidRPr="006244C0">
              <w:rPr>
                <w:rStyle w:val="Hyperlink"/>
                <w:b w:val="0"/>
                <w:bCs w:val="0"/>
                <w:color w:val="000000" w:themeColor="text1"/>
              </w:rPr>
              <w:t>Short-Term Talent Acquisition on Starbucks</w:t>
            </w:r>
            <w:r w:rsidRPr="006244C0">
              <w:rPr>
                <w:webHidden/>
              </w:rPr>
              <w:tab/>
            </w:r>
            <w:r w:rsidR="006244C0" w:rsidRPr="006244C0">
              <w:rPr>
                <w:webHidden/>
              </w:rPr>
              <w:t>5</w:t>
            </w:r>
          </w:hyperlink>
        </w:p>
        <w:p w14:paraId="0C56DF59" w14:textId="04130F68" w:rsidR="009B3DCD" w:rsidRPr="00B60BC7" w:rsidRDefault="00D02D37" w:rsidP="006244C0">
          <w:pPr>
            <w:pStyle w:val="TOC1"/>
            <w:rPr>
              <w:rFonts w:eastAsiaTheme="minorEastAsia"/>
              <w:caps/>
              <w:lang w:eastAsia="en-GB"/>
            </w:rPr>
          </w:pPr>
          <w:hyperlink w:anchor="_Toc130577557" w:history="1">
            <w:r w:rsidR="009B3DCD" w:rsidRPr="00B60BC7">
              <w:rPr>
                <w:rStyle w:val="Hyperlink"/>
                <w:color w:val="000000" w:themeColor="text1"/>
              </w:rPr>
              <w:t>Long-Term Talent Acquisition on Starbucks</w:t>
            </w:r>
            <w:r w:rsidR="009B3DCD" w:rsidRPr="00B60BC7">
              <w:rPr>
                <w:webHidden/>
              </w:rPr>
              <w:tab/>
            </w:r>
            <w:r w:rsidR="006244C0">
              <w:rPr>
                <w:webHidden/>
              </w:rPr>
              <w:t>6</w:t>
            </w:r>
          </w:hyperlink>
        </w:p>
        <w:p w14:paraId="7BC31040" w14:textId="1FFA6218" w:rsidR="009B3DCD" w:rsidRPr="00B60BC7" w:rsidRDefault="00D02D37" w:rsidP="006244C0">
          <w:pPr>
            <w:pStyle w:val="TOC1"/>
            <w:rPr>
              <w:rFonts w:eastAsiaTheme="minorEastAsia"/>
              <w:caps/>
              <w:lang w:eastAsia="en-GB"/>
            </w:rPr>
          </w:pPr>
          <w:hyperlink w:anchor="_Toc130577557" w:history="1">
            <w:r w:rsidR="009B3DCD" w:rsidRPr="00B60BC7">
              <w:rPr>
                <w:rStyle w:val="Hyperlink"/>
                <w:color w:val="000000" w:themeColor="text1"/>
              </w:rPr>
              <w:t>Incentives Methods</w:t>
            </w:r>
            <w:r w:rsidR="009B3DCD" w:rsidRPr="00B60BC7">
              <w:rPr>
                <w:webHidden/>
              </w:rPr>
              <w:tab/>
            </w:r>
            <w:r w:rsidR="006244C0">
              <w:rPr>
                <w:webHidden/>
              </w:rPr>
              <w:t>8</w:t>
            </w:r>
          </w:hyperlink>
        </w:p>
        <w:p w14:paraId="15046874" w14:textId="73B0EA5D" w:rsidR="009B3DCD" w:rsidRPr="00B60BC7" w:rsidRDefault="00D02D37" w:rsidP="006244C0">
          <w:pPr>
            <w:pStyle w:val="TOC1"/>
            <w:rPr>
              <w:rFonts w:eastAsiaTheme="minorEastAsia"/>
              <w:caps/>
              <w:lang w:eastAsia="en-GB"/>
            </w:rPr>
          </w:pPr>
          <w:hyperlink w:anchor="_Toc130577557" w:history="1">
            <w:r w:rsidR="009B3DCD" w:rsidRPr="00B60BC7">
              <w:rPr>
                <w:rStyle w:val="Hyperlink"/>
                <w:color w:val="000000" w:themeColor="text1"/>
              </w:rPr>
              <w:t>Monetary Incentives on Starbucks</w:t>
            </w:r>
            <w:r w:rsidR="009B3DCD" w:rsidRPr="00B60BC7">
              <w:rPr>
                <w:webHidden/>
              </w:rPr>
              <w:tab/>
            </w:r>
            <w:r w:rsidR="006244C0">
              <w:rPr>
                <w:webHidden/>
              </w:rPr>
              <w:t>9</w:t>
            </w:r>
          </w:hyperlink>
        </w:p>
        <w:p w14:paraId="6527F18C" w14:textId="7B61103F" w:rsidR="009B3DCD" w:rsidRPr="00B60BC7" w:rsidRDefault="00D02D37" w:rsidP="006244C0">
          <w:pPr>
            <w:pStyle w:val="TOC1"/>
            <w:rPr>
              <w:rFonts w:eastAsiaTheme="minorEastAsia"/>
              <w:caps/>
              <w:lang w:eastAsia="en-GB"/>
            </w:rPr>
          </w:pPr>
          <w:hyperlink w:anchor="_Toc130577557" w:history="1">
            <w:r w:rsidR="009B3DCD" w:rsidRPr="00B60BC7">
              <w:rPr>
                <w:rStyle w:val="Hyperlink"/>
                <w:color w:val="000000" w:themeColor="text1"/>
              </w:rPr>
              <w:t>Non-Monetary Incentives on Starbucks</w:t>
            </w:r>
            <w:r w:rsidR="009B3DCD" w:rsidRPr="00B60BC7">
              <w:rPr>
                <w:webHidden/>
              </w:rPr>
              <w:tab/>
            </w:r>
            <w:r w:rsidR="006244C0">
              <w:rPr>
                <w:webHidden/>
              </w:rPr>
              <w:t>10</w:t>
            </w:r>
          </w:hyperlink>
        </w:p>
        <w:p w14:paraId="341920B7" w14:textId="64B35D9F" w:rsidR="008F5403" w:rsidRPr="009D4B8F" w:rsidRDefault="005A407B" w:rsidP="006244C0">
          <w:pPr>
            <w:pStyle w:val="TOC1"/>
            <w:rPr>
              <w:rFonts w:eastAsiaTheme="minorEastAsia"/>
              <w:caps/>
              <w:lang w:eastAsia="en-GB"/>
            </w:rPr>
          </w:pPr>
          <w:r w:rsidRPr="00B60BC7">
            <w:rPr>
              <w:rStyle w:val="Hyperlink"/>
              <w:color w:val="000000" w:themeColor="text1"/>
            </w:rPr>
            <w:t>C</w:t>
          </w:r>
          <w:r w:rsidR="008F5403" w:rsidRPr="00B60BC7">
            <w:rPr>
              <w:rStyle w:val="Hyperlink"/>
              <w:color w:val="000000" w:themeColor="text1"/>
            </w:rPr>
            <w:t>onclusion</w:t>
          </w:r>
          <w:r w:rsidR="008F5403" w:rsidRPr="00B60BC7">
            <w:rPr>
              <w:webHidden/>
            </w:rPr>
            <w:tab/>
          </w:r>
          <w:r w:rsidR="008F5403" w:rsidRPr="00B60BC7">
            <w:rPr>
              <w:webHidden/>
            </w:rPr>
            <w:fldChar w:fldCharType="begin"/>
          </w:r>
          <w:r w:rsidR="008F5403" w:rsidRPr="00B60BC7">
            <w:rPr>
              <w:webHidden/>
            </w:rPr>
            <w:instrText xml:space="preserve"> PAGEREF _Toc130577560 \h </w:instrText>
          </w:r>
          <w:r w:rsidR="008F5403" w:rsidRPr="00B60BC7">
            <w:rPr>
              <w:webHidden/>
            </w:rPr>
          </w:r>
          <w:r w:rsidR="008F5403" w:rsidRPr="00B60BC7">
            <w:rPr>
              <w:webHidden/>
            </w:rPr>
            <w:fldChar w:fldCharType="separate"/>
          </w:r>
          <w:r w:rsidR="00B60BC7" w:rsidRPr="00B60BC7">
            <w:rPr>
              <w:webHidden/>
            </w:rPr>
            <w:t>12</w:t>
          </w:r>
          <w:r w:rsidR="008F5403" w:rsidRPr="00B60BC7">
            <w:rPr>
              <w:webHidden/>
            </w:rPr>
            <w:fldChar w:fldCharType="end"/>
          </w:r>
          <w:r w:rsidR="00FF6A56" w:rsidRPr="00B60BC7">
            <w:fldChar w:fldCharType="end"/>
          </w:r>
        </w:p>
        <w:p w14:paraId="4308D4B6" w14:textId="185CFE95" w:rsidR="008F5403" w:rsidRPr="009D4B8F" w:rsidRDefault="00D02D37" w:rsidP="006244C0">
          <w:pPr>
            <w:pStyle w:val="TOC1"/>
            <w:rPr>
              <w:rFonts w:eastAsiaTheme="minorEastAsia"/>
              <w:caps/>
              <w:lang w:eastAsia="en-GB"/>
            </w:rPr>
          </w:pPr>
          <w:hyperlink w:anchor="_Toc130577561" w:history="1">
            <w:r w:rsidR="008F5403" w:rsidRPr="009D4B8F">
              <w:rPr>
                <w:rStyle w:val="Hyperlink"/>
              </w:rPr>
              <w:t>Reference</w:t>
            </w:r>
            <w:r w:rsidR="008F5403" w:rsidRPr="009D4B8F">
              <w:rPr>
                <w:webHidden/>
              </w:rPr>
              <w:tab/>
            </w:r>
            <w:r w:rsidR="008F5403" w:rsidRPr="009D4B8F">
              <w:rPr>
                <w:webHidden/>
              </w:rPr>
              <w:fldChar w:fldCharType="begin"/>
            </w:r>
            <w:r w:rsidR="008F5403" w:rsidRPr="009D4B8F">
              <w:rPr>
                <w:webHidden/>
              </w:rPr>
              <w:instrText xml:space="preserve"> PAGEREF _Toc130577561 \h </w:instrText>
            </w:r>
            <w:r w:rsidR="008F5403" w:rsidRPr="009D4B8F">
              <w:rPr>
                <w:webHidden/>
              </w:rPr>
            </w:r>
            <w:r w:rsidR="008F5403" w:rsidRPr="009D4B8F">
              <w:rPr>
                <w:webHidden/>
              </w:rPr>
              <w:fldChar w:fldCharType="separate"/>
            </w:r>
            <w:r w:rsidR="00B60BC7">
              <w:rPr>
                <w:webHidden/>
              </w:rPr>
              <w:t>13</w:t>
            </w:r>
            <w:r w:rsidR="008F5403" w:rsidRPr="009D4B8F">
              <w:rPr>
                <w:webHidden/>
              </w:rPr>
              <w:fldChar w:fldCharType="end"/>
            </w:r>
          </w:hyperlink>
        </w:p>
        <w:p w14:paraId="47C38356" w14:textId="18C2FF9F" w:rsidR="008F5403" w:rsidRPr="009D4B8F" w:rsidRDefault="008F5403">
          <w:pPr>
            <w:rPr>
              <w:sz w:val="24"/>
              <w:szCs w:val="24"/>
            </w:rPr>
          </w:pPr>
          <w:r w:rsidRPr="009D4B8F">
            <w:rPr>
              <w:b/>
              <w:bCs/>
              <w:noProof/>
              <w:sz w:val="24"/>
              <w:szCs w:val="24"/>
            </w:rPr>
            <w:fldChar w:fldCharType="end"/>
          </w:r>
        </w:p>
      </w:sdtContent>
    </w:sdt>
    <w:p w14:paraId="745ABF1D" w14:textId="77777777" w:rsidR="008F5403" w:rsidRPr="009D4B8F" w:rsidRDefault="008F5403" w:rsidP="008F5403">
      <w:pPr>
        <w:pStyle w:val="Heading1"/>
        <w:spacing w:before="0" w:after="0" w:line="360" w:lineRule="auto"/>
        <w:jc w:val="both"/>
        <w:rPr>
          <w:rFonts w:eastAsia="Times New Roman"/>
          <w:b/>
          <w:sz w:val="24"/>
          <w:szCs w:val="24"/>
        </w:rPr>
      </w:pPr>
      <w:r w:rsidRPr="009D4B8F">
        <w:rPr>
          <w:sz w:val="24"/>
          <w:szCs w:val="24"/>
        </w:rPr>
        <w:br w:type="page"/>
      </w:r>
    </w:p>
    <w:p w14:paraId="5862B24C" w14:textId="0CD564CD" w:rsidR="008F5403" w:rsidRPr="009D4B8F" w:rsidRDefault="008F5403" w:rsidP="008F5403">
      <w:pPr>
        <w:pStyle w:val="Heading1"/>
        <w:spacing w:before="0" w:after="0" w:line="360" w:lineRule="auto"/>
        <w:jc w:val="both"/>
        <w:rPr>
          <w:rFonts w:eastAsia="Times New Roman"/>
          <w:b/>
          <w:sz w:val="24"/>
          <w:szCs w:val="24"/>
        </w:rPr>
      </w:pPr>
      <w:bookmarkStart w:id="5" w:name="_Toc130577557"/>
      <w:r w:rsidRPr="009D4B8F">
        <w:rPr>
          <w:rFonts w:eastAsia="Times New Roman"/>
          <w:b/>
          <w:sz w:val="24"/>
          <w:szCs w:val="24"/>
        </w:rPr>
        <w:lastRenderedPageBreak/>
        <w:t>Introduction</w:t>
      </w:r>
      <w:bookmarkEnd w:id="5"/>
      <w:r w:rsidRPr="009D4B8F">
        <w:rPr>
          <w:rFonts w:eastAsia="Times New Roman"/>
          <w:b/>
          <w:sz w:val="24"/>
          <w:szCs w:val="24"/>
        </w:rPr>
        <w:t xml:space="preserve"> </w:t>
      </w:r>
    </w:p>
    <w:p w14:paraId="5D5EE3B3" w14:textId="755B7130" w:rsidR="008F5403" w:rsidRPr="009D4B8F" w:rsidRDefault="005A407B" w:rsidP="008F5403">
      <w:pPr>
        <w:rPr>
          <w:sz w:val="24"/>
          <w:szCs w:val="24"/>
        </w:rPr>
      </w:pPr>
      <w:r w:rsidRPr="005A407B">
        <w:rPr>
          <w:noProof/>
          <w:sz w:val="24"/>
          <w:szCs w:val="24"/>
        </w:rPr>
        <w:drawing>
          <wp:inline distT="0" distB="0" distL="0" distR="0" wp14:anchorId="501228FC" wp14:editId="67F2ED5A">
            <wp:extent cx="5943600" cy="33432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3275"/>
                    </a:xfrm>
                    <a:prstGeom prst="rect">
                      <a:avLst/>
                    </a:prstGeom>
                  </pic:spPr>
                </pic:pic>
              </a:graphicData>
            </a:graphic>
          </wp:inline>
        </w:drawing>
      </w:r>
    </w:p>
    <w:p w14:paraId="1C523EEB" w14:textId="77777777" w:rsidR="008F5403" w:rsidRPr="009D4B8F" w:rsidRDefault="008F5403" w:rsidP="008F5403">
      <w:pPr>
        <w:rPr>
          <w:sz w:val="24"/>
          <w:szCs w:val="24"/>
        </w:rPr>
      </w:pPr>
    </w:p>
    <w:p w14:paraId="5E6914BC" w14:textId="77777777" w:rsidR="005A407B" w:rsidRDefault="008F5403" w:rsidP="008F5403">
      <w:pPr>
        <w:spacing w:line="360" w:lineRule="auto"/>
        <w:jc w:val="both"/>
        <w:rPr>
          <w:rFonts w:eastAsia="Times New Roman"/>
          <w:sz w:val="24"/>
          <w:szCs w:val="24"/>
        </w:rPr>
      </w:pPr>
      <w:r w:rsidRPr="009D4B8F">
        <w:rPr>
          <w:rFonts w:eastAsia="Times New Roman"/>
          <w:sz w:val="24"/>
          <w:szCs w:val="24"/>
        </w:rPr>
        <w:t xml:space="preserve">Managing people means listening to their opinion, whether it is their ideas, overall feelings, or concern, and taking it on board. Managing people in the company results in good organisational surroundings, advantages, and staff training. All of these components solidify the brand and image of the organisation and helps in becoming a competitive determiner in the job market, which plays a major role when it comes to attracting and retaining top talent. Communication is one of the vital keys to running a successful business and organisation. Effective written and verbal communication expertise are key if an employer or an organisation wants to be effective at handling people at work. Apart from that, this report also covers the importance of talent acquisition and how this can help the hospitality industry to bring effectiveness and productivity among their workforce. With the help of Talent acquisition, Organisation can find best candidates those who are suitable for the post. Also, it also helps the organisation to stay ahead of the opponents and helps in preparing for the future.  This report will discuss the different methods and procedures that organisations can adopt in their day-to-day practices to attract top talents to their organisation and to enhance the performance and productivity of the workforce. </w:t>
      </w:r>
    </w:p>
    <w:p w14:paraId="1A447EA3" w14:textId="0BB7542F" w:rsidR="008F5403" w:rsidRPr="009D4B8F" w:rsidRDefault="005A407B" w:rsidP="008F5403">
      <w:pPr>
        <w:spacing w:line="360" w:lineRule="auto"/>
        <w:jc w:val="both"/>
        <w:rPr>
          <w:rFonts w:eastAsia="Times New Roman"/>
          <w:sz w:val="24"/>
          <w:szCs w:val="24"/>
        </w:rPr>
      </w:pPr>
      <w:r w:rsidRPr="005A407B">
        <w:rPr>
          <w:rFonts w:eastAsia="Times New Roman"/>
          <w:b/>
          <w:bCs/>
          <w:sz w:val="24"/>
          <w:szCs w:val="24"/>
        </w:rPr>
        <w:t>Starbucks</w:t>
      </w:r>
      <w:r>
        <w:rPr>
          <w:rFonts w:eastAsia="Times New Roman"/>
          <w:sz w:val="24"/>
          <w:szCs w:val="24"/>
        </w:rPr>
        <w:t xml:space="preserve"> will be explained in all the points.</w:t>
      </w:r>
      <w:r w:rsidR="008F5403" w:rsidRPr="009D4B8F">
        <w:rPr>
          <w:sz w:val="24"/>
          <w:szCs w:val="24"/>
        </w:rPr>
        <w:br w:type="page"/>
      </w:r>
    </w:p>
    <w:p w14:paraId="50BAEEB5" w14:textId="77777777" w:rsidR="008F5403" w:rsidRPr="009D4B8F" w:rsidRDefault="008F5403" w:rsidP="008F5403">
      <w:pPr>
        <w:pStyle w:val="Heading1"/>
        <w:spacing w:before="0" w:after="0" w:line="360" w:lineRule="auto"/>
        <w:jc w:val="both"/>
        <w:rPr>
          <w:rFonts w:eastAsia="Times New Roman"/>
          <w:b/>
          <w:sz w:val="24"/>
          <w:szCs w:val="24"/>
        </w:rPr>
      </w:pPr>
      <w:bookmarkStart w:id="6" w:name="_Toc130577558"/>
      <w:r w:rsidRPr="009D4B8F">
        <w:rPr>
          <w:rFonts w:eastAsia="Times New Roman"/>
          <w:sz w:val="24"/>
          <w:szCs w:val="24"/>
        </w:rPr>
        <w:lastRenderedPageBreak/>
        <w:t>“</w:t>
      </w:r>
      <w:r w:rsidRPr="009D4B8F">
        <w:rPr>
          <w:rFonts w:eastAsia="Times New Roman"/>
          <w:b/>
          <w:sz w:val="24"/>
          <w:szCs w:val="24"/>
        </w:rPr>
        <w:t>Identify and explain six different talent acquisition strategies to attract potential candidates to work in the restaurant operations that consist of casual and fine dining”.</w:t>
      </w:r>
      <w:bookmarkEnd w:id="6"/>
    </w:p>
    <w:p w14:paraId="2E647823" w14:textId="121AF740" w:rsidR="008F5403" w:rsidRPr="009D4B8F" w:rsidRDefault="0084273B" w:rsidP="008F5403">
      <w:pPr>
        <w:rPr>
          <w:sz w:val="24"/>
          <w:szCs w:val="24"/>
        </w:rPr>
      </w:pPr>
      <w:r w:rsidRPr="0084273B">
        <w:rPr>
          <w:noProof/>
          <w:sz w:val="24"/>
          <w:szCs w:val="24"/>
        </w:rPr>
        <w:drawing>
          <wp:inline distT="0" distB="0" distL="0" distR="0" wp14:anchorId="2F8C0DE5" wp14:editId="1EAE84C6">
            <wp:extent cx="5943600" cy="33432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5F619D25" w14:textId="77777777" w:rsidR="008F5403" w:rsidRPr="009D4B8F" w:rsidRDefault="008F5403" w:rsidP="008F5403">
      <w:pPr>
        <w:rPr>
          <w:sz w:val="24"/>
          <w:szCs w:val="24"/>
        </w:rPr>
      </w:pPr>
    </w:p>
    <w:p w14:paraId="3ED68AC1" w14:textId="77777777" w:rsidR="008F5403" w:rsidRPr="009D4B8F" w:rsidRDefault="008F5403" w:rsidP="008F5403">
      <w:pPr>
        <w:spacing w:line="360" w:lineRule="auto"/>
        <w:jc w:val="both"/>
        <w:rPr>
          <w:rFonts w:eastAsia="Times New Roman"/>
          <w:sz w:val="24"/>
          <w:szCs w:val="24"/>
        </w:rPr>
      </w:pPr>
      <w:r w:rsidRPr="009D4B8F">
        <w:rPr>
          <w:rFonts w:eastAsia="Times New Roman"/>
          <w:sz w:val="24"/>
          <w:szCs w:val="24"/>
        </w:rPr>
        <w:t>Talent acquisition is a strategy applied in recruitment that mainly aims at finding, engaging, hiring, evolving, and retaining top talents in an organisation. Talent acquisition can also be referred to as a planned and organised complex of actions the Human Resources Management must do to get suitable and best employees which will help the organisation to grow and expand their business even further. It is extremely difficult to find eligible and capable candidates for a certain position (</w:t>
      </w:r>
      <w:r w:rsidRPr="009D4B8F">
        <w:rPr>
          <w:rFonts w:eastAsia="Times New Roman"/>
          <w:color w:val="222222"/>
          <w:sz w:val="24"/>
          <w:szCs w:val="24"/>
          <w:highlight w:val="white"/>
        </w:rPr>
        <w:t xml:space="preserve">Feinstein </w:t>
      </w:r>
      <w:r w:rsidRPr="009D4B8F">
        <w:rPr>
          <w:rFonts w:eastAsia="Times New Roman"/>
          <w:i/>
          <w:color w:val="222222"/>
          <w:sz w:val="24"/>
          <w:szCs w:val="24"/>
          <w:highlight w:val="white"/>
        </w:rPr>
        <w:t>et al.,</w:t>
      </w:r>
      <w:r w:rsidRPr="009D4B8F">
        <w:rPr>
          <w:rFonts w:eastAsia="Times New Roman"/>
          <w:color w:val="222222"/>
          <w:sz w:val="24"/>
          <w:szCs w:val="24"/>
          <w:highlight w:val="white"/>
        </w:rPr>
        <w:t xml:space="preserve"> 2019)</w:t>
      </w:r>
      <w:r w:rsidRPr="009D4B8F">
        <w:rPr>
          <w:rFonts w:eastAsia="Times New Roman"/>
          <w:sz w:val="24"/>
          <w:szCs w:val="24"/>
        </w:rPr>
        <w:t xml:space="preserve">. According to recent data and information, 70% of organisations have reported talent scarcity and difficulty hiring the right candidates. </w:t>
      </w:r>
    </w:p>
    <w:p w14:paraId="4795E0AF" w14:textId="77777777" w:rsidR="008F5403" w:rsidRPr="009D4B8F" w:rsidRDefault="008F5403" w:rsidP="008F5403">
      <w:pPr>
        <w:spacing w:line="360" w:lineRule="auto"/>
        <w:jc w:val="both"/>
        <w:rPr>
          <w:rFonts w:eastAsia="Times New Roman"/>
          <w:b/>
          <w:sz w:val="24"/>
          <w:szCs w:val="24"/>
        </w:rPr>
      </w:pPr>
    </w:p>
    <w:p w14:paraId="5BD979DB" w14:textId="77777777" w:rsidR="008F5403" w:rsidRPr="009D4B8F" w:rsidRDefault="008F5403" w:rsidP="008F5403">
      <w:pPr>
        <w:spacing w:line="360" w:lineRule="auto"/>
        <w:jc w:val="both"/>
        <w:rPr>
          <w:rFonts w:eastAsia="Times New Roman"/>
          <w:b/>
          <w:sz w:val="24"/>
          <w:szCs w:val="24"/>
        </w:rPr>
      </w:pPr>
    </w:p>
    <w:p w14:paraId="4124B00F" w14:textId="77777777" w:rsidR="008F5403" w:rsidRPr="009D4B8F" w:rsidRDefault="008F5403" w:rsidP="008F5403">
      <w:pPr>
        <w:spacing w:line="360" w:lineRule="auto"/>
        <w:jc w:val="both"/>
        <w:rPr>
          <w:rFonts w:eastAsia="Times New Roman"/>
          <w:b/>
          <w:sz w:val="24"/>
          <w:szCs w:val="24"/>
        </w:rPr>
      </w:pPr>
    </w:p>
    <w:p w14:paraId="3782FFB3" w14:textId="77777777" w:rsidR="008F5403" w:rsidRPr="009D4B8F" w:rsidRDefault="008F5403" w:rsidP="008F5403">
      <w:pPr>
        <w:spacing w:line="360" w:lineRule="auto"/>
        <w:jc w:val="both"/>
        <w:rPr>
          <w:rFonts w:eastAsia="Times New Roman"/>
          <w:b/>
          <w:sz w:val="24"/>
          <w:szCs w:val="24"/>
        </w:rPr>
      </w:pPr>
    </w:p>
    <w:p w14:paraId="37983E1C" w14:textId="77777777" w:rsidR="008F5403" w:rsidRPr="009D4B8F" w:rsidRDefault="008F5403" w:rsidP="008F5403">
      <w:pPr>
        <w:spacing w:line="360" w:lineRule="auto"/>
        <w:jc w:val="both"/>
        <w:rPr>
          <w:rFonts w:eastAsia="Times New Roman"/>
          <w:b/>
          <w:sz w:val="24"/>
          <w:szCs w:val="24"/>
        </w:rPr>
      </w:pPr>
    </w:p>
    <w:p w14:paraId="669387F8" w14:textId="77777777" w:rsidR="008F5403" w:rsidRPr="009D4B8F" w:rsidRDefault="008F5403" w:rsidP="008F5403">
      <w:pPr>
        <w:spacing w:line="360" w:lineRule="auto"/>
        <w:jc w:val="both"/>
        <w:rPr>
          <w:rFonts w:eastAsia="Times New Roman"/>
          <w:b/>
          <w:sz w:val="24"/>
          <w:szCs w:val="24"/>
        </w:rPr>
      </w:pPr>
    </w:p>
    <w:p w14:paraId="44D42017" w14:textId="77777777" w:rsidR="008F5403" w:rsidRPr="009D4B8F" w:rsidRDefault="008F5403" w:rsidP="008F5403">
      <w:pPr>
        <w:spacing w:line="360" w:lineRule="auto"/>
        <w:jc w:val="both"/>
        <w:rPr>
          <w:rFonts w:eastAsia="Times New Roman"/>
          <w:b/>
          <w:sz w:val="24"/>
          <w:szCs w:val="24"/>
        </w:rPr>
      </w:pPr>
    </w:p>
    <w:p w14:paraId="18DFFAE2" w14:textId="77777777" w:rsidR="008F5403" w:rsidRPr="009D4B8F" w:rsidRDefault="008F5403" w:rsidP="008F5403">
      <w:pPr>
        <w:spacing w:line="360" w:lineRule="auto"/>
        <w:jc w:val="both"/>
        <w:rPr>
          <w:rFonts w:eastAsia="Times New Roman"/>
          <w:b/>
          <w:sz w:val="24"/>
          <w:szCs w:val="24"/>
        </w:rPr>
      </w:pPr>
    </w:p>
    <w:p w14:paraId="63A8727C" w14:textId="77777777" w:rsidR="008F5403" w:rsidRPr="009D4B8F" w:rsidRDefault="008F5403" w:rsidP="008F5403">
      <w:pPr>
        <w:spacing w:line="360" w:lineRule="auto"/>
        <w:jc w:val="both"/>
        <w:rPr>
          <w:rFonts w:eastAsia="Times New Roman"/>
          <w:b/>
          <w:sz w:val="24"/>
          <w:szCs w:val="24"/>
        </w:rPr>
      </w:pPr>
    </w:p>
    <w:p w14:paraId="503CFCB3" w14:textId="77777777" w:rsidR="008F5403" w:rsidRPr="009D4B8F" w:rsidRDefault="008F5403" w:rsidP="008F5403">
      <w:pPr>
        <w:spacing w:line="360" w:lineRule="auto"/>
        <w:jc w:val="both"/>
        <w:rPr>
          <w:rFonts w:eastAsia="Times New Roman"/>
          <w:b/>
          <w:sz w:val="24"/>
          <w:szCs w:val="24"/>
        </w:rPr>
      </w:pPr>
      <w:r w:rsidRPr="009D4B8F">
        <w:rPr>
          <w:rFonts w:eastAsia="Times New Roman"/>
          <w:b/>
          <w:sz w:val="24"/>
          <w:szCs w:val="24"/>
        </w:rPr>
        <w:t>Strategies for short-term talent acquisition</w:t>
      </w:r>
    </w:p>
    <w:p w14:paraId="4EB75051" w14:textId="774AAD52" w:rsidR="008F5403" w:rsidRPr="009D4B8F" w:rsidRDefault="00856E67" w:rsidP="008F5403">
      <w:pPr>
        <w:spacing w:line="360" w:lineRule="auto"/>
        <w:jc w:val="both"/>
        <w:rPr>
          <w:rFonts w:eastAsia="Times New Roman"/>
          <w:b/>
          <w:sz w:val="24"/>
          <w:szCs w:val="24"/>
        </w:rPr>
      </w:pPr>
      <w:r w:rsidRPr="00856E67">
        <w:rPr>
          <w:rFonts w:eastAsia="Times New Roman"/>
          <w:b/>
          <w:noProof/>
          <w:sz w:val="24"/>
          <w:szCs w:val="24"/>
        </w:rPr>
        <w:drawing>
          <wp:inline distT="0" distB="0" distL="0" distR="0" wp14:anchorId="06E82D69" wp14:editId="789AA2C2">
            <wp:extent cx="5943600" cy="3343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699125D7"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Expand outreach strategies: </w:t>
      </w:r>
      <w:r w:rsidRPr="009D4B8F">
        <w:rPr>
          <w:rFonts w:eastAsia="Times New Roman"/>
          <w:sz w:val="24"/>
          <w:szCs w:val="24"/>
        </w:rPr>
        <w:t>To find better talent, Starbucks needs to broaden its sourcing strategies to the fullest. Multiple implementations and procedures of outreach are required for different skill sets. Instead of making a huge investment in social media applications and sites to promote the brand and overall company, Starbucks can consider other functional job boards, academic strategies, or other networking events where the organisation might come to interact with a certain group of talented professionals. Starbucks can also implement some tools and tactics to help with this attempt (</w:t>
      </w:r>
      <w:r w:rsidRPr="009D4B8F">
        <w:rPr>
          <w:rFonts w:eastAsia="Times New Roman"/>
          <w:color w:val="222222"/>
          <w:sz w:val="24"/>
          <w:szCs w:val="24"/>
          <w:highlight w:val="white"/>
        </w:rPr>
        <w:t xml:space="preserve">Dunlop </w:t>
      </w:r>
      <w:r w:rsidRPr="009D4B8F">
        <w:rPr>
          <w:rFonts w:eastAsia="Times New Roman"/>
          <w:i/>
          <w:color w:val="222222"/>
          <w:sz w:val="24"/>
          <w:szCs w:val="24"/>
          <w:highlight w:val="white"/>
        </w:rPr>
        <w:t>et al.</w:t>
      </w:r>
      <w:r w:rsidRPr="009D4B8F">
        <w:rPr>
          <w:rFonts w:eastAsia="Times New Roman"/>
          <w:color w:val="222222"/>
          <w:sz w:val="24"/>
          <w:szCs w:val="24"/>
          <w:highlight w:val="white"/>
        </w:rPr>
        <w:t>, 2020)</w:t>
      </w:r>
      <w:r w:rsidRPr="009D4B8F">
        <w:rPr>
          <w:rFonts w:eastAsia="Times New Roman"/>
          <w:sz w:val="24"/>
          <w:szCs w:val="24"/>
        </w:rPr>
        <w:t xml:space="preserve">. For example, </w:t>
      </w:r>
      <w:proofErr w:type="spellStart"/>
      <w:r w:rsidRPr="009D4B8F">
        <w:rPr>
          <w:rFonts w:eastAsia="Times New Roman"/>
          <w:sz w:val="24"/>
          <w:szCs w:val="24"/>
        </w:rPr>
        <w:t>SmartRecruiter</w:t>
      </w:r>
      <w:proofErr w:type="spellEnd"/>
      <w:r w:rsidRPr="009D4B8F">
        <w:rPr>
          <w:rFonts w:eastAsia="Times New Roman"/>
          <w:sz w:val="24"/>
          <w:szCs w:val="24"/>
        </w:rPr>
        <w:t xml:space="preserve"> is a CRM that is designed and developed for hiring candidates and synchronising the calendar for capable new hires. The organisation needs to identify where they can find the extensive majority of top talent, those who are capable of the post that the organisation is offering. Apart from that, Starbucks also needs to focus on solidifying the relationship and connection with the right people, which will help the organisation to meet the desired people which they are seeking for the organisation (</w:t>
      </w:r>
      <w:r w:rsidRPr="009D4B8F">
        <w:rPr>
          <w:rFonts w:eastAsia="Times New Roman"/>
          <w:color w:val="222222"/>
          <w:sz w:val="24"/>
          <w:szCs w:val="24"/>
          <w:highlight w:val="white"/>
        </w:rPr>
        <w:t>McDonagh</w:t>
      </w:r>
      <w:r w:rsidRPr="009D4B8F">
        <w:rPr>
          <w:rFonts w:eastAsia="Times New Roman"/>
          <w:i/>
          <w:color w:val="222222"/>
          <w:sz w:val="24"/>
          <w:szCs w:val="24"/>
          <w:highlight w:val="white"/>
        </w:rPr>
        <w:t xml:space="preserve"> et al.</w:t>
      </w:r>
      <w:r w:rsidRPr="009D4B8F">
        <w:rPr>
          <w:rFonts w:eastAsia="Times New Roman"/>
          <w:color w:val="222222"/>
          <w:sz w:val="24"/>
          <w:szCs w:val="24"/>
          <w:highlight w:val="white"/>
        </w:rPr>
        <w:t>, 2021)</w:t>
      </w:r>
      <w:r w:rsidRPr="009D4B8F">
        <w:rPr>
          <w:rFonts w:eastAsia="Times New Roman"/>
          <w:sz w:val="24"/>
          <w:szCs w:val="24"/>
        </w:rPr>
        <w:t xml:space="preserve">. </w:t>
      </w:r>
    </w:p>
    <w:p w14:paraId="006590F6"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lastRenderedPageBreak/>
        <w:t xml:space="preserve">Offer updated work options: </w:t>
      </w:r>
      <w:r w:rsidRPr="009D4B8F">
        <w:rPr>
          <w:rFonts w:eastAsia="Times New Roman"/>
          <w:sz w:val="24"/>
          <w:szCs w:val="24"/>
        </w:rPr>
        <w:t>The covid-19 pandemic has completely reshaped the United Kingdom work model. Talent acquisition specialists implemented their work models to direct online onboarding contrary to meeting the candidates physically. As the work progresses and develops with more advanced technology, employees will struggle for more professional and personal life balance. Most of the employees of the organisation want to work from home. Remote work models direct to higher productivity and enhancement of performances. According to recent data and statistics, employees are 14% more productive and focused when they are working from home (</w:t>
      </w:r>
      <w:proofErr w:type="spellStart"/>
      <w:r w:rsidRPr="009D4B8F">
        <w:rPr>
          <w:rFonts w:eastAsia="Times New Roman"/>
          <w:color w:val="222222"/>
          <w:sz w:val="24"/>
          <w:szCs w:val="24"/>
          <w:highlight w:val="white"/>
        </w:rPr>
        <w:t>Bongard</w:t>
      </w:r>
      <w:proofErr w:type="spellEnd"/>
      <w:r w:rsidRPr="009D4B8F">
        <w:rPr>
          <w:rFonts w:eastAsia="Times New Roman"/>
          <w:color w:val="222222"/>
          <w:sz w:val="24"/>
          <w:szCs w:val="24"/>
          <w:highlight w:val="white"/>
        </w:rPr>
        <w:t>, 2019)</w:t>
      </w:r>
      <w:r w:rsidRPr="009D4B8F">
        <w:rPr>
          <w:rFonts w:eastAsia="Times New Roman"/>
          <w:sz w:val="24"/>
          <w:szCs w:val="24"/>
        </w:rPr>
        <w:t xml:space="preserve">. As technology and various software continue to develop, Starbucks needs to adjust and contemplate incorporating remorse work models. </w:t>
      </w:r>
    </w:p>
    <w:p w14:paraId="5376D767"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Create a competitive benefits plan: </w:t>
      </w:r>
      <w:r w:rsidRPr="009D4B8F">
        <w:rPr>
          <w:rFonts w:eastAsia="Times New Roman"/>
          <w:sz w:val="24"/>
          <w:szCs w:val="24"/>
        </w:rPr>
        <w:t xml:space="preserve">When it comes to compensation packages, workers may be ready to accept a lower income if balanced by comprehensive health advantage. For example, medical and dental insurance. Workers of the organisation want a healthy lifestyle, good help, and advantages. To meet the requirements and needs of the employees and to provide them with good health benefits, Starbucks can invest in its employee's mental health with certain programs like "Employee Assistance Programs”. </w:t>
      </w:r>
    </w:p>
    <w:p w14:paraId="11326071" w14:textId="77777777" w:rsidR="008F5403" w:rsidRPr="009D4B8F" w:rsidRDefault="008F5403" w:rsidP="008F5403">
      <w:pPr>
        <w:spacing w:line="360" w:lineRule="auto"/>
        <w:jc w:val="both"/>
        <w:rPr>
          <w:rFonts w:eastAsia="Times New Roman"/>
          <w:b/>
          <w:sz w:val="24"/>
          <w:szCs w:val="24"/>
        </w:rPr>
      </w:pPr>
    </w:p>
    <w:p w14:paraId="54AA7EA1" w14:textId="77777777" w:rsidR="008F5403" w:rsidRPr="009D4B8F" w:rsidRDefault="008F5403" w:rsidP="008F5403">
      <w:pPr>
        <w:spacing w:line="360" w:lineRule="auto"/>
        <w:jc w:val="both"/>
        <w:rPr>
          <w:rFonts w:eastAsia="Times New Roman"/>
          <w:b/>
          <w:sz w:val="24"/>
          <w:szCs w:val="24"/>
        </w:rPr>
      </w:pPr>
      <w:r w:rsidRPr="009D4B8F">
        <w:rPr>
          <w:rFonts w:eastAsia="Times New Roman"/>
          <w:b/>
          <w:sz w:val="24"/>
          <w:szCs w:val="24"/>
        </w:rPr>
        <w:t xml:space="preserve">Strategies for long-term talent acquisition </w:t>
      </w:r>
    </w:p>
    <w:p w14:paraId="2BC8CD71" w14:textId="440F810B" w:rsidR="008F5403" w:rsidRPr="009D4B8F" w:rsidRDefault="00856E67" w:rsidP="008F5403">
      <w:pPr>
        <w:spacing w:line="360" w:lineRule="auto"/>
        <w:jc w:val="both"/>
        <w:rPr>
          <w:rFonts w:eastAsia="Times New Roman"/>
          <w:b/>
          <w:sz w:val="24"/>
          <w:szCs w:val="24"/>
        </w:rPr>
      </w:pPr>
      <w:r w:rsidRPr="00856E67">
        <w:rPr>
          <w:rFonts w:eastAsia="Times New Roman"/>
          <w:b/>
          <w:noProof/>
          <w:sz w:val="24"/>
          <w:szCs w:val="24"/>
        </w:rPr>
        <w:drawing>
          <wp:inline distT="0" distB="0" distL="0" distR="0" wp14:anchorId="21D664A1" wp14:editId="46C7B1C9">
            <wp:extent cx="5943600" cy="33432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517E318E"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lastRenderedPageBreak/>
        <w:t xml:space="preserve">The appliance of data and marketing to create better acquisition material: </w:t>
      </w:r>
      <w:r w:rsidRPr="009D4B8F">
        <w:rPr>
          <w:rFonts w:eastAsia="Times New Roman"/>
          <w:sz w:val="24"/>
          <w:szCs w:val="24"/>
        </w:rPr>
        <w:t xml:space="preserve">Starbucks needs to treat Talent acquisition with just as much importance as any of its marketing campaigns. Motivating people to join the organisation is just as important as encouraging people to try their services or buy their products. There are multiple opportunities to utilise data to solidify its talent acquisition strategy. For example, Starbucks may use data to identify and understand where their top talent came from, and apply that information to aim and focus their talent acquisition attempt on specific academic programs or professional </w:t>
      </w:r>
      <w:proofErr w:type="spellStart"/>
      <w:r w:rsidRPr="009D4B8F">
        <w:rPr>
          <w:rFonts w:eastAsia="Times New Roman"/>
          <w:sz w:val="24"/>
          <w:szCs w:val="24"/>
        </w:rPr>
        <w:t>channeling</w:t>
      </w:r>
      <w:proofErr w:type="spellEnd"/>
      <w:r w:rsidRPr="009D4B8F">
        <w:rPr>
          <w:rFonts w:eastAsia="Times New Roman"/>
          <w:sz w:val="24"/>
          <w:szCs w:val="24"/>
        </w:rPr>
        <w:t xml:space="preserve"> sites (</w:t>
      </w:r>
      <w:r w:rsidRPr="009D4B8F">
        <w:rPr>
          <w:rFonts w:eastAsia="Times New Roman"/>
          <w:color w:val="222222"/>
          <w:sz w:val="24"/>
          <w:szCs w:val="24"/>
          <w:highlight w:val="white"/>
        </w:rPr>
        <w:t>Lyons, 2022)</w:t>
      </w:r>
      <w:r w:rsidRPr="009D4B8F">
        <w:rPr>
          <w:rFonts w:eastAsia="Times New Roman"/>
          <w:sz w:val="24"/>
          <w:szCs w:val="24"/>
        </w:rPr>
        <w:t xml:space="preserve">. The organisation can apply some of the effective software tools like </w:t>
      </w:r>
      <w:r w:rsidRPr="009D4B8F">
        <w:rPr>
          <w:rFonts w:eastAsia="Times New Roman"/>
          <w:b/>
          <w:i/>
          <w:sz w:val="24"/>
          <w:szCs w:val="24"/>
        </w:rPr>
        <w:t xml:space="preserve">Bullhorn </w:t>
      </w:r>
      <w:r w:rsidRPr="009D4B8F">
        <w:rPr>
          <w:rFonts w:eastAsia="Times New Roman"/>
          <w:sz w:val="24"/>
          <w:szCs w:val="24"/>
        </w:rPr>
        <w:t xml:space="preserve">which is specially created to control some of the most difficult tasks of talent acquisition like recruiting candidates and examining candidate data.  </w:t>
      </w:r>
    </w:p>
    <w:p w14:paraId="713FF5B1" w14:textId="49A326E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Build company identity: </w:t>
      </w:r>
      <w:r w:rsidRPr="009D4B8F">
        <w:rPr>
          <w:rFonts w:eastAsia="Times New Roman"/>
          <w:sz w:val="24"/>
          <w:szCs w:val="24"/>
        </w:rPr>
        <w:t xml:space="preserve">Thousands and thousands of millennials and </w:t>
      </w:r>
      <w:proofErr w:type="spellStart"/>
      <w:r w:rsidRPr="009D4B8F">
        <w:rPr>
          <w:rFonts w:eastAsia="Times New Roman"/>
          <w:sz w:val="24"/>
          <w:szCs w:val="24"/>
        </w:rPr>
        <w:t>GenZ</w:t>
      </w:r>
      <w:proofErr w:type="spellEnd"/>
      <w:r w:rsidRPr="009D4B8F">
        <w:rPr>
          <w:rFonts w:eastAsia="Times New Roman"/>
          <w:sz w:val="24"/>
          <w:szCs w:val="24"/>
        </w:rPr>
        <w:t xml:space="preserve"> candidates make up the contemporary job force. This group of capable workers came of age with </w:t>
      </w:r>
      <w:r w:rsidR="0063704E" w:rsidRPr="009D4B8F">
        <w:rPr>
          <w:rFonts w:eastAsia="Times New Roman"/>
          <w:sz w:val="24"/>
          <w:szCs w:val="24"/>
        </w:rPr>
        <w:t>social</w:t>
      </w:r>
      <w:r w:rsidRPr="009D4B8F">
        <w:rPr>
          <w:rFonts w:eastAsia="Times New Roman"/>
          <w:sz w:val="24"/>
          <w:szCs w:val="24"/>
        </w:rPr>
        <w:t xml:space="preserve"> media and the internet. While researching the business and organisation, those groups of people look at social media, various websites, reviews, and job boards to identify and understand the work culture. To make its social media profile genuine and more relevant, Starbucks needs to leverage its current employees and take advantage of the instant broadcast potentiality of its websites and social media profiles. To make the plan even more effective, Starbucks can post pictures and videos of their workers at work (</w:t>
      </w:r>
      <w:r w:rsidRPr="009D4B8F">
        <w:rPr>
          <w:rFonts w:eastAsia="Times New Roman"/>
          <w:color w:val="222222"/>
          <w:sz w:val="24"/>
          <w:szCs w:val="24"/>
          <w:highlight w:val="white"/>
        </w:rPr>
        <w:t xml:space="preserve">De Smet </w:t>
      </w:r>
      <w:r w:rsidRPr="009D4B8F">
        <w:rPr>
          <w:rFonts w:eastAsia="Times New Roman"/>
          <w:i/>
          <w:color w:val="222222"/>
          <w:sz w:val="24"/>
          <w:szCs w:val="24"/>
          <w:highlight w:val="white"/>
        </w:rPr>
        <w:t xml:space="preserve">et al., </w:t>
      </w:r>
      <w:r w:rsidRPr="009D4B8F">
        <w:rPr>
          <w:rFonts w:eastAsia="Times New Roman"/>
          <w:color w:val="222222"/>
          <w:sz w:val="24"/>
          <w:szCs w:val="24"/>
          <w:highlight w:val="white"/>
        </w:rPr>
        <w:t>2022)</w:t>
      </w:r>
      <w:r w:rsidRPr="009D4B8F">
        <w:rPr>
          <w:rFonts w:eastAsia="Times New Roman"/>
          <w:sz w:val="24"/>
          <w:szCs w:val="24"/>
        </w:rPr>
        <w:t xml:space="preserve">. Motivate employees to interconnect with their organisation on its platform and need practice congratulating and rewarding them on internal promotions. </w:t>
      </w:r>
    </w:p>
    <w:p w14:paraId="3DC170BA"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Add other incentives: </w:t>
      </w:r>
      <w:r w:rsidRPr="009D4B8F">
        <w:rPr>
          <w:rFonts w:eastAsia="Times New Roman"/>
          <w:sz w:val="24"/>
          <w:szCs w:val="24"/>
        </w:rPr>
        <w:t xml:space="preserve">Large to mid-size organisations apply attention-grabbing bonuses and employee advantage to compete in the Universal market to attract top talent who helps the organisation in enhancing their productivity and performance, but the financial incentives aren't the only thing that matters. When the eligible and talented candidates are comparing the organisation, they are going to contemplate values, work-life balance, and work culture too. By offering a special employer brand, Starbucks can attract better talent and it also helps in finding long-lasting success and goals. </w:t>
      </w:r>
    </w:p>
    <w:p w14:paraId="410E58ED" w14:textId="77777777" w:rsidR="008F5403" w:rsidRPr="009D4B8F" w:rsidRDefault="008F5403" w:rsidP="008F5403">
      <w:pPr>
        <w:spacing w:line="360" w:lineRule="auto"/>
        <w:jc w:val="both"/>
        <w:rPr>
          <w:rFonts w:eastAsia="Times New Roman"/>
          <w:b/>
          <w:sz w:val="24"/>
          <w:szCs w:val="24"/>
        </w:rPr>
      </w:pPr>
    </w:p>
    <w:p w14:paraId="5E764F44" w14:textId="77777777" w:rsidR="008F5403" w:rsidRPr="009D4B8F" w:rsidRDefault="008F5403" w:rsidP="008F5403">
      <w:pPr>
        <w:pStyle w:val="Heading1"/>
        <w:spacing w:before="0" w:after="0" w:line="360" w:lineRule="auto"/>
        <w:jc w:val="both"/>
        <w:rPr>
          <w:rFonts w:eastAsia="Times New Roman"/>
          <w:b/>
          <w:sz w:val="24"/>
          <w:szCs w:val="24"/>
        </w:rPr>
      </w:pPr>
      <w:bookmarkStart w:id="7" w:name="_Toc130577559"/>
      <w:r w:rsidRPr="009D4B8F">
        <w:rPr>
          <w:rFonts w:eastAsia="Times New Roman"/>
          <w:b/>
          <w:sz w:val="24"/>
          <w:szCs w:val="24"/>
        </w:rPr>
        <w:lastRenderedPageBreak/>
        <w:t>“Identify and explain four different incentives methods to attract potential candidates to work in the restaurant operations that consist of casual and fine dining”.</w:t>
      </w:r>
      <w:bookmarkEnd w:id="7"/>
    </w:p>
    <w:p w14:paraId="7BCBD55E" w14:textId="57FA9A5A" w:rsidR="008F5403" w:rsidRPr="009D4B8F" w:rsidRDefault="00856E67" w:rsidP="008F5403">
      <w:pPr>
        <w:rPr>
          <w:sz w:val="24"/>
          <w:szCs w:val="24"/>
        </w:rPr>
      </w:pPr>
      <w:r w:rsidRPr="00856E67">
        <w:rPr>
          <w:noProof/>
          <w:sz w:val="24"/>
          <w:szCs w:val="24"/>
        </w:rPr>
        <w:drawing>
          <wp:inline distT="0" distB="0" distL="0" distR="0" wp14:anchorId="4400599E" wp14:editId="569E75AD">
            <wp:extent cx="5943600" cy="33432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55C5660B" w14:textId="77777777" w:rsidR="008F5403" w:rsidRPr="009D4B8F" w:rsidRDefault="008F5403" w:rsidP="008F5403">
      <w:pPr>
        <w:spacing w:line="360" w:lineRule="auto"/>
        <w:jc w:val="both"/>
        <w:rPr>
          <w:rFonts w:eastAsia="Times New Roman"/>
          <w:sz w:val="24"/>
          <w:szCs w:val="24"/>
        </w:rPr>
      </w:pPr>
      <w:r w:rsidRPr="009D4B8F">
        <w:rPr>
          <w:rFonts w:eastAsia="Times New Roman"/>
          <w:sz w:val="24"/>
          <w:szCs w:val="24"/>
        </w:rPr>
        <w:t>The organisations’ incentive programme needs to be created and designed around the types of behaviours that they want to reward and motivate in their business and organisation, offering a way for management and colleagues to identify and acknowledge each other’s efforts and victory. Managers of the organisation are always in search of ways in order to design a motivational and inspiring environment where their employees can work at their highest levels in order to accomplish the organisation objectives (</w:t>
      </w:r>
      <w:r w:rsidRPr="009D4B8F">
        <w:rPr>
          <w:rFonts w:eastAsia="Times New Roman"/>
          <w:color w:val="222222"/>
          <w:sz w:val="24"/>
          <w:szCs w:val="24"/>
          <w:highlight w:val="white"/>
        </w:rPr>
        <w:t xml:space="preserve">Hodson </w:t>
      </w:r>
      <w:r w:rsidRPr="009D4B8F">
        <w:rPr>
          <w:rFonts w:eastAsia="Times New Roman"/>
          <w:i/>
          <w:color w:val="222222"/>
          <w:sz w:val="24"/>
          <w:szCs w:val="24"/>
          <w:highlight w:val="white"/>
        </w:rPr>
        <w:t>et al.,</w:t>
      </w:r>
      <w:r w:rsidRPr="009D4B8F">
        <w:rPr>
          <w:rFonts w:eastAsia="Times New Roman"/>
          <w:color w:val="222222"/>
          <w:sz w:val="24"/>
          <w:szCs w:val="24"/>
          <w:highlight w:val="white"/>
        </w:rPr>
        <w:t xml:space="preserve"> 2022)</w:t>
      </w:r>
      <w:r w:rsidRPr="009D4B8F">
        <w:rPr>
          <w:rFonts w:eastAsia="Times New Roman"/>
          <w:sz w:val="24"/>
          <w:szCs w:val="24"/>
        </w:rPr>
        <w:t xml:space="preserve">.  The motivator of the workplace involves both monetary and nonmonetary incentives. </w:t>
      </w:r>
    </w:p>
    <w:p w14:paraId="10E8873F" w14:textId="77777777" w:rsidR="008F5403" w:rsidRPr="009D4B8F" w:rsidRDefault="008F5403" w:rsidP="008F5403">
      <w:pPr>
        <w:spacing w:line="360" w:lineRule="auto"/>
        <w:jc w:val="both"/>
        <w:rPr>
          <w:rFonts w:eastAsia="Times New Roman"/>
          <w:b/>
          <w:sz w:val="24"/>
          <w:szCs w:val="24"/>
        </w:rPr>
      </w:pPr>
    </w:p>
    <w:p w14:paraId="439927CB" w14:textId="77777777" w:rsidR="008F5403" w:rsidRPr="009D4B8F" w:rsidRDefault="008F5403" w:rsidP="008F5403">
      <w:pPr>
        <w:spacing w:line="360" w:lineRule="auto"/>
        <w:jc w:val="both"/>
        <w:rPr>
          <w:rFonts w:eastAsia="Times New Roman"/>
          <w:b/>
          <w:sz w:val="24"/>
          <w:szCs w:val="24"/>
        </w:rPr>
      </w:pPr>
    </w:p>
    <w:p w14:paraId="65988184" w14:textId="77777777" w:rsidR="008F5403" w:rsidRPr="009D4B8F" w:rsidRDefault="008F5403" w:rsidP="008F5403">
      <w:pPr>
        <w:spacing w:line="360" w:lineRule="auto"/>
        <w:jc w:val="both"/>
        <w:rPr>
          <w:rFonts w:eastAsia="Times New Roman"/>
          <w:b/>
          <w:sz w:val="24"/>
          <w:szCs w:val="24"/>
        </w:rPr>
      </w:pPr>
    </w:p>
    <w:p w14:paraId="26AD9EF0" w14:textId="77777777" w:rsidR="008F5403" w:rsidRPr="009D4B8F" w:rsidRDefault="008F5403" w:rsidP="008F5403">
      <w:pPr>
        <w:spacing w:line="360" w:lineRule="auto"/>
        <w:jc w:val="both"/>
        <w:rPr>
          <w:rFonts w:eastAsia="Times New Roman"/>
          <w:b/>
          <w:sz w:val="24"/>
          <w:szCs w:val="24"/>
        </w:rPr>
      </w:pPr>
    </w:p>
    <w:p w14:paraId="6DB72BEF" w14:textId="77777777" w:rsidR="008F5403" w:rsidRPr="009D4B8F" w:rsidRDefault="008F5403" w:rsidP="008F5403">
      <w:pPr>
        <w:spacing w:line="360" w:lineRule="auto"/>
        <w:jc w:val="both"/>
        <w:rPr>
          <w:rFonts w:eastAsia="Times New Roman"/>
          <w:b/>
          <w:sz w:val="24"/>
          <w:szCs w:val="24"/>
        </w:rPr>
      </w:pPr>
    </w:p>
    <w:p w14:paraId="271D6C5B" w14:textId="77777777" w:rsidR="008F5403" w:rsidRPr="009D4B8F" w:rsidRDefault="008F5403" w:rsidP="008F5403">
      <w:pPr>
        <w:spacing w:line="360" w:lineRule="auto"/>
        <w:jc w:val="both"/>
        <w:rPr>
          <w:rFonts w:eastAsia="Times New Roman"/>
          <w:b/>
          <w:sz w:val="24"/>
          <w:szCs w:val="24"/>
        </w:rPr>
      </w:pPr>
    </w:p>
    <w:p w14:paraId="2ED2B4B4" w14:textId="77777777" w:rsidR="008F5403" w:rsidRPr="009D4B8F" w:rsidRDefault="008F5403" w:rsidP="008F5403">
      <w:pPr>
        <w:spacing w:line="360" w:lineRule="auto"/>
        <w:jc w:val="both"/>
        <w:rPr>
          <w:rFonts w:eastAsia="Times New Roman"/>
          <w:b/>
          <w:sz w:val="24"/>
          <w:szCs w:val="24"/>
        </w:rPr>
      </w:pPr>
    </w:p>
    <w:p w14:paraId="646B2878" w14:textId="77777777" w:rsidR="008F5403" w:rsidRPr="009D4B8F" w:rsidRDefault="008F5403" w:rsidP="008F5403">
      <w:pPr>
        <w:spacing w:line="360" w:lineRule="auto"/>
        <w:jc w:val="both"/>
        <w:rPr>
          <w:rFonts w:eastAsia="Times New Roman"/>
          <w:b/>
          <w:sz w:val="24"/>
          <w:szCs w:val="24"/>
        </w:rPr>
      </w:pPr>
    </w:p>
    <w:p w14:paraId="7DFC5D94" w14:textId="77777777" w:rsidR="008F5403" w:rsidRPr="009D4B8F" w:rsidRDefault="008F5403" w:rsidP="008F5403">
      <w:pPr>
        <w:spacing w:line="360" w:lineRule="auto"/>
        <w:jc w:val="both"/>
        <w:rPr>
          <w:rFonts w:eastAsia="Times New Roman"/>
          <w:b/>
          <w:sz w:val="24"/>
          <w:szCs w:val="24"/>
        </w:rPr>
      </w:pPr>
    </w:p>
    <w:p w14:paraId="559EFCBD" w14:textId="7C90408F" w:rsidR="008F5403" w:rsidRPr="009D4B8F" w:rsidRDefault="008F5403" w:rsidP="008F5403">
      <w:pPr>
        <w:spacing w:line="360" w:lineRule="auto"/>
        <w:jc w:val="both"/>
        <w:rPr>
          <w:rFonts w:eastAsia="Times New Roman"/>
          <w:b/>
          <w:sz w:val="24"/>
          <w:szCs w:val="24"/>
        </w:rPr>
      </w:pPr>
      <w:r w:rsidRPr="009D4B8F">
        <w:rPr>
          <w:rFonts w:eastAsia="Times New Roman"/>
          <w:b/>
          <w:sz w:val="24"/>
          <w:szCs w:val="24"/>
        </w:rPr>
        <w:t>Mon</w:t>
      </w:r>
      <w:r w:rsidR="009D4B8F">
        <w:rPr>
          <w:rFonts w:eastAsia="Times New Roman"/>
          <w:b/>
          <w:sz w:val="24"/>
          <w:szCs w:val="24"/>
        </w:rPr>
        <w:t>e</w:t>
      </w:r>
      <w:r w:rsidRPr="009D4B8F">
        <w:rPr>
          <w:rFonts w:eastAsia="Times New Roman"/>
          <w:b/>
          <w:sz w:val="24"/>
          <w:szCs w:val="24"/>
        </w:rPr>
        <w:t>t</w:t>
      </w:r>
      <w:r w:rsidR="009D4B8F">
        <w:rPr>
          <w:rFonts w:eastAsia="Times New Roman"/>
          <w:b/>
          <w:sz w:val="24"/>
          <w:szCs w:val="24"/>
        </w:rPr>
        <w:t>ar</w:t>
      </w:r>
      <w:r w:rsidRPr="009D4B8F">
        <w:rPr>
          <w:rFonts w:eastAsia="Times New Roman"/>
          <w:b/>
          <w:sz w:val="24"/>
          <w:szCs w:val="24"/>
        </w:rPr>
        <w:t xml:space="preserve">y incentives </w:t>
      </w:r>
    </w:p>
    <w:p w14:paraId="4F52AFCF" w14:textId="600BB6F6" w:rsidR="008F5403" w:rsidRPr="009D4B8F" w:rsidRDefault="00856E67" w:rsidP="008F5403">
      <w:pPr>
        <w:spacing w:line="360" w:lineRule="auto"/>
        <w:jc w:val="both"/>
        <w:rPr>
          <w:rFonts w:eastAsia="Times New Roman"/>
          <w:b/>
          <w:sz w:val="24"/>
          <w:szCs w:val="24"/>
        </w:rPr>
      </w:pPr>
      <w:r w:rsidRPr="00856E67">
        <w:rPr>
          <w:rFonts w:eastAsia="Times New Roman"/>
          <w:b/>
          <w:noProof/>
          <w:sz w:val="24"/>
          <w:szCs w:val="24"/>
        </w:rPr>
        <w:drawing>
          <wp:inline distT="0" distB="0" distL="0" distR="0" wp14:anchorId="3C76D4FC" wp14:editId="6AFA1AE2">
            <wp:extent cx="5943600" cy="3343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322F672D" w14:textId="77777777" w:rsidR="008F5403" w:rsidRPr="009D4B8F" w:rsidRDefault="008F5403" w:rsidP="008F5403">
      <w:pPr>
        <w:spacing w:line="360" w:lineRule="auto"/>
        <w:jc w:val="both"/>
        <w:rPr>
          <w:rFonts w:eastAsia="Times New Roman"/>
          <w:sz w:val="24"/>
          <w:szCs w:val="24"/>
        </w:rPr>
      </w:pPr>
      <w:r w:rsidRPr="009D4B8F">
        <w:rPr>
          <w:rFonts w:eastAsia="Times New Roman"/>
          <w:sz w:val="24"/>
          <w:szCs w:val="24"/>
        </w:rPr>
        <w:t xml:space="preserve">The monetary incentives can be provided to the workers of the organisation who can meet the highest quota every month or show high performance among the workforce, achievements, or hard work. Monetary incentives can also be provided as a reward program to encourage the workforce to meet their goals and objectives. </w:t>
      </w:r>
    </w:p>
    <w:p w14:paraId="5F95EE0E"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Increase in Pay or a Rise: </w:t>
      </w:r>
      <w:r w:rsidRPr="009D4B8F">
        <w:rPr>
          <w:rFonts w:eastAsia="Times New Roman"/>
          <w:sz w:val="24"/>
          <w:szCs w:val="24"/>
        </w:rPr>
        <w:t xml:space="preserve"> Incentive pay is any added pay awarded to the employee or a team based on their performance. To motivate the employees and to enhance their capability, Starbucks can offer a pay raise to their employees along with mental and physical support which is extremely important for the entire workforce to bring the best in their performance and task. One of the biggest benefits of wage increases is that they improve and enhance loyalty. Loyal and motivated employees build better work, stay focused and engaged and recommend other capable workers when vacancies arise (</w:t>
      </w:r>
      <w:proofErr w:type="spellStart"/>
      <w:r w:rsidRPr="009D4B8F">
        <w:rPr>
          <w:rFonts w:eastAsia="Times New Roman"/>
          <w:color w:val="222222"/>
          <w:sz w:val="24"/>
          <w:szCs w:val="24"/>
          <w:highlight w:val="white"/>
        </w:rPr>
        <w:t>Piñeiro</w:t>
      </w:r>
      <w:proofErr w:type="spellEnd"/>
      <w:r w:rsidRPr="009D4B8F">
        <w:rPr>
          <w:rFonts w:eastAsia="Times New Roman"/>
          <w:i/>
          <w:color w:val="222222"/>
          <w:sz w:val="24"/>
          <w:szCs w:val="24"/>
          <w:highlight w:val="white"/>
        </w:rPr>
        <w:t xml:space="preserve"> et al., </w:t>
      </w:r>
      <w:r w:rsidRPr="009D4B8F">
        <w:rPr>
          <w:rFonts w:eastAsia="Times New Roman"/>
          <w:color w:val="222222"/>
          <w:sz w:val="24"/>
          <w:szCs w:val="24"/>
          <w:highlight w:val="white"/>
        </w:rPr>
        <w:t>2020)</w:t>
      </w:r>
      <w:r w:rsidRPr="009D4B8F">
        <w:rPr>
          <w:rFonts w:eastAsia="Times New Roman"/>
          <w:sz w:val="24"/>
          <w:szCs w:val="24"/>
        </w:rPr>
        <w:t xml:space="preserve">. Increased employees pay can help Starbucks to improve its brand image and it also helps the organisation recruit and retain talent.  </w:t>
      </w:r>
    </w:p>
    <w:p w14:paraId="15DA7E95"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Piece-Rate Pay: </w:t>
      </w:r>
      <w:r w:rsidRPr="009D4B8F">
        <w:rPr>
          <w:rFonts w:eastAsia="Times New Roman"/>
          <w:sz w:val="24"/>
          <w:szCs w:val="24"/>
        </w:rPr>
        <w:t xml:space="preserve">In a piece-rate system, workers of the organisation are paid per item of work they have completed rather than salary or hourly rate. Paying the workers, a fixed </w:t>
      </w:r>
      <w:r w:rsidRPr="009D4B8F">
        <w:rPr>
          <w:rFonts w:eastAsia="Times New Roman"/>
          <w:sz w:val="24"/>
          <w:szCs w:val="24"/>
        </w:rPr>
        <w:lastRenderedPageBreak/>
        <w:t xml:space="preserve">pay per piece or products and services produced can attract or motivate workers to be more effective and efficient with their time and the task they are working on. By implementing such practices in the workforce, Starbucks can enhance and improve efficiency and increase the organisation's production rates. The piece-rate system encourages employees to meet their targets, permitting employees to have more control over their income and privilege to achieve their aims and goals. </w:t>
      </w:r>
    </w:p>
    <w:p w14:paraId="7A36D864" w14:textId="77777777" w:rsidR="008F5403" w:rsidRPr="009D4B8F" w:rsidRDefault="008F5403" w:rsidP="008F5403">
      <w:pPr>
        <w:spacing w:line="360" w:lineRule="auto"/>
        <w:jc w:val="both"/>
        <w:rPr>
          <w:rFonts w:eastAsia="Times New Roman"/>
          <w:b/>
          <w:sz w:val="24"/>
          <w:szCs w:val="24"/>
        </w:rPr>
      </w:pPr>
    </w:p>
    <w:p w14:paraId="2518725C" w14:textId="78354C49" w:rsidR="008F5403" w:rsidRPr="009D4B8F" w:rsidRDefault="008F5403" w:rsidP="008F5403">
      <w:pPr>
        <w:spacing w:line="360" w:lineRule="auto"/>
        <w:jc w:val="both"/>
        <w:rPr>
          <w:rFonts w:eastAsia="Times New Roman"/>
          <w:b/>
          <w:sz w:val="24"/>
          <w:szCs w:val="24"/>
        </w:rPr>
      </w:pPr>
      <w:r w:rsidRPr="009D4B8F">
        <w:rPr>
          <w:rFonts w:eastAsia="Times New Roman"/>
          <w:b/>
          <w:sz w:val="24"/>
          <w:szCs w:val="24"/>
        </w:rPr>
        <w:t>Non</w:t>
      </w:r>
      <w:r w:rsidR="00E3165D">
        <w:rPr>
          <w:rFonts w:eastAsia="Times New Roman"/>
          <w:b/>
          <w:sz w:val="24"/>
          <w:szCs w:val="24"/>
        </w:rPr>
        <w:t>-</w:t>
      </w:r>
      <w:r w:rsidRPr="009D4B8F">
        <w:rPr>
          <w:rFonts w:eastAsia="Times New Roman"/>
          <w:b/>
          <w:sz w:val="24"/>
          <w:szCs w:val="24"/>
        </w:rPr>
        <w:t xml:space="preserve">monetary Incentives </w:t>
      </w:r>
    </w:p>
    <w:p w14:paraId="35E7FAFB" w14:textId="2E4BCA69" w:rsidR="008F5403" w:rsidRPr="009D4B8F" w:rsidRDefault="00856E67" w:rsidP="008F5403">
      <w:pPr>
        <w:spacing w:line="360" w:lineRule="auto"/>
        <w:jc w:val="both"/>
        <w:rPr>
          <w:rFonts w:eastAsia="Times New Roman"/>
          <w:b/>
          <w:sz w:val="24"/>
          <w:szCs w:val="24"/>
        </w:rPr>
      </w:pPr>
      <w:r w:rsidRPr="00856E67">
        <w:rPr>
          <w:rFonts w:eastAsia="Times New Roman"/>
          <w:b/>
          <w:noProof/>
          <w:sz w:val="24"/>
          <w:szCs w:val="24"/>
        </w:rPr>
        <w:drawing>
          <wp:inline distT="0" distB="0" distL="0" distR="0" wp14:anchorId="2CA0EC99" wp14:editId="01854759">
            <wp:extent cx="5943600" cy="33432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1F943492" w14:textId="77777777" w:rsidR="008F5403" w:rsidRPr="009D4B8F" w:rsidRDefault="008F5403" w:rsidP="008F5403">
      <w:pPr>
        <w:spacing w:line="360" w:lineRule="auto"/>
        <w:jc w:val="both"/>
        <w:rPr>
          <w:rFonts w:eastAsia="Times New Roman"/>
          <w:sz w:val="24"/>
          <w:szCs w:val="24"/>
        </w:rPr>
      </w:pPr>
      <w:r w:rsidRPr="009D4B8F">
        <w:rPr>
          <w:rFonts w:eastAsia="Times New Roman"/>
          <w:sz w:val="24"/>
          <w:szCs w:val="24"/>
        </w:rPr>
        <w:t xml:space="preserve">Non-Monetary rewards have multiple advantages over other forms of rewards or incentives. They are the most cost-efficient since the recognition itself is the main aim and focus and the value from the workers' point of view is raised from the act of identification and acknowledgment. </w:t>
      </w:r>
    </w:p>
    <w:p w14:paraId="13B18029"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Give workers time to work on their projects: </w:t>
      </w:r>
      <w:r w:rsidRPr="009D4B8F">
        <w:rPr>
          <w:rFonts w:eastAsia="Times New Roman"/>
          <w:sz w:val="24"/>
          <w:szCs w:val="24"/>
        </w:rPr>
        <w:t>Offering an employee quality time to work on their task or a project helps the employees to be motivated and encouraged. The concept is very simple: people are encouraged and motivated by the things they are passionate about and they highly appreciate the effort of their organisation they are putting to make the life of their workers fun and manageable (</w:t>
      </w:r>
      <w:proofErr w:type="spellStart"/>
      <w:r w:rsidRPr="009D4B8F">
        <w:rPr>
          <w:rFonts w:eastAsia="Times New Roman"/>
          <w:color w:val="222222"/>
          <w:sz w:val="24"/>
          <w:szCs w:val="24"/>
          <w:highlight w:val="white"/>
        </w:rPr>
        <w:t>Fainman</w:t>
      </w:r>
      <w:proofErr w:type="spellEnd"/>
      <w:r w:rsidRPr="009D4B8F">
        <w:rPr>
          <w:rFonts w:eastAsia="Times New Roman"/>
          <w:color w:val="222222"/>
          <w:sz w:val="24"/>
          <w:szCs w:val="24"/>
          <w:highlight w:val="white"/>
        </w:rPr>
        <w:t xml:space="preserve"> and </w:t>
      </w:r>
      <w:proofErr w:type="spellStart"/>
      <w:r w:rsidRPr="009D4B8F">
        <w:rPr>
          <w:rFonts w:eastAsia="Times New Roman"/>
          <w:color w:val="222222"/>
          <w:sz w:val="24"/>
          <w:szCs w:val="24"/>
          <w:highlight w:val="white"/>
        </w:rPr>
        <w:t>Kucukyazici</w:t>
      </w:r>
      <w:proofErr w:type="spellEnd"/>
      <w:r w:rsidRPr="009D4B8F">
        <w:rPr>
          <w:rFonts w:eastAsia="Times New Roman"/>
          <w:color w:val="222222"/>
          <w:sz w:val="24"/>
          <w:szCs w:val="24"/>
          <w:highlight w:val="white"/>
        </w:rPr>
        <w:t>, 2020)</w:t>
      </w:r>
      <w:r w:rsidRPr="009D4B8F">
        <w:rPr>
          <w:rFonts w:eastAsia="Times New Roman"/>
          <w:sz w:val="24"/>
          <w:szCs w:val="24"/>
        </w:rPr>
        <w:t xml:space="preserve">. With the non-monetary reward, Starbucks can create a lot of positive impact </w:t>
      </w:r>
      <w:r w:rsidRPr="009D4B8F">
        <w:rPr>
          <w:rFonts w:eastAsia="Times New Roman"/>
          <w:sz w:val="24"/>
          <w:szCs w:val="24"/>
        </w:rPr>
        <w:lastRenderedPageBreak/>
        <w:t xml:space="preserve">without investing a large sum of money or breaking the bank. Apart from that, implementing such practices in the workplace will help Starbucks to make its employees feel valued and respected. </w:t>
      </w:r>
    </w:p>
    <w:p w14:paraId="1B8E6470" w14:textId="77777777" w:rsidR="008F5403" w:rsidRPr="009D4B8F" w:rsidRDefault="008F5403" w:rsidP="008F5403">
      <w:pPr>
        <w:spacing w:line="360" w:lineRule="auto"/>
        <w:jc w:val="both"/>
        <w:rPr>
          <w:rFonts w:eastAsia="Times New Roman"/>
          <w:sz w:val="24"/>
          <w:szCs w:val="24"/>
        </w:rPr>
      </w:pPr>
      <w:r w:rsidRPr="009D4B8F">
        <w:rPr>
          <w:rFonts w:eastAsia="Times New Roman"/>
          <w:b/>
          <w:i/>
          <w:sz w:val="24"/>
          <w:szCs w:val="24"/>
        </w:rPr>
        <w:t xml:space="preserve">Extra opportunity for personal and professional development: </w:t>
      </w:r>
      <w:r w:rsidRPr="009D4B8F">
        <w:rPr>
          <w:rFonts w:eastAsia="Times New Roman"/>
          <w:sz w:val="24"/>
          <w:szCs w:val="24"/>
        </w:rPr>
        <w:t>Based on the statement provided by "Randstad's Employer Brand Research" approximately 50% of candidates find career development opportunities a vital factor when they pick an employer (</w:t>
      </w:r>
      <w:proofErr w:type="spellStart"/>
      <w:r w:rsidRPr="009D4B8F">
        <w:rPr>
          <w:rFonts w:eastAsia="Times New Roman"/>
          <w:color w:val="222222"/>
          <w:sz w:val="24"/>
          <w:szCs w:val="24"/>
          <w:highlight w:val="white"/>
        </w:rPr>
        <w:t>Ghielen</w:t>
      </w:r>
      <w:proofErr w:type="spellEnd"/>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et al.</w:t>
      </w:r>
      <w:r w:rsidRPr="009D4B8F">
        <w:rPr>
          <w:rFonts w:eastAsia="Times New Roman"/>
          <w:color w:val="222222"/>
          <w:sz w:val="24"/>
          <w:szCs w:val="24"/>
          <w:highlight w:val="white"/>
        </w:rPr>
        <w:t>, 2021)</w:t>
      </w:r>
      <w:r w:rsidRPr="009D4B8F">
        <w:rPr>
          <w:rFonts w:eastAsia="Times New Roman"/>
          <w:sz w:val="24"/>
          <w:szCs w:val="24"/>
        </w:rPr>
        <w:t xml:space="preserve">. One of the best ways that Starbucks can offer their employees those opportunities is by helping and motivating them to reskill or upskill. Apart from that, Starbucks can also set up a peer coaching program or peer mentoring which can be one of the most advantageous ways for the entire workforce to learn from one another, enhance their expertise and capabilities, and build healthy relationships. </w:t>
      </w:r>
      <w:r w:rsidRPr="009D4B8F">
        <w:rPr>
          <w:sz w:val="24"/>
          <w:szCs w:val="24"/>
        </w:rPr>
        <w:br w:type="page"/>
      </w:r>
    </w:p>
    <w:p w14:paraId="40AFD15D" w14:textId="11F6EBB8" w:rsidR="008F5403" w:rsidRPr="009D4B8F" w:rsidRDefault="008F5403" w:rsidP="008F5403">
      <w:pPr>
        <w:pStyle w:val="Heading1"/>
        <w:spacing w:before="0" w:after="0" w:line="360" w:lineRule="auto"/>
        <w:jc w:val="both"/>
        <w:rPr>
          <w:rFonts w:eastAsia="Times New Roman"/>
          <w:b/>
          <w:sz w:val="24"/>
          <w:szCs w:val="24"/>
        </w:rPr>
      </w:pPr>
      <w:bookmarkStart w:id="8" w:name="_Toc130577560"/>
      <w:r w:rsidRPr="009D4B8F">
        <w:rPr>
          <w:rFonts w:eastAsia="Times New Roman"/>
          <w:b/>
          <w:sz w:val="24"/>
          <w:szCs w:val="24"/>
        </w:rPr>
        <w:lastRenderedPageBreak/>
        <w:t>Conclusion</w:t>
      </w:r>
      <w:bookmarkEnd w:id="8"/>
      <w:r w:rsidRPr="009D4B8F">
        <w:rPr>
          <w:rFonts w:eastAsia="Times New Roman"/>
          <w:b/>
          <w:sz w:val="24"/>
          <w:szCs w:val="24"/>
        </w:rPr>
        <w:t xml:space="preserve"> </w:t>
      </w:r>
    </w:p>
    <w:p w14:paraId="33FFAADD" w14:textId="77777777" w:rsidR="008F5403" w:rsidRPr="009D4B8F" w:rsidRDefault="008F5403" w:rsidP="008F5403">
      <w:pPr>
        <w:rPr>
          <w:sz w:val="24"/>
          <w:szCs w:val="24"/>
        </w:rPr>
      </w:pPr>
      <w:r w:rsidRPr="009D4B8F">
        <w:rPr>
          <w:noProof/>
          <w:sz w:val="24"/>
          <w:szCs w:val="24"/>
          <w:lang w:eastAsia="en-US"/>
        </w:rPr>
        <w:drawing>
          <wp:inline distT="114300" distB="114300" distL="114300" distR="114300" wp14:anchorId="425FA3C4" wp14:editId="6A1A7E34">
            <wp:extent cx="5943600" cy="3302000"/>
            <wp:effectExtent l="0" t="0" r="0" b="0"/>
            <wp:docPr id="2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302000"/>
                    </a:xfrm>
                    <a:prstGeom prst="rect">
                      <a:avLst/>
                    </a:prstGeom>
                    <a:ln/>
                  </pic:spPr>
                </pic:pic>
              </a:graphicData>
            </a:graphic>
          </wp:inline>
        </w:drawing>
      </w:r>
    </w:p>
    <w:p w14:paraId="724A9E19" w14:textId="77777777" w:rsidR="008F5403" w:rsidRPr="009D4B8F" w:rsidRDefault="008F5403" w:rsidP="008F5403">
      <w:pPr>
        <w:spacing w:line="360" w:lineRule="auto"/>
        <w:jc w:val="both"/>
        <w:rPr>
          <w:rFonts w:eastAsia="Times New Roman"/>
          <w:sz w:val="24"/>
          <w:szCs w:val="24"/>
        </w:rPr>
      </w:pPr>
    </w:p>
    <w:p w14:paraId="33A01FAA" w14:textId="77777777" w:rsidR="008F5403" w:rsidRPr="009D4B8F" w:rsidRDefault="008F5403" w:rsidP="008F5403">
      <w:pPr>
        <w:spacing w:line="360" w:lineRule="auto"/>
        <w:jc w:val="both"/>
        <w:rPr>
          <w:rFonts w:eastAsia="Times New Roman"/>
          <w:sz w:val="24"/>
          <w:szCs w:val="24"/>
        </w:rPr>
      </w:pPr>
      <w:r w:rsidRPr="009D4B8F">
        <w:rPr>
          <w:rFonts w:eastAsia="Times New Roman"/>
          <w:sz w:val="24"/>
          <w:szCs w:val="24"/>
        </w:rPr>
        <w:t xml:space="preserve">This report has discussed the detailed information related to Managing people along with the advantages which they offer to the organisation and overall workforce. The report also shows how and in what ways the organisation can encourage their employees to boost their performance and the overall performance of the organisation. The following report has also offered clear and relevant information related to Talent acquisition strategies and various incentives methods and approaches that the organisation can implement to enhance the effectiveness and efficiency of the employees. </w:t>
      </w:r>
      <w:r w:rsidRPr="009D4B8F">
        <w:rPr>
          <w:sz w:val="24"/>
          <w:szCs w:val="24"/>
        </w:rPr>
        <w:br w:type="page"/>
      </w:r>
    </w:p>
    <w:p w14:paraId="20EB9CE5" w14:textId="77777777" w:rsidR="008F5403" w:rsidRPr="009D4B8F" w:rsidRDefault="008F5403" w:rsidP="008F5403">
      <w:pPr>
        <w:pStyle w:val="Heading1"/>
        <w:spacing w:before="0" w:after="0" w:line="360" w:lineRule="auto"/>
        <w:jc w:val="both"/>
        <w:rPr>
          <w:rFonts w:eastAsia="Times New Roman"/>
          <w:b/>
          <w:sz w:val="24"/>
          <w:szCs w:val="24"/>
        </w:rPr>
      </w:pPr>
      <w:bookmarkStart w:id="9" w:name="_Toc130577561"/>
      <w:r w:rsidRPr="009D4B8F">
        <w:rPr>
          <w:rFonts w:eastAsia="Times New Roman"/>
          <w:b/>
          <w:sz w:val="24"/>
          <w:szCs w:val="24"/>
        </w:rPr>
        <w:lastRenderedPageBreak/>
        <w:t>Reference</w:t>
      </w:r>
      <w:bookmarkEnd w:id="9"/>
      <w:r w:rsidRPr="009D4B8F">
        <w:rPr>
          <w:rFonts w:eastAsia="Times New Roman"/>
          <w:b/>
          <w:sz w:val="24"/>
          <w:szCs w:val="24"/>
        </w:rPr>
        <w:t xml:space="preserve"> </w:t>
      </w:r>
    </w:p>
    <w:p w14:paraId="09EEB265" w14:textId="77777777" w:rsidR="008F5403" w:rsidRPr="009D4B8F" w:rsidRDefault="008F5403" w:rsidP="008F5403">
      <w:pPr>
        <w:spacing w:after="240" w:line="360" w:lineRule="auto"/>
        <w:jc w:val="both"/>
        <w:rPr>
          <w:rFonts w:eastAsia="Times New Roman"/>
          <w:color w:val="222222"/>
          <w:sz w:val="24"/>
          <w:szCs w:val="24"/>
          <w:highlight w:val="white"/>
        </w:rPr>
      </w:pPr>
      <w:proofErr w:type="spellStart"/>
      <w:r w:rsidRPr="009D4B8F">
        <w:rPr>
          <w:rFonts w:eastAsia="Times New Roman"/>
          <w:color w:val="222222"/>
          <w:sz w:val="24"/>
          <w:szCs w:val="24"/>
          <w:highlight w:val="white"/>
        </w:rPr>
        <w:t>Bongard</w:t>
      </w:r>
      <w:proofErr w:type="spellEnd"/>
      <w:r w:rsidRPr="009D4B8F">
        <w:rPr>
          <w:rFonts w:eastAsia="Times New Roman"/>
          <w:color w:val="222222"/>
          <w:sz w:val="24"/>
          <w:szCs w:val="24"/>
          <w:highlight w:val="white"/>
        </w:rPr>
        <w:t xml:space="preserve">, A., 2019. Automating talent acquisition: Smart recruitment, predictive hiring algorithms, and the data-driven nature of artificial intelligence. </w:t>
      </w:r>
      <w:r w:rsidRPr="009D4B8F">
        <w:rPr>
          <w:rFonts w:eastAsia="Times New Roman"/>
          <w:i/>
          <w:color w:val="222222"/>
          <w:sz w:val="24"/>
          <w:szCs w:val="24"/>
          <w:highlight w:val="white"/>
        </w:rPr>
        <w:t>Psychosociological Issues in Human Resource Management</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7</w:t>
      </w:r>
      <w:r w:rsidRPr="009D4B8F">
        <w:rPr>
          <w:rFonts w:eastAsia="Times New Roman"/>
          <w:color w:val="222222"/>
          <w:sz w:val="24"/>
          <w:szCs w:val="24"/>
          <w:highlight w:val="white"/>
        </w:rPr>
        <w:t>(1), pp.36-41.</w:t>
      </w:r>
    </w:p>
    <w:p w14:paraId="253E7ED2"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t xml:space="preserve">De Smet, A., Dowling, B., </w:t>
      </w:r>
      <w:proofErr w:type="spellStart"/>
      <w:r w:rsidRPr="009D4B8F">
        <w:rPr>
          <w:rFonts w:eastAsia="Times New Roman"/>
          <w:color w:val="222222"/>
          <w:sz w:val="24"/>
          <w:szCs w:val="24"/>
          <w:highlight w:val="white"/>
        </w:rPr>
        <w:t>Mugayar-Baldocchi</w:t>
      </w:r>
      <w:proofErr w:type="spellEnd"/>
      <w:r w:rsidRPr="009D4B8F">
        <w:rPr>
          <w:rFonts w:eastAsia="Times New Roman"/>
          <w:color w:val="222222"/>
          <w:sz w:val="24"/>
          <w:szCs w:val="24"/>
          <w:highlight w:val="white"/>
        </w:rPr>
        <w:t xml:space="preserve">, M. and </w:t>
      </w:r>
      <w:proofErr w:type="spellStart"/>
      <w:r w:rsidRPr="009D4B8F">
        <w:rPr>
          <w:rFonts w:eastAsia="Times New Roman"/>
          <w:color w:val="222222"/>
          <w:sz w:val="24"/>
          <w:szCs w:val="24"/>
          <w:highlight w:val="white"/>
        </w:rPr>
        <w:t>Schaninger</w:t>
      </w:r>
      <w:proofErr w:type="spellEnd"/>
      <w:r w:rsidRPr="009D4B8F">
        <w:rPr>
          <w:rFonts w:eastAsia="Times New Roman"/>
          <w:color w:val="222222"/>
          <w:sz w:val="24"/>
          <w:szCs w:val="24"/>
          <w:highlight w:val="white"/>
        </w:rPr>
        <w:t xml:space="preserve">, B., 2022. Gone for now, or gone for good? how to play the new talent game and win back workers. </w:t>
      </w:r>
      <w:r w:rsidRPr="009D4B8F">
        <w:rPr>
          <w:rFonts w:eastAsia="Times New Roman"/>
          <w:i/>
          <w:color w:val="222222"/>
          <w:sz w:val="24"/>
          <w:szCs w:val="24"/>
          <w:highlight w:val="white"/>
        </w:rPr>
        <w:t>The McKinsey Quarterly</w:t>
      </w:r>
      <w:r w:rsidRPr="009D4B8F">
        <w:rPr>
          <w:rFonts w:eastAsia="Times New Roman"/>
          <w:color w:val="222222"/>
          <w:sz w:val="24"/>
          <w:szCs w:val="24"/>
          <w:highlight w:val="white"/>
        </w:rPr>
        <w:t>.</w:t>
      </w:r>
    </w:p>
    <w:p w14:paraId="6994059E"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t xml:space="preserve">Dunlop, A., </w:t>
      </w:r>
      <w:proofErr w:type="spellStart"/>
      <w:r w:rsidRPr="009D4B8F">
        <w:rPr>
          <w:rFonts w:eastAsia="Times New Roman"/>
          <w:color w:val="222222"/>
          <w:sz w:val="24"/>
          <w:szCs w:val="24"/>
          <w:highlight w:val="white"/>
        </w:rPr>
        <w:t>Lokuge</w:t>
      </w:r>
      <w:proofErr w:type="spellEnd"/>
      <w:r w:rsidRPr="009D4B8F">
        <w:rPr>
          <w:rFonts w:eastAsia="Times New Roman"/>
          <w:color w:val="222222"/>
          <w:sz w:val="24"/>
          <w:szCs w:val="24"/>
          <w:highlight w:val="white"/>
        </w:rPr>
        <w:t xml:space="preserve">, B., Masters, D., </w:t>
      </w:r>
      <w:proofErr w:type="spellStart"/>
      <w:r w:rsidRPr="009D4B8F">
        <w:rPr>
          <w:rFonts w:eastAsia="Times New Roman"/>
          <w:color w:val="222222"/>
          <w:sz w:val="24"/>
          <w:szCs w:val="24"/>
          <w:highlight w:val="white"/>
        </w:rPr>
        <w:t>Sequeira</w:t>
      </w:r>
      <w:proofErr w:type="spellEnd"/>
      <w:r w:rsidRPr="009D4B8F">
        <w:rPr>
          <w:rFonts w:eastAsia="Times New Roman"/>
          <w:color w:val="222222"/>
          <w:sz w:val="24"/>
          <w:szCs w:val="24"/>
          <w:highlight w:val="white"/>
        </w:rPr>
        <w:t xml:space="preserve">, M., Saul, P., Dunlop, G., Ryan, J., Hall, M., </w:t>
      </w:r>
      <w:proofErr w:type="spellStart"/>
      <w:r w:rsidRPr="009D4B8F">
        <w:rPr>
          <w:rFonts w:eastAsia="Times New Roman"/>
          <w:color w:val="222222"/>
          <w:sz w:val="24"/>
          <w:szCs w:val="24"/>
          <w:highlight w:val="white"/>
        </w:rPr>
        <w:t>Ezard</w:t>
      </w:r>
      <w:proofErr w:type="spellEnd"/>
      <w:r w:rsidRPr="009D4B8F">
        <w:rPr>
          <w:rFonts w:eastAsia="Times New Roman"/>
          <w:color w:val="222222"/>
          <w:sz w:val="24"/>
          <w:szCs w:val="24"/>
          <w:highlight w:val="white"/>
        </w:rPr>
        <w:t xml:space="preserve">, N., Haber, P. and </w:t>
      </w:r>
      <w:proofErr w:type="spellStart"/>
      <w:r w:rsidRPr="009D4B8F">
        <w:rPr>
          <w:rFonts w:eastAsia="Times New Roman"/>
          <w:color w:val="222222"/>
          <w:sz w:val="24"/>
          <w:szCs w:val="24"/>
          <w:highlight w:val="white"/>
        </w:rPr>
        <w:t>Lintzeris</w:t>
      </w:r>
      <w:proofErr w:type="spellEnd"/>
      <w:r w:rsidRPr="009D4B8F">
        <w:rPr>
          <w:rFonts w:eastAsia="Times New Roman"/>
          <w:color w:val="222222"/>
          <w:sz w:val="24"/>
          <w:szCs w:val="24"/>
          <w:highlight w:val="white"/>
        </w:rPr>
        <w:t xml:space="preserve">, N., 2020. Challenges in maintaining treatment services for people who use drugs during the COVID-19 pandemic. </w:t>
      </w:r>
      <w:r w:rsidRPr="009D4B8F">
        <w:rPr>
          <w:rFonts w:eastAsia="Times New Roman"/>
          <w:i/>
          <w:color w:val="222222"/>
          <w:sz w:val="24"/>
          <w:szCs w:val="24"/>
          <w:highlight w:val="white"/>
        </w:rPr>
        <w:t>Harm reduction journal</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17</w:t>
      </w:r>
      <w:r w:rsidRPr="009D4B8F">
        <w:rPr>
          <w:rFonts w:eastAsia="Times New Roman"/>
          <w:color w:val="222222"/>
          <w:sz w:val="24"/>
          <w:szCs w:val="24"/>
          <w:highlight w:val="white"/>
        </w:rPr>
        <w:t>(1), pp.1-7.</w:t>
      </w:r>
    </w:p>
    <w:p w14:paraId="6EA87B9A" w14:textId="77777777" w:rsidR="008F5403" w:rsidRPr="009D4B8F" w:rsidRDefault="008F5403" w:rsidP="008F5403">
      <w:pPr>
        <w:pBdr>
          <w:top w:val="nil"/>
          <w:left w:val="nil"/>
          <w:bottom w:val="nil"/>
          <w:right w:val="nil"/>
          <w:between w:val="nil"/>
        </w:pBdr>
        <w:spacing w:line="240" w:lineRule="auto"/>
        <w:rPr>
          <w:rFonts w:eastAsia="Times New Roman"/>
          <w:color w:val="000000"/>
          <w:sz w:val="24"/>
          <w:szCs w:val="24"/>
        </w:rPr>
      </w:pPr>
      <w:bookmarkStart w:id="10" w:name="_heading=h.1t3h5sf" w:colFirst="0" w:colLast="0"/>
      <w:bookmarkEnd w:id="10"/>
      <w:r w:rsidRPr="009D4B8F">
        <w:rPr>
          <w:rFonts w:eastAsia="Times New Roman"/>
          <w:color w:val="000000"/>
          <w:sz w:val="24"/>
          <w:szCs w:val="24"/>
        </w:rPr>
        <w:t xml:space="preserve">Ette, S. (2022) </w:t>
      </w:r>
      <w:r w:rsidRPr="009D4B8F">
        <w:rPr>
          <w:rFonts w:eastAsia="Times New Roman"/>
          <w:i/>
          <w:color w:val="000000"/>
          <w:sz w:val="24"/>
          <w:szCs w:val="24"/>
        </w:rPr>
        <w:t>Third of businesses to reduce opening hours over Christmas due to staff ...</w:t>
      </w:r>
      <w:r w:rsidRPr="009D4B8F">
        <w:rPr>
          <w:rFonts w:eastAsia="Times New Roman"/>
          <w:color w:val="000000"/>
          <w:sz w:val="24"/>
          <w:szCs w:val="24"/>
        </w:rPr>
        <w:t xml:space="preserve"> Available at: </w:t>
      </w:r>
      <w:hyperlink r:id="rId15">
        <w:r w:rsidRPr="009D4B8F">
          <w:rPr>
            <w:rFonts w:eastAsia="Times New Roman"/>
            <w:color w:val="0000FF"/>
            <w:sz w:val="24"/>
            <w:szCs w:val="24"/>
            <w:u w:val="single"/>
          </w:rPr>
          <w:t>https://www.ukhospitality.org.uk/news/625938/THIRD-OF-BUSINESSES-TO</w:t>
        </w:r>
      </w:hyperlink>
      <w:r w:rsidRPr="009D4B8F">
        <w:rPr>
          <w:rFonts w:eastAsia="Times New Roman"/>
          <w:color w:val="000000"/>
          <w:sz w:val="24"/>
          <w:szCs w:val="24"/>
        </w:rPr>
        <w:t xml:space="preserve"> REDUCE-OPENING-HOURS-OVER-CHRISTMAS-DUE-TO-STAFF-SHORTAGES.htm. </w:t>
      </w:r>
    </w:p>
    <w:p w14:paraId="509AB0CA" w14:textId="77777777" w:rsidR="008F5403" w:rsidRPr="009D4B8F" w:rsidRDefault="008F5403" w:rsidP="008F5403">
      <w:pPr>
        <w:pBdr>
          <w:top w:val="nil"/>
          <w:left w:val="nil"/>
          <w:bottom w:val="nil"/>
          <w:right w:val="nil"/>
          <w:between w:val="nil"/>
        </w:pBdr>
        <w:spacing w:line="240" w:lineRule="auto"/>
        <w:rPr>
          <w:rFonts w:eastAsia="Times New Roman"/>
          <w:sz w:val="24"/>
          <w:szCs w:val="24"/>
        </w:rPr>
      </w:pPr>
      <w:bookmarkStart w:id="11" w:name="_heading=h.h8dtehr5id9" w:colFirst="0" w:colLast="0"/>
      <w:bookmarkEnd w:id="11"/>
    </w:p>
    <w:p w14:paraId="597D1A4F" w14:textId="77777777" w:rsidR="008F5403" w:rsidRPr="009D4B8F" w:rsidRDefault="008F5403" w:rsidP="008F5403">
      <w:pPr>
        <w:spacing w:after="240" w:line="360" w:lineRule="auto"/>
        <w:jc w:val="both"/>
        <w:rPr>
          <w:rFonts w:eastAsia="Times New Roman"/>
          <w:color w:val="222222"/>
          <w:sz w:val="24"/>
          <w:szCs w:val="24"/>
          <w:highlight w:val="white"/>
        </w:rPr>
      </w:pPr>
      <w:proofErr w:type="spellStart"/>
      <w:r w:rsidRPr="009D4B8F">
        <w:rPr>
          <w:rFonts w:eastAsia="Times New Roman"/>
          <w:color w:val="222222"/>
          <w:sz w:val="24"/>
          <w:szCs w:val="24"/>
          <w:highlight w:val="white"/>
        </w:rPr>
        <w:t>Fainman</w:t>
      </w:r>
      <w:proofErr w:type="spellEnd"/>
      <w:r w:rsidRPr="009D4B8F">
        <w:rPr>
          <w:rFonts w:eastAsia="Times New Roman"/>
          <w:color w:val="222222"/>
          <w:sz w:val="24"/>
          <w:szCs w:val="24"/>
          <w:highlight w:val="white"/>
        </w:rPr>
        <w:t xml:space="preserve">, E.Z. and </w:t>
      </w:r>
      <w:proofErr w:type="spellStart"/>
      <w:r w:rsidRPr="009D4B8F">
        <w:rPr>
          <w:rFonts w:eastAsia="Times New Roman"/>
          <w:color w:val="222222"/>
          <w:sz w:val="24"/>
          <w:szCs w:val="24"/>
          <w:highlight w:val="white"/>
        </w:rPr>
        <w:t>Kucukyazici</w:t>
      </w:r>
      <w:proofErr w:type="spellEnd"/>
      <w:r w:rsidRPr="009D4B8F">
        <w:rPr>
          <w:rFonts w:eastAsia="Times New Roman"/>
          <w:color w:val="222222"/>
          <w:sz w:val="24"/>
          <w:szCs w:val="24"/>
          <w:highlight w:val="white"/>
        </w:rPr>
        <w:t xml:space="preserve">, B., 2020. Design of financial incentives and payment schemes in healthcare systems: A review. </w:t>
      </w:r>
      <w:r w:rsidRPr="009D4B8F">
        <w:rPr>
          <w:rFonts w:eastAsia="Times New Roman"/>
          <w:i/>
          <w:color w:val="222222"/>
          <w:sz w:val="24"/>
          <w:szCs w:val="24"/>
          <w:highlight w:val="white"/>
        </w:rPr>
        <w:t>Socio-Economic Planning Sciences</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72</w:t>
      </w:r>
      <w:r w:rsidRPr="009D4B8F">
        <w:rPr>
          <w:rFonts w:eastAsia="Times New Roman"/>
          <w:color w:val="222222"/>
          <w:sz w:val="24"/>
          <w:szCs w:val="24"/>
          <w:highlight w:val="white"/>
        </w:rPr>
        <w:t>, p.100901.</w:t>
      </w:r>
    </w:p>
    <w:p w14:paraId="2F673C3D"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t xml:space="preserve">Feinstein, M.J., </w:t>
      </w:r>
      <w:proofErr w:type="spellStart"/>
      <w:r w:rsidRPr="009D4B8F">
        <w:rPr>
          <w:rFonts w:eastAsia="Times New Roman"/>
          <w:color w:val="222222"/>
          <w:sz w:val="24"/>
          <w:szCs w:val="24"/>
          <w:highlight w:val="white"/>
        </w:rPr>
        <w:t>Hsue</w:t>
      </w:r>
      <w:proofErr w:type="spellEnd"/>
      <w:r w:rsidRPr="009D4B8F">
        <w:rPr>
          <w:rFonts w:eastAsia="Times New Roman"/>
          <w:color w:val="222222"/>
          <w:sz w:val="24"/>
          <w:szCs w:val="24"/>
          <w:highlight w:val="white"/>
        </w:rPr>
        <w:t xml:space="preserve">, P.Y., Benjamin, L.A., Bloomfield, G.S., Currier, J.S., Freiberg, M.S., Grinspoon, S.K., Levin, J., Longenecker, C.T., Post, W.S. and American Heart Association Prevention Science Committee of the Council on Epidemiology and Prevention and Council on Cardiovascular and Stroke Nursing; Council on Clinical Cardiology; and Stroke Council, 2019. Characteristics, prevention, and management of cardiovascular disease in people living with HIV: a scientific statement from the American Heart Association. </w:t>
      </w:r>
      <w:r w:rsidRPr="009D4B8F">
        <w:rPr>
          <w:rFonts w:eastAsia="Times New Roman"/>
          <w:i/>
          <w:color w:val="222222"/>
          <w:sz w:val="24"/>
          <w:szCs w:val="24"/>
          <w:highlight w:val="white"/>
        </w:rPr>
        <w:t>Circulation</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140</w:t>
      </w:r>
      <w:r w:rsidRPr="009D4B8F">
        <w:rPr>
          <w:rFonts w:eastAsia="Times New Roman"/>
          <w:color w:val="222222"/>
          <w:sz w:val="24"/>
          <w:szCs w:val="24"/>
          <w:highlight w:val="white"/>
        </w:rPr>
        <w:t xml:space="preserve">(2), </w:t>
      </w:r>
      <w:proofErr w:type="gramStart"/>
      <w:r w:rsidRPr="009D4B8F">
        <w:rPr>
          <w:rFonts w:eastAsia="Times New Roman"/>
          <w:color w:val="222222"/>
          <w:sz w:val="24"/>
          <w:szCs w:val="24"/>
          <w:highlight w:val="white"/>
        </w:rPr>
        <w:t>pp.e</w:t>
      </w:r>
      <w:proofErr w:type="gramEnd"/>
      <w:r w:rsidRPr="009D4B8F">
        <w:rPr>
          <w:rFonts w:eastAsia="Times New Roman"/>
          <w:color w:val="222222"/>
          <w:sz w:val="24"/>
          <w:szCs w:val="24"/>
          <w:highlight w:val="white"/>
        </w:rPr>
        <w:t>98-e124.</w:t>
      </w:r>
    </w:p>
    <w:p w14:paraId="267ECD73"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t xml:space="preserve">Hodson, N., Majid, M., </w:t>
      </w:r>
      <w:proofErr w:type="spellStart"/>
      <w:r w:rsidRPr="009D4B8F">
        <w:rPr>
          <w:rFonts w:eastAsia="Times New Roman"/>
          <w:color w:val="222222"/>
          <w:sz w:val="24"/>
          <w:szCs w:val="24"/>
          <w:highlight w:val="white"/>
        </w:rPr>
        <w:t>Vlaev</w:t>
      </w:r>
      <w:proofErr w:type="spellEnd"/>
      <w:r w:rsidRPr="009D4B8F">
        <w:rPr>
          <w:rFonts w:eastAsia="Times New Roman"/>
          <w:color w:val="222222"/>
          <w:sz w:val="24"/>
          <w:szCs w:val="24"/>
          <w:highlight w:val="white"/>
        </w:rPr>
        <w:t xml:space="preserve">, I. and Singh, S.P., 2022. Can incentives improve antipsychotic adherence in major mental illnesses? A mixed-methods systematic review. </w:t>
      </w:r>
      <w:r w:rsidRPr="009D4B8F">
        <w:rPr>
          <w:rFonts w:eastAsia="Times New Roman"/>
          <w:i/>
          <w:color w:val="222222"/>
          <w:sz w:val="24"/>
          <w:szCs w:val="24"/>
          <w:highlight w:val="white"/>
        </w:rPr>
        <w:t>BMJ open</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12</w:t>
      </w:r>
      <w:r w:rsidRPr="009D4B8F">
        <w:rPr>
          <w:rFonts w:eastAsia="Times New Roman"/>
          <w:color w:val="222222"/>
          <w:sz w:val="24"/>
          <w:szCs w:val="24"/>
          <w:highlight w:val="white"/>
        </w:rPr>
        <w:t>(6), p.e059526.</w:t>
      </w:r>
    </w:p>
    <w:p w14:paraId="699C6DB8"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lastRenderedPageBreak/>
        <w:t xml:space="preserve">Lyons, N., 2022. Talent acquisition and management, immersive work environments, and machine vision algorithms in the virtual economy of the metaverse. </w:t>
      </w:r>
      <w:r w:rsidRPr="009D4B8F">
        <w:rPr>
          <w:rFonts w:eastAsia="Times New Roman"/>
          <w:i/>
          <w:color w:val="222222"/>
          <w:sz w:val="24"/>
          <w:szCs w:val="24"/>
          <w:highlight w:val="white"/>
        </w:rPr>
        <w:t>Psychosociological Issues in Human Resource Management</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10</w:t>
      </w:r>
      <w:r w:rsidRPr="009D4B8F">
        <w:rPr>
          <w:rFonts w:eastAsia="Times New Roman"/>
          <w:color w:val="222222"/>
          <w:sz w:val="24"/>
          <w:szCs w:val="24"/>
          <w:highlight w:val="white"/>
        </w:rPr>
        <w:t>(1), pp.121-134.</w:t>
      </w:r>
    </w:p>
    <w:p w14:paraId="312A2DD8" w14:textId="77777777" w:rsidR="008F5403" w:rsidRPr="009D4B8F" w:rsidRDefault="008F5403" w:rsidP="008F5403">
      <w:pPr>
        <w:spacing w:after="240" w:line="360" w:lineRule="auto"/>
        <w:jc w:val="both"/>
        <w:rPr>
          <w:rFonts w:eastAsia="Times New Roman"/>
          <w:color w:val="222222"/>
          <w:sz w:val="24"/>
          <w:szCs w:val="24"/>
          <w:highlight w:val="white"/>
        </w:rPr>
      </w:pPr>
      <w:r w:rsidRPr="009D4B8F">
        <w:rPr>
          <w:rFonts w:eastAsia="Times New Roman"/>
          <w:color w:val="222222"/>
          <w:sz w:val="24"/>
          <w:szCs w:val="24"/>
          <w:highlight w:val="white"/>
        </w:rPr>
        <w:t xml:space="preserve">McDonagh, T.A., </w:t>
      </w:r>
      <w:proofErr w:type="spellStart"/>
      <w:r w:rsidRPr="009D4B8F">
        <w:rPr>
          <w:rFonts w:eastAsia="Times New Roman"/>
          <w:color w:val="222222"/>
          <w:sz w:val="24"/>
          <w:szCs w:val="24"/>
          <w:highlight w:val="white"/>
        </w:rPr>
        <w:t>Metra</w:t>
      </w:r>
      <w:proofErr w:type="spellEnd"/>
      <w:r w:rsidRPr="009D4B8F">
        <w:rPr>
          <w:rFonts w:eastAsia="Times New Roman"/>
          <w:color w:val="222222"/>
          <w:sz w:val="24"/>
          <w:szCs w:val="24"/>
          <w:highlight w:val="white"/>
        </w:rPr>
        <w:t xml:space="preserve">, M., Adamo, M., Gardner, R.S., Baumbach, A., </w:t>
      </w:r>
      <w:proofErr w:type="spellStart"/>
      <w:r w:rsidRPr="009D4B8F">
        <w:rPr>
          <w:rFonts w:eastAsia="Times New Roman"/>
          <w:color w:val="222222"/>
          <w:sz w:val="24"/>
          <w:szCs w:val="24"/>
          <w:highlight w:val="white"/>
        </w:rPr>
        <w:t>Böhm</w:t>
      </w:r>
      <w:proofErr w:type="spellEnd"/>
      <w:r w:rsidRPr="009D4B8F">
        <w:rPr>
          <w:rFonts w:eastAsia="Times New Roman"/>
          <w:color w:val="222222"/>
          <w:sz w:val="24"/>
          <w:szCs w:val="24"/>
          <w:highlight w:val="white"/>
        </w:rPr>
        <w:t xml:space="preserve">, M., </w:t>
      </w:r>
      <w:proofErr w:type="spellStart"/>
      <w:r w:rsidRPr="009D4B8F">
        <w:rPr>
          <w:rFonts w:eastAsia="Times New Roman"/>
          <w:color w:val="222222"/>
          <w:sz w:val="24"/>
          <w:szCs w:val="24"/>
          <w:highlight w:val="white"/>
        </w:rPr>
        <w:t>Burri</w:t>
      </w:r>
      <w:proofErr w:type="spellEnd"/>
      <w:r w:rsidRPr="009D4B8F">
        <w:rPr>
          <w:rFonts w:eastAsia="Times New Roman"/>
          <w:color w:val="222222"/>
          <w:sz w:val="24"/>
          <w:szCs w:val="24"/>
          <w:highlight w:val="white"/>
        </w:rPr>
        <w:t xml:space="preserve">, H., Butler, J., </w:t>
      </w:r>
      <w:proofErr w:type="spellStart"/>
      <w:r w:rsidRPr="009D4B8F">
        <w:rPr>
          <w:rFonts w:eastAsia="Times New Roman"/>
          <w:color w:val="222222"/>
          <w:sz w:val="24"/>
          <w:szCs w:val="24"/>
          <w:highlight w:val="white"/>
        </w:rPr>
        <w:t>Čelutkienė</w:t>
      </w:r>
      <w:proofErr w:type="spellEnd"/>
      <w:r w:rsidRPr="009D4B8F">
        <w:rPr>
          <w:rFonts w:eastAsia="Times New Roman"/>
          <w:color w:val="222222"/>
          <w:sz w:val="24"/>
          <w:szCs w:val="24"/>
          <w:highlight w:val="white"/>
        </w:rPr>
        <w:t xml:space="preserve">, J., </w:t>
      </w:r>
      <w:proofErr w:type="spellStart"/>
      <w:r w:rsidRPr="009D4B8F">
        <w:rPr>
          <w:rFonts w:eastAsia="Times New Roman"/>
          <w:color w:val="222222"/>
          <w:sz w:val="24"/>
          <w:szCs w:val="24"/>
          <w:highlight w:val="white"/>
        </w:rPr>
        <w:t>Chioncel</w:t>
      </w:r>
      <w:proofErr w:type="spellEnd"/>
      <w:r w:rsidRPr="009D4B8F">
        <w:rPr>
          <w:rFonts w:eastAsia="Times New Roman"/>
          <w:color w:val="222222"/>
          <w:sz w:val="24"/>
          <w:szCs w:val="24"/>
          <w:highlight w:val="white"/>
        </w:rPr>
        <w:t xml:space="preserve">, O. and Cleland, J.G., 2021. 2021 ESC Guidelines for the diagnosis and treatment of acute and chronic heart failure: Developed by the Task Force for the diagnosis and treatment of acute and chronic heart failure of the European Society of Cardiology (ESC) With the special contribution of the Heart Failure Association (HFA) of the ESC. </w:t>
      </w:r>
      <w:r w:rsidRPr="009D4B8F">
        <w:rPr>
          <w:rFonts w:eastAsia="Times New Roman"/>
          <w:i/>
          <w:color w:val="222222"/>
          <w:sz w:val="24"/>
          <w:szCs w:val="24"/>
          <w:highlight w:val="white"/>
        </w:rPr>
        <w:t>European heart journal</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42</w:t>
      </w:r>
      <w:r w:rsidRPr="009D4B8F">
        <w:rPr>
          <w:rFonts w:eastAsia="Times New Roman"/>
          <w:color w:val="222222"/>
          <w:sz w:val="24"/>
          <w:szCs w:val="24"/>
          <w:highlight w:val="white"/>
        </w:rPr>
        <w:t>(36), pp.3599-3726.</w:t>
      </w:r>
    </w:p>
    <w:p w14:paraId="3A2D96EE" w14:textId="77777777" w:rsidR="008F5403" w:rsidRPr="009D4B8F" w:rsidRDefault="008F5403" w:rsidP="008F5403">
      <w:pPr>
        <w:spacing w:after="240" w:line="360" w:lineRule="auto"/>
        <w:jc w:val="both"/>
        <w:rPr>
          <w:rFonts w:eastAsia="Times New Roman"/>
          <w:color w:val="222222"/>
          <w:sz w:val="24"/>
          <w:szCs w:val="24"/>
          <w:highlight w:val="white"/>
        </w:rPr>
      </w:pPr>
      <w:proofErr w:type="spellStart"/>
      <w:r w:rsidRPr="009D4B8F">
        <w:rPr>
          <w:rFonts w:eastAsia="Times New Roman"/>
          <w:color w:val="222222"/>
          <w:sz w:val="24"/>
          <w:szCs w:val="24"/>
          <w:highlight w:val="white"/>
        </w:rPr>
        <w:t>Piñeiro</w:t>
      </w:r>
      <w:proofErr w:type="spellEnd"/>
      <w:r w:rsidRPr="009D4B8F">
        <w:rPr>
          <w:rFonts w:eastAsia="Times New Roman"/>
          <w:color w:val="222222"/>
          <w:sz w:val="24"/>
          <w:szCs w:val="24"/>
          <w:highlight w:val="white"/>
        </w:rPr>
        <w:t xml:space="preserve">, V., Arias, J., </w:t>
      </w:r>
      <w:proofErr w:type="spellStart"/>
      <w:r w:rsidRPr="009D4B8F">
        <w:rPr>
          <w:rFonts w:eastAsia="Times New Roman"/>
          <w:color w:val="222222"/>
          <w:sz w:val="24"/>
          <w:szCs w:val="24"/>
          <w:highlight w:val="white"/>
        </w:rPr>
        <w:t>Dürr</w:t>
      </w:r>
      <w:proofErr w:type="spellEnd"/>
      <w:r w:rsidRPr="009D4B8F">
        <w:rPr>
          <w:rFonts w:eastAsia="Times New Roman"/>
          <w:color w:val="222222"/>
          <w:sz w:val="24"/>
          <w:szCs w:val="24"/>
          <w:highlight w:val="white"/>
        </w:rPr>
        <w:t xml:space="preserve">, J., </w:t>
      </w:r>
      <w:proofErr w:type="spellStart"/>
      <w:r w:rsidRPr="009D4B8F">
        <w:rPr>
          <w:rFonts w:eastAsia="Times New Roman"/>
          <w:color w:val="222222"/>
          <w:sz w:val="24"/>
          <w:szCs w:val="24"/>
          <w:highlight w:val="white"/>
        </w:rPr>
        <w:t>Elverdin</w:t>
      </w:r>
      <w:proofErr w:type="spellEnd"/>
      <w:r w:rsidRPr="009D4B8F">
        <w:rPr>
          <w:rFonts w:eastAsia="Times New Roman"/>
          <w:color w:val="222222"/>
          <w:sz w:val="24"/>
          <w:szCs w:val="24"/>
          <w:highlight w:val="white"/>
        </w:rPr>
        <w:t xml:space="preserve">, P., Ibáñez, A.M., </w:t>
      </w:r>
      <w:proofErr w:type="spellStart"/>
      <w:r w:rsidRPr="009D4B8F">
        <w:rPr>
          <w:rFonts w:eastAsia="Times New Roman"/>
          <w:color w:val="222222"/>
          <w:sz w:val="24"/>
          <w:szCs w:val="24"/>
          <w:highlight w:val="white"/>
        </w:rPr>
        <w:t>Kinengyere</w:t>
      </w:r>
      <w:proofErr w:type="spellEnd"/>
      <w:r w:rsidRPr="009D4B8F">
        <w:rPr>
          <w:rFonts w:eastAsia="Times New Roman"/>
          <w:color w:val="222222"/>
          <w:sz w:val="24"/>
          <w:szCs w:val="24"/>
          <w:highlight w:val="white"/>
        </w:rPr>
        <w:t xml:space="preserve">, A., </w:t>
      </w:r>
      <w:proofErr w:type="spellStart"/>
      <w:r w:rsidRPr="009D4B8F">
        <w:rPr>
          <w:rFonts w:eastAsia="Times New Roman"/>
          <w:color w:val="222222"/>
          <w:sz w:val="24"/>
          <w:szCs w:val="24"/>
          <w:highlight w:val="white"/>
        </w:rPr>
        <w:t>Opazo</w:t>
      </w:r>
      <w:proofErr w:type="spellEnd"/>
      <w:r w:rsidRPr="009D4B8F">
        <w:rPr>
          <w:rFonts w:eastAsia="Times New Roman"/>
          <w:color w:val="222222"/>
          <w:sz w:val="24"/>
          <w:szCs w:val="24"/>
          <w:highlight w:val="white"/>
        </w:rPr>
        <w:t xml:space="preserve">, C.M., </w:t>
      </w:r>
      <w:proofErr w:type="spellStart"/>
      <w:r w:rsidRPr="009D4B8F">
        <w:rPr>
          <w:rFonts w:eastAsia="Times New Roman"/>
          <w:color w:val="222222"/>
          <w:sz w:val="24"/>
          <w:szCs w:val="24"/>
          <w:highlight w:val="white"/>
        </w:rPr>
        <w:t>Owoo</w:t>
      </w:r>
      <w:proofErr w:type="spellEnd"/>
      <w:r w:rsidRPr="009D4B8F">
        <w:rPr>
          <w:rFonts w:eastAsia="Times New Roman"/>
          <w:color w:val="222222"/>
          <w:sz w:val="24"/>
          <w:szCs w:val="24"/>
          <w:highlight w:val="white"/>
        </w:rPr>
        <w:t xml:space="preserve">, N., Page, J.R., Prager, S.D. and Torero, M., 2020. A scoping review on incentives for adoption of sustainable agricultural practices and their outcomes. </w:t>
      </w:r>
      <w:r w:rsidRPr="009D4B8F">
        <w:rPr>
          <w:rFonts w:eastAsia="Times New Roman"/>
          <w:i/>
          <w:color w:val="222222"/>
          <w:sz w:val="24"/>
          <w:szCs w:val="24"/>
          <w:highlight w:val="white"/>
        </w:rPr>
        <w:t>Nature Sustainability</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3</w:t>
      </w:r>
      <w:r w:rsidRPr="009D4B8F">
        <w:rPr>
          <w:rFonts w:eastAsia="Times New Roman"/>
          <w:color w:val="222222"/>
          <w:sz w:val="24"/>
          <w:szCs w:val="24"/>
          <w:highlight w:val="white"/>
        </w:rPr>
        <w:t>(10), pp.809-820.</w:t>
      </w:r>
    </w:p>
    <w:p w14:paraId="0203EBAD" w14:textId="77777777" w:rsidR="008F5403" w:rsidRPr="009D4B8F" w:rsidRDefault="008F5403" w:rsidP="008F5403">
      <w:pPr>
        <w:spacing w:after="240" w:line="360" w:lineRule="auto"/>
        <w:jc w:val="both"/>
        <w:rPr>
          <w:rFonts w:eastAsia="Times New Roman"/>
          <w:color w:val="222222"/>
          <w:sz w:val="24"/>
          <w:szCs w:val="24"/>
          <w:highlight w:val="white"/>
        </w:rPr>
      </w:pPr>
      <w:proofErr w:type="spellStart"/>
      <w:r w:rsidRPr="009D4B8F">
        <w:rPr>
          <w:rFonts w:eastAsia="Times New Roman"/>
          <w:color w:val="222222"/>
          <w:sz w:val="24"/>
          <w:szCs w:val="24"/>
          <w:highlight w:val="white"/>
        </w:rPr>
        <w:t>Ghielen</w:t>
      </w:r>
      <w:proofErr w:type="spellEnd"/>
      <w:r w:rsidRPr="009D4B8F">
        <w:rPr>
          <w:rFonts w:eastAsia="Times New Roman"/>
          <w:color w:val="222222"/>
          <w:sz w:val="24"/>
          <w:szCs w:val="24"/>
          <w:highlight w:val="white"/>
        </w:rPr>
        <w:t xml:space="preserve">, S.T.S., De </w:t>
      </w:r>
      <w:proofErr w:type="spellStart"/>
      <w:r w:rsidRPr="009D4B8F">
        <w:rPr>
          <w:rFonts w:eastAsia="Times New Roman"/>
          <w:color w:val="222222"/>
          <w:sz w:val="24"/>
          <w:szCs w:val="24"/>
          <w:highlight w:val="white"/>
        </w:rPr>
        <w:t>Cooman</w:t>
      </w:r>
      <w:proofErr w:type="spellEnd"/>
      <w:r w:rsidRPr="009D4B8F">
        <w:rPr>
          <w:rFonts w:eastAsia="Times New Roman"/>
          <w:color w:val="222222"/>
          <w:sz w:val="24"/>
          <w:szCs w:val="24"/>
          <w:highlight w:val="white"/>
        </w:rPr>
        <w:t xml:space="preserve">, R. and Sels, L., 2021. The interacting content and process of the employer brand: person-organization fit and employer brand clarity. </w:t>
      </w:r>
      <w:r w:rsidRPr="009D4B8F">
        <w:rPr>
          <w:rFonts w:eastAsia="Times New Roman"/>
          <w:i/>
          <w:color w:val="222222"/>
          <w:sz w:val="24"/>
          <w:szCs w:val="24"/>
          <w:highlight w:val="white"/>
        </w:rPr>
        <w:t>European Journal of Work and Organizational Psychology</w:t>
      </w:r>
      <w:r w:rsidRPr="009D4B8F">
        <w:rPr>
          <w:rFonts w:eastAsia="Times New Roman"/>
          <w:color w:val="222222"/>
          <w:sz w:val="24"/>
          <w:szCs w:val="24"/>
          <w:highlight w:val="white"/>
        </w:rPr>
        <w:t xml:space="preserve">, </w:t>
      </w:r>
      <w:r w:rsidRPr="009D4B8F">
        <w:rPr>
          <w:rFonts w:eastAsia="Times New Roman"/>
          <w:i/>
          <w:color w:val="222222"/>
          <w:sz w:val="24"/>
          <w:szCs w:val="24"/>
          <w:highlight w:val="white"/>
        </w:rPr>
        <w:t>30</w:t>
      </w:r>
      <w:r w:rsidRPr="009D4B8F">
        <w:rPr>
          <w:rFonts w:eastAsia="Times New Roman"/>
          <w:color w:val="222222"/>
          <w:sz w:val="24"/>
          <w:szCs w:val="24"/>
          <w:highlight w:val="white"/>
        </w:rPr>
        <w:t>(2), pp.292-304.</w:t>
      </w:r>
    </w:p>
    <w:p w14:paraId="6B74FCB3" w14:textId="77777777" w:rsidR="008F5403" w:rsidRPr="009D4B8F" w:rsidRDefault="008F5403" w:rsidP="008F5403">
      <w:pPr>
        <w:spacing w:line="360" w:lineRule="auto"/>
        <w:jc w:val="both"/>
        <w:rPr>
          <w:rFonts w:eastAsia="Times New Roman"/>
          <w:sz w:val="24"/>
          <w:szCs w:val="24"/>
        </w:rPr>
      </w:pPr>
    </w:p>
    <w:p w14:paraId="020F495B" w14:textId="77777777" w:rsidR="008F5403" w:rsidRPr="009D4B8F" w:rsidRDefault="008F5403" w:rsidP="008F5403">
      <w:pPr>
        <w:spacing w:line="360" w:lineRule="auto"/>
        <w:jc w:val="both"/>
        <w:rPr>
          <w:rFonts w:eastAsia="Times New Roman"/>
          <w:sz w:val="24"/>
          <w:szCs w:val="24"/>
        </w:rPr>
      </w:pPr>
    </w:p>
    <w:p w14:paraId="1F7DE8E0" w14:textId="77777777" w:rsidR="008F5403" w:rsidRPr="009D4B8F" w:rsidRDefault="008F5403" w:rsidP="008F5403">
      <w:pPr>
        <w:spacing w:line="360" w:lineRule="auto"/>
        <w:jc w:val="both"/>
        <w:rPr>
          <w:rFonts w:eastAsia="Times New Roman"/>
          <w:sz w:val="24"/>
          <w:szCs w:val="24"/>
        </w:rPr>
      </w:pPr>
    </w:p>
    <w:p w14:paraId="3167459F" w14:textId="77777777" w:rsidR="001E5EB5" w:rsidRPr="009D4B8F" w:rsidRDefault="001E5EB5">
      <w:pPr>
        <w:rPr>
          <w:sz w:val="24"/>
          <w:szCs w:val="24"/>
        </w:rPr>
      </w:pPr>
    </w:p>
    <w:sectPr w:rsidR="001E5EB5" w:rsidRPr="009D4B8F">
      <w:footerReference w:type="default" r:id="rId1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09F35" w14:textId="77777777" w:rsidR="00D02D37" w:rsidRDefault="00D02D37">
      <w:pPr>
        <w:spacing w:line="240" w:lineRule="auto"/>
      </w:pPr>
      <w:r>
        <w:separator/>
      </w:r>
    </w:p>
  </w:endnote>
  <w:endnote w:type="continuationSeparator" w:id="0">
    <w:p w14:paraId="0DB347D7" w14:textId="77777777" w:rsidR="00D02D37" w:rsidRDefault="00D02D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86F3A" w14:textId="77777777" w:rsidR="00564A79" w:rsidRDefault="008F5403">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14</w:t>
    </w:r>
    <w:r>
      <w:rPr>
        <w:color w:val="000000"/>
      </w:rPr>
      <w:fldChar w:fldCharType="end"/>
    </w:r>
  </w:p>
  <w:p w14:paraId="627FD1D8" w14:textId="77777777" w:rsidR="00564A79" w:rsidRDefault="00D02D3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FA2F8" w14:textId="77777777" w:rsidR="00D02D37" w:rsidRDefault="00D02D37">
      <w:pPr>
        <w:spacing w:line="240" w:lineRule="auto"/>
      </w:pPr>
      <w:r>
        <w:separator/>
      </w:r>
    </w:p>
  </w:footnote>
  <w:footnote w:type="continuationSeparator" w:id="0">
    <w:p w14:paraId="7C5E31F6" w14:textId="77777777" w:rsidR="00D02D37" w:rsidRDefault="00D02D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403"/>
    <w:rsid w:val="001D117D"/>
    <w:rsid w:val="001E5EB5"/>
    <w:rsid w:val="003D3F63"/>
    <w:rsid w:val="00436C7E"/>
    <w:rsid w:val="005A407B"/>
    <w:rsid w:val="00605F88"/>
    <w:rsid w:val="006244C0"/>
    <w:rsid w:val="0063704E"/>
    <w:rsid w:val="00666E56"/>
    <w:rsid w:val="00821D99"/>
    <w:rsid w:val="0084273B"/>
    <w:rsid w:val="00847516"/>
    <w:rsid w:val="00856E67"/>
    <w:rsid w:val="008F5403"/>
    <w:rsid w:val="009B3DCD"/>
    <w:rsid w:val="009D4B8F"/>
    <w:rsid w:val="00B60BC7"/>
    <w:rsid w:val="00C95172"/>
    <w:rsid w:val="00D02D37"/>
    <w:rsid w:val="00E3165D"/>
    <w:rsid w:val="00E52C28"/>
    <w:rsid w:val="00FF6A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B2DF16"/>
  <w15:chartTrackingRefBased/>
  <w15:docId w15:val="{DEA8019B-8F46-9D4A-A7AB-BE11A939E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F5403"/>
    <w:pPr>
      <w:spacing w:line="276" w:lineRule="auto"/>
    </w:pPr>
    <w:rPr>
      <w:rFonts w:ascii="Arial" w:eastAsia="Arial" w:hAnsi="Arial" w:cs="Arial"/>
      <w:sz w:val="22"/>
      <w:szCs w:val="22"/>
      <w:lang w:eastAsia="en-IN"/>
    </w:rPr>
  </w:style>
  <w:style w:type="paragraph" w:styleId="Heading1">
    <w:name w:val="heading 1"/>
    <w:basedOn w:val="Normal"/>
    <w:next w:val="Normal"/>
    <w:link w:val="Heading1Char"/>
    <w:rsid w:val="008F5403"/>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F5403"/>
    <w:rPr>
      <w:rFonts w:ascii="Arial" w:eastAsia="Arial" w:hAnsi="Arial" w:cs="Arial"/>
      <w:sz w:val="40"/>
      <w:szCs w:val="40"/>
      <w:lang w:eastAsia="en-IN"/>
    </w:rPr>
  </w:style>
  <w:style w:type="paragraph" w:styleId="Title">
    <w:name w:val="Title"/>
    <w:basedOn w:val="Normal"/>
    <w:next w:val="Normal"/>
    <w:link w:val="TitleChar"/>
    <w:rsid w:val="008F5403"/>
    <w:pPr>
      <w:keepNext/>
      <w:keepLines/>
      <w:spacing w:after="60"/>
    </w:pPr>
    <w:rPr>
      <w:sz w:val="52"/>
      <w:szCs w:val="52"/>
    </w:rPr>
  </w:style>
  <w:style w:type="character" w:customStyle="1" w:styleId="TitleChar">
    <w:name w:val="Title Char"/>
    <w:basedOn w:val="DefaultParagraphFont"/>
    <w:link w:val="Title"/>
    <w:rsid w:val="008F5403"/>
    <w:rPr>
      <w:rFonts w:ascii="Arial" w:eastAsia="Arial" w:hAnsi="Arial" w:cs="Arial"/>
      <w:sz w:val="52"/>
      <w:szCs w:val="52"/>
      <w:lang w:eastAsia="en-IN"/>
    </w:rPr>
  </w:style>
  <w:style w:type="paragraph" w:styleId="TOCHeading">
    <w:name w:val="TOC Heading"/>
    <w:basedOn w:val="Heading1"/>
    <w:next w:val="Normal"/>
    <w:uiPriority w:val="39"/>
    <w:unhideWhenUsed/>
    <w:qFormat/>
    <w:rsid w:val="008F5403"/>
    <w:pPr>
      <w:spacing w:before="480" w:after="0"/>
      <w:outlineLvl w:val="9"/>
    </w:pPr>
    <w:rPr>
      <w:rFonts w:asciiTheme="majorHAnsi" w:eastAsiaTheme="majorEastAsia" w:hAnsiTheme="majorHAnsi" w:cstheme="majorBidi"/>
      <w:b/>
      <w:bCs/>
      <w:color w:val="2F5496" w:themeColor="accent1" w:themeShade="BF"/>
      <w:sz w:val="28"/>
      <w:szCs w:val="28"/>
      <w:lang w:val="en-US" w:eastAsia="en-US"/>
    </w:rPr>
  </w:style>
  <w:style w:type="paragraph" w:styleId="TOC1">
    <w:name w:val="toc 1"/>
    <w:basedOn w:val="Normal"/>
    <w:next w:val="Normal"/>
    <w:autoRedefine/>
    <w:uiPriority w:val="39"/>
    <w:unhideWhenUsed/>
    <w:rsid w:val="006244C0"/>
    <w:pPr>
      <w:tabs>
        <w:tab w:val="right" w:leader="dot" w:pos="9350"/>
      </w:tabs>
      <w:spacing w:before="120"/>
    </w:pPr>
    <w:rPr>
      <w:rFonts w:eastAsia="Times New Roman"/>
      <w:b/>
      <w:bCs/>
      <w:i/>
      <w:iCs/>
      <w:noProof/>
      <w:color w:val="000000" w:themeColor="text1"/>
      <w:sz w:val="24"/>
      <w:szCs w:val="24"/>
    </w:rPr>
  </w:style>
  <w:style w:type="character" w:styleId="Hyperlink">
    <w:name w:val="Hyperlink"/>
    <w:basedOn w:val="DefaultParagraphFont"/>
    <w:uiPriority w:val="99"/>
    <w:unhideWhenUsed/>
    <w:rsid w:val="008F5403"/>
    <w:rPr>
      <w:color w:val="0563C1" w:themeColor="hyperlink"/>
      <w:u w:val="single"/>
    </w:rPr>
  </w:style>
  <w:style w:type="paragraph" w:styleId="TOC2">
    <w:name w:val="toc 2"/>
    <w:basedOn w:val="Normal"/>
    <w:next w:val="Normal"/>
    <w:autoRedefine/>
    <w:uiPriority w:val="39"/>
    <w:semiHidden/>
    <w:unhideWhenUsed/>
    <w:rsid w:val="008F5403"/>
    <w:pPr>
      <w:spacing w:before="120"/>
      <w:ind w:left="220"/>
    </w:pPr>
    <w:rPr>
      <w:rFonts w:asciiTheme="minorHAnsi" w:hAnsiTheme="minorHAnsi" w:cstheme="minorHAnsi"/>
      <w:b/>
      <w:bCs/>
    </w:rPr>
  </w:style>
  <w:style w:type="paragraph" w:styleId="TOC3">
    <w:name w:val="toc 3"/>
    <w:basedOn w:val="Normal"/>
    <w:next w:val="Normal"/>
    <w:autoRedefine/>
    <w:uiPriority w:val="39"/>
    <w:semiHidden/>
    <w:unhideWhenUsed/>
    <w:rsid w:val="008F5403"/>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F5403"/>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F5403"/>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F5403"/>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F5403"/>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F5403"/>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F5403"/>
    <w:pPr>
      <w:ind w:left="1760"/>
    </w:pPr>
    <w:rPr>
      <w:rFonts w:asciiTheme="minorHAnsi" w:hAnsiTheme="minorHAnsi" w:cstheme="minorHAnsi"/>
      <w:sz w:val="20"/>
      <w:szCs w:val="20"/>
    </w:rPr>
  </w:style>
  <w:style w:type="table" w:styleId="TableGrid">
    <w:name w:val="Table Grid"/>
    <w:basedOn w:val="TableNormal"/>
    <w:uiPriority w:val="59"/>
    <w:rsid w:val="00E52C28"/>
    <w:rPr>
      <w:sz w:val="22"/>
      <w:szCs w:val="22"/>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B3DC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hyperlink" Target="https://www.ukhospitality.org.uk/news/625938/THIRD-OF-BUSINESSES-TO" TargetMode="Externa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541C1B-B8FD-C74B-BAB0-2924056A1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TotalTime>
  <Pages>8</Pages>
  <Words>2309</Words>
  <Characters>13185</Characters>
  <Application>Microsoft Office Word</Application>
  <DocSecurity>0</DocSecurity>
  <Lines>273</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Joita (2124448)</dc:creator>
  <cp:keywords/>
  <dc:description/>
  <cp:lastModifiedBy>Florentina Joita (2124448)</cp:lastModifiedBy>
  <cp:revision>16</cp:revision>
  <dcterms:created xsi:type="dcterms:W3CDTF">2023-03-24T19:10:00Z</dcterms:created>
  <dcterms:modified xsi:type="dcterms:W3CDTF">2023-04-01T21:14:00Z</dcterms:modified>
  <cp:category/>
</cp:coreProperties>
</file>