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BF7C0" w14:textId="77777777" w:rsidR="00D509B8" w:rsidRDefault="00D509B8" w:rsidP="00CB7A82">
      <w:pPr>
        <w:rPr>
          <w:b/>
          <w:bCs/>
        </w:rPr>
      </w:pPr>
    </w:p>
    <w:p w14:paraId="1DD47786" w14:textId="77777777" w:rsidR="00D509B8" w:rsidRDefault="00D509B8" w:rsidP="00CB7A82">
      <w:pPr>
        <w:rPr>
          <w:b/>
          <w:bCs/>
        </w:rPr>
      </w:pPr>
    </w:p>
    <w:p w14:paraId="67D2FF1C" w14:textId="77777777" w:rsidR="00D509B8" w:rsidRDefault="00D509B8" w:rsidP="00CB7A82">
      <w:pPr>
        <w:rPr>
          <w:b/>
          <w:bCs/>
        </w:rPr>
      </w:pPr>
    </w:p>
    <w:p w14:paraId="07E7AA3E" w14:textId="77777777" w:rsidR="00D509B8" w:rsidRDefault="00D509B8" w:rsidP="00CB7A82">
      <w:pPr>
        <w:rPr>
          <w:b/>
          <w:bCs/>
        </w:rPr>
      </w:pPr>
    </w:p>
    <w:p w14:paraId="4A274608" w14:textId="77777777" w:rsidR="00D509B8" w:rsidRPr="00F277B9" w:rsidRDefault="00D509B8" w:rsidP="00CB7A82">
      <w:pPr>
        <w:jc w:val="left"/>
        <w:rPr>
          <w:rFonts w:cs="Arial"/>
          <w:b/>
          <w:bCs/>
        </w:rPr>
      </w:pPr>
    </w:p>
    <w:p w14:paraId="78672DD9" w14:textId="77777777" w:rsidR="00D509B8" w:rsidRPr="00F277B9" w:rsidRDefault="00D509B8" w:rsidP="00CB7A82">
      <w:pPr>
        <w:jc w:val="center"/>
        <w:rPr>
          <w:rFonts w:cs="Arial"/>
          <w:b/>
          <w:bCs/>
        </w:rPr>
      </w:pPr>
    </w:p>
    <w:p w14:paraId="6AA067BD" w14:textId="40BB7E7C" w:rsidR="00731ADD" w:rsidRPr="00731ADD" w:rsidRDefault="00731ADD" w:rsidP="00CB7A82">
      <w:pPr>
        <w:jc w:val="center"/>
        <w:rPr>
          <w:rFonts w:cs="Arial"/>
          <w:b/>
          <w:bCs/>
        </w:rPr>
      </w:pPr>
      <w:r w:rsidRPr="00731ADD">
        <w:rPr>
          <w:rFonts w:cs="Arial"/>
          <w:b/>
          <w:bCs/>
        </w:rPr>
        <w:t xml:space="preserve">Assignment Title: Component </w:t>
      </w:r>
      <w:r w:rsidRPr="00F277B9">
        <w:rPr>
          <w:rFonts w:cs="Arial"/>
          <w:b/>
          <w:bCs/>
        </w:rPr>
        <w:t xml:space="preserve">2: </w:t>
      </w:r>
      <w:r w:rsidRPr="00F277B9">
        <w:rPr>
          <w:rFonts w:cs="Arial"/>
          <w:b/>
          <w:bCs/>
        </w:rPr>
        <w:t>Written Assignment (Report)</w:t>
      </w:r>
    </w:p>
    <w:p w14:paraId="26B8A6F0" w14:textId="77777777" w:rsidR="00731ADD" w:rsidRPr="00731ADD" w:rsidRDefault="00731ADD" w:rsidP="00CB7A82">
      <w:pPr>
        <w:jc w:val="center"/>
        <w:rPr>
          <w:rFonts w:cs="Arial"/>
          <w:b/>
          <w:bCs/>
        </w:rPr>
      </w:pPr>
      <w:r w:rsidRPr="00731ADD">
        <w:rPr>
          <w:rFonts w:cs="Arial"/>
          <w:b/>
          <w:bCs/>
        </w:rPr>
        <w:t>Student Name: Nurkas Kaneez</w:t>
      </w:r>
    </w:p>
    <w:p w14:paraId="14E90089" w14:textId="77777777" w:rsidR="00731ADD" w:rsidRPr="00731ADD" w:rsidRDefault="00731ADD" w:rsidP="00CB7A82">
      <w:pPr>
        <w:jc w:val="center"/>
        <w:rPr>
          <w:rFonts w:cs="Arial"/>
          <w:b/>
          <w:bCs/>
        </w:rPr>
      </w:pPr>
      <w:r w:rsidRPr="00731ADD">
        <w:rPr>
          <w:rFonts w:cs="Arial"/>
          <w:b/>
          <w:bCs/>
        </w:rPr>
        <w:t>Student Number: 2225340</w:t>
      </w:r>
    </w:p>
    <w:p w14:paraId="49C635DA" w14:textId="77777777" w:rsidR="00731ADD" w:rsidRPr="00731ADD" w:rsidRDefault="00731ADD" w:rsidP="00CB7A82">
      <w:pPr>
        <w:jc w:val="center"/>
        <w:rPr>
          <w:rFonts w:cs="Arial"/>
          <w:b/>
          <w:bCs/>
        </w:rPr>
      </w:pPr>
      <w:r w:rsidRPr="00731ADD">
        <w:rPr>
          <w:rFonts w:cs="Arial"/>
          <w:b/>
          <w:bCs/>
        </w:rPr>
        <w:t>Module Title: Health, Wellbeing and Sustainable Development</w:t>
      </w:r>
    </w:p>
    <w:p w14:paraId="540CBADE" w14:textId="77777777" w:rsidR="00731ADD" w:rsidRPr="00731ADD" w:rsidRDefault="00731ADD" w:rsidP="00CB7A82">
      <w:pPr>
        <w:jc w:val="center"/>
        <w:rPr>
          <w:rFonts w:cs="Arial"/>
          <w:b/>
          <w:bCs/>
        </w:rPr>
      </w:pPr>
      <w:r w:rsidRPr="00731ADD">
        <w:rPr>
          <w:rFonts w:cs="Arial"/>
          <w:b/>
          <w:bCs/>
        </w:rPr>
        <w:t>Module Code: BMHP6030</w:t>
      </w:r>
    </w:p>
    <w:p w14:paraId="294BF92A" w14:textId="0769CC37" w:rsidR="00E51691" w:rsidRPr="00F277B9" w:rsidRDefault="00731ADD" w:rsidP="00CB7A82">
      <w:pPr>
        <w:jc w:val="center"/>
        <w:rPr>
          <w:rFonts w:cs="Arial"/>
          <w:b/>
          <w:bCs/>
        </w:rPr>
      </w:pPr>
      <w:r w:rsidRPr="00F277B9">
        <w:rPr>
          <w:rFonts w:cs="Arial"/>
          <w:b/>
          <w:bCs/>
        </w:rPr>
        <w:t>Lecturer’s Name: Zakiyyah Ahmed</w:t>
      </w:r>
      <w:r w:rsidR="00E51691" w:rsidRPr="00F277B9">
        <w:rPr>
          <w:rFonts w:cs="Arial"/>
          <w:b/>
          <w:bCs/>
        </w:rPr>
        <w:br w:type="page"/>
      </w:r>
    </w:p>
    <w:sdt>
      <w:sdtPr>
        <w:rPr>
          <w:rFonts w:ascii="Arial" w:eastAsiaTheme="minorHAnsi" w:hAnsi="Arial" w:cs="Arial"/>
          <w:color w:val="auto"/>
          <w:kern w:val="2"/>
          <w:sz w:val="22"/>
          <w:szCs w:val="22"/>
          <w:lang w:val="en-GB"/>
        </w:rPr>
        <w:id w:val="-1834903935"/>
        <w:docPartObj>
          <w:docPartGallery w:val="Table of Contents"/>
          <w:docPartUnique/>
        </w:docPartObj>
      </w:sdtPr>
      <w:sdtEndPr>
        <w:rPr>
          <w:b/>
          <w:bCs/>
          <w:noProof/>
        </w:rPr>
      </w:sdtEndPr>
      <w:sdtContent>
        <w:p w14:paraId="08C17E9A" w14:textId="139C1345" w:rsidR="00B955DF" w:rsidRPr="00F277B9" w:rsidRDefault="00B955DF" w:rsidP="00CB7A82">
          <w:pPr>
            <w:pStyle w:val="TOCHeading"/>
            <w:spacing w:line="360" w:lineRule="auto"/>
            <w:rPr>
              <w:rFonts w:ascii="Arial" w:hAnsi="Arial" w:cs="Arial"/>
              <w:b/>
              <w:bCs/>
              <w:color w:val="05090F"/>
              <w:sz w:val="22"/>
              <w:szCs w:val="22"/>
            </w:rPr>
          </w:pPr>
          <w:r w:rsidRPr="00F277B9">
            <w:rPr>
              <w:rFonts w:ascii="Arial" w:hAnsi="Arial" w:cs="Arial"/>
              <w:b/>
              <w:bCs/>
              <w:color w:val="05090F"/>
              <w:sz w:val="22"/>
              <w:szCs w:val="22"/>
            </w:rPr>
            <w:t>Table of Contents</w:t>
          </w:r>
        </w:p>
        <w:p w14:paraId="3986BDA7" w14:textId="77777777" w:rsidR="00731ADD" w:rsidRPr="00F277B9" w:rsidRDefault="00731ADD" w:rsidP="00CB7A82">
          <w:pPr>
            <w:jc w:val="left"/>
            <w:rPr>
              <w:rFonts w:cs="Arial"/>
              <w:lang w:val="en-US"/>
            </w:rPr>
          </w:pPr>
        </w:p>
        <w:p w14:paraId="4A783645" w14:textId="07130165" w:rsidR="00B955DF" w:rsidRPr="00F277B9" w:rsidRDefault="00B955DF" w:rsidP="00CB7A82">
          <w:pPr>
            <w:pStyle w:val="TOC1"/>
            <w:tabs>
              <w:tab w:val="right" w:leader="dot" w:pos="9016"/>
            </w:tabs>
            <w:jc w:val="left"/>
            <w:rPr>
              <w:rFonts w:cs="Arial"/>
              <w:noProof/>
            </w:rPr>
          </w:pPr>
          <w:r w:rsidRPr="00F277B9">
            <w:rPr>
              <w:rFonts w:cs="Arial"/>
            </w:rPr>
            <w:fldChar w:fldCharType="begin"/>
          </w:r>
          <w:r w:rsidRPr="00F277B9">
            <w:rPr>
              <w:rFonts w:cs="Arial"/>
            </w:rPr>
            <w:instrText xml:space="preserve"> TOC \o "1-3" \h \z \u </w:instrText>
          </w:r>
          <w:r w:rsidRPr="00F277B9">
            <w:rPr>
              <w:rFonts w:cs="Arial"/>
            </w:rPr>
            <w:fldChar w:fldCharType="separate"/>
          </w:r>
          <w:hyperlink w:anchor="_Toc221810944" w:history="1">
            <w:r w:rsidRPr="00F277B9">
              <w:rPr>
                <w:rStyle w:val="Hyperlink"/>
                <w:rFonts w:cs="Arial"/>
                <w:noProof/>
              </w:rPr>
              <w:t>Introduction</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_Toc221810944 \h </w:instrText>
            </w:r>
            <w:r w:rsidRPr="00F277B9">
              <w:rPr>
                <w:rFonts w:cs="Arial"/>
                <w:noProof/>
                <w:webHidden/>
              </w:rPr>
            </w:r>
            <w:r w:rsidRPr="00F277B9">
              <w:rPr>
                <w:rFonts w:cs="Arial"/>
                <w:noProof/>
                <w:webHidden/>
              </w:rPr>
              <w:fldChar w:fldCharType="separate"/>
            </w:r>
            <w:r w:rsidRPr="00F277B9">
              <w:rPr>
                <w:rFonts w:cs="Arial"/>
                <w:noProof/>
                <w:webHidden/>
              </w:rPr>
              <w:t>3</w:t>
            </w:r>
            <w:r w:rsidRPr="00F277B9">
              <w:rPr>
                <w:rFonts w:cs="Arial"/>
                <w:noProof/>
                <w:webHidden/>
              </w:rPr>
              <w:fldChar w:fldCharType="end"/>
            </w:r>
          </w:hyperlink>
        </w:p>
        <w:p w14:paraId="00C6C9E4" w14:textId="67E249B8" w:rsidR="00B955DF" w:rsidRPr="00F277B9" w:rsidRDefault="00B955DF" w:rsidP="00CB7A82">
          <w:pPr>
            <w:pStyle w:val="TOC1"/>
            <w:tabs>
              <w:tab w:val="right" w:leader="dot" w:pos="9016"/>
            </w:tabs>
            <w:jc w:val="left"/>
            <w:rPr>
              <w:rFonts w:cs="Arial"/>
              <w:noProof/>
            </w:rPr>
          </w:pPr>
          <w:hyperlink w:anchor="_Toc221810945" w:history="1">
            <w:r w:rsidRPr="00F277B9">
              <w:rPr>
                <w:rStyle w:val="Hyperlink"/>
                <w:rFonts w:cs="Arial"/>
                <w:noProof/>
              </w:rPr>
              <w:t>Section 1: SDG 3- Good Health and Wellbeing</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_Toc221810945 \h </w:instrText>
            </w:r>
            <w:r w:rsidRPr="00F277B9">
              <w:rPr>
                <w:rFonts w:cs="Arial"/>
                <w:noProof/>
                <w:webHidden/>
              </w:rPr>
            </w:r>
            <w:r w:rsidRPr="00F277B9">
              <w:rPr>
                <w:rFonts w:cs="Arial"/>
                <w:noProof/>
                <w:webHidden/>
              </w:rPr>
              <w:fldChar w:fldCharType="separate"/>
            </w:r>
            <w:r w:rsidRPr="00F277B9">
              <w:rPr>
                <w:rFonts w:cs="Arial"/>
                <w:noProof/>
                <w:webHidden/>
              </w:rPr>
              <w:t>3</w:t>
            </w:r>
            <w:r w:rsidRPr="00F277B9">
              <w:rPr>
                <w:rFonts w:cs="Arial"/>
                <w:noProof/>
                <w:webHidden/>
              </w:rPr>
              <w:fldChar w:fldCharType="end"/>
            </w:r>
          </w:hyperlink>
        </w:p>
        <w:p w14:paraId="653BD49E" w14:textId="10F8920B" w:rsidR="00B955DF" w:rsidRPr="00F277B9" w:rsidRDefault="00B955DF" w:rsidP="00CB7A82">
          <w:pPr>
            <w:pStyle w:val="TOC2"/>
            <w:tabs>
              <w:tab w:val="right" w:leader="dot" w:pos="9016"/>
            </w:tabs>
            <w:jc w:val="left"/>
            <w:rPr>
              <w:rFonts w:cs="Arial"/>
              <w:noProof/>
            </w:rPr>
          </w:pPr>
          <w:hyperlink w:anchor="_Toc221810946" w:history="1">
            <w:r w:rsidRPr="00F277B9">
              <w:rPr>
                <w:rStyle w:val="Hyperlink"/>
                <w:rFonts w:cs="Arial"/>
                <w:noProof/>
              </w:rPr>
              <w:t>Overview of SDG 3.</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_Toc221810946 \h </w:instrText>
            </w:r>
            <w:r w:rsidRPr="00F277B9">
              <w:rPr>
                <w:rFonts w:cs="Arial"/>
                <w:noProof/>
                <w:webHidden/>
              </w:rPr>
            </w:r>
            <w:r w:rsidRPr="00F277B9">
              <w:rPr>
                <w:rFonts w:cs="Arial"/>
                <w:noProof/>
                <w:webHidden/>
              </w:rPr>
              <w:fldChar w:fldCharType="separate"/>
            </w:r>
            <w:r w:rsidRPr="00F277B9">
              <w:rPr>
                <w:rFonts w:cs="Arial"/>
                <w:noProof/>
                <w:webHidden/>
              </w:rPr>
              <w:t>3</w:t>
            </w:r>
            <w:r w:rsidRPr="00F277B9">
              <w:rPr>
                <w:rFonts w:cs="Arial"/>
                <w:noProof/>
                <w:webHidden/>
              </w:rPr>
              <w:fldChar w:fldCharType="end"/>
            </w:r>
          </w:hyperlink>
        </w:p>
        <w:p w14:paraId="4358925B" w14:textId="548E757E" w:rsidR="00B955DF" w:rsidRPr="00F277B9" w:rsidRDefault="00B955DF" w:rsidP="00CB7A82">
          <w:pPr>
            <w:pStyle w:val="TOC2"/>
            <w:tabs>
              <w:tab w:val="right" w:leader="dot" w:pos="9016"/>
            </w:tabs>
            <w:jc w:val="left"/>
            <w:rPr>
              <w:rFonts w:cs="Arial"/>
              <w:noProof/>
            </w:rPr>
          </w:pPr>
          <w:hyperlink w:anchor="_Toc221810947" w:history="1">
            <w:r w:rsidRPr="00F277B9">
              <w:rPr>
                <w:rStyle w:val="Hyperlink"/>
                <w:rFonts w:cs="Arial"/>
                <w:noProof/>
              </w:rPr>
              <w:t>Critical evaluation of global policies and/or initiatives.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_Toc221810947 \h </w:instrText>
            </w:r>
            <w:r w:rsidRPr="00F277B9">
              <w:rPr>
                <w:rFonts w:cs="Arial"/>
                <w:noProof/>
                <w:webHidden/>
              </w:rPr>
            </w:r>
            <w:r w:rsidRPr="00F277B9">
              <w:rPr>
                <w:rFonts w:cs="Arial"/>
                <w:noProof/>
                <w:webHidden/>
              </w:rPr>
              <w:fldChar w:fldCharType="separate"/>
            </w:r>
            <w:r w:rsidRPr="00F277B9">
              <w:rPr>
                <w:rFonts w:cs="Arial"/>
                <w:noProof/>
                <w:webHidden/>
              </w:rPr>
              <w:t>3</w:t>
            </w:r>
            <w:r w:rsidRPr="00F277B9">
              <w:rPr>
                <w:rFonts w:cs="Arial"/>
                <w:noProof/>
                <w:webHidden/>
              </w:rPr>
              <w:fldChar w:fldCharType="end"/>
            </w:r>
          </w:hyperlink>
        </w:p>
        <w:p w14:paraId="37F39403" w14:textId="06B963EF" w:rsidR="00B955DF" w:rsidRPr="00F277B9" w:rsidRDefault="00B955DF" w:rsidP="00CB7A82">
          <w:pPr>
            <w:pStyle w:val="TOC2"/>
            <w:tabs>
              <w:tab w:val="right" w:leader="dot" w:pos="9016"/>
            </w:tabs>
            <w:jc w:val="left"/>
            <w:rPr>
              <w:rFonts w:cs="Arial"/>
              <w:noProof/>
            </w:rPr>
          </w:pPr>
          <w:hyperlink w:anchor="_Toc221810948" w:history="1">
            <w:r w:rsidRPr="00F277B9">
              <w:rPr>
                <w:rStyle w:val="Hyperlink"/>
                <w:rFonts w:cs="Arial"/>
                <w:noProof/>
              </w:rPr>
              <w:t>Critical evaluation of national and local examples.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_Toc221810948 \h </w:instrText>
            </w:r>
            <w:r w:rsidRPr="00F277B9">
              <w:rPr>
                <w:rFonts w:cs="Arial"/>
                <w:noProof/>
                <w:webHidden/>
              </w:rPr>
            </w:r>
            <w:r w:rsidRPr="00F277B9">
              <w:rPr>
                <w:rFonts w:cs="Arial"/>
                <w:noProof/>
                <w:webHidden/>
              </w:rPr>
              <w:fldChar w:fldCharType="separate"/>
            </w:r>
            <w:r w:rsidRPr="00F277B9">
              <w:rPr>
                <w:rFonts w:cs="Arial"/>
                <w:noProof/>
                <w:webHidden/>
              </w:rPr>
              <w:t>4</w:t>
            </w:r>
            <w:r w:rsidRPr="00F277B9">
              <w:rPr>
                <w:rFonts w:cs="Arial"/>
                <w:noProof/>
                <w:webHidden/>
              </w:rPr>
              <w:fldChar w:fldCharType="end"/>
            </w:r>
          </w:hyperlink>
        </w:p>
        <w:p w14:paraId="16820099" w14:textId="33EFF3E2" w:rsidR="00B955DF" w:rsidRPr="00F277B9" w:rsidRDefault="00B955DF" w:rsidP="00CB7A82">
          <w:pPr>
            <w:pStyle w:val="TOC2"/>
            <w:tabs>
              <w:tab w:val="right" w:leader="dot" w:pos="9016"/>
            </w:tabs>
            <w:jc w:val="left"/>
            <w:rPr>
              <w:rFonts w:cs="Arial"/>
              <w:noProof/>
            </w:rPr>
          </w:pPr>
          <w:hyperlink w:anchor="_Toc221810949" w:history="1">
            <w:r w:rsidRPr="00F277B9">
              <w:rPr>
                <w:rStyle w:val="Hyperlink"/>
                <w:rFonts w:cs="Arial"/>
                <w:noProof/>
              </w:rPr>
              <w:t>Use of theories/models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_Toc221810949 \h </w:instrText>
            </w:r>
            <w:r w:rsidRPr="00F277B9">
              <w:rPr>
                <w:rFonts w:cs="Arial"/>
                <w:noProof/>
                <w:webHidden/>
              </w:rPr>
            </w:r>
            <w:r w:rsidRPr="00F277B9">
              <w:rPr>
                <w:rFonts w:cs="Arial"/>
                <w:noProof/>
                <w:webHidden/>
              </w:rPr>
              <w:fldChar w:fldCharType="separate"/>
            </w:r>
            <w:r w:rsidRPr="00F277B9">
              <w:rPr>
                <w:rFonts w:cs="Arial"/>
                <w:noProof/>
                <w:webHidden/>
              </w:rPr>
              <w:t>5</w:t>
            </w:r>
            <w:r w:rsidRPr="00F277B9">
              <w:rPr>
                <w:rFonts w:cs="Arial"/>
                <w:noProof/>
                <w:webHidden/>
              </w:rPr>
              <w:fldChar w:fldCharType="end"/>
            </w:r>
          </w:hyperlink>
        </w:p>
        <w:p w14:paraId="145DA854" w14:textId="2598EFCB" w:rsidR="00B955DF" w:rsidRPr="00F277B9" w:rsidRDefault="00B955DF" w:rsidP="00CB7A82">
          <w:pPr>
            <w:pStyle w:val="TOC2"/>
            <w:tabs>
              <w:tab w:val="right" w:leader="dot" w:pos="9016"/>
            </w:tabs>
            <w:jc w:val="left"/>
            <w:rPr>
              <w:rFonts w:cs="Arial"/>
              <w:noProof/>
            </w:rPr>
          </w:pPr>
          <w:hyperlink w:anchor="_Toc221810950" w:history="1">
            <w:r w:rsidRPr="00F277B9">
              <w:rPr>
                <w:rStyle w:val="Hyperlink"/>
                <w:rFonts w:cs="Arial"/>
                <w:noProof/>
              </w:rPr>
              <w:t>Recommendations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_Toc221810950 \h </w:instrText>
            </w:r>
            <w:r w:rsidRPr="00F277B9">
              <w:rPr>
                <w:rFonts w:cs="Arial"/>
                <w:noProof/>
                <w:webHidden/>
              </w:rPr>
            </w:r>
            <w:r w:rsidRPr="00F277B9">
              <w:rPr>
                <w:rFonts w:cs="Arial"/>
                <w:noProof/>
                <w:webHidden/>
              </w:rPr>
              <w:fldChar w:fldCharType="separate"/>
            </w:r>
            <w:r w:rsidRPr="00F277B9">
              <w:rPr>
                <w:rFonts w:cs="Arial"/>
                <w:noProof/>
                <w:webHidden/>
              </w:rPr>
              <w:t>5</w:t>
            </w:r>
            <w:r w:rsidRPr="00F277B9">
              <w:rPr>
                <w:rFonts w:cs="Arial"/>
                <w:noProof/>
                <w:webHidden/>
              </w:rPr>
              <w:fldChar w:fldCharType="end"/>
            </w:r>
          </w:hyperlink>
        </w:p>
        <w:p w14:paraId="680F6193" w14:textId="219DA6D3" w:rsidR="00B955DF" w:rsidRPr="00F277B9" w:rsidRDefault="00B955DF" w:rsidP="00CB7A82">
          <w:pPr>
            <w:pStyle w:val="TOC1"/>
            <w:tabs>
              <w:tab w:val="right" w:leader="dot" w:pos="9016"/>
            </w:tabs>
            <w:jc w:val="left"/>
            <w:rPr>
              <w:rFonts w:cs="Arial"/>
              <w:noProof/>
            </w:rPr>
          </w:pPr>
          <w:hyperlink w:anchor="_Toc221810951" w:history="1">
            <w:r w:rsidRPr="00F277B9">
              <w:rPr>
                <w:rStyle w:val="Hyperlink"/>
                <w:rFonts w:cs="Arial"/>
                <w:noProof/>
              </w:rPr>
              <w:t>Section 2: SDG 10: Reduce Inequalities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_Toc221810951 \h </w:instrText>
            </w:r>
            <w:r w:rsidRPr="00F277B9">
              <w:rPr>
                <w:rFonts w:cs="Arial"/>
                <w:noProof/>
                <w:webHidden/>
              </w:rPr>
            </w:r>
            <w:r w:rsidRPr="00F277B9">
              <w:rPr>
                <w:rFonts w:cs="Arial"/>
                <w:noProof/>
                <w:webHidden/>
              </w:rPr>
              <w:fldChar w:fldCharType="separate"/>
            </w:r>
            <w:r w:rsidRPr="00F277B9">
              <w:rPr>
                <w:rFonts w:cs="Arial"/>
                <w:noProof/>
                <w:webHidden/>
              </w:rPr>
              <w:t>5</w:t>
            </w:r>
            <w:r w:rsidRPr="00F277B9">
              <w:rPr>
                <w:rFonts w:cs="Arial"/>
                <w:noProof/>
                <w:webHidden/>
              </w:rPr>
              <w:fldChar w:fldCharType="end"/>
            </w:r>
          </w:hyperlink>
        </w:p>
        <w:p w14:paraId="311F340C" w14:textId="352AAFEE" w:rsidR="00B955DF" w:rsidRPr="00F277B9" w:rsidRDefault="00B955DF" w:rsidP="00CB7A82">
          <w:pPr>
            <w:pStyle w:val="TOC2"/>
            <w:tabs>
              <w:tab w:val="right" w:leader="dot" w:pos="9016"/>
            </w:tabs>
            <w:jc w:val="left"/>
            <w:rPr>
              <w:rFonts w:cs="Arial"/>
              <w:noProof/>
            </w:rPr>
          </w:pPr>
          <w:hyperlink w:anchor="_Toc221810952" w:history="1">
            <w:r w:rsidRPr="00F277B9">
              <w:rPr>
                <w:rStyle w:val="Hyperlink"/>
                <w:rFonts w:cs="Arial"/>
                <w:noProof/>
              </w:rPr>
              <w:t>Overview</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_Toc221810952 \h </w:instrText>
            </w:r>
            <w:r w:rsidRPr="00F277B9">
              <w:rPr>
                <w:rFonts w:cs="Arial"/>
                <w:noProof/>
                <w:webHidden/>
              </w:rPr>
            </w:r>
            <w:r w:rsidRPr="00F277B9">
              <w:rPr>
                <w:rFonts w:cs="Arial"/>
                <w:noProof/>
                <w:webHidden/>
              </w:rPr>
              <w:fldChar w:fldCharType="separate"/>
            </w:r>
            <w:r w:rsidRPr="00F277B9">
              <w:rPr>
                <w:rFonts w:cs="Arial"/>
                <w:noProof/>
                <w:webHidden/>
              </w:rPr>
              <w:t>5</w:t>
            </w:r>
            <w:r w:rsidRPr="00F277B9">
              <w:rPr>
                <w:rFonts w:cs="Arial"/>
                <w:noProof/>
                <w:webHidden/>
              </w:rPr>
              <w:fldChar w:fldCharType="end"/>
            </w:r>
          </w:hyperlink>
        </w:p>
        <w:p w14:paraId="151C7C90" w14:textId="0223755B" w:rsidR="00B955DF" w:rsidRPr="00F277B9" w:rsidRDefault="00B955DF" w:rsidP="00CB7A82">
          <w:pPr>
            <w:pStyle w:val="TOC2"/>
            <w:tabs>
              <w:tab w:val="right" w:leader="dot" w:pos="9016"/>
            </w:tabs>
            <w:jc w:val="left"/>
            <w:rPr>
              <w:rFonts w:cs="Arial"/>
              <w:noProof/>
            </w:rPr>
          </w:pPr>
          <w:hyperlink w:anchor="_Toc221810953" w:history="1">
            <w:r w:rsidRPr="00F277B9">
              <w:rPr>
                <w:rStyle w:val="Hyperlink"/>
                <w:rFonts w:cs="Arial"/>
                <w:noProof/>
              </w:rPr>
              <w:t>Critical evaluation of global policies and/or initiatives.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_Toc221810953 \h </w:instrText>
            </w:r>
            <w:r w:rsidRPr="00F277B9">
              <w:rPr>
                <w:rFonts w:cs="Arial"/>
                <w:noProof/>
                <w:webHidden/>
              </w:rPr>
            </w:r>
            <w:r w:rsidRPr="00F277B9">
              <w:rPr>
                <w:rFonts w:cs="Arial"/>
                <w:noProof/>
                <w:webHidden/>
              </w:rPr>
              <w:fldChar w:fldCharType="separate"/>
            </w:r>
            <w:r w:rsidRPr="00F277B9">
              <w:rPr>
                <w:rFonts w:cs="Arial"/>
                <w:noProof/>
                <w:webHidden/>
              </w:rPr>
              <w:t>5</w:t>
            </w:r>
            <w:r w:rsidRPr="00F277B9">
              <w:rPr>
                <w:rFonts w:cs="Arial"/>
                <w:noProof/>
                <w:webHidden/>
              </w:rPr>
              <w:fldChar w:fldCharType="end"/>
            </w:r>
          </w:hyperlink>
        </w:p>
        <w:p w14:paraId="00E36FBE" w14:textId="022FFA23" w:rsidR="00B955DF" w:rsidRPr="00F277B9" w:rsidRDefault="00B955DF" w:rsidP="00CB7A82">
          <w:pPr>
            <w:pStyle w:val="TOC2"/>
            <w:tabs>
              <w:tab w:val="right" w:leader="dot" w:pos="9016"/>
            </w:tabs>
            <w:jc w:val="left"/>
            <w:rPr>
              <w:rFonts w:cs="Arial"/>
              <w:noProof/>
            </w:rPr>
          </w:pPr>
          <w:hyperlink w:anchor="_Toc221810954" w:history="1">
            <w:r w:rsidRPr="00F277B9">
              <w:rPr>
                <w:rStyle w:val="Hyperlink"/>
                <w:rFonts w:cs="Arial"/>
                <w:noProof/>
              </w:rPr>
              <w:t>Critical evaluation of national and local examples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_Toc221810954 \h </w:instrText>
            </w:r>
            <w:r w:rsidRPr="00F277B9">
              <w:rPr>
                <w:rFonts w:cs="Arial"/>
                <w:noProof/>
                <w:webHidden/>
              </w:rPr>
            </w:r>
            <w:r w:rsidRPr="00F277B9">
              <w:rPr>
                <w:rFonts w:cs="Arial"/>
                <w:noProof/>
                <w:webHidden/>
              </w:rPr>
              <w:fldChar w:fldCharType="separate"/>
            </w:r>
            <w:r w:rsidRPr="00F277B9">
              <w:rPr>
                <w:rFonts w:cs="Arial"/>
                <w:noProof/>
                <w:webHidden/>
              </w:rPr>
              <w:t>6</w:t>
            </w:r>
            <w:r w:rsidRPr="00F277B9">
              <w:rPr>
                <w:rFonts w:cs="Arial"/>
                <w:noProof/>
                <w:webHidden/>
              </w:rPr>
              <w:fldChar w:fldCharType="end"/>
            </w:r>
          </w:hyperlink>
        </w:p>
        <w:p w14:paraId="30426DD1" w14:textId="459128A7" w:rsidR="00B955DF" w:rsidRPr="00F277B9" w:rsidRDefault="00B955DF" w:rsidP="00CB7A82">
          <w:pPr>
            <w:pStyle w:val="TOC2"/>
            <w:tabs>
              <w:tab w:val="right" w:leader="dot" w:pos="9016"/>
            </w:tabs>
            <w:jc w:val="left"/>
            <w:rPr>
              <w:rFonts w:cs="Arial"/>
              <w:noProof/>
            </w:rPr>
          </w:pPr>
          <w:hyperlink w:anchor="_Toc221810955" w:history="1">
            <w:r w:rsidRPr="00F277B9">
              <w:rPr>
                <w:rStyle w:val="Hyperlink"/>
                <w:rFonts w:cs="Arial"/>
                <w:noProof/>
              </w:rPr>
              <w:t>Use of theories/models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_Toc221810955 \h </w:instrText>
            </w:r>
            <w:r w:rsidRPr="00F277B9">
              <w:rPr>
                <w:rFonts w:cs="Arial"/>
                <w:noProof/>
                <w:webHidden/>
              </w:rPr>
            </w:r>
            <w:r w:rsidRPr="00F277B9">
              <w:rPr>
                <w:rFonts w:cs="Arial"/>
                <w:noProof/>
                <w:webHidden/>
              </w:rPr>
              <w:fldChar w:fldCharType="separate"/>
            </w:r>
            <w:r w:rsidRPr="00F277B9">
              <w:rPr>
                <w:rFonts w:cs="Arial"/>
                <w:noProof/>
                <w:webHidden/>
              </w:rPr>
              <w:t>7</w:t>
            </w:r>
            <w:r w:rsidRPr="00F277B9">
              <w:rPr>
                <w:rFonts w:cs="Arial"/>
                <w:noProof/>
                <w:webHidden/>
              </w:rPr>
              <w:fldChar w:fldCharType="end"/>
            </w:r>
          </w:hyperlink>
        </w:p>
        <w:p w14:paraId="7F7BC1B1" w14:textId="3A51E57D" w:rsidR="00B955DF" w:rsidRPr="00F277B9" w:rsidRDefault="00B955DF" w:rsidP="00CB7A82">
          <w:pPr>
            <w:pStyle w:val="TOC2"/>
            <w:tabs>
              <w:tab w:val="right" w:leader="dot" w:pos="9016"/>
            </w:tabs>
            <w:jc w:val="left"/>
            <w:rPr>
              <w:rFonts w:cs="Arial"/>
              <w:noProof/>
            </w:rPr>
          </w:pPr>
          <w:hyperlink w:anchor="_Toc221810956" w:history="1">
            <w:r w:rsidRPr="00F277B9">
              <w:rPr>
                <w:rStyle w:val="Hyperlink"/>
                <w:rFonts w:cs="Arial"/>
                <w:noProof/>
              </w:rPr>
              <w:t>Recommendations</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_Toc221810956 \h </w:instrText>
            </w:r>
            <w:r w:rsidRPr="00F277B9">
              <w:rPr>
                <w:rFonts w:cs="Arial"/>
                <w:noProof/>
                <w:webHidden/>
              </w:rPr>
            </w:r>
            <w:r w:rsidRPr="00F277B9">
              <w:rPr>
                <w:rFonts w:cs="Arial"/>
                <w:noProof/>
                <w:webHidden/>
              </w:rPr>
              <w:fldChar w:fldCharType="separate"/>
            </w:r>
            <w:r w:rsidRPr="00F277B9">
              <w:rPr>
                <w:rFonts w:cs="Arial"/>
                <w:noProof/>
                <w:webHidden/>
              </w:rPr>
              <w:t>7</w:t>
            </w:r>
            <w:r w:rsidRPr="00F277B9">
              <w:rPr>
                <w:rFonts w:cs="Arial"/>
                <w:noProof/>
                <w:webHidden/>
              </w:rPr>
              <w:fldChar w:fldCharType="end"/>
            </w:r>
          </w:hyperlink>
        </w:p>
        <w:p w14:paraId="49C295AE" w14:textId="4002E2D2" w:rsidR="00B955DF" w:rsidRPr="00F277B9" w:rsidRDefault="00B955DF" w:rsidP="00CB7A82">
          <w:pPr>
            <w:pStyle w:val="TOC1"/>
            <w:tabs>
              <w:tab w:val="right" w:leader="dot" w:pos="9016"/>
            </w:tabs>
            <w:jc w:val="left"/>
            <w:rPr>
              <w:rFonts w:cs="Arial"/>
              <w:noProof/>
            </w:rPr>
          </w:pPr>
          <w:hyperlink w:anchor="_Toc221810957" w:history="1">
            <w:r w:rsidRPr="00F277B9">
              <w:rPr>
                <w:rStyle w:val="Hyperlink"/>
                <w:rFonts w:cs="Arial"/>
                <w:noProof/>
              </w:rPr>
              <w:t>Conclusion</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_Toc221810957 \h </w:instrText>
            </w:r>
            <w:r w:rsidRPr="00F277B9">
              <w:rPr>
                <w:rFonts w:cs="Arial"/>
                <w:noProof/>
                <w:webHidden/>
              </w:rPr>
            </w:r>
            <w:r w:rsidRPr="00F277B9">
              <w:rPr>
                <w:rFonts w:cs="Arial"/>
                <w:noProof/>
                <w:webHidden/>
              </w:rPr>
              <w:fldChar w:fldCharType="separate"/>
            </w:r>
            <w:r w:rsidRPr="00F277B9">
              <w:rPr>
                <w:rFonts w:cs="Arial"/>
                <w:noProof/>
                <w:webHidden/>
              </w:rPr>
              <w:t>7</w:t>
            </w:r>
            <w:r w:rsidRPr="00F277B9">
              <w:rPr>
                <w:rFonts w:cs="Arial"/>
                <w:noProof/>
                <w:webHidden/>
              </w:rPr>
              <w:fldChar w:fldCharType="end"/>
            </w:r>
          </w:hyperlink>
        </w:p>
        <w:p w14:paraId="48F50582" w14:textId="0EBD07F1" w:rsidR="00B955DF" w:rsidRPr="00F277B9" w:rsidRDefault="00B955DF" w:rsidP="00CB7A82">
          <w:pPr>
            <w:pStyle w:val="TOC1"/>
            <w:tabs>
              <w:tab w:val="right" w:leader="dot" w:pos="9016"/>
            </w:tabs>
            <w:jc w:val="left"/>
            <w:rPr>
              <w:rFonts w:cs="Arial"/>
              <w:noProof/>
            </w:rPr>
          </w:pPr>
          <w:hyperlink w:anchor="_Toc221810958" w:history="1">
            <w:r w:rsidRPr="00F277B9">
              <w:rPr>
                <w:rStyle w:val="Hyperlink"/>
                <w:rFonts w:cs="Arial"/>
                <w:noProof/>
              </w:rPr>
              <w:t>Reference List</w:t>
            </w:r>
            <w:r w:rsidRPr="00F277B9">
              <w:rPr>
                <w:rFonts w:cs="Arial"/>
                <w:noProof/>
                <w:webHidden/>
              </w:rPr>
              <w:tab/>
            </w:r>
            <w:r w:rsidRPr="00F277B9">
              <w:rPr>
                <w:rFonts w:cs="Arial"/>
                <w:noProof/>
                <w:webHidden/>
              </w:rPr>
              <w:fldChar w:fldCharType="begin"/>
            </w:r>
            <w:r w:rsidRPr="00F277B9">
              <w:rPr>
                <w:rFonts w:cs="Arial"/>
                <w:noProof/>
                <w:webHidden/>
              </w:rPr>
              <w:instrText xml:space="preserve"> PAGEREF _Toc221810958 \h </w:instrText>
            </w:r>
            <w:r w:rsidRPr="00F277B9">
              <w:rPr>
                <w:rFonts w:cs="Arial"/>
                <w:noProof/>
                <w:webHidden/>
              </w:rPr>
            </w:r>
            <w:r w:rsidRPr="00F277B9">
              <w:rPr>
                <w:rFonts w:cs="Arial"/>
                <w:noProof/>
                <w:webHidden/>
              </w:rPr>
              <w:fldChar w:fldCharType="separate"/>
            </w:r>
            <w:r w:rsidRPr="00F277B9">
              <w:rPr>
                <w:rFonts w:cs="Arial"/>
                <w:noProof/>
                <w:webHidden/>
              </w:rPr>
              <w:t>8</w:t>
            </w:r>
            <w:r w:rsidRPr="00F277B9">
              <w:rPr>
                <w:rFonts w:cs="Arial"/>
                <w:noProof/>
                <w:webHidden/>
              </w:rPr>
              <w:fldChar w:fldCharType="end"/>
            </w:r>
          </w:hyperlink>
        </w:p>
        <w:p w14:paraId="02228495" w14:textId="04E656C9" w:rsidR="00B955DF" w:rsidRPr="00F277B9" w:rsidRDefault="00B955DF" w:rsidP="00CB7A82">
          <w:pPr>
            <w:jc w:val="left"/>
            <w:rPr>
              <w:rFonts w:cs="Arial"/>
            </w:rPr>
          </w:pPr>
          <w:r w:rsidRPr="00F277B9">
            <w:rPr>
              <w:rFonts w:cs="Arial"/>
              <w:b/>
              <w:bCs/>
              <w:noProof/>
            </w:rPr>
            <w:fldChar w:fldCharType="end"/>
          </w:r>
        </w:p>
      </w:sdtContent>
    </w:sdt>
    <w:p w14:paraId="4AD5D792" w14:textId="77777777" w:rsidR="00B955DF" w:rsidRPr="00F277B9" w:rsidRDefault="00B955DF" w:rsidP="00CB7A82">
      <w:pPr>
        <w:jc w:val="left"/>
        <w:rPr>
          <w:rFonts w:eastAsiaTheme="majorEastAsia" w:cs="Arial"/>
          <w:b/>
          <w:color w:val="000000" w:themeColor="text1"/>
        </w:rPr>
      </w:pPr>
      <w:r w:rsidRPr="00F277B9">
        <w:rPr>
          <w:rFonts w:cs="Arial"/>
        </w:rPr>
        <w:br w:type="page"/>
      </w:r>
    </w:p>
    <w:p w14:paraId="612D86F2" w14:textId="30EE8E4C" w:rsidR="00D509B8" w:rsidRPr="00F277B9" w:rsidRDefault="00C46FE1" w:rsidP="00CB7A82">
      <w:pPr>
        <w:pStyle w:val="Heading1"/>
        <w:rPr>
          <w:rFonts w:cs="Arial"/>
          <w:szCs w:val="22"/>
        </w:rPr>
      </w:pPr>
      <w:bookmarkStart w:id="0" w:name="_Toc221810944"/>
      <w:r w:rsidRPr="00F277B9">
        <w:rPr>
          <w:rFonts w:cs="Arial"/>
          <w:szCs w:val="22"/>
        </w:rPr>
        <w:lastRenderedPageBreak/>
        <w:t>Introduction</w:t>
      </w:r>
      <w:bookmarkEnd w:id="0"/>
      <w:r w:rsidRPr="00F277B9">
        <w:rPr>
          <w:rFonts w:cs="Arial"/>
          <w:szCs w:val="22"/>
        </w:rPr>
        <w:t xml:space="preserve"> </w:t>
      </w:r>
    </w:p>
    <w:p w14:paraId="0570BA1D" w14:textId="3B837DF6" w:rsidR="004158EC" w:rsidRPr="00F277B9" w:rsidRDefault="004158EC" w:rsidP="00CB7A82">
      <w:pPr>
        <w:jc w:val="left"/>
        <w:rPr>
          <w:rFonts w:cs="Arial"/>
        </w:rPr>
      </w:pPr>
      <w:r w:rsidRPr="00F277B9">
        <w:rPr>
          <w:rFonts w:cs="Arial"/>
        </w:rPr>
        <w:t xml:space="preserve">The purpose of the report is to critically analyse various theories, policies, and developments related to Health, Wellbeing and Sustainable Development by exploring initiatives at the global, national, and local levels. According to WHO, health refers to a complete state of physical, social and mental wellbeing, which is determined through </w:t>
      </w:r>
      <w:r w:rsidR="002C7B29" w:rsidRPr="00F277B9">
        <w:rPr>
          <w:rFonts w:cs="Arial"/>
        </w:rPr>
        <w:t xml:space="preserve">the </w:t>
      </w:r>
      <w:r w:rsidRPr="00F277B9">
        <w:rPr>
          <w:rFonts w:cs="Arial"/>
        </w:rPr>
        <w:t xml:space="preserve">absence of disease, </w:t>
      </w:r>
      <w:r w:rsidR="002C7B29" w:rsidRPr="00F277B9">
        <w:rPr>
          <w:rFonts w:cs="Arial"/>
        </w:rPr>
        <w:t xml:space="preserve">the </w:t>
      </w:r>
      <w:r w:rsidRPr="00F277B9">
        <w:rPr>
          <w:rFonts w:cs="Arial"/>
        </w:rPr>
        <w:t xml:space="preserve">ability to cope with daily life and a balance between </w:t>
      </w:r>
      <w:r w:rsidR="002C7B29" w:rsidRPr="00F277B9">
        <w:rPr>
          <w:rFonts w:cs="Arial"/>
        </w:rPr>
        <w:t xml:space="preserve">the </w:t>
      </w:r>
      <w:r w:rsidRPr="00F277B9">
        <w:rPr>
          <w:rFonts w:cs="Arial"/>
        </w:rPr>
        <w:t xml:space="preserve">individual and </w:t>
      </w:r>
      <w:r w:rsidR="002C7B29" w:rsidRPr="00F277B9">
        <w:rPr>
          <w:rFonts w:cs="Arial"/>
        </w:rPr>
        <w:t xml:space="preserve">the </w:t>
      </w:r>
      <w:r w:rsidRPr="00F277B9">
        <w:rPr>
          <w:rFonts w:cs="Arial"/>
        </w:rPr>
        <w:t xml:space="preserve">environment (WHO, 2026). Besides, wellbeing is considered a more holistic concept focusing on health but also other factors, such as life satisfaction, emotional resilience, purpose and overall quality of life. To ensure people have good health and </w:t>
      </w:r>
      <w:r w:rsidR="002C7B29" w:rsidRPr="00F277B9">
        <w:rPr>
          <w:rFonts w:cs="Arial"/>
        </w:rPr>
        <w:t>well-being</w:t>
      </w:r>
      <w:r w:rsidRPr="00F277B9">
        <w:rPr>
          <w:rFonts w:cs="Arial"/>
        </w:rPr>
        <w:t xml:space="preserve">, the United Nations developed </w:t>
      </w:r>
      <w:r w:rsidR="002C7B29" w:rsidRPr="00F277B9">
        <w:rPr>
          <w:rFonts w:cs="Arial"/>
        </w:rPr>
        <w:t>S</w:t>
      </w:r>
      <w:r w:rsidRPr="00F277B9">
        <w:rPr>
          <w:rFonts w:cs="Arial"/>
        </w:rPr>
        <w:t xml:space="preserve">ustainable </w:t>
      </w:r>
      <w:r w:rsidR="002C7B29" w:rsidRPr="00F277B9">
        <w:rPr>
          <w:rFonts w:cs="Arial"/>
        </w:rPr>
        <w:t>D</w:t>
      </w:r>
      <w:r w:rsidRPr="00F277B9">
        <w:rPr>
          <w:rFonts w:cs="Arial"/>
        </w:rPr>
        <w:t xml:space="preserve">evelopment </w:t>
      </w:r>
      <w:r w:rsidR="002C7B29" w:rsidRPr="00F277B9">
        <w:rPr>
          <w:rFonts w:cs="Arial"/>
        </w:rPr>
        <w:t>G</w:t>
      </w:r>
      <w:r w:rsidRPr="00F277B9">
        <w:rPr>
          <w:rFonts w:cs="Arial"/>
        </w:rPr>
        <w:t xml:space="preserve">oals (SDGs) in 2015 (UNDP, 2026). This report analyses local, national and global initiatives by utilising two SDG 3- Good Health and </w:t>
      </w:r>
      <w:r w:rsidR="002C7B29" w:rsidRPr="00F277B9">
        <w:rPr>
          <w:rFonts w:cs="Arial"/>
        </w:rPr>
        <w:t>Well-being</w:t>
      </w:r>
      <w:r w:rsidRPr="00F277B9">
        <w:rPr>
          <w:rFonts w:cs="Arial"/>
        </w:rPr>
        <w:t xml:space="preserve"> and SDG 10- Reduced Inequalities, critically examining them and providing suitable recommendations. Followed by this, a concluding section has been included to provide a summary of key points obtained from the critical analysis of existing policies and initiatives.</w:t>
      </w:r>
    </w:p>
    <w:p w14:paraId="7B2BB36A" w14:textId="12F88648" w:rsidR="00C46FE1" w:rsidRPr="00F277B9" w:rsidRDefault="00C46FE1" w:rsidP="00CB7A82">
      <w:pPr>
        <w:pStyle w:val="Heading1"/>
        <w:rPr>
          <w:rFonts w:cs="Arial"/>
          <w:szCs w:val="22"/>
        </w:rPr>
      </w:pPr>
      <w:bookmarkStart w:id="1" w:name="_Toc221810945"/>
      <w:r w:rsidRPr="00F277B9">
        <w:rPr>
          <w:rFonts w:cs="Arial"/>
          <w:szCs w:val="22"/>
        </w:rPr>
        <w:t xml:space="preserve">Section 1: SDG 3- Good Health and </w:t>
      </w:r>
      <w:bookmarkEnd w:id="1"/>
      <w:r w:rsidR="002C7B29" w:rsidRPr="00F277B9">
        <w:rPr>
          <w:rFonts w:cs="Arial"/>
          <w:szCs w:val="22"/>
        </w:rPr>
        <w:t>Well-being</w:t>
      </w:r>
      <w:r w:rsidR="00A70801" w:rsidRPr="00F277B9">
        <w:rPr>
          <w:rFonts w:cs="Arial"/>
          <w:szCs w:val="22"/>
        </w:rPr>
        <w:t xml:space="preserve"> </w:t>
      </w:r>
    </w:p>
    <w:p w14:paraId="1817E4C2" w14:textId="77777777" w:rsidR="0073356F" w:rsidRPr="00F277B9" w:rsidRDefault="0073356F" w:rsidP="00CB7A82">
      <w:pPr>
        <w:pStyle w:val="Heading2"/>
        <w:rPr>
          <w:rFonts w:cs="Arial"/>
          <w:szCs w:val="22"/>
        </w:rPr>
      </w:pPr>
      <w:bookmarkStart w:id="2" w:name="_Toc221810946"/>
      <w:r w:rsidRPr="00F277B9">
        <w:rPr>
          <w:rFonts w:cs="Arial"/>
          <w:szCs w:val="22"/>
        </w:rPr>
        <w:t>Overview of SDG 3.</w:t>
      </w:r>
      <w:bookmarkEnd w:id="2"/>
    </w:p>
    <w:p w14:paraId="12A6C42D" w14:textId="57A23DB8" w:rsidR="000A2DF2" w:rsidRPr="00F277B9" w:rsidRDefault="000A2DF2" w:rsidP="00CB7A82">
      <w:pPr>
        <w:jc w:val="left"/>
        <w:rPr>
          <w:rFonts w:cs="Arial"/>
        </w:rPr>
      </w:pPr>
      <w:r w:rsidRPr="00F277B9">
        <w:rPr>
          <w:rFonts w:cs="Arial"/>
        </w:rPr>
        <w:t xml:space="preserve">The fundamental aim of SDG 3 is </w:t>
      </w:r>
      <w:r w:rsidR="002C7B29" w:rsidRPr="00F277B9">
        <w:rPr>
          <w:rFonts w:cs="Arial"/>
        </w:rPr>
        <w:t>to improve</w:t>
      </w:r>
      <w:r w:rsidRPr="00F277B9">
        <w:rPr>
          <w:rFonts w:cs="Arial"/>
        </w:rPr>
        <w:t xml:space="preserve"> the health of an entire population of a country by reducing premature death and premature suffering </w:t>
      </w:r>
      <w:r w:rsidR="002C7B29" w:rsidRPr="00F277B9">
        <w:rPr>
          <w:rFonts w:cs="Arial"/>
        </w:rPr>
        <w:t>caused</w:t>
      </w:r>
      <w:r w:rsidRPr="00F277B9">
        <w:rPr>
          <w:rFonts w:cs="Arial"/>
        </w:rPr>
        <w:t xml:space="preserve"> by preventable diseases</w:t>
      </w:r>
      <w:r w:rsidR="002D2277" w:rsidRPr="00F277B9">
        <w:rPr>
          <w:rFonts w:cs="Arial"/>
        </w:rPr>
        <w:t xml:space="preserve"> (UNICEF, 2026a)</w:t>
      </w:r>
      <w:r w:rsidRPr="00F277B9">
        <w:rPr>
          <w:rFonts w:cs="Arial"/>
        </w:rPr>
        <w:t>.</w:t>
      </w:r>
      <w:r w:rsidR="00A9335A" w:rsidRPr="00F277B9">
        <w:rPr>
          <w:rFonts w:cs="Arial"/>
        </w:rPr>
        <w:t xml:space="preserve"> </w:t>
      </w:r>
    </w:p>
    <w:p w14:paraId="67AF9288" w14:textId="77777777" w:rsidR="0073356F" w:rsidRPr="00F277B9" w:rsidRDefault="0073356F" w:rsidP="00CB7A82">
      <w:pPr>
        <w:pStyle w:val="Heading2"/>
        <w:rPr>
          <w:rFonts w:cs="Arial"/>
          <w:szCs w:val="22"/>
        </w:rPr>
      </w:pPr>
      <w:bookmarkStart w:id="3" w:name="_Toc221810947"/>
      <w:r w:rsidRPr="00F277B9">
        <w:rPr>
          <w:rFonts w:cs="Arial"/>
          <w:szCs w:val="22"/>
        </w:rPr>
        <w:t>Critical evaluation of global policies and/or initiatives.</w:t>
      </w:r>
      <w:bookmarkEnd w:id="3"/>
    </w:p>
    <w:p w14:paraId="068786DE" w14:textId="3E6F7830" w:rsidR="00B96949" w:rsidRPr="00F277B9" w:rsidRDefault="00B96949" w:rsidP="00CB7A82">
      <w:pPr>
        <w:jc w:val="left"/>
        <w:rPr>
          <w:rFonts w:cs="Arial"/>
        </w:rPr>
      </w:pPr>
      <w:r w:rsidRPr="00F277B9">
        <w:rPr>
          <w:rFonts w:cs="Arial"/>
        </w:rPr>
        <w:t xml:space="preserve">Around 133 countries have achieved this SDG goal on under-5 mortality, as of 2023. Since 2010, AIDS-related deaths have significantly reduced due to effective HIV treatment, while at least one neglected tropical disease has been eradicated across 54 countries, as of 2024 (United Nations, 2026a). Although these global initiatives have helped </w:t>
      </w:r>
      <w:r w:rsidR="002C7B29" w:rsidRPr="00F277B9">
        <w:rPr>
          <w:rFonts w:cs="Arial"/>
        </w:rPr>
        <w:t>improve</w:t>
      </w:r>
      <w:r w:rsidRPr="00F277B9">
        <w:rPr>
          <w:rFonts w:cs="Arial"/>
        </w:rPr>
        <w:t xml:space="preserve"> people’s health in recent years, health inequalities </w:t>
      </w:r>
      <w:proofErr w:type="gramStart"/>
      <w:r w:rsidRPr="00F277B9">
        <w:rPr>
          <w:rFonts w:cs="Arial"/>
        </w:rPr>
        <w:t>still persist</w:t>
      </w:r>
      <w:proofErr w:type="gramEnd"/>
      <w:r w:rsidRPr="00F277B9">
        <w:rPr>
          <w:rFonts w:cs="Arial"/>
        </w:rPr>
        <w:t xml:space="preserve"> across the world. This was predominantly evident with the outbreak of the COVID-19 pandemic, which also hampered the progress towards achieving SDG 3 (United Nations, 2026a). In comparison to pre-pandemic levels, there has been a considerable decrease in childhood vaccination rates</w:t>
      </w:r>
      <w:r w:rsidR="002C7B29" w:rsidRPr="00F277B9">
        <w:rPr>
          <w:rFonts w:cs="Arial"/>
        </w:rPr>
        <w:t>,</w:t>
      </w:r>
      <w:r w:rsidRPr="00F277B9">
        <w:rPr>
          <w:rFonts w:cs="Arial"/>
        </w:rPr>
        <w:t xml:space="preserve"> with </w:t>
      </w:r>
      <w:r w:rsidR="002C7B29" w:rsidRPr="00F277B9">
        <w:rPr>
          <w:rFonts w:cs="Arial"/>
        </w:rPr>
        <w:t xml:space="preserve">an </w:t>
      </w:r>
      <w:r w:rsidRPr="00F277B9">
        <w:rPr>
          <w:rFonts w:cs="Arial"/>
        </w:rPr>
        <w:t>increase in malaria and tuberculosis cases. Moreover, health inequalities have increased for people with disabilities</w:t>
      </w:r>
      <w:r w:rsidR="002C7B29" w:rsidRPr="00F277B9">
        <w:rPr>
          <w:rFonts w:cs="Arial"/>
        </w:rPr>
        <w:t>,</w:t>
      </w:r>
      <w:r w:rsidRPr="00F277B9">
        <w:rPr>
          <w:rFonts w:cs="Arial"/>
        </w:rPr>
        <w:t xml:space="preserve"> while individuals experiencing disparities have been exposed to vaccine inequality as well (Bond, 2022a). </w:t>
      </w:r>
      <w:r w:rsidR="00B544DB" w:rsidRPr="00F277B9">
        <w:rPr>
          <w:rFonts w:cs="Arial"/>
        </w:rPr>
        <w:t xml:space="preserve">Additionally, existing studies highlight that since health outcomes are significantly impacted by determinants like income inequality, housing, education, and health system; thus, policy effectiveness should be evaluated </w:t>
      </w:r>
      <w:r w:rsidR="00303B57" w:rsidRPr="00F277B9">
        <w:rPr>
          <w:rFonts w:cs="Arial"/>
        </w:rPr>
        <w:t>by addressing these factors (</w:t>
      </w:r>
      <w:r w:rsidR="00197DA7" w:rsidRPr="00F277B9">
        <w:rPr>
          <w:rFonts w:cs="Arial"/>
        </w:rPr>
        <w:t xml:space="preserve">Tzenios, 2019; Marmot, 2017). </w:t>
      </w:r>
    </w:p>
    <w:p w14:paraId="0752976B" w14:textId="7E86E750" w:rsidR="00B96949" w:rsidRPr="00F277B9" w:rsidRDefault="00B96949" w:rsidP="00CB7A82">
      <w:pPr>
        <w:jc w:val="left"/>
        <w:rPr>
          <w:rFonts w:cs="Arial"/>
        </w:rPr>
      </w:pPr>
      <w:r w:rsidRPr="00F277B9">
        <w:rPr>
          <w:rFonts w:cs="Arial"/>
        </w:rPr>
        <w:lastRenderedPageBreak/>
        <w:t xml:space="preserve">This highlights </w:t>
      </w:r>
      <w:r w:rsidR="002C7B29" w:rsidRPr="00F277B9">
        <w:rPr>
          <w:rFonts w:cs="Arial"/>
        </w:rPr>
        <w:t xml:space="preserve">the </w:t>
      </w:r>
      <w:r w:rsidRPr="00F277B9">
        <w:rPr>
          <w:rFonts w:cs="Arial"/>
        </w:rPr>
        <w:t xml:space="preserve">lack of even implementation of effective policies, which exposed the fragility and vulnerability </w:t>
      </w:r>
      <w:r w:rsidR="002C7B29" w:rsidRPr="00F277B9">
        <w:rPr>
          <w:rFonts w:cs="Arial"/>
        </w:rPr>
        <w:t xml:space="preserve">of </w:t>
      </w:r>
      <w:r w:rsidRPr="00F277B9">
        <w:rPr>
          <w:rFonts w:cs="Arial"/>
        </w:rPr>
        <w:t xml:space="preserve">current health systems. As a result, healthcare professionals and governments could not ensure equitable vaccine distribution due to </w:t>
      </w:r>
      <w:r w:rsidR="002C7B29" w:rsidRPr="00F277B9">
        <w:rPr>
          <w:rFonts w:cs="Arial"/>
        </w:rPr>
        <w:t xml:space="preserve">a </w:t>
      </w:r>
      <w:r w:rsidRPr="00F277B9">
        <w:rPr>
          <w:rFonts w:cs="Arial"/>
        </w:rPr>
        <w:t xml:space="preserve">lack of adequate funds, thereby slowing down the progress towards SDG 3 outcomes. Moreover, the pandemic outbreak further clarified </w:t>
      </w:r>
      <w:r w:rsidR="002C7B29" w:rsidRPr="00F277B9">
        <w:rPr>
          <w:rFonts w:cs="Arial"/>
        </w:rPr>
        <w:t xml:space="preserve">the </w:t>
      </w:r>
      <w:r w:rsidRPr="00F277B9">
        <w:rPr>
          <w:rFonts w:cs="Arial"/>
        </w:rPr>
        <w:t xml:space="preserve">lack of preparedness and planning, ineffective governance systems, and structural inequalities globally. </w:t>
      </w:r>
    </w:p>
    <w:p w14:paraId="5595641D" w14:textId="496C12EB" w:rsidR="0073356F" w:rsidRPr="00F277B9" w:rsidRDefault="0073356F" w:rsidP="00CB7A82">
      <w:pPr>
        <w:pStyle w:val="Heading2"/>
        <w:rPr>
          <w:rFonts w:cs="Arial"/>
          <w:szCs w:val="22"/>
        </w:rPr>
      </w:pPr>
      <w:bookmarkStart w:id="4" w:name="_Toc221810948"/>
      <w:r w:rsidRPr="00F277B9">
        <w:rPr>
          <w:rFonts w:cs="Arial"/>
          <w:szCs w:val="22"/>
        </w:rPr>
        <w:t>Critical evaluation of national and local examples</w:t>
      </w:r>
      <w:bookmarkEnd w:id="4"/>
    </w:p>
    <w:p w14:paraId="5FB40157" w14:textId="7CD56050" w:rsidR="00953185" w:rsidRPr="00F277B9" w:rsidRDefault="00953185" w:rsidP="00CB7A82">
      <w:pPr>
        <w:jc w:val="left"/>
        <w:rPr>
          <w:rFonts w:cs="Arial"/>
        </w:rPr>
      </w:pPr>
      <w:proofErr w:type="gramStart"/>
      <w:r w:rsidRPr="00F277B9">
        <w:rPr>
          <w:rFonts w:cs="Arial"/>
        </w:rPr>
        <w:t>In order to</w:t>
      </w:r>
      <w:proofErr w:type="gramEnd"/>
      <w:r w:rsidRPr="00F277B9">
        <w:rPr>
          <w:rFonts w:cs="Arial"/>
        </w:rPr>
        <w:t xml:space="preserve"> achieve SDG 3: Good health and wellbeing, various local and national initiatives and strategies are undertaken in the UK. For instance, </w:t>
      </w:r>
      <w:r w:rsidR="002C7B29" w:rsidRPr="00F277B9">
        <w:rPr>
          <w:rFonts w:cs="Arial"/>
        </w:rPr>
        <w:t xml:space="preserve">the </w:t>
      </w:r>
      <w:r w:rsidRPr="00F277B9">
        <w:rPr>
          <w:rFonts w:cs="Arial"/>
        </w:rPr>
        <w:t xml:space="preserve">UK has demonstrated strong performance on many SDG 3 targets due to the universal access to healthcare services through the NHS (Jefferies, 2023). Some challenges have been observed in the areas of maternal mortality rate, neonatal mortality rate, vaccination of children and life expectancy at birth. This indicates consistent gaps in the UK local and national policies, which continue to accelerate health, socioeconomic, gender and ethnic inequalities, thereby highlighting the importance to focus on meeting this goal by 2030. Furthermore, the country has performed well to achieve various targets, such as 3.1, 3.2, 3.3, 3.6, 3.8 and 3.a. This demonstrates that it has been working effectively towards reducing the global maternal mortality rates and preventable deaths among newborns and children (House of Lords, 2020). </w:t>
      </w:r>
    </w:p>
    <w:p w14:paraId="17A45906" w14:textId="6698DBF1" w:rsidR="00953185" w:rsidRPr="00F277B9" w:rsidRDefault="00953185" w:rsidP="00CB7A82">
      <w:pPr>
        <w:jc w:val="left"/>
        <w:rPr>
          <w:rFonts w:cs="Arial"/>
        </w:rPr>
      </w:pPr>
      <w:r w:rsidRPr="00F277B9">
        <w:rPr>
          <w:rFonts w:cs="Arial"/>
        </w:rPr>
        <w:t xml:space="preserve">Moreover, implementation of effective policies has ensured </w:t>
      </w:r>
      <w:r w:rsidR="002C7B29" w:rsidRPr="00F277B9">
        <w:rPr>
          <w:rFonts w:cs="Arial"/>
        </w:rPr>
        <w:t>the end</w:t>
      </w:r>
      <w:r w:rsidRPr="00F277B9">
        <w:rPr>
          <w:rFonts w:cs="Arial"/>
        </w:rPr>
        <w:t xml:space="preserve"> of the epidemics of AIDS, tropical diseases, malaria and tuberculosis, </w:t>
      </w:r>
      <w:r w:rsidR="002C7B29" w:rsidRPr="00F277B9">
        <w:rPr>
          <w:rFonts w:cs="Arial"/>
        </w:rPr>
        <w:t>decreased</w:t>
      </w:r>
      <w:r w:rsidRPr="00F277B9">
        <w:rPr>
          <w:rFonts w:cs="Arial"/>
        </w:rPr>
        <w:t xml:space="preserve"> road accident deaths and injuries and </w:t>
      </w:r>
      <w:r w:rsidR="002C7B29" w:rsidRPr="00F277B9">
        <w:rPr>
          <w:rFonts w:cs="Arial"/>
        </w:rPr>
        <w:t>achieved</w:t>
      </w:r>
      <w:r w:rsidRPr="00F277B9">
        <w:rPr>
          <w:rFonts w:cs="Arial"/>
        </w:rPr>
        <w:t xml:space="preserve"> universal health coverage. However, significant policy gaps and inequalities </w:t>
      </w:r>
      <w:proofErr w:type="gramStart"/>
      <w:r w:rsidRPr="00F277B9">
        <w:rPr>
          <w:rFonts w:cs="Arial"/>
        </w:rPr>
        <w:t>still persist</w:t>
      </w:r>
      <w:proofErr w:type="gramEnd"/>
      <w:r w:rsidRPr="00F277B9">
        <w:rPr>
          <w:rFonts w:cs="Arial"/>
        </w:rPr>
        <w:t xml:space="preserve"> in providing equal access to sexual and reproductive health, reducing deaths from hazardous chemicals, treating substance abuse and non-communicable diseases (UN Global Compact, 2022). These inequalities have further accelerated after the pandemic outbreak, thereby widening health inequalities for disabled people, individuals from minority backgrounds, and </w:t>
      </w:r>
      <w:r w:rsidR="002C7B29" w:rsidRPr="00F277B9">
        <w:rPr>
          <w:rFonts w:cs="Arial"/>
        </w:rPr>
        <w:t xml:space="preserve">those </w:t>
      </w:r>
      <w:r w:rsidRPr="00F277B9">
        <w:rPr>
          <w:rFonts w:cs="Arial"/>
        </w:rPr>
        <w:t>living across deprived areas (Bond, 2022a).</w:t>
      </w:r>
    </w:p>
    <w:p w14:paraId="78D6B393" w14:textId="094B0F78" w:rsidR="00953185" w:rsidRPr="00F277B9" w:rsidRDefault="00953185" w:rsidP="00CB7A82">
      <w:pPr>
        <w:jc w:val="left"/>
        <w:rPr>
          <w:rFonts w:cs="Arial"/>
        </w:rPr>
      </w:pPr>
      <w:r w:rsidRPr="00F277B9">
        <w:rPr>
          <w:rFonts w:cs="Arial"/>
        </w:rPr>
        <w:t xml:space="preserve">Although noteworthy policy progress has been made in the UK, SDG 3 outcomes highlight various implementation and equity gaps. The presence of structural socioeconomic and ethnic inequalities </w:t>
      </w:r>
      <w:r w:rsidR="002C7B29" w:rsidRPr="00F277B9">
        <w:rPr>
          <w:rFonts w:cs="Arial"/>
        </w:rPr>
        <w:t>suggests</w:t>
      </w:r>
      <w:r w:rsidRPr="00F277B9">
        <w:rPr>
          <w:rFonts w:cs="Arial"/>
        </w:rPr>
        <w:t xml:space="preserve"> that </w:t>
      </w:r>
      <w:r w:rsidR="002C7B29" w:rsidRPr="00F277B9">
        <w:rPr>
          <w:rFonts w:cs="Arial"/>
        </w:rPr>
        <w:t xml:space="preserve">the </w:t>
      </w:r>
      <w:r w:rsidRPr="00F277B9">
        <w:rPr>
          <w:rFonts w:cs="Arial"/>
        </w:rPr>
        <w:t xml:space="preserve">lack of universal coverage led to unequitable health outcomes. Moreover, ineffectiveness in targeted interventions, fragile systems, inadequate local </w:t>
      </w:r>
      <w:r w:rsidR="005D2098" w:rsidRPr="00F277B9">
        <w:rPr>
          <w:rFonts w:cs="Arial"/>
        </w:rPr>
        <w:t>accountability,</w:t>
      </w:r>
      <w:r w:rsidRPr="00F277B9">
        <w:rPr>
          <w:rFonts w:cs="Arial"/>
        </w:rPr>
        <w:t xml:space="preserve"> and mechanisms failed to meet </w:t>
      </w:r>
      <w:r w:rsidR="002C7B29" w:rsidRPr="00F277B9">
        <w:rPr>
          <w:rFonts w:cs="Arial"/>
        </w:rPr>
        <w:t xml:space="preserve">the </w:t>
      </w:r>
      <w:r w:rsidRPr="00F277B9">
        <w:rPr>
          <w:rFonts w:cs="Arial"/>
        </w:rPr>
        <w:t>health needs of vulnerable populations, as exposed by the pandemic.</w:t>
      </w:r>
      <w:r w:rsidR="00197DA7" w:rsidRPr="00F277B9">
        <w:rPr>
          <w:rFonts w:cs="Arial"/>
        </w:rPr>
        <w:t xml:space="preserve"> Thus, these limitations not only raise questions regarding the sustainability and equity of positive health outcomes but also </w:t>
      </w:r>
      <w:r w:rsidR="002C7B29" w:rsidRPr="00F277B9">
        <w:rPr>
          <w:rFonts w:cs="Arial"/>
        </w:rPr>
        <w:t>highlight</w:t>
      </w:r>
      <w:r w:rsidR="00197DA7" w:rsidRPr="00F277B9">
        <w:rPr>
          <w:rFonts w:cs="Arial"/>
        </w:rPr>
        <w:t xml:space="preserve"> existing gaps between outcomes and policy objectives.</w:t>
      </w:r>
    </w:p>
    <w:p w14:paraId="5F2E9E46" w14:textId="37A4C6AD" w:rsidR="0073356F" w:rsidRPr="00F277B9" w:rsidRDefault="0073356F" w:rsidP="00CB7A82">
      <w:pPr>
        <w:pStyle w:val="Heading2"/>
        <w:rPr>
          <w:rFonts w:cs="Arial"/>
          <w:szCs w:val="22"/>
        </w:rPr>
      </w:pPr>
      <w:bookmarkStart w:id="5" w:name="_Toc221810949"/>
      <w:r w:rsidRPr="00F277B9">
        <w:rPr>
          <w:rFonts w:cs="Arial"/>
          <w:szCs w:val="22"/>
        </w:rPr>
        <w:lastRenderedPageBreak/>
        <w:t>Use of theories/models</w:t>
      </w:r>
      <w:bookmarkEnd w:id="5"/>
      <w:r w:rsidRPr="00F277B9">
        <w:rPr>
          <w:rFonts w:cs="Arial"/>
          <w:szCs w:val="22"/>
        </w:rPr>
        <w:t xml:space="preserve"> </w:t>
      </w:r>
    </w:p>
    <w:p w14:paraId="75EB082E" w14:textId="31BF5CAA" w:rsidR="009573DB" w:rsidRPr="00F277B9" w:rsidRDefault="009573DB" w:rsidP="00CB7A82">
      <w:pPr>
        <w:jc w:val="left"/>
        <w:rPr>
          <w:rFonts w:cs="Arial"/>
        </w:rPr>
      </w:pPr>
      <w:r w:rsidRPr="00F277B9">
        <w:rPr>
          <w:rFonts w:cs="Arial"/>
        </w:rPr>
        <w:t xml:space="preserve">According to the Social Determinants of Health theory, the evaluation demonstrated the impact of socioeconomic factors like income, housing, education, and society </w:t>
      </w:r>
      <w:r w:rsidR="002C7B29" w:rsidRPr="00F277B9">
        <w:rPr>
          <w:rFonts w:cs="Arial"/>
        </w:rPr>
        <w:t>on</w:t>
      </w:r>
      <w:r w:rsidRPr="00F277B9">
        <w:rPr>
          <w:rFonts w:cs="Arial"/>
        </w:rPr>
        <w:t xml:space="preserve"> health outcomes</w:t>
      </w:r>
      <w:r w:rsidR="002C7B29" w:rsidRPr="00F277B9">
        <w:rPr>
          <w:rFonts w:cs="Arial"/>
        </w:rPr>
        <w:t>,</w:t>
      </w:r>
      <w:r w:rsidRPr="00F277B9">
        <w:rPr>
          <w:rFonts w:cs="Arial"/>
        </w:rPr>
        <w:t xml:space="preserve"> resulting in inequality in the global and UK health sector (Shokouh </w:t>
      </w:r>
      <w:r w:rsidRPr="00F277B9">
        <w:rPr>
          <w:rFonts w:cs="Arial"/>
          <w:i/>
          <w:iCs/>
        </w:rPr>
        <w:t>et al</w:t>
      </w:r>
      <w:r w:rsidRPr="00F277B9">
        <w:rPr>
          <w:rFonts w:cs="Arial"/>
        </w:rPr>
        <w:t xml:space="preserve">., 2017). Although the Welfare State theory shows the importance of utilising national policies like the NHS to ensure universal access to health, </w:t>
      </w:r>
      <w:r w:rsidR="002C7B29" w:rsidRPr="00F277B9">
        <w:rPr>
          <w:rFonts w:cs="Arial"/>
        </w:rPr>
        <w:t xml:space="preserve">the </w:t>
      </w:r>
      <w:r w:rsidRPr="00F277B9">
        <w:rPr>
          <w:rFonts w:cs="Arial"/>
        </w:rPr>
        <w:t xml:space="preserve">lack of implementation was evident from persistent health disparities (Neundorf and Soroka, 2018). Moreover, theories at </w:t>
      </w:r>
      <w:r w:rsidR="002C7B29" w:rsidRPr="00F277B9">
        <w:rPr>
          <w:rFonts w:cs="Arial"/>
        </w:rPr>
        <w:t xml:space="preserve">the </w:t>
      </w:r>
      <w:r w:rsidRPr="00F277B9">
        <w:rPr>
          <w:rFonts w:cs="Arial"/>
        </w:rPr>
        <w:t>local level, such as the Community Health Systems theory</w:t>
      </w:r>
      <w:r w:rsidR="002C7B29" w:rsidRPr="00F277B9">
        <w:rPr>
          <w:rFonts w:cs="Arial"/>
        </w:rPr>
        <w:t>,</w:t>
      </w:r>
      <w:r w:rsidRPr="00F277B9">
        <w:rPr>
          <w:rFonts w:cs="Arial"/>
        </w:rPr>
        <w:t xml:space="preserve"> identified how uneven policy implementation with gender, disability</w:t>
      </w:r>
      <w:r w:rsidR="002C7B29" w:rsidRPr="00F277B9">
        <w:rPr>
          <w:rFonts w:cs="Arial"/>
        </w:rPr>
        <w:t>,</w:t>
      </w:r>
      <w:r w:rsidRPr="00F277B9">
        <w:rPr>
          <w:rFonts w:cs="Arial"/>
        </w:rPr>
        <w:t xml:space="preserve"> or ethnicity-based identities </w:t>
      </w:r>
      <w:r w:rsidR="002C7B29" w:rsidRPr="00F277B9">
        <w:rPr>
          <w:rFonts w:cs="Arial"/>
        </w:rPr>
        <w:t>creates</w:t>
      </w:r>
      <w:r w:rsidRPr="00F277B9">
        <w:rPr>
          <w:rFonts w:cs="Arial"/>
        </w:rPr>
        <w:t xml:space="preserve"> disadvantages for these minority people and policy gaps in healthcare access.</w:t>
      </w:r>
    </w:p>
    <w:p w14:paraId="4C8A87DF" w14:textId="3345F5BC" w:rsidR="00B13018" w:rsidRPr="00F277B9" w:rsidRDefault="0073356F" w:rsidP="00CB7A82">
      <w:pPr>
        <w:pStyle w:val="Heading2"/>
        <w:rPr>
          <w:rFonts w:cs="Arial"/>
          <w:szCs w:val="22"/>
        </w:rPr>
      </w:pPr>
      <w:bookmarkStart w:id="6" w:name="_Toc221810950"/>
      <w:r w:rsidRPr="00F277B9">
        <w:rPr>
          <w:rFonts w:cs="Arial"/>
          <w:szCs w:val="22"/>
        </w:rPr>
        <w:t>Recommendations</w:t>
      </w:r>
      <w:bookmarkEnd w:id="6"/>
      <w:r w:rsidRPr="00F277B9">
        <w:rPr>
          <w:rFonts w:cs="Arial"/>
          <w:szCs w:val="22"/>
        </w:rPr>
        <w:t xml:space="preserve"> </w:t>
      </w:r>
    </w:p>
    <w:p w14:paraId="68BDBB95" w14:textId="6A0214B1" w:rsidR="001077E8" w:rsidRPr="00F277B9" w:rsidRDefault="001077E8" w:rsidP="00CB7A82">
      <w:pPr>
        <w:jc w:val="left"/>
        <w:rPr>
          <w:rFonts w:cs="Arial"/>
        </w:rPr>
      </w:pPr>
      <w:r w:rsidRPr="00F277B9">
        <w:rPr>
          <w:rFonts w:cs="Arial"/>
        </w:rPr>
        <w:t>Governments and healthcare institutions must undertake targeted social determinant interventions to reduce inequalities</w:t>
      </w:r>
      <w:r w:rsidR="002C7B29" w:rsidRPr="00F277B9">
        <w:rPr>
          <w:rFonts w:cs="Arial"/>
        </w:rPr>
        <w:t>,</w:t>
      </w:r>
      <w:r w:rsidRPr="00F277B9">
        <w:rPr>
          <w:rFonts w:cs="Arial"/>
        </w:rPr>
        <w:t xml:space="preserve"> but these may fail without adequate cross-sector coordination and long-term funding. Although improved monitoring can help enhance accountability of local systems and national agencies, incomplete data and inconsistent </w:t>
      </w:r>
      <w:r w:rsidR="002C7B29" w:rsidRPr="00F277B9">
        <w:rPr>
          <w:rFonts w:cs="Arial"/>
        </w:rPr>
        <w:t>reports</w:t>
      </w:r>
      <w:r w:rsidRPr="00F277B9">
        <w:rPr>
          <w:rFonts w:cs="Arial"/>
        </w:rPr>
        <w:t xml:space="preserve"> may limit its effectiveness.  Furthermore, community-based services must be implemented to reduce health disparities; however, consistent delivery cannot be ensured due to </w:t>
      </w:r>
      <w:r w:rsidR="002C7B29" w:rsidRPr="00F277B9">
        <w:rPr>
          <w:rFonts w:cs="Arial"/>
        </w:rPr>
        <w:t xml:space="preserve">a </w:t>
      </w:r>
      <w:r w:rsidRPr="00F277B9">
        <w:rPr>
          <w:rFonts w:cs="Arial"/>
        </w:rPr>
        <w:t xml:space="preserve">lack of workforce and cultural competency to deal with diverse people. Moreover, while policies can be introduced to expand reproductive and mental health services, ethical and cultural resistance may hinder implementation. Despite these recommendations being evidence-based, without integrated policy, adequate resources, and political will, </w:t>
      </w:r>
      <w:r w:rsidR="002C7B29" w:rsidRPr="00F277B9">
        <w:rPr>
          <w:rFonts w:cs="Arial"/>
        </w:rPr>
        <w:t>they</w:t>
      </w:r>
      <w:r w:rsidRPr="00F277B9">
        <w:rPr>
          <w:rFonts w:cs="Arial"/>
        </w:rPr>
        <w:t xml:space="preserve"> cannot guarantee progress toward achieving SDG 3.</w:t>
      </w:r>
    </w:p>
    <w:p w14:paraId="125CC80E" w14:textId="64042D84" w:rsidR="00C46FE1" w:rsidRPr="00F277B9" w:rsidRDefault="00C46FE1" w:rsidP="00CB7A82">
      <w:pPr>
        <w:pStyle w:val="Heading1"/>
        <w:rPr>
          <w:rFonts w:cs="Arial"/>
          <w:szCs w:val="22"/>
        </w:rPr>
      </w:pPr>
      <w:bookmarkStart w:id="7" w:name="_Toc221810951"/>
      <w:r w:rsidRPr="00F277B9">
        <w:rPr>
          <w:rFonts w:cs="Arial"/>
          <w:szCs w:val="22"/>
        </w:rPr>
        <w:t xml:space="preserve">Section 2: </w:t>
      </w:r>
      <w:r w:rsidR="00CB6986" w:rsidRPr="00F277B9">
        <w:rPr>
          <w:rFonts w:cs="Arial"/>
          <w:szCs w:val="22"/>
        </w:rPr>
        <w:t>SDG 10:</w:t>
      </w:r>
      <w:r w:rsidR="00A70801" w:rsidRPr="00F277B9">
        <w:rPr>
          <w:rFonts w:cs="Arial"/>
          <w:szCs w:val="22"/>
        </w:rPr>
        <w:t xml:space="preserve"> </w:t>
      </w:r>
      <w:r w:rsidR="00CB6986" w:rsidRPr="00F277B9">
        <w:rPr>
          <w:rFonts w:cs="Arial"/>
          <w:szCs w:val="22"/>
        </w:rPr>
        <w:t>Reduce Inequalities</w:t>
      </w:r>
      <w:bookmarkEnd w:id="7"/>
    </w:p>
    <w:p w14:paraId="196361FB" w14:textId="353FC801" w:rsidR="00CB6986" w:rsidRPr="00F277B9" w:rsidRDefault="00CB6986" w:rsidP="00CB7A82">
      <w:pPr>
        <w:pStyle w:val="Heading2"/>
        <w:rPr>
          <w:rFonts w:cs="Arial"/>
          <w:szCs w:val="22"/>
        </w:rPr>
      </w:pPr>
      <w:bookmarkStart w:id="8" w:name="_Toc221810952"/>
      <w:r w:rsidRPr="00F277B9">
        <w:rPr>
          <w:rFonts w:cs="Arial"/>
          <w:szCs w:val="22"/>
        </w:rPr>
        <w:t>Overview</w:t>
      </w:r>
      <w:bookmarkEnd w:id="8"/>
    </w:p>
    <w:p w14:paraId="62FE257D" w14:textId="04764C6F" w:rsidR="006C0059" w:rsidRPr="00F277B9" w:rsidRDefault="006C0059" w:rsidP="00CB7A82">
      <w:pPr>
        <w:jc w:val="left"/>
        <w:rPr>
          <w:rFonts w:cs="Arial"/>
        </w:rPr>
      </w:pPr>
      <w:r w:rsidRPr="00F277B9">
        <w:rPr>
          <w:rFonts w:cs="Arial"/>
        </w:rPr>
        <w:t xml:space="preserve">This sustainability goal focuses on reducing inequalities within and among countries </w:t>
      </w:r>
      <w:r w:rsidR="0008335A" w:rsidRPr="00F277B9">
        <w:rPr>
          <w:rFonts w:cs="Arial"/>
        </w:rPr>
        <w:t xml:space="preserve">by empowering people and </w:t>
      </w:r>
      <w:r w:rsidR="00FC76E2" w:rsidRPr="00F277B9">
        <w:rPr>
          <w:rFonts w:cs="Arial"/>
        </w:rPr>
        <w:t>improving inclusiveness</w:t>
      </w:r>
      <w:r w:rsidR="00430549" w:rsidRPr="00F277B9">
        <w:rPr>
          <w:rFonts w:cs="Arial"/>
        </w:rPr>
        <w:t xml:space="preserve"> (UNICEF, 2026b)</w:t>
      </w:r>
      <w:r w:rsidR="00FC76E2" w:rsidRPr="00F277B9">
        <w:rPr>
          <w:rFonts w:cs="Arial"/>
        </w:rPr>
        <w:t>. These inequalities are mainly experienced by people living in poverty, belonging to minority background</w:t>
      </w:r>
      <w:r w:rsidR="0004578B" w:rsidRPr="00F277B9">
        <w:rPr>
          <w:rFonts w:cs="Arial"/>
        </w:rPr>
        <w:t>s</w:t>
      </w:r>
      <w:r w:rsidR="00FC76E2" w:rsidRPr="00F277B9">
        <w:rPr>
          <w:rFonts w:cs="Arial"/>
        </w:rPr>
        <w:t>, and living across deprived regions</w:t>
      </w:r>
      <w:r w:rsidR="00A2021D" w:rsidRPr="00F277B9">
        <w:rPr>
          <w:rFonts w:cs="Arial"/>
        </w:rPr>
        <w:t xml:space="preserve"> (World Bank Group, 2019)</w:t>
      </w:r>
      <w:r w:rsidR="009C7A9B" w:rsidRPr="00F277B9">
        <w:rPr>
          <w:rFonts w:cs="Arial"/>
        </w:rPr>
        <w:t>.</w:t>
      </w:r>
      <w:r w:rsidR="005D317F" w:rsidRPr="00F277B9">
        <w:rPr>
          <w:rFonts w:cs="Arial"/>
        </w:rPr>
        <w:t xml:space="preserve"> </w:t>
      </w:r>
      <w:r w:rsidR="00A14C2C" w:rsidRPr="00F277B9">
        <w:rPr>
          <w:rFonts w:cs="Arial"/>
        </w:rPr>
        <w:t xml:space="preserve">While these inequalities are addressed under SDG 10, they are interlinked to SDG 3 of enhancing health outcomes and wellbeing. This is because increased regional </w:t>
      </w:r>
      <w:r w:rsidR="00A2021D" w:rsidRPr="00F277B9">
        <w:rPr>
          <w:rFonts w:cs="Arial"/>
        </w:rPr>
        <w:t>disparities, socioeconomic deprivation and discrimination are factors that restrict access to healthcare services, which shows the connection between social factors and health outcomes.</w:t>
      </w:r>
    </w:p>
    <w:p w14:paraId="28667683" w14:textId="15829B6A" w:rsidR="00CB6986" w:rsidRPr="00F277B9" w:rsidRDefault="00CB6986" w:rsidP="00CB7A82">
      <w:pPr>
        <w:pStyle w:val="Heading2"/>
        <w:rPr>
          <w:rFonts w:cs="Arial"/>
          <w:szCs w:val="22"/>
        </w:rPr>
      </w:pPr>
      <w:bookmarkStart w:id="9" w:name="_Toc221810953"/>
      <w:r w:rsidRPr="00F277B9">
        <w:rPr>
          <w:rFonts w:cs="Arial"/>
          <w:szCs w:val="22"/>
        </w:rPr>
        <w:lastRenderedPageBreak/>
        <w:t>Critical evaluation of global policies and/or initiatives</w:t>
      </w:r>
      <w:bookmarkEnd w:id="9"/>
    </w:p>
    <w:p w14:paraId="579836ED" w14:textId="4068DD9B" w:rsidR="0004578B" w:rsidRPr="00F277B9" w:rsidRDefault="0004578B" w:rsidP="00CB7A82">
      <w:pPr>
        <w:jc w:val="left"/>
        <w:rPr>
          <w:rFonts w:cs="Arial"/>
        </w:rPr>
      </w:pPr>
      <w:r w:rsidRPr="00F277B9">
        <w:rPr>
          <w:rFonts w:cs="Arial"/>
        </w:rPr>
        <w:t>Significant global contributions have been made by UNICEF through the Committee on the Rights of the Child, investments in social-protection programmes and implementing the MICS programme (UNICEF, 2026b). These policies or programmes have provided extensive support to countries for eliminating discrimination, upholding children’s rights, providing social protection through child grants, meals and skills development and reducing lifelong consequences. Moreover, global organisations</w:t>
      </w:r>
      <w:r w:rsidR="002C7B29" w:rsidRPr="00F277B9">
        <w:rPr>
          <w:rFonts w:cs="Arial"/>
        </w:rPr>
        <w:t>,</w:t>
      </w:r>
      <w:r w:rsidRPr="00F277B9">
        <w:rPr>
          <w:rFonts w:cs="Arial"/>
        </w:rPr>
        <w:t xml:space="preserve"> including the United Nations, World Bank Group, World Health Organisation, among others, have implemented various social protection systems to reduce inequalities (</w:t>
      </w:r>
      <w:proofErr w:type="spellStart"/>
      <w:r w:rsidRPr="00F277B9">
        <w:rPr>
          <w:rFonts w:cs="Arial"/>
        </w:rPr>
        <w:t>Yokobori</w:t>
      </w:r>
      <w:proofErr w:type="spellEnd"/>
      <w:r w:rsidRPr="00F277B9">
        <w:rPr>
          <w:rFonts w:cs="Arial"/>
        </w:rPr>
        <w:t xml:space="preserve"> </w:t>
      </w:r>
      <w:r w:rsidRPr="00F277B9">
        <w:rPr>
          <w:rFonts w:cs="Arial"/>
          <w:i/>
          <w:iCs/>
        </w:rPr>
        <w:t>et al</w:t>
      </w:r>
      <w:r w:rsidRPr="00F277B9">
        <w:rPr>
          <w:rFonts w:cs="Arial"/>
        </w:rPr>
        <w:t xml:space="preserve">., 2023). They have been actively promoting inclusive economic policies, improving financial regulation, and decreasing migration costs. For instance, through cash-for-work programmes, cash transfers have been made to women heads of households, through which they have invested in income-generating activities and participated in skills training, thereby benefitting vulnerable communities (UN Women, 2026). </w:t>
      </w:r>
    </w:p>
    <w:p w14:paraId="29204F8A" w14:textId="00ED93EC" w:rsidR="0004578B" w:rsidRPr="00F277B9" w:rsidRDefault="0004578B" w:rsidP="00CB7A82">
      <w:pPr>
        <w:jc w:val="left"/>
        <w:rPr>
          <w:rFonts w:cs="Arial"/>
        </w:rPr>
      </w:pPr>
      <w:r w:rsidRPr="00F277B9">
        <w:rPr>
          <w:rFonts w:cs="Arial"/>
        </w:rPr>
        <w:t xml:space="preserve">Although incomes have significantly increased among 40% of the poorest population, inequalities </w:t>
      </w:r>
      <w:proofErr w:type="gramStart"/>
      <w:r w:rsidRPr="00F277B9">
        <w:rPr>
          <w:rFonts w:cs="Arial"/>
        </w:rPr>
        <w:t>still persist</w:t>
      </w:r>
      <w:proofErr w:type="gramEnd"/>
      <w:r w:rsidRPr="00F277B9">
        <w:rPr>
          <w:rFonts w:cs="Arial"/>
        </w:rPr>
        <w:t xml:space="preserve"> across various sectors. Moreover, despite </w:t>
      </w:r>
      <w:r w:rsidR="002C7B29" w:rsidRPr="00F277B9">
        <w:rPr>
          <w:rFonts w:cs="Arial"/>
        </w:rPr>
        <w:t xml:space="preserve">an </w:t>
      </w:r>
      <w:r w:rsidRPr="00F277B9">
        <w:rPr>
          <w:rFonts w:cs="Arial"/>
        </w:rPr>
        <w:t xml:space="preserve">increase in productivity gains, higher wages are not provided, which increases the gap between workers and employers (United Nations, 2025). Discrimination based on socioeconomic status, gender, education, ethnicity, migration status and sexual orientation </w:t>
      </w:r>
      <w:r w:rsidR="002C7B29" w:rsidRPr="00F277B9">
        <w:rPr>
          <w:rFonts w:cs="Arial"/>
        </w:rPr>
        <w:t>has</w:t>
      </w:r>
      <w:r w:rsidRPr="00F277B9">
        <w:rPr>
          <w:rFonts w:cs="Arial"/>
        </w:rPr>
        <w:t xml:space="preserve"> significantly increased, which shows the failure in global policies. This suggests that while extensive global initiatives have been undertaken, </w:t>
      </w:r>
      <w:r w:rsidR="002C7B29" w:rsidRPr="00F277B9">
        <w:rPr>
          <w:rFonts w:cs="Arial"/>
        </w:rPr>
        <w:t xml:space="preserve">the </w:t>
      </w:r>
      <w:r w:rsidRPr="00F277B9">
        <w:rPr>
          <w:rFonts w:cs="Arial"/>
        </w:rPr>
        <w:t>lack of effective implementation of these policies results in persisting structural inequalities</w:t>
      </w:r>
      <w:r w:rsidR="00CD4AF8" w:rsidRPr="00F277B9">
        <w:rPr>
          <w:rFonts w:cs="Arial"/>
        </w:rPr>
        <w:t xml:space="preserve"> (</w:t>
      </w:r>
      <w:proofErr w:type="spellStart"/>
      <w:r w:rsidR="00CD4AF8" w:rsidRPr="00F277B9">
        <w:rPr>
          <w:rFonts w:cs="Arial"/>
        </w:rPr>
        <w:t>Dosi</w:t>
      </w:r>
      <w:proofErr w:type="spellEnd"/>
      <w:r w:rsidR="00CD4AF8" w:rsidRPr="00F277B9">
        <w:rPr>
          <w:rFonts w:cs="Arial"/>
        </w:rPr>
        <w:t xml:space="preserve"> et al., 2018)</w:t>
      </w:r>
      <w:r w:rsidRPr="00F277B9">
        <w:rPr>
          <w:rFonts w:cs="Arial"/>
        </w:rPr>
        <w:t xml:space="preserve">. Moreover, current wage gaps demonstrate that although social </w:t>
      </w:r>
      <w:r w:rsidR="002C7B29" w:rsidRPr="00F277B9">
        <w:rPr>
          <w:rFonts w:cs="Arial"/>
        </w:rPr>
        <w:t>protection</w:t>
      </w:r>
      <w:r w:rsidRPr="00F277B9">
        <w:rPr>
          <w:rFonts w:cs="Arial"/>
        </w:rPr>
        <w:t xml:space="preserve"> and cash-transfer programmes helped improve incomes, they could not eliminate systemic inequalities and power balances in the labour market</w:t>
      </w:r>
      <w:r w:rsidR="00CD4AF8" w:rsidRPr="00F277B9">
        <w:rPr>
          <w:rFonts w:cs="Arial"/>
        </w:rPr>
        <w:t xml:space="preserve"> (Phillips, 2017)</w:t>
      </w:r>
      <w:r w:rsidRPr="00F277B9">
        <w:rPr>
          <w:rFonts w:cs="Arial"/>
        </w:rPr>
        <w:t xml:space="preserve">. </w:t>
      </w:r>
      <w:r w:rsidR="00CD4AF8" w:rsidRPr="00F277B9">
        <w:rPr>
          <w:rFonts w:cs="Arial"/>
        </w:rPr>
        <w:t>Thus, instead of evaluating surface-level outcomes, determining whether systemic income and power disparities are addressed</w:t>
      </w:r>
      <w:r w:rsidR="00280865" w:rsidRPr="00F277B9">
        <w:rPr>
          <w:rFonts w:cs="Arial"/>
        </w:rPr>
        <w:t xml:space="preserve"> is more essential to analyse SDG 10.</w:t>
      </w:r>
    </w:p>
    <w:p w14:paraId="7958F245" w14:textId="6003A209" w:rsidR="00CB6986" w:rsidRPr="00F277B9" w:rsidRDefault="00CB6986" w:rsidP="00CB7A82">
      <w:pPr>
        <w:pStyle w:val="Heading2"/>
        <w:rPr>
          <w:rFonts w:cs="Arial"/>
          <w:szCs w:val="22"/>
        </w:rPr>
      </w:pPr>
      <w:bookmarkStart w:id="10" w:name="_Toc221810954"/>
      <w:r w:rsidRPr="00F277B9">
        <w:rPr>
          <w:rFonts w:cs="Arial"/>
          <w:szCs w:val="22"/>
        </w:rPr>
        <w:t>Critical evaluation of national and local examples</w:t>
      </w:r>
      <w:bookmarkEnd w:id="10"/>
    </w:p>
    <w:p w14:paraId="35856856" w14:textId="31A52073" w:rsidR="00A923B6" w:rsidRPr="00F277B9" w:rsidRDefault="00A923B6" w:rsidP="00CB7A82">
      <w:pPr>
        <w:jc w:val="left"/>
        <w:rPr>
          <w:rFonts w:cs="Arial"/>
        </w:rPr>
      </w:pPr>
      <w:r w:rsidRPr="00F277B9">
        <w:rPr>
          <w:rFonts w:cs="Arial"/>
        </w:rPr>
        <w:t>There are various local and national policies in the UK to address inequalities. For instance, the NHS Long Term Plan has been tackling health inequalities by offering preventive care, integrated services for chronic illness patients, improvements in priority services and reducing wait times for emergency and outpatient visits (</w:t>
      </w:r>
      <w:proofErr w:type="spellStart"/>
      <w:r w:rsidRPr="00F277B9">
        <w:rPr>
          <w:rFonts w:cs="Arial"/>
        </w:rPr>
        <w:t>Alderwick</w:t>
      </w:r>
      <w:proofErr w:type="spellEnd"/>
      <w:r w:rsidRPr="00F277B9">
        <w:rPr>
          <w:rFonts w:cs="Arial"/>
        </w:rPr>
        <w:t xml:space="preserve"> and Dixon, 2019). Furthermore, the Core20PLUS5 is another UK approach to reduce healthcare inequalities faced by the most deprived 20% of the national population by addressing a wide range of social health determinants (NHS England, 2026). In contrast, the ‘Levelling Up’ is a </w:t>
      </w:r>
      <w:r w:rsidRPr="00F277B9">
        <w:rPr>
          <w:rFonts w:cs="Arial"/>
        </w:rPr>
        <w:lastRenderedPageBreak/>
        <w:t xml:space="preserve">government-based policy to minimise social and economic disparities by focusing on deprived areas through boosting wages, improving living standards, and enhancing productivity through its 12 missions (Martin </w:t>
      </w:r>
      <w:r w:rsidRPr="00F277B9">
        <w:rPr>
          <w:rFonts w:cs="Arial"/>
          <w:i/>
          <w:iCs/>
        </w:rPr>
        <w:t>et al</w:t>
      </w:r>
      <w:r w:rsidRPr="00F277B9">
        <w:rPr>
          <w:rFonts w:cs="Arial"/>
        </w:rPr>
        <w:t xml:space="preserve">., 2022). Moreover, to reduce discrimination based on race, sex, and disability, the Equality Act 2010 proves to be beneficial across various workplaces and the society. These policies have contributed towards improvement in </w:t>
      </w:r>
      <w:r w:rsidR="002C7B29" w:rsidRPr="00F277B9">
        <w:rPr>
          <w:rFonts w:cs="Arial"/>
        </w:rPr>
        <w:t xml:space="preserve">the </w:t>
      </w:r>
      <w:r w:rsidRPr="00F277B9">
        <w:rPr>
          <w:rFonts w:cs="Arial"/>
        </w:rPr>
        <w:t xml:space="preserve">income growth rate among the bottom 40% of the population. </w:t>
      </w:r>
    </w:p>
    <w:p w14:paraId="138D79C6" w14:textId="323B1FA9" w:rsidR="00A923B6" w:rsidRPr="00F277B9" w:rsidRDefault="00A923B6" w:rsidP="00CB7A82">
      <w:pPr>
        <w:jc w:val="left"/>
        <w:rPr>
          <w:rFonts w:cs="Arial"/>
        </w:rPr>
      </w:pPr>
      <w:r w:rsidRPr="00F277B9">
        <w:rPr>
          <w:rFonts w:cs="Arial"/>
        </w:rPr>
        <w:t xml:space="preserve">Despite undertaking several policies for gender equality, inclusion strategies and spending, the UK has failed to tackle inequality, which demonstrates its lack of commitment towards the goal (Bond, 2022b). Due to critical gaps in its policy, programming and political commitment, economic inequalities related to ethnicity, age, gender and disability </w:t>
      </w:r>
      <w:proofErr w:type="gramStart"/>
      <w:r w:rsidRPr="00F277B9">
        <w:rPr>
          <w:rFonts w:cs="Arial"/>
        </w:rPr>
        <w:t>still persist</w:t>
      </w:r>
      <w:proofErr w:type="gramEnd"/>
      <w:r w:rsidRPr="00F277B9">
        <w:rPr>
          <w:rFonts w:cs="Arial"/>
        </w:rPr>
        <w:t xml:space="preserve">. While the UK has shown considerable progress in introducing inclusion strategies for women and disabled persons, the pandemic outbreak highlighted that these people are marginalised and discriminated </w:t>
      </w:r>
      <w:r w:rsidR="002C7B29" w:rsidRPr="00F277B9">
        <w:rPr>
          <w:rFonts w:cs="Arial"/>
        </w:rPr>
        <w:t xml:space="preserve">against </w:t>
      </w:r>
      <w:r w:rsidRPr="00F277B9">
        <w:rPr>
          <w:rFonts w:cs="Arial"/>
        </w:rPr>
        <w:t xml:space="preserve">based on socioeconomic indicators (Bond, 2022b). These suggest that while UK policies show limited progress towards addressing inequality, ineffective implementation, lack of political commitment, and low coordination result in persistent socioeconomic and demographic disparities. </w:t>
      </w:r>
      <w:r w:rsidR="00B93212" w:rsidRPr="00F277B9">
        <w:rPr>
          <w:rFonts w:cs="Arial"/>
        </w:rPr>
        <w:t xml:space="preserve">Thus, due to these inequalities </w:t>
      </w:r>
      <w:r w:rsidR="005C3208" w:rsidRPr="00F277B9">
        <w:rPr>
          <w:rFonts w:cs="Arial"/>
        </w:rPr>
        <w:t xml:space="preserve">present within the current social and economic systems, there is </w:t>
      </w:r>
      <w:r w:rsidR="002C7B29" w:rsidRPr="00F277B9">
        <w:rPr>
          <w:rFonts w:cs="Arial"/>
        </w:rPr>
        <w:t xml:space="preserve">a </w:t>
      </w:r>
      <w:r w:rsidR="005C3208" w:rsidRPr="00F277B9">
        <w:rPr>
          <w:rFonts w:cs="Arial"/>
        </w:rPr>
        <w:t>limited impact of various SDG 10 initiatives in the UK.</w:t>
      </w:r>
    </w:p>
    <w:p w14:paraId="1D4C9172" w14:textId="77777777" w:rsidR="00CB6986" w:rsidRPr="00F277B9" w:rsidRDefault="00CB6986" w:rsidP="00CB7A82">
      <w:pPr>
        <w:pStyle w:val="Heading2"/>
        <w:rPr>
          <w:rFonts w:cs="Arial"/>
          <w:szCs w:val="22"/>
        </w:rPr>
      </w:pPr>
      <w:bookmarkStart w:id="11" w:name="_Toc221810955"/>
      <w:r w:rsidRPr="00F277B9">
        <w:rPr>
          <w:rFonts w:cs="Arial"/>
          <w:szCs w:val="22"/>
        </w:rPr>
        <w:t>Use of theories/models</w:t>
      </w:r>
      <w:bookmarkEnd w:id="11"/>
      <w:r w:rsidRPr="00F277B9">
        <w:rPr>
          <w:rFonts w:cs="Arial"/>
          <w:szCs w:val="22"/>
        </w:rPr>
        <w:t xml:space="preserve"> </w:t>
      </w:r>
    </w:p>
    <w:p w14:paraId="392CB13E" w14:textId="625570B2" w:rsidR="006C00F9" w:rsidRPr="00F277B9" w:rsidRDefault="006C00F9" w:rsidP="00CB7A82">
      <w:pPr>
        <w:jc w:val="left"/>
        <w:rPr>
          <w:rFonts w:cs="Arial"/>
        </w:rPr>
      </w:pPr>
      <w:r w:rsidRPr="00F277B9">
        <w:rPr>
          <w:rFonts w:cs="Arial"/>
        </w:rPr>
        <w:t xml:space="preserve">Using the Social Determinants of Health model, it can be understood how policies </w:t>
      </w:r>
      <w:r w:rsidR="00207D18" w:rsidRPr="00F277B9">
        <w:rPr>
          <w:rFonts w:cs="Arial"/>
        </w:rPr>
        <w:t>like the Core20PLUS5 and Levelling Up can be improved to identify and address underlying socioeconomic factors contributing towards inequality. Moreover, applying the Policy Implementation Theory</w:t>
      </w:r>
      <w:r w:rsidR="00B96600" w:rsidRPr="00F277B9">
        <w:rPr>
          <w:rFonts w:cs="Arial"/>
        </w:rPr>
        <w:t>, implementation gaps between the national policies and local delivery have been identified</w:t>
      </w:r>
      <w:r w:rsidR="00D66558" w:rsidRPr="00F277B9">
        <w:rPr>
          <w:rFonts w:cs="Arial"/>
        </w:rPr>
        <w:t xml:space="preserve"> (Ansell, Sørensen and Torfing, 2017)</w:t>
      </w:r>
      <w:r w:rsidR="00B96600" w:rsidRPr="00F277B9">
        <w:rPr>
          <w:rFonts w:cs="Arial"/>
        </w:rPr>
        <w:t>. This highlights that while policies are undertaken,</w:t>
      </w:r>
      <w:r w:rsidR="00020538" w:rsidRPr="00F277B9">
        <w:rPr>
          <w:rFonts w:cs="Arial"/>
        </w:rPr>
        <w:t xml:space="preserve"> a</w:t>
      </w:r>
      <w:r w:rsidR="00B96600" w:rsidRPr="00F277B9">
        <w:rPr>
          <w:rFonts w:cs="Arial"/>
        </w:rPr>
        <w:t xml:space="preserve"> lack of </w:t>
      </w:r>
      <w:r w:rsidR="001048D2" w:rsidRPr="00F277B9">
        <w:rPr>
          <w:rFonts w:cs="Arial"/>
        </w:rPr>
        <w:t>commitment, coordination, and strategic focus results in persistent inequalities despite the presence of legal frameworks like the Equality Act 2010.</w:t>
      </w:r>
    </w:p>
    <w:p w14:paraId="60F11F59" w14:textId="7DA25A6D" w:rsidR="00CB6986" w:rsidRPr="00F277B9" w:rsidRDefault="00CB6986" w:rsidP="00CB7A82">
      <w:pPr>
        <w:pStyle w:val="Heading2"/>
        <w:rPr>
          <w:rFonts w:cs="Arial"/>
          <w:szCs w:val="22"/>
        </w:rPr>
      </w:pPr>
      <w:bookmarkStart w:id="12" w:name="_Toc221810956"/>
      <w:r w:rsidRPr="00F277B9">
        <w:rPr>
          <w:rFonts w:cs="Arial"/>
          <w:szCs w:val="22"/>
        </w:rPr>
        <w:t>Recommendations</w:t>
      </w:r>
      <w:bookmarkEnd w:id="12"/>
    </w:p>
    <w:p w14:paraId="55723104" w14:textId="6C47DDA2" w:rsidR="00020538" w:rsidRPr="00F277B9" w:rsidRDefault="00020538" w:rsidP="00CB7A82">
      <w:pPr>
        <w:jc w:val="left"/>
        <w:rPr>
          <w:rFonts w:cs="Arial"/>
        </w:rPr>
      </w:pPr>
      <w:r w:rsidRPr="00F277B9">
        <w:rPr>
          <w:rFonts w:cs="Arial"/>
        </w:rPr>
        <w:t xml:space="preserve">The UK government needs to undertake stronger multi-sector, local interventions to address persistent socioeconomic problems related to housing, employment and education inequalities, faced by minority and deprived populations. While these evidence-based actions are suitable for reducing inequality, their delivery can be inconsistent as it depends largely on long-term funding and coordination. Moreover, existing policies must be regularly monitored to ensure accountability. While gathering data and evaluating strategies can improve outcomes, their effectiveness and continuity can </w:t>
      </w:r>
      <w:r w:rsidR="002C7B29" w:rsidRPr="00F277B9">
        <w:rPr>
          <w:rFonts w:cs="Arial"/>
        </w:rPr>
        <w:t>be reduced</w:t>
      </w:r>
      <w:r w:rsidRPr="00F277B9">
        <w:rPr>
          <w:rFonts w:cs="Arial"/>
        </w:rPr>
        <w:t xml:space="preserve"> with instability and changes in the political environment.</w:t>
      </w:r>
    </w:p>
    <w:p w14:paraId="7D589366" w14:textId="0F531459" w:rsidR="00C46FE1" w:rsidRPr="00F277B9" w:rsidRDefault="00C46FE1" w:rsidP="00CB7A82">
      <w:pPr>
        <w:pStyle w:val="Heading1"/>
        <w:rPr>
          <w:rFonts w:cs="Arial"/>
          <w:szCs w:val="22"/>
        </w:rPr>
      </w:pPr>
      <w:bookmarkStart w:id="13" w:name="_Toc221810957"/>
      <w:r w:rsidRPr="00F277B9">
        <w:rPr>
          <w:rFonts w:cs="Arial"/>
          <w:szCs w:val="22"/>
        </w:rPr>
        <w:lastRenderedPageBreak/>
        <w:t>Conclusion</w:t>
      </w:r>
      <w:bookmarkEnd w:id="13"/>
      <w:r w:rsidR="00A70801" w:rsidRPr="00F277B9">
        <w:rPr>
          <w:rFonts w:cs="Arial"/>
          <w:szCs w:val="22"/>
        </w:rPr>
        <w:t xml:space="preserve"> </w:t>
      </w:r>
    </w:p>
    <w:p w14:paraId="6867A0CC" w14:textId="1F39E1B9" w:rsidR="00A70801" w:rsidRPr="00F277B9" w:rsidRDefault="00FE0035" w:rsidP="00CB7A82">
      <w:pPr>
        <w:jc w:val="left"/>
        <w:rPr>
          <w:rFonts w:eastAsiaTheme="majorEastAsia" w:cs="Arial"/>
          <w:b/>
          <w:color w:val="000000" w:themeColor="text1"/>
        </w:rPr>
      </w:pPr>
      <w:r w:rsidRPr="00F277B9">
        <w:rPr>
          <w:rFonts w:cs="Arial"/>
        </w:rPr>
        <w:t xml:space="preserve">This report demonstrates that although global, national, and local policies have made significant progress towards improving health and </w:t>
      </w:r>
      <w:r w:rsidR="002C7B29" w:rsidRPr="00F277B9">
        <w:rPr>
          <w:rFonts w:cs="Arial"/>
        </w:rPr>
        <w:t>well-being</w:t>
      </w:r>
      <w:r w:rsidRPr="00F277B9">
        <w:rPr>
          <w:rFonts w:cs="Arial"/>
        </w:rPr>
        <w:t xml:space="preserve"> and reducing inequalities by working towards SDGs, gaps </w:t>
      </w:r>
      <w:proofErr w:type="gramStart"/>
      <w:r w:rsidRPr="00F277B9">
        <w:rPr>
          <w:rFonts w:cs="Arial"/>
        </w:rPr>
        <w:t>still continue</w:t>
      </w:r>
      <w:proofErr w:type="gramEnd"/>
      <w:r w:rsidRPr="00F277B9">
        <w:rPr>
          <w:rFonts w:cs="Arial"/>
        </w:rPr>
        <w:t xml:space="preserve"> to exist. From the identified disparities across various socioeconomic and demographic indicators, it has been observed that SDGs 3 and 10 can be achieved through universal policies, strong commitment and targeted interventions. Due to </w:t>
      </w:r>
      <w:r w:rsidR="002C7B29" w:rsidRPr="00F277B9">
        <w:rPr>
          <w:rFonts w:cs="Arial"/>
        </w:rPr>
        <w:t xml:space="preserve">a </w:t>
      </w:r>
      <w:r w:rsidRPr="00F277B9">
        <w:rPr>
          <w:rFonts w:cs="Arial"/>
        </w:rPr>
        <w:t xml:space="preserve">lack of political commitment, limited coordination, fragile service delivery, and ineffective implementation, </w:t>
      </w:r>
      <w:r w:rsidR="002C7B29" w:rsidRPr="00F277B9">
        <w:rPr>
          <w:rFonts w:cs="Arial"/>
        </w:rPr>
        <w:t xml:space="preserve">the </w:t>
      </w:r>
      <w:r w:rsidRPr="00F277B9">
        <w:rPr>
          <w:rFonts w:cs="Arial"/>
        </w:rPr>
        <w:t xml:space="preserve">effectiveness of the policies could not be ensured at the global or national levels. This shows </w:t>
      </w:r>
      <w:r w:rsidR="002C7B29" w:rsidRPr="00F277B9">
        <w:rPr>
          <w:rFonts w:cs="Arial"/>
        </w:rPr>
        <w:t xml:space="preserve">that </w:t>
      </w:r>
      <w:r w:rsidRPr="00F277B9">
        <w:rPr>
          <w:rFonts w:cs="Arial"/>
        </w:rPr>
        <w:t>the governments, local communities, and agencies must work collaboratively to undertake multi-sector approaches and enhance governance to ensure progress towards these goals.</w:t>
      </w:r>
      <w:r w:rsidR="00A70801" w:rsidRPr="00F277B9">
        <w:rPr>
          <w:rFonts w:cs="Arial"/>
        </w:rPr>
        <w:br w:type="page"/>
      </w:r>
    </w:p>
    <w:p w14:paraId="0671C299" w14:textId="4B17BAD7" w:rsidR="00A70801" w:rsidRPr="00F277B9" w:rsidRDefault="00A70801" w:rsidP="00CB7A82">
      <w:pPr>
        <w:pStyle w:val="Heading1"/>
        <w:rPr>
          <w:rFonts w:cs="Arial"/>
          <w:szCs w:val="22"/>
        </w:rPr>
      </w:pPr>
      <w:bookmarkStart w:id="14" w:name="_Toc221810958"/>
      <w:r w:rsidRPr="00F277B9">
        <w:rPr>
          <w:rFonts w:cs="Arial"/>
          <w:szCs w:val="22"/>
        </w:rPr>
        <w:lastRenderedPageBreak/>
        <w:t>Reference List</w:t>
      </w:r>
      <w:bookmarkEnd w:id="14"/>
    </w:p>
    <w:p w14:paraId="58F20F43" w14:textId="1719AF70" w:rsidR="00096B77" w:rsidRPr="00F277B9" w:rsidRDefault="00096B77" w:rsidP="00CB7A82">
      <w:pPr>
        <w:jc w:val="left"/>
        <w:rPr>
          <w:rFonts w:cs="Arial"/>
        </w:rPr>
      </w:pPr>
      <w:proofErr w:type="spellStart"/>
      <w:r w:rsidRPr="00F277B9">
        <w:rPr>
          <w:rFonts w:cs="Arial"/>
        </w:rPr>
        <w:t>Alderwick</w:t>
      </w:r>
      <w:proofErr w:type="spellEnd"/>
      <w:r w:rsidRPr="00F277B9">
        <w:rPr>
          <w:rFonts w:cs="Arial"/>
        </w:rPr>
        <w:t>, H. and Dixon, J. (2019) ‘The NHS long term plan’, </w:t>
      </w:r>
      <w:r w:rsidRPr="00F277B9">
        <w:rPr>
          <w:rFonts w:cs="Arial"/>
          <w:i/>
          <w:iCs/>
        </w:rPr>
        <w:t>BMJ</w:t>
      </w:r>
      <w:r w:rsidRPr="00F277B9">
        <w:rPr>
          <w:rFonts w:cs="Arial"/>
        </w:rPr>
        <w:t>, </w:t>
      </w:r>
      <w:r w:rsidRPr="00F277B9">
        <w:rPr>
          <w:rFonts w:cs="Arial"/>
          <w:i/>
          <w:iCs/>
        </w:rPr>
        <w:t>364</w:t>
      </w:r>
      <w:r w:rsidRPr="00F277B9">
        <w:rPr>
          <w:rFonts w:cs="Arial"/>
        </w:rPr>
        <w:t>, pp.1-2.  Available at: https://www.bmj.com/content/bmj/364/bmj.l84.full.pdf (Accessed: 12 February 2026)</w:t>
      </w:r>
    </w:p>
    <w:p w14:paraId="5940547B" w14:textId="77777777" w:rsidR="00096B77" w:rsidRPr="00F277B9" w:rsidRDefault="00096B77" w:rsidP="00CB7A82">
      <w:pPr>
        <w:jc w:val="left"/>
        <w:rPr>
          <w:rFonts w:cs="Arial"/>
        </w:rPr>
      </w:pPr>
      <w:r w:rsidRPr="00F277B9">
        <w:rPr>
          <w:rFonts w:cs="Arial"/>
        </w:rPr>
        <w:t>Ansell, C., Sørensen, E. and Torfing, J. (2017) ‘Improving policy implementation through collaborative policymaking’, </w:t>
      </w:r>
      <w:r w:rsidRPr="00F277B9">
        <w:rPr>
          <w:rFonts w:cs="Arial"/>
          <w:i/>
          <w:iCs/>
        </w:rPr>
        <w:t>Policy &amp; politics</w:t>
      </w:r>
      <w:r w:rsidRPr="00F277B9">
        <w:rPr>
          <w:rFonts w:cs="Arial"/>
        </w:rPr>
        <w:t>, </w:t>
      </w:r>
      <w:r w:rsidRPr="00F277B9">
        <w:rPr>
          <w:rFonts w:cs="Arial"/>
          <w:i/>
          <w:iCs/>
        </w:rPr>
        <w:t>45</w:t>
      </w:r>
      <w:r w:rsidRPr="00F277B9">
        <w:rPr>
          <w:rFonts w:cs="Arial"/>
        </w:rPr>
        <w:t>(3), pp.467-486.</w:t>
      </w:r>
    </w:p>
    <w:p w14:paraId="13F5D60B" w14:textId="0326668D" w:rsidR="00096B77" w:rsidRPr="00F277B9" w:rsidRDefault="00096B77" w:rsidP="00CB7A82">
      <w:pPr>
        <w:jc w:val="left"/>
        <w:rPr>
          <w:rFonts w:cs="Arial"/>
        </w:rPr>
      </w:pPr>
      <w:r w:rsidRPr="00F277B9">
        <w:rPr>
          <w:rFonts w:cs="Arial"/>
        </w:rPr>
        <w:t xml:space="preserve">Bond (2022a) </w:t>
      </w:r>
      <w:r w:rsidRPr="00F277B9">
        <w:rPr>
          <w:rFonts w:cs="Arial"/>
          <w:i/>
          <w:iCs/>
        </w:rPr>
        <w:t>SDG 3: Progress, gaps and recommendations for the UK</w:t>
      </w:r>
      <w:r w:rsidRPr="00F277B9">
        <w:rPr>
          <w:rFonts w:cs="Arial"/>
        </w:rPr>
        <w:t>. Available at: https://www.bond.org.uk/wp-content/uploads/2022/09/sdg3.pdf (Accessed: 10 February 2026)</w:t>
      </w:r>
    </w:p>
    <w:p w14:paraId="592111ED" w14:textId="6624984E" w:rsidR="00096B77" w:rsidRPr="00F277B9" w:rsidRDefault="00096B77" w:rsidP="00CB7A82">
      <w:pPr>
        <w:jc w:val="left"/>
        <w:rPr>
          <w:rFonts w:cs="Arial"/>
        </w:rPr>
      </w:pPr>
      <w:r w:rsidRPr="00F277B9">
        <w:rPr>
          <w:rFonts w:cs="Arial"/>
        </w:rPr>
        <w:t xml:space="preserve">Bond (2022b) </w:t>
      </w:r>
      <w:r w:rsidRPr="00F277B9">
        <w:rPr>
          <w:rFonts w:cs="Arial"/>
          <w:i/>
          <w:iCs/>
        </w:rPr>
        <w:t>SDG 10: Progress, gaps and recommendations for the UK</w:t>
      </w:r>
      <w:r w:rsidRPr="00F277B9">
        <w:rPr>
          <w:rFonts w:cs="Arial"/>
        </w:rPr>
        <w:t>. Available at: https://bond.org.uk/wp-content/uploads/2022/09/sdg10.pdf (Accessed: 12 February 2026)</w:t>
      </w:r>
    </w:p>
    <w:p w14:paraId="3D7A1F4F" w14:textId="3B5DD11E" w:rsidR="003665BF" w:rsidRPr="00F277B9" w:rsidRDefault="003665BF" w:rsidP="00CB7A82">
      <w:pPr>
        <w:jc w:val="left"/>
        <w:rPr>
          <w:rFonts w:cs="Arial"/>
        </w:rPr>
      </w:pPr>
      <w:r w:rsidRPr="00F277B9">
        <w:rPr>
          <w:rFonts w:cs="Arial"/>
        </w:rPr>
        <w:t xml:space="preserve">Dosi, G., Pereira, M.C., Roventini, A. and </w:t>
      </w:r>
      <w:proofErr w:type="spellStart"/>
      <w:r w:rsidRPr="00F277B9">
        <w:rPr>
          <w:rFonts w:cs="Arial"/>
        </w:rPr>
        <w:t>Virgillito</w:t>
      </w:r>
      <w:proofErr w:type="spellEnd"/>
      <w:r w:rsidRPr="00F277B9">
        <w:rPr>
          <w:rFonts w:cs="Arial"/>
        </w:rPr>
        <w:t>, M.E. (2018) ‘The effects of labour market reforms upon unemployment and income inequalities: an agent-based model’, </w:t>
      </w:r>
      <w:r w:rsidRPr="00F277B9">
        <w:rPr>
          <w:rFonts w:cs="Arial"/>
          <w:i/>
          <w:iCs/>
        </w:rPr>
        <w:t>Socio-Economic Review</w:t>
      </w:r>
      <w:r w:rsidRPr="00F277B9">
        <w:rPr>
          <w:rFonts w:cs="Arial"/>
        </w:rPr>
        <w:t>, </w:t>
      </w:r>
      <w:r w:rsidRPr="00F277B9">
        <w:rPr>
          <w:rFonts w:cs="Arial"/>
          <w:i/>
          <w:iCs/>
        </w:rPr>
        <w:t>16</w:t>
      </w:r>
      <w:r w:rsidRPr="00F277B9">
        <w:rPr>
          <w:rFonts w:cs="Arial"/>
        </w:rPr>
        <w:t>(4), pp.687-720.</w:t>
      </w:r>
      <w:r w:rsidR="006A4013" w:rsidRPr="00F277B9">
        <w:rPr>
          <w:rFonts w:cs="Arial"/>
        </w:rPr>
        <w:t xml:space="preserve"> Doi: https://doi.org/10.1093/ser/mwx054 </w:t>
      </w:r>
    </w:p>
    <w:p w14:paraId="64B99832" w14:textId="50E407B2" w:rsidR="00096B77" w:rsidRPr="00F277B9" w:rsidRDefault="00096B77" w:rsidP="00CB7A82">
      <w:pPr>
        <w:jc w:val="left"/>
        <w:rPr>
          <w:rFonts w:cs="Arial"/>
        </w:rPr>
      </w:pPr>
      <w:r w:rsidRPr="00F277B9">
        <w:rPr>
          <w:rFonts w:cs="Arial"/>
        </w:rPr>
        <w:t xml:space="preserve">House of Lords (2020) </w:t>
      </w:r>
      <w:r w:rsidRPr="00F277B9">
        <w:rPr>
          <w:rFonts w:cs="Arial"/>
          <w:i/>
          <w:iCs/>
        </w:rPr>
        <w:t>UK Progress on UN Sustainable Development Goal 3 and the Reducing Road Casualties Target Debate on 19 March 2020</w:t>
      </w:r>
      <w:r w:rsidRPr="00F277B9">
        <w:rPr>
          <w:rFonts w:cs="Arial"/>
        </w:rPr>
        <w:t>. Available at: https://researchbriefings.files.parliament.uk/documents/LLN-2020-0080/LLN-2020-0080.pdf (Accessed: 10 February 2026)</w:t>
      </w:r>
    </w:p>
    <w:p w14:paraId="3F10B3F8" w14:textId="6CF8C37F" w:rsidR="00096B77" w:rsidRPr="00F277B9" w:rsidRDefault="00096B77" w:rsidP="00CB7A82">
      <w:pPr>
        <w:jc w:val="left"/>
        <w:rPr>
          <w:rFonts w:cs="Arial"/>
        </w:rPr>
      </w:pPr>
      <w:r w:rsidRPr="00F277B9">
        <w:rPr>
          <w:rFonts w:cs="Arial"/>
        </w:rPr>
        <w:t xml:space="preserve">Jefferies, D. (2023) </w:t>
      </w:r>
      <w:r w:rsidRPr="00F277B9">
        <w:rPr>
          <w:rFonts w:cs="Arial"/>
          <w:i/>
          <w:iCs/>
        </w:rPr>
        <w:t>From dithering to dynamism: how UK businesses can ramp up progress on the SDGs</w:t>
      </w:r>
      <w:r w:rsidRPr="00F277B9">
        <w:rPr>
          <w:rFonts w:cs="Arial"/>
        </w:rPr>
        <w:t>. Available at: https://www.positive.news/society/how-uk-businesses-can-ramp-up-progress-on-the-sdgs/#:~:text=SDG%203:%20Good%20health%20and,World%20Health%20Organization%2Drecommended%20vaccines. (Accessed: 10 February 2026)</w:t>
      </w:r>
    </w:p>
    <w:p w14:paraId="7CD6CC42" w14:textId="694C3456" w:rsidR="00303B57" w:rsidRPr="00F277B9" w:rsidRDefault="00303B57" w:rsidP="00CB7A82">
      <w:pPr>
        <w:jc w:val="left"/>
        <w:rPr>
          <w:rFonts w:cs="Arial"/>
        </w:rPr>
      </w:pPr>
      <w:r w:rsidRPr="00F277B9">
        <w:rPr>
          <w:rFonts w:cs="Arial"/>
        </w:rPr>
        <w:t>Marmot, M. (2017) ‘The health gap: the challenge of an unequal world: the argument’, </w:t>
      </w:r>
      <w:r w:rsidRPr="00F277B9">
        <w:rPr>
          <w:rFonts w:cs="Arial"/>
          <w:i/>
          <w:iCs/>
        </w:rPr>
        <w:t>International journal of epidemiology</w:t>
      </w:r>
      <w:r w:rsidRPr="00F277B9">
        <w:rPr>
          <w:rFonts w:cs="Arial"/>
        </w:rPr>
        <w:t>, </w:t>
      </w:r>
      <w:r w:rsidRPr="00F277B9">
        <w:rPr>
          <w:rFonts w:cs="Arial"/>
          <w:i/>
          <w:iCs/>
        </w:rPr>
        <w:t>46</w:t>
      </w:r>
      <w:r w:rsidRPr="00F277B9">
        <w:rPr>
          <w:rFonts w:cs="Arial"/>
        </w:rPr>
        <w:t xml:space="preserve">(4), pp.1312-1318. Doi: https://doi.org/10.1093/ije/dyx163 </w:t>
      </w:r>
    </w:p>
    <w:p w14:paraId="7ED509F5" w14:textId="032BB7B9" w:rsidR="00096B77" w:rsidRPr="00F277B9" w:rsidRDefault="00096B77" w:rsidP="00CB7A82">
      <w:pPr>
        <w:jc w:val="left"/>
        <w:rPr>
          <w:rFonts w:cs="Arial"/>
        </w:rPr>
      </w:pPr>
      <w:r w:rsidRPr="00F277B9">
        <w:rPr>
          <w:rFonts w:cs="Arial"/>
        </w:rPr>
        <w:t xml:space="preserve">Martin, R., Pike, A., Sunley, P., Tyler, P. and Gardiner, B. (2022) ‘Levelling </w:t>
      </w:r>
      <w:proofErr w:type="spellStart"/>
      <w:r w:rsidRPr="00F277B9">
        <w:rPr>
          <w:rFonts w:cs="Arial"/>
        </w:rPr>
        <w:t>up’the</w:t>
      </w:r>
      <w:proofErr w:type="spellEnd"/>
      <w:r w:rsidRPr="00F277B9">
        <w:rPr>
          <w:rFonts w:cs="Arial"/>
        </w:rPr>
        <w:t xml:space="preserve"> UK: reinforcing the policy agenda’, </w:t>
      </w:r>
      <w:r w:rsidRPr="00F277B9">
        <w:rPr>
          <w:rFonts w:cs="Arial"/>
          <w:i/>
          <w:iCs/>
        </w:rPr>
        <w:t>Regional Studies, Regional Science</w:t>
      </w:r>
      <w:r w:rsidRPr="00F277B9">
        <w:rPr>
          <w:rFonts w:cs="Arial"/>
        </w:rPr>
        <w:t>, </w:t>
      </w:r>
      <w:r w:rsidRPr="00F277B9">
        <w:rPr>
          <w:rFonts w:cs="Arial"/>
          <w:i/>
          <w:iCs/>
        </w:rPr>
        <w:t>9</w:t>
      </w:r>
      <w:r w:rsidRPr="00F277B9">
        <w:rPr>
          <w:rFonts w:cs="Arial"/>
        </w:rPr>
        <w:t xml:space="preserve">(1), pp.794-817. Doi: https://doi.org/10.1080/21681376.2022.2150562 </w:t>
      </w:r>
    </w:p>
    <w:p w14:paraId="4DEBE62D" w14:textId="46B905D3" w:rsidR="00096B77" w:rsidRPr="00F277B9" w:rsidRDefault="00096B77" w:rsidP="00CB7A82">
      <w:pPr>
        <w:jc w:val="left"/>
        <w:rPr>
          <w:rFonts w:cs="Arial"/>
        </w:rPr>
      </w:pPr>
      <w:r w:rsidRPr="00F277B9">
        <w:rPr>
          <w:rFonts w:cs="Arial"/>
        </w:rPr>
        <w:t>Neundorf, A. and Soroka, S. (2018) ‘The origins of redistributive policy preferences: political socialisation with and without a welfare state’, </w:t>
      </w:r>
      <w:r w:rsidRPr="00F277B9">
        <w:rPr>
          <w:rFonts w:cs="Arial"/>
          <w:i/>
          <w:iCs/>
        </w:rPr>
        <w:t>West European Politics</w:t>
      </w:r>
      <w:r w:rsidRPr="00F277B9">
        <w:rPr>
          <w:rFonts w:cs="Arial"/>
        </w:rPr>
        <w:t>, </w:t>
      </w:r>
      <w:r w:rsidRPr="00F277B9">
        <w:rPr>
          <w:rFonts w:cs="Arial"/>
          <w:i/>
          <w:iCs/>
        </w:rPr>
        <w:t>41</w:t>
      </w:r>
      <w:r w:rsidRPr="00F277B9">
        <w:rPr>
          <w:rFonts w:cs="Arial"/>
        </w:rPr>
        <w:t>(2), pp.400-427. Available at: https://eprints.gla.ac.uk/194088/1/194088.pdf (Accessed: 11 February 2026)</w:t>
      </w:r>
    </w:p>
    <w:p w14:paraId="6DEA3505" w14:textId="6EBCBC10" w:rsidR="00096B77" w:rsidRPr="00F277B9" w:rsidRDefault="00096B77" w:rsidP="00CB7A82">
      <w:pPr>
        <w:jc w:val="left"/>
        <w:rPr>
          <w:rFonts w:cs="Arial"/>
        </w:rPr>
      </w:pPr>
      <w:r w:rsidRPr="00F277B9">
        <w:rPr>
          <w:rFonts w:cs="Arial"/>
        </w:rPr>
        <w:lastRenderedPageBreak/>
        <w:t xml:space="preserve">NHS England (2026) </w:t>
      </w:r>
      <w:r w:rsidRPr="00F277B9">
        <w:rPr>
          <w:rFonts w:cs="Arial"/>
          <w:i/>
          <w:iCs/>
        </w:rPr>
        <w:t>Core20PLUS5 (adults) – an approach to reducing healthcare inequalities.</w:t>
      </w:r>
      <w:r w:rsidRPr="00F277B9">
        <w:rPr>
          <w:rFonts w:cs="Arial"/>
        </w:rPr>
        <w:t xml:space="preserve"> Available at: https://www.england.nhs.uk/about/equality/equality-hub/national-healthcare-inequalities-improvement-programme/core20plus5/ (Accessed: 10 February 2026)</w:t>
      </w:r>
    </w:p>
    <w:p w14:paraId="5DDB101C" w14:textId="45BF5575" w:rsidR="003665BF" w:rsidRPr="00F277B9" w:rsidRDefault="003665BF" w:rsidP="00CB7A82">
      <w:pPr>
        <w:jc w:val="left"/>
        <w:rPr>
          <w:rFonts w:cs="Arial"/>
        </w:rPr>
      </w:pPr>
      <w:r w:rsidRPr="00F277B9">
        <w:rPr>
          <w:rFonts w:cs="Arial"/>
        </w:rPr>
        <w:t>Phillips, N. (2017) ‘Power and inequality in the global political economy’, </w:t>
      </w:r>
      <w:r w:rsidRPr="00F277B9">
        <w:rPr>
          <w:rFonts w:cs="Arial"/>
          <w:i/>
          <w:iCs/>
        </w:rPr>
        <w:t>International Affairs</w:t>
      </w:r>
      <w:r w:rsidRPr="00F277B9">
        <w:rPr>
          <w:rFonts w:cs="Arial"/>
        </w:rPr>
        <w:t>, </w:t>
      </w:r>
      <w:r w:rsidRPr="00F277B9">
        <w:rPr>
          <w:rFonts w:cs="Arial"/>
          <w:i/>
          <w:iCs/>
        </w:rPr>
        <w:t>93</w:t>
      </w:r>
      <w:r w:rsidRPr="00F277B9">
        <w:rPr>
          <w:rFonts w:cs="Arial"/>
        </w:rPr>
        <w:t>(2), pp.429-444.</w:t>
      </w:r>
      <w:r w:rsidR="006A4013" w:rsidRPr="00F277B9">
        <w:rPr>
          <w:rFonts w:cs="Arial"/>
        </w:rPr>
        <w:t xml:space="preserve"> </w:t>
      </w:r>
      <w:proofErr w:type="spellStart"/>
      <w:r w:rsidR="006A4013" w:rsidRPr="00F277B9">
        <w:rPr>
          <w:rFonts w:cs="Arial"/>
        </w:rPr>
        <w:t>doi</w:t>
      </w:r>
      <w:proofErr w:type="spellEnd"/>
      <w:r w:rsidR="006A4013" w:rsidRPr="00F277B9">
        <w:rPr>
          <w:rFonts w:cs="Arial"/>
        </w:rPr>
        <w:t xml:space="preserve">: https://doi.org/10.1093/ia/iix019 </w:t>
      </w:r>
    </w:p>
    <w:p w14:paraId="4D00F781" w14:textId="69E09F29" w:rsidR="00096B77" w:rsidRPr="00F277B9" w:rsidRDefault="00096B77" w:rsidP="00CB7A82">
      <w:pPr>
        <w:jc w:val="left"/>
        <w:rPr>
          <w:rFonts w:cs="Arial"/>
        </w:rPr>
      </w:pPr>
      <w:r w:rsidRPr="00F277B9">
        <w:rPr>
          <w:rFonts w:cs="Arial"/>
        </w:rPr>
        <w:t xml:space="preserve">Shokouh, S.M.H., Mohammad, A.R.A.B., </w:t>
      </w:r>
      <w:proofErr w:type="spellStart"/>
      <w:r w:rsidRPr="00F277B9">
        <w:rPr>
          <w:rFonts w:cs="Arial"/>
        </w:rPr>
        <w:t>Emamgholipour</w:t>
      </w:r>
      <w:proofErr w:type="spellEnd"/>
      <w:r w:rsidRPr="00F277B9">
        <w:rPr>
          <w:rFonts w:cs="Arial"/>
        </w:rPr>
        <w:t>, S., Rashidian, A., Montazeri, A. and Zaboli, R. (2017) ‘Conceptual models of social determinants of health: a narrative review’, </w:t>
      </w:r>
      <w:r w:rsidRPr="00F277B9">
        <w:rPr>
          <w:rFonts w:cs="Arial"/>
          <w:i/>
          <w:iCs/>
        </w:rPr>
        <w:t>Iranian journal of public health</w:t>
      </w:r>
      <w:r w:rsidRPr="00F277B9">
        <w:rPr>
          <w:rFonts w:cs="Arial"/>
        </w:rPr>
        <w:t>, </w:t>
      </w:r>
      <w:r w:rsidRPr="00F277B9">
        <w:rPr>
          <w:rFonts w:cs="Arial"/>
          <w:i/>
          <w:iCs/>
        </w:rPr>
        <w:t>46</w:t>
      </w:r>
      <w:r w:rsidRPr="00F277B9">
        <w:rPr>
          <w:rFonts w:cs="Arial"/>
        </w:rPr>
        <w:t>(4), pp.435-446. Available at: https://pmc.ncbi.nlm.nih.gov/articles/PMC5439032/pdf/IJPH-46-435.pdf (Accessed: 11 February 2026)</w:t>
      </w:r>
    </w:p>
    <w:p w14:paraId="420CD1BD" w14:textId="5F430443" w:rsidR="00032B5B" w:rsidRPr="00F277B9" w:rsidRDefault="00032B5B" w:rsidP="00CB7A82">
      <w:pPr>
        <w:jc w:val="left"/>
        <w:rPr>
          <w:rFonts w:cs="Arial"/>
        </w:rPr>
      </w:pPr>
      <w:r w:rsidRPr="00F277B9">
        <w:rPr>
          <w:rFonts w:cs="Arial"/>
        </w:rPr>
        <w:t>Tzenios, N. (2019) ‘The determinants of access to healthcare: a review of individual, structural, and systemic factors’, </w:t>
      </w:r>
      <w:r w:rsidRPr="00F277B9">
        <w:rPr>
          <w:rFonts w:cs="Arial"/>
          <w:i/>
          <w:iCs/>
        </w:rPr>
        <w:t>Journal of Humanities and Applied Science Research</w:t>
      </w:r>
      <w:r w:rsidRPr="00F277B9">
        <w:rPr>
          <w:rFonts w:cs="Arial"/>
        </w:rPr>
        <w:t>, </w:t>
      </w:r>
      <w:r w:rsidRPr="00F277B9">
        <w:rPr>
          <w:rFonts w:cs="Arial"/>
          <w:i/>
          <w:iCs/>
        </w:rPr>
        <w:t>2</w:t>
      </w:r>
      <w:r w:rsidRPr="00F277B9">
        <w:rPr>
          <w:rFonts w:cs="Arial"/>
        </w:rPr>
        <w:t>(1), pp.1-14. Available at:  https://www.researchgate.net/profile/Nikolaos-Tzenios/publication/367163359_The_Determinants_of_Access_to_Healthcare_A_Review_of_Individual_Structural_and_Systemic_Factors/links/63c47485e922c50e9999f6ac/The-Determinants-of-Access-to-Healthcare-A-Review-of-Individual-Structural-and-Systemic-Factors.pdf (Accessed: 11 February 2026)</w:t>
      </w:r>
    </w:p>
    <w:p w14:paraId="3923DEEA" w14:textId="1CF66A0B" w:rsidR="00096B77" w:rsidRPr="00F277B9" w:rsidRDefault="00096B77" w:rsidP="00CB7A82">
      <w:pPr>
        <w:jc w:val="left"/>
        <w:rPr>
          <w:rFonts w:cs="Arial"/>
        </w:rPr>
      </w:pPr>
      <w:r w:rsidRPr="00F277B9">
        <w:rPr>
          <w:rFonts w:cs="Arial"/>
        </w:rPr>
        <w:t xml:space="preserve">UN Global Compact (2022) </w:t>
      </w:r>
      <w:r w:rsidRPr="00F277B9">
        <w:rPr>
          <w:rFonts w:cs="Arial"/>
          <w:i/>
          <w:iCs/>
        </w:rPr>
        <w:t>Measuring Up 2.0: How the UK is performing on the Sustainable Development Goals</w:t>
      </w:r>
      <w:r w:rsidRPr="00F277B9">
        <w:rPr>
          <w:rFonts w:cs="Arial"/>
        </w:rPr>
        <w:t>. Available at: https://www.researchgate.net/publication/365776394_How_the_UK_is_performing_on_the_Sustainable_Development_Goals (Accessed: 10 February 2026)</w:t>
      </w:r>
    </w:p>
    <w:p w14:paraId="302B82B0" w14:textId="54E3ED7A" w:rsidR="00096B77" w:rsidRPr="00F277B9" w:rsidRDefault="00096B77" w:rsidP="00CB7A82">
      <w:pPr>
        <w:jc w:val="left"/>
        <w:rPr>
          <w:rFonts w:cs="Arial"/>
        </w:rPr>
      </w:pPr>
      <w:r w:rsidRPr="00F277B9">
        <w:rPr>
          <w:rFonts w:cs="Arial"/>
        </w:rPr>
        <w:t xml:space="preserve">UN Women (2026) </w:t>
      </w:r>
      <w:r w:rsidRPr="00F277B9">
        <w:rPr>
          <w:rFonts w:cs="Arial"/>
          <w:i/>
          <w:iCs/>
          <w:lang w:val="en-IN"/>
        </w:rPr>
        <w:t>Crisis response and recovery</w:t>
      </w:r>
      <w:r w:rsidRPr="00F277B9">
        <w:rPr>
          <w:rFonts w:cs="Arial"/>
          <w:lang w:val="en-IN"/>
        </w:rPr>
        <w:t xml:space="preserve">. </w:t>
      </w:r>
      <w:r w:rsidRPr="00F277B9">
        <w:rPr>
          <w:rFonts w:cs="Arial"/>
        </w:rPr>
        <w:t>Available at: https://www.unwomen.org/en/what-we-do/humanitarian-action/emergency-response (Accessed: 12 February 2026)</w:t>
      </w:r>
    </w:p>
    <w:p w14:paraId="10415EF3" w14:textId="536DD04D" w:rsidR="00096B77" w:rsidRPr="00F277B9" w:rsidRDefault="00096B77" w:rsidP="00CB7A82">
      <w:pPr>
        <w:jc w:val="left"/>
        <w:rPr>
          <w:rFonts w:cs="Arial"/>
        </w:rPr>
      </w:pPr>
      <w:r w:rsidRPr="00F277B9">
        <w:rPr>
          <w:rFonts w:cs="Arial"/>
        </w:rPr>
        <w:t xml:space="preserve">UNDP (2026) </w:t>
      </w:r>
      <w:r w:rsidRPr="00F277B9">
        <w:rPr>
          <w:rFonts w:cs="Arial"/>
          <w:i/>
          <w:iCs/>
        </w:rPr>
        <w:t>THE SDGS IN ACTION</w:t>
      </w:r>
      <w:r w:rsidRPr="00F277B9">
        <w:rPr>
          <w:rFonts w:cs="Arial"/>
        </w:rPr>
        <w:t>. Available at: https://www.undp.org/sustainable-development-goals (Accessed: 10 February 2026)</w:t>
      </w:r>
    </w:p>
    <w:p w14:paraId="36E44EEB" w14:textId="54F56A92" w:rsidR="00096B77" w:rsidRPr="00F277B9" w:rsidRDefault="00096B77" w:rsidP="00CB7A82">
      <w:pPr>
        <w:jc w:val="left"/>
        <w:rPr>
          <w:rFonts w:cs="Arial"/>
        </w:rPr>
      </w:pPr>
      <w:r w:rsidRPr="00F277B9">
        <w:rPr>
          <w:rFonts w:cs="Arial"/>
        </w:rPr>
        <w:t xml:space="preserve">UNICEF (2026a) </w:t>
      </w:r>
      <w:r w:rsidRPr="00F277B9">
        <w:rPr>
          <w:rFonts w:cs="Arial"/>
          <w:i/>
          <w:iCs/>
        </w:rPr>
        <w:t>GOAL 3: GOOD HEALTH AND WELL-BEING</w:t>
      </w:r>
      <w:r w:rsidRPr="00F277B9">
        <w:rPr>
          <w:rFonts w:cs="Arial"/>
        </w:rPr>
        <w:t>. Available at: https://data.unicef.org/sdgs/goal-3-good-health-wellbeing/ (Accessed: 10 February 2026)</w:t>
      </w:r>
    </w:p>
    <w:p w14:paraId="6FB46183" w14:textId="19CD24BB" w:rsidR="00096B77" w:rsidRPr="00F277B9" w:rsidRDefault="00096B77" w:rsidP="00CB7A82">
      <w:pPr>
        <w:jc w:val="left"/>
        <w:rPr>
          <w:rFonts w:cs="Arial"/>
        </w:rPr>
      </w:pPr>
      <w:r w:rsidRPr="00F277B9">
        <w:rPr>
          <w:rFonts w:cs="Arial"/>
        </w:rPr>
        <w:t xml:space="preserve">UNICEF (2026b) </w:t>
      </w:r>
      <w:r w:rsidRPr="00F277B9">
        <w:rPr>
          <w:rFonts w:cs="Arial"/>
          <w:i/>
          <w:iCs/>
        </w:rPr>
        <w:t>GOAL 10: REDUCED INEQUALITIES</w:t>
      </w:r>
      <w:r w:rsidRPr="00F277B9">
        <w:rPr>
          <w:rFonts w:cs="Arial"/>
        </w:rPr>
        <w:t>. Available at: https://data.unicef.org/sdgs/goal-10-reduced-inequalities/ (Accessed: 10 February 2026)</w:t>
      </w:r>
    </w:p>
    <w:p w14:paraId="760DDE1D" w14:textId="16C39E28" w:rsidR="00096B77" w:rsidRPr="00F277B9" w:rsidRDefault="00096B77" w:rsidP="00CB7A82">
      <w:pPr>
        <w:jc w:val="left"/>
        <w:rPr>
          <w:rFonts w:cs="Arial"/>
          <w:lang w:val="en-IN"/>
        </w:rPr>
      </w:pPr>
      <w:r w:rsidRPr="00F277B9">
        <w:rPr>
          <w:rFonts w:cs="Arial"/>
        </w:rPr>
        <w:t xml:space="preserve">United Nations (2025) </w:t>
      </w:r>
      <w:r w:rsidRPr="00F277B9">
        <w:rPr>
          <w:rFonts w:cs="Arial"/>
          <w:i/>
          <w:iCs/>
          <w:lang w:val="en-IN"/>
        </w:rPr>
        <w:t>Reduced inequalities</w:t>
      </w:r>
      <w:r w:rsidRPr="00F277B9">
        <w:rPr>
          <w:rFonts w:cs="Arial"/>
          <w:lang w:val="en-IN"/>
        </w:rPr>
        <w:t xml:space="preserve">. </w:t>
      </w:r>
      <w:r w:rsidRPr="00F277B9">
        <w:rPr>
          <w:rFonts w:cs="Arial"/>
        </w:rPr>
        <w:t xml:space="preserve">Available at: </w:t>
      </w:r>
      <w:r w:rsidRPr="00F277B9">
        <w:rPr>
          <w:rFonts w:cs="Arial"/>
          <w:lang w:val="en-IN"/>
        </w:rPr>
        <w:t xml:space="preserve">https://unstats.un.org/sdgs/report/2025/Goal-10/ </w:t>
      </w:r>
      <w:r w:rsidRPr="00F277B9">
        <w:rPr>
          <w:rFonts w:cs="Arial"/>
        </w:rPr>
        <w:t>(Accessed: 12 February 2026)</w:t>
      </w:r>
    </w:p>
    <w:p w14:paraId="0D0F04BC" w14:textId="6350241B" w:rsidR="00096B77" w:rsidRPr="00F277B9" w:rsidRDefault="00096B77" w:rsidP="00CB7A82">
      <w:pPr>
        <w:jc w:val="left"/>
        <w:rPr>
          <w:rFonts w:cs="Arial"/>
        </w:rPr>
      </w:pPr>
      <w:r w:rsidRPr="00F277B9">
        <w:rPr>
          <w:rFonts w:cs="Arial"/>
        </w:rPr>
        <w:lastRenderedPageBreak/>
        <w:t xml:space="preserve">United Nations (2026a) </w:t>
      </w:r>
      <w:r w:rsidRPr="00F277B9">
        <w:rPr>
          <w:rFonts w:cs="Arial"/>
          <w:i/>
          <w:iCs/>
        </w:rPr>
        <w:t>Goal 3: Ensure healthy lives and promote well-being for all at all ages</w:t>
      </w:r>
      <w:r w:rsidRPr="00F277B9">
        <w:rPr>
          <w:rFonts w:cs="Arial"/>
        </w:rPr>
        <w:t>. Available at: https://www.un.org/sustainabledevelopment/health/ (Accessed: 10 February 2026)</w:t>
      </w:r>
    </w:p>
    <w:p w14:paraId="14356010" w14:textId="74EF0E25" w:rsidR="00096B77" w:rsidRPr="00F277B9" w:rsidRDefault="00096B77" w:rsidP="00CB7A82">
      <w:pPr>
        <w:jc w:val="left"/>
        <w:rPr>
          <w:rFonts w:cs="Arial"/>
        </w:rPr>
      </w:pPr>
      <w:r w:rsidRPr="00F277B9">
        <w:rPr>
          <w:rFonts w:cs="Arial"/>
        </w:rPr>
        <w:t xml:space="preserve">WHO (2026) </w:t>
      </w:r>
      <w:r w:rsidRPr="00F277B9">
        <w:rPr>
          <w:rFonts w:cs="Arial"/>
          <w:i/>
          <w:iCs/>
        </w:rPr>
        <w:t>Constitution</w:t>
      </w:r>
      <w:r w:rsidRPr="00F277B9">
        <w:rPr>
          <w:rFonts w:cs="Arial"/>
        </w:rPr>
        <w:t>. Available at: https://www.who.int/about/governance/constitution (Accessed: 10 February 2026)</w:t>
      </w:r>
    </w:p>
    <w:p w14:paraId="5EB30F64" w14:textId="6CE2F2D9" w:rsidR="00096B77" w:rsidRPr="00F277B9" w:rsidRDefault="00096B77" w:rsidP="00CB7A82">
      <w:pPr>
        <w:jc w:val="left"/>
        <w:rPr>
          <w:rFonts w:cs="Arial"/>
        </w:rPr>
      </w:pPr>
      <w:r w:rsidRPr="00F277B9">
        <w:rPr>
          <w:rFonts w:cs="Arial"/>
        </w:rPr>
        <w:t xml:space="preserve">World Bank Group (2019) </w:t>
      </w:r>
      <w:r w:rsidRPr="00F277B9">
        <w:rPr>
          <w:rFonts w:cs="Arial"/>
          <w:i/>
          <w:iCs/>
        </w:rPr>
        <w:t>Sustainable Development Goal 10 – Reduced Inequalities: Progress and Prospects</w:t>
      </w:r>
      <w:r w:rsidRPr="00F277B9">
        <w:rPr>
          <w:rFonts w:cs="Arial"/>
        </w:rPr>
        <w:t>. Available at: https://thedocs.worldbank.org/en/doc/925671552682607792-0090022019/original/SDG10EGM2019conceptnote.pdf#:~:text=The%20global%20average%20cost%20of%20sending%20remittances,has%20been%20mixed%20across%20countries%20and%20regions. (Accessed: 11 February 2026)</w:t>
      </w:r>
    </w:p>
    <w:p w14:paraId="16625768" w14:textId="5086939C" w:rsidR="00096B77" w:rsidRPr="00F277B9" w:rsidRDefault="00096B77" w:rsidP="00CB7A82">
      <w:pPr>
        <w:jc w:val="left"/>
        <w:rPr>
          <w:rFonts w:cs="Arial"/>
        </w:rPr>
      </w:pPr>
      <w:proofErr w:type="spellStart"/>
      <w:r w:rsidRPr="00F277B9">
        <w:rPr>
          <w:rFonts w:cs="Arial"/>
        </w:rPr>
        <w:t>Yokobori</w:t>
      </w:r>
      <w:proofErr w:type="spellEnd"/>
      <w:r w:rsidRPr="00F277B9">
        <w:rPr>
          <w:rFonts w:cs="Arial"/>
        </w:rPr>
        <w:t xml:space="preserve">, Y., Kiyohara, H., </w:t>
      </w:r>
      <w:proofErr w:type="spellStart"/>
      <w:r w:rsidRPr="00F277B9">
        <w:rPr>
          <w:rFonts w:cs="Arial"/>
        </w:rPr>
        <w:t>Mulati</w:t>
      </w:r>
      <w:proofErr w:type="spellEnd"/>
      <w:r w:rsidRPr="00F277B9">
        <w:rPr>
          <w:rFonts w:cs="Arial"/>
        </w:rPr>
        <w:t>, N., Lwin, K.S., Bao, T.Q.Q., Aung, M.N., Yuasa, M. and Fujita, M. (2023) ‘Roles of social protection to promote health service coverage among vulnerable people toward achieving universal health coverage: a literature review of international organizations’, </w:t>
      </w:r>
      <w:r w:rsidRPr="00F277B9">
        <w:rPr>
          <w:rFonts w:cs="Arial"/>
          <w:i/>
          <w:iCs/>
        </w:rPr>
        <w:t>International Journal of Environmental Research and Public Health</w:t>
      </w:r>
      <w:r w:rsidRPr="00F277B9">
        <w:rPr>
          <w:rFonts w:cs="Arial"/>
        </w:rPr>
        <w:t>, </w:t>
      </w:r>
      <w:r w:rsidRPr="00F277B9">
        <w:rPr>
          <w:rFonts w:cs="Arial"/>
          <w:i/>
          <w:iCs/>
        </w:rPr>
        <w:t>20</w:t>
      </w:r>
      <w:r w:rsidRPr="00F277B9">
        <w:rPr>
          <w:rFonts w:cs="Arial"/>
        </w:rPr>
        <w:t xml:space="preserve">(9), pp.1-16. </w:t>
      </w:r>
      <w:proofErr w:type="spellStart"/>
      <w:r w:rsidRPr="00F277B9">
        <w:rPr>
          <w:rFonts w:cs="Arial"/>
        </w:rPr>
        <w:t>doi</w:t>
      </w:r>
      <w:proofErr w:type="spellEnd"/>
      <w:r w:rsidRPr="00F277B9">
        <w:rPr>
          <w:rFonts w:cs="Arial"/>
        </w:rPr>
        <w:t xml:space="preserve">: https://doi.org/10.3390/ijerph20095754 </w:t>
      </w:r>
    </w:p>
    <w:p w14:paraId="1076344C" w14:textId="54283613" w:rsidR="00E1698D" w:rsidRPr="00F277B9" w:rsidRDefault="00E1698D" w:rsidP="00CB7A82">
      <w:pPr>
        <w:jc w:val="left"/>
        <w:rPr>
          <w:rFonts w:cs="Arial"/>
          <w:lang w:val="en-IN"/>
        </w:rPr>
      </w:pPr>
    </w:p>
    <w:p w14:paraId="16BEFCDF" w14:textId="25064EC3" w:rsidR="00CF0480" w:rsidRPr="00F277B9" w:rsidRDefault="00CF0480" w:rsidP="00F277B9">
      <w:pPr>
        <w:jc w:val="left"/>
        <w:rPr>
          <w:rFonts w:cs="Arial"/>
        </w:rPr>
      </w:pPr>
    </w:p>
    <w:p w14:paraId="49227521" w14:textId="13CB173A" w:rsidR="00EC6890" w:rsidRPr="00F277B9" w:rsidRDefault="00EC6890" w:rsidP="00F277B9">
      <w:pPr>
        <w:jc w:val="left"/>
        <w:rPr>
          <w:rFonts w:cs="Arial"/>
        </w:rPr>
      </w:pPr>
    </w:p>
    <w:p w14:paraId="69BEB758" w14:textId="6C174BF4" w:rsidR="00D119F2" w:rsidRPr="00F277B9" w:rsidRDefault="00D119F2" w:rsidP="00F277B9">
      <w:pPr>
        <w:jc w:val="left"/>
        <w:rPr>
          <w:rFonts w:cs="Arial"/>
        </w:rPr>
      </w:pPr>
    </w:p>
    <w:p w14:paraId="63B5F3EC" w14:textId="7E89296B" w:rsidR="00A37F44" w:rsidRPr="00F277B9" w:rsidRDefault="00A37F44" w:rsidP="00F277B9">
      <w:pPr>
        <w:jc w:val="left"/>
        <w:rPr>
          <w:rFonts w:cs="Arial"/>
        </w:rPr>
      </w:pPr>
    </w:p>
    <w:p w14:paraId="15A16AAE" w14:textId="19840DBB" w:rsidR="0061326C" w:rsidRPr="00F277B9" w:rsidRDefault="0061326C" w:rsidP="00F277B9">
      <w:pPr>
        <w:jc w:val="left"/>
        <w:rPr>
          <w:rFonts w:cs="Arial"/>
        </w:rPr>
      </w:pPr>
    </w:p>
    <w:sectPr w:rsidR="0061326C" w:rsidRPr="00F277B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36C1D" w14:textId="77777777" w:rsidR="00AE56FD" w:rsidRDefault="00AE56FD" w:rsidP="00E51691">
      <w:pPr>
        <w:spacing w:after="0" w:line="240" w:lineRule="auto"/>
      </w:pPr>
      <w:r>
        <w:separator/>
      </w:r>
    </w:p>
  </w:endnote>
  <w:endnote w:type="continuationSeparator" w:id="0">
    <w:p w14:paraId="087B31BD" w14:textId="77777777" w:rsidR="00AE56FD" w:rsidRDefault="00AE56FD" w:rsidP="00E51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5968419"/>
      <w:docPartObj>
        <w:docPartGallery w:val="Page Numbers (Bottom of Page)"/>
        <w:docPartUnique/>
      </w:docPartObj>
    </w:sdtPr>
    <w:sdtEndPr>
      <w:rPr>
        <w:noProof/>
      </w:rPr>
    </w:sdtEndPr>
    <w:sdtContent>
      <w:p w14:paraId="5A3E0C63" w14:textId="6EB6C9B1" w:rsidR="00CB7A82" w:rsidRDefault="00CB7A8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F9B705" w14:textId="77777777" w:rsidR="00F277B9" w:rsidRDefault="00F277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185B5" w14:textId="77777777" w:rsidR="00AE56FD" w:rsidRDefault="00AE56FD" w:rsidP="00E51691">
      <w:pPr>
        <w:spacing w:after="0" w:line="240" w:lineRule="auto"/>
      </w:pPr>
      <w:r>
        <w:separator/>
      </w:r>
    </w:p>
  </w:footnote>
  <w:footnote w:type="continuationSeparator" w:id="0">
    <w:p w14:paraId="6547F779" w14:textId="77777777" w:rsidR="00AE56FD" w:rsidRDefault="00AE56FD" w:rsidP="00E516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D10F3" w14:textId="73EEE56C" w:rsidR="00E51691" w:rsidRDefault="00E51691" w:rsidP="00F277B9">
    <w:pPr>
      <w:pStyle w:val="Header"/>
      <w:jc w:val="center"/>
    </w:pPr>
  </w:p>
  <w:p w14:paraId="289E5DC5" w14:textId="77777777" w:rsidR="00E51691" w:rsidRDefault="00E516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063B2"/>
    <w:multiLevelType w:val="multilevel"/>
    <w:tmpl w:val="F050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80750C"/>
    <w:multiLevelType w:val="hybridMultilevel"/>
    <w:tmpl w:val="504CD2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8564927">
    <w:abstractNumId w:val="0"/>
  </w:num>
  <w:num w:numId="2" w16cid:durableId="1708531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1B3"/>
    <w:rsid w:val="00005688"/>
    <w:rsid w:val="000069F9"/>
    <w:rsid w:val="0001001B"/>
    <w:rsid w:val="00013229"/>
    <w:rsid w:val="00020538"/>
    <w:rsid w:val="00032B5B"/>
    <w:rsid w:val="0004578B"/>
    <w:rsid w:val="000509EF"/>
    <w:rsid w:val="000615D6"/>
    <w:rsid w:val="00074B5D"/>
    <w:rsid w:val="00077D49"/>
    <w:rsid w:val="0008235A"/>
    <w:rsid w:val="0008335A"/>
    <w:rsid w:val="00096B77"/>
    <w:rsid w:val="000A2DF2"/>
    <w:rsid w:val="000A7E4A"/>
    <w:rsid w:val="000B40CA"/>
    <w:rsid w:val="000B5CA6"/>
    <w:rsid w:val="000B7D1D"/>
    <w:rsid w:val="000C7FF1"/>
    <w:rsid w:val="000D5644"/>
    <w:rsid w:val="000F0C05"/>
    <w:rsid w:val="000F2732"/>
    <w:rsid w:val="000F497F"/>
    <w:rsid w:val="000F7F82"/>
    <w:rsid w:val="00100331"/>
    <w:rsid w:val="001038B4"/>
    <w:rsid w:val="001048D2"/>
    <w:rsid w:val="001077E8"/>
    <w:rsid w:val="0011384C"/>
    <w:rsid w:val="00117682"/>
    <w:rsid w:val="00117CDB"/>
    <w:rsid w:val="00122F18"/>
    <w:rsid w:val="0012359C"/>
    <w:rsid w:val="001341C4"/>
    <w:rsid w:val="0014786C"/>
    <w:rsid w:val="00152A68"/>
    <w:rsid w:val="00152C06"/>
    <w:rsid w:val="00152E0B"/>
    <w:rsid w:val="00154E31"/>
    <w:rsid w:val="0016041D"/>
    <w:rsid w:val="00160717"/>
    <w:rsid w:val="001629B0"/>
    <w:rsid w:val="00171FDA"/>
    <w:rsid w:val="00176E91"/>
    <w:rsid w:val="00197DA7"/>
    <w:rsid w:val="001A5298"/>
    <w:rsid w:val="001A71B2"/>
    <w:rsid w:val="001C7559"/>
    <w:rsid w:val="001C7EBD"/>
    <w:rsid w:val="001D368A"/>
    <w:rsid w:val="001D77F4"/>
    <w:rsid w:val="001E05E7"/>
    <w:rsid w:val="001E1D27"/>
    <w:rsid w:val="001E248B"/>
    <w:rsid w:val="001E3EDC"/>
    <w:rsid w:val="001F744C"/>
    <w:rsid w:val="00207D18"/>
    <w:rsid w:val="002140A4"/>
    <w:rsid w:val="00230014"/>
    <w:rsid w:val="00233C27"/>
    <w:rsid w:val="002412C6"/>
    <w:rsid w:val="00241AAD"/>
    <w:rsid w:val="00252080"/>
    <w:rsid w:val="002536D0"/>
    <w:rsid w:val="00253D28"/>
    <w:rsid w:val="002543DD"/>
    <w:rsid w:val="00264A46"/>
    <w:rsid w:val="00273DA8"/>
    <w:rsid w:val="00276308"/>
    <w:rsid w:val="002767E3"/>
    <w:rsid w:val="00280865"/>
    <w:rsid w:val="002854A7"/>
    <w:rsid w:val="002959BF"/>
    <w:rsid w:val="002A0261"/>
    <w:rsid w:val="002A05B0"/>
    <w:rsid w:val="002C7B29"/>
    <w:rsid w:val="002D2277"/>
    <w:rsid w:val="002D44CC"/>
    <w:rsid w:val="002F2608"/>
    <w:rsid w:val="002F6D83"/>
    <w:rsid w:val="00303B57"/>
    <w:rsid w:val="00305487"/>
    <w:rsid w:val="00307A75"/>
    <w:rsid w:val="003124E8"/>
    <w:rsid w:val="003168A5"/>
    <w:rsid w:val="0034302E"/>
    <w:rsid w:val="003442C8"/>
    <w:rsid w:val="003514EC"/>
    <w:rsid w:val="00355478"/>
    <w:rsid w:val="0036576B"/>
    <w:rsid w:val="003665BF"/>
    <w:rsid w:val="0037018B"/>
    <w:rsid w:val="00382408"/>
    <w:rsid w:val="00383C8E"/>
    <w:rsid w:val="00390994"/>
    <w:rsid w:val="003934FA"/>
    <w:rsid w:val="003A7112"/>
    <w:rsid w:val="003B5FE5"/>
    <w:rsid w:val="003C71FE"/>
    <w:rsid w:val="003D18B8"/>
    <w:rsid w:val="003E0BE3"/>
    <w:rsid w:val="003F012B"/>
    <w:rsid w:val="00402DF1"/>
    <w:rsid w:val="00405BEC"/>
    <w:rsid w:val="00407DEB"/>
    <w:rsid w:val="004158EC"/>
    <w:rsid w:val="00417472"/>
    <w:rsid w:val="00425426"/>
    <w:rsid w:val="0042605D"/>
    <w:rsid w:val="00426570"/>
    <w:rsid w:val="0043031A"/>
    <w:rsid w:val="00430549"/>
    <w:rsid w:val="004362D8"/>
    <w:rsid w:val="004430BC"/>
    <w:rsid w:val="00444EC3"/>
    <w:rsid w:val="004565CF"/>
    <w:rsid w:val="004660BB"/>
    <w:rsid w:val="00475D4E"/>
    <w:rsid w:val="00483194"/>
    <w:rsid w:val="00490F4C"/>
    <w:rsid w:val="004A4C08"/>
    <w:rsid w:val="004B2FED"/>
    <w:rsid w:val="004B3F2A"/>
    <w:rsid w:val="004C08A8"/>
    <w:rsid w:val="004C561B"/>
    <w:rsid w:val="004C5FD3"/>
    <w:rsid w:val="004D5273"/>
    <w:rsid w:val="004D768E"/>
    <w:rsid w:val="004E164D"/>
    <w:rsid w:val="004E3BF0"/>
    <w:rsid w:val="004E7D50"/>
    <w:rsid w:val="004F33A7"/>
    <w:rsid w:val="005156C0"/>
    <w:rsid w:val="005225C5"/>
    <w:rsid w:val="00541898"/>
    <w:rsid w:val="00547586"/>
    <w:rsid w:val="00547E1F"/>
    <w:rsid w:val="00564E70"/>
    <w:rsid w:val="005765B7"/>
    <w:rsid w:val="00577233"/>
    <w:rsid w:val="00585C34"/>
    <w:rsid w:val="005A00C1"/>
    <w:rsid w:val="005A3398"/>
    <w:rsid w:val="005C3208"/>
    <w:rsid w:val="005C3746"/>
    <w:rsid w:val="005D2098"/>
    <w:rsid w:val="005D317F"/>
    <w:rsid w:val="005D4275"/>
    <w:rsid w:val="005D45DB"/>
    <w:rsid w:val="006021AA"/>
    <w:rsid w:val="0061326C"/>
    <w:rsid w:val="00615255"/>
    <w:rsid w:val="00622D09"/>
    <w:rsid w:val="006335DD"/>
    <w:rsid w:val="00634413"/>
    <w:rsid w:val="00645F71"/>
    <w:rsid w:val="00653E85"/>
    <w:rsid w:val="006579A3"/>
    <w:rsid w:val="00666F0F"/>
    <w:rsid w:val="00673166"/>
    <w:rsid w:val="006764C2"/>
    <w:rsid w:val="00676709"/>
    <w:rsid w:val="00686966"/>
    <w:rsid w:val="00697F53"/>
    <w:rsid w:val="006A34F6"/>
    <w:rsid w:val="006A4013"/>
    <w:rsid w:val="006B1D21"/>
    <w:rsid w:val="006B5405"/>
    <w:rsid w:val="006C0059"/>
    <w:rsid w:val="006C00F9"/>
    <w:rsid w:val="006C1062"/>
    <w:rsid w:val="006C3DF0"/>
    <w:rsid w:val="006C660B"/>
    <w:rsid w:val="006D5DB8"/>
    <w:rsid w:val="006F0C26"/>
    <w:rsid w:val="00700DFF"/>
    <w:rsid w:val="00704CD6"/>
    <w:rsid w:val="0071042A"/>
    <w:rsid w:val="00710505"/>
    <w:rsid w:val="00717F97"/>
    <w:rsid w:val="00726597"/>
    <w:rsid w:val="00726D04"/>
    <w:rsid w:val="00731ADD"/>
    <w:rsid w:val="0073356F"/>
    <w:rsid w:val="0074077A"/>
    <w:rsid w:val="00742757"/>
    <w:rsid w:val="00742CDA"/>
    <w:rsid w:val="00762805"/>
    <w:rsid w:val="007808E6"/>
    <w:rsid w:val="007857FE"/>
    <w:rsid w:val="00786924"/>
    <w:rsid w:val="007957F8"/>
    <w:rsid w:val="007B7FC1"/>
    <w:rsid w:val="007D36B8"/>
    <w:rsid w:val="007E26CA"/>
    <w:rsid w:val="00801FB5"/>
    <w:rsid w:val="00802B57"/>
    <w:rsid w:val="00806005"/>
    <w:rsid w:val="00814A9C"/>
    <w:rsid w:val="00822C67"/>
    <w:rsid w:val="00850B71"/>
    <w:rsid w:val="008631B3"/>
    <w:rsid w:val="00885113"/>
    <w:rsid w:val="00886890"/>
    <w:rsid w:val="008908B0"/>
    <w:rsid w:val="008931BC"/>
    <w:rsid w:val="008A439B"/>
    <w:rsid w:val="008A74AD"/>
    <w:rsid w:val="008B06C4"/>
    <w:rsid w:val="008B1399"/>
    <w:rsid w:val="008D2115"/>
    <w:rsid w:val="008D43FD"/>
    <w:rsid w:val="008D63D7"/>
    <w:rsid w:val="008F0CA8"/>
    <w:rsid w:val="008F32F6"/>
    <w:rsid w:val="008F6061"/>
    <w:rsid w:val="00902CF1"/>
    <w:rsid w:val="00911C9A"/>
    <w:rsid w:val="00930A2C"/>
    <w:rsid w:val="00933646"/>
    <w:rsid w:val="00943879"/>
    <w:rsid w:val="0094403B"/>
    <w:rsid w:val="009473C5"/>
    <w:rsid w:val="00953185"/>
    <w:rsid w:val="009540B9"/>
    <w:rsid w:val="009573DB"/>
    <w:rsid w:val="00957F2E"/>
    <w:rsid w:val="00966354"/>
    <w:rsid w:val="0098257D"/>
    <w:rsid w:val="00985FF1"/>
    <w:rsid w:val="009A4F6F"/>
    <w:rsid w:val="009C3949"/>
    <w:rsid w:val="009C7A9B"/>
    <w:rsid w:val="009D5B51"/>
    <w:rsid w:val="009F0075"/>
    <w:rsid w:val="009F3477"/>
    <w:rsid w:val="00A01203"/>
    <w:rsid w:val="00A03394"/>
    <w:rsid w:val="00A03BFE"/>
    <w:rsid w:val="00A05802"/>
    <w:rsid w:val="00A119CD"/>
    <w:rsid w:val="00A13F95"/>
    <w:rsid w:val="00A14C2C"/>
    <w:rsid w:val="00A17B78"/>
    <w:rsid w:val="00A2021D"/>
    <w:rsid w:val="00A277FA"/>
    <w:rsid w:val="00A37F44"/>
    <w:rsid w:val="00A512EB"/>
    <w:rsid w:val="00A70801"/>
    <w:rsid w:val="00A75AB3"/>
    <w:rsid w:val="00A7737E"/>
    <w:rsid w:val="00A8171D"/>
    <w:rsid w:val="00A82B4C"/>
    <w:rsid w:val="00A82D8A"/>
    <w:rsid w:val="00A83835"/>
    <w:rsid w:val="00A85F63"/>
    <w:rsid w:val="00A8712E"/>
    <w:rsid w:val="00A91CE9"/>
    <w:rsid w:val="00A923B6"/>
    <w:rsid w:val="00A92738"/>
    <w:rsid w:val="00A9335A"/>
    <w:rsid w:val="00A9355C"/>
    <w:rsid w:val="00A95413"/>
    <w:rsid w:val="00AA0348"/>
    <w:rsid w:val="00AA0BDB"/>
    <w:rsid w:val="00AB309F"/>
    <w:rsid w:val="00AC3E9F"/>
    <w:rsid w:val="00AD7919"/>
    <w:rsid w:val="00AD7CA4"/>
    <w:rsid w:val="00AE121C"/>
    <w:rsid w:val="00AE56FD"/>
    <w:rsid w:val="00AF33B3"/>
    <w:rsid w:val="00AF5D4C"/>
    <w:rsid w:val="00B04510"/>
    <w:rsid w:val="00B10E19"/>
    <w:rsid w:val="00B13018"/>
    <w:rsid w:val="00B2254D"/>
    <w:rsid w:val="00B357D4"/>
    <w:rsid w:val="00B36836"/>
    <w:rsid w:val="00B506C2"/>
    <w:rsid w:val="00B543A9"/>
    <w:rsid w:val="00B544DB"/>
    <w:rsid w:val="00B556E8"/>
    <w:rsid w:val="00B609B3"/>
    <w:rsid w:val="00B71C0E"/>
    <w:rsid w:val="00B9318E"/>
    <w:rsid w:val="00B93212"/>
    <w:rsid w:val="00B955DF"/>
    <w:rsid w:val="00B95869"/>
    <w:rsid w:val="00B96600"/>
    <w:rsid w:val="00B96949"/>
    <w:rsid w:val="00BB13AF"/>
    <w:rsid w:val="00BC1D37"/>
    <w:rsid w:val="00BC7DAF"/>
    <w:rsid w:val="00BD2B4A"/>
    <w:rsid w:val="00BD415E"/>
    <w:rsid w:val="00BD6F23"/>
    <w:rsid w:val="00BD701B"/>
    <w:rsid w:val="00BE21C4"/>
    <w:rsid w:val="00BF2A6D"/>
    <w:rsid w:val="00BF460D"/>
    <w:rsid w:val="00C02473"/>
    <w:rsid w:val="00C17081"/>
    <w:rsid w:val="00C20B7F"/>
    <w:rsid w:val="00C379BE"/>
    <w:rsid w:val="00C42668"/>
    <w:rsid w:val="00C43C5A"/>
    <w:rsid w:val="00C46FE1"/>
    <w:rsid w:val="00C5317B"/>
    <w:rsid w:val="00C578D6"/>
    <w:rsid w:val="00C617D8"/>
    <w:rsid w:val="00C71D0A"/>
    <w:rsid w:val="00C749FF"/>
    <w:rsid w:val="00C83F82"/>
    <w:rsid w:val="00C84EDE"/>
    <w:rsid w:val="00C93B05"/>
    <w:rsid w:val="00C96059"/>
    <w:rsid w:val="00C97096"/>
    <w:rsid w:val="00CA0441"/>
    <w:rsid w:val="00CA5DBC"/>
    <w:rsid w:val="00CA6339"/>
    <w:rsid w:val="00CB45BE"/>
    <w:rsid w:val="00CB6986"/>
    <w:rsid w:val="00CB7A82"/>
    <w:rsid w:val="00CC100D"/>
    <w:rsid w:val="00CC36D8"/>
    <w:rsid w:val="00CC5F9F"/>
    <w:rsid w:val="00CC6859"/>
    <w:rsid w:val="00CD4AF8"/>
    <w:rsid w:val="00CD619C"/>
    <w:rsid w:val="00CF0480"/>
    <w:rsid w:val="00D03F30"/>
    <w:rsid w:val="00D106C5"/>
    <w:rsid w:val="00D119F2"/>
    <w:rsid w:val="00D1787A"/>
    <w:rsid w:val="00D303D4"/>
    <w:rsid w:val="00D3602B"/>
    <w:rsid w:val="00D45B08"/>
    <w:rsid w:val="00D45FBE"/>
    <w:rsid w:val="00D509B8"/>
    <w:rsid w:val="00D50E41"/>
    <w:rsid w:val="00D528F2"/>
    <w:rsid w:val="00D57A56"/>
    <w:rsid w:val="00D62C91"/>
    <w:rsid w:val="00D6600A"/>
    <w:rsid w:val="00D66558"/>
    <w:rsid w:val="00D760EE"/>
    <w:rsid w:val="00D76DEF"/>
    <w:rsid w:val="00D82693"/>
    <w:rsid w:val="00D850EF"/>
    <w:rsid w:val="00D86306"/>
    <w:rsid w:val="00D90472"/>
    <w:rsid w:val="00DB4D77"/>
    <w:rsid w:val="00DB541E"/>
    <w:rsid w:val="00DD7B30"/>
    <w:rsid w:val="00DE40F4"/>
    <w:rsid w:val="00E07EAD"/>
    <w:rsid w:val="00E12234"/>
    <w:rsid w:val="00E1355B"/>
    <w:rsid w:val="00E1430F"/>
    <w:rsid w:val="00E153F4"/>
    <w:rsid w:val="00E1698D"/>
    <w:rsid w:val="00E270CA"/>
    <w:rsid w:val="00E3546B"/>
    <w:rsid w:val="00E435C3"/>
    <w:rsid w:val="00E44584"/>
    <w:rsid w:val="00E45E04"/>
    <w:rsid w:val="00E51691"/>
    <w:rsid w:val="00E544AE"/>
    <w:rsid w:val="00E5609E"/>
    <w:rsid w:val="00E64753"/>
    <w:rsid w:val="00E6680A"/>
    <w:rsid w:val="00E66845"/>
    <w:rsid w:val="00E72325"/>
    <w:rsid w:val="00E94028"/>
    <w:rsid w:val="00EA0F94"/>
    <w:rsid w:val="00EA3695"/>
    <w:rsid w:val="00EA799D"/>
    <w:rsid w:val="00EB1DD4"/>
    <w:rsid w:val="00EB7606"/>
    <w:rsid w:val="00EC5EA0"/>
    <w:rsid w:val="00EC6890"/>
    <w:rsid w:val="00ED6D32"/>
    <w:rsid w:val="00EF0DE8"/>
    <w:rsid w:val="00EF4114"/>
    <w:rsid w:val="00EF72D0"/>
    <w:rsid w:val="00F06B09"/>
    <w:rsid w:val="00F10172"/>
    <w:rsid w:val="00F16F0D"/>
    <w:rsid w:val="00F23431"/>
    <w:rsid w:val="00F277B9"/>
    <w:rsid w:val="00F318B1"/>
    <w:rsid w:val="00F41464"/>
    <w:rsid w:val="00F43343"/>
    <w:rsid w:val="00F46AE8"/>
    <w:rsid w:val="00F52B25"/>
    <w:rsid w:val="00F808F8"/>
    <w:rsid w:val="00F82E27"/>
    <w:rsid w:val="00F934DE"/>
    <w:rsid w:val="00FA0B28"/>
    <w:rsid w:val="00FC5983"/>
    <w:rsid w:val="00FC76E2"/>
    <w:rsid w:val="00FD1E72"/>
    <w:rsid w:val="00FE0035"/>
    <w:rsid w:val="00FE30B5"/>
    <w:rsid w:val="00FF186E"/>
    <w:rsid w:val="00FF4667"/>
    <w:rsid w:val="00FF75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3564"/>
  <w15:chartTrackingRefBased/>
  <w15:docId w15:val="{65041789-85C2-4AF2-8AD3-7E5051573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B77"/>
    <w:pPr>
      <w:spacing w:line="360" w:lineRule="auto"/>
      <w:jc w:val="both"/>
    </w:pPr>
    <w:rPr>
      <w:rFonts w:ascii="Arial" w:hAnsi="Arial"/>
      <w:lang w:val="en-GB"/>
    </w:rPr>
  </w:style>
  <w:style w:type="paragraph" w:styleId="Heading1">
    <w:name w:val="heading 1"/>
    <w:basedOn w:val="Normal"/>
    <w:next w:val="Normal"/>
    <w:link w:val="Heading1Char"/>
    <w:uiPriority w:val="9"/>
    <w:qFormat/>
    <w:rsid w:val="00A70801"/>
    <w:pPr>
      <w:keepNext/>
      <w:keepLines/>
      <w:spacing w:before="360" w:after="80"/>
      <w:jc w:val="left"/>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73356F"/>
    <w:pPr>
      <w:keepNext/>
      <w:keepLines/>
      <w:spacing w:before="160" w:after="80"/>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8631B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31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631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631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31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31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31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0801"/>
    <w:rPr>
      <w:rFonts w:ascii="Arial" w:eastAsiaTheme="majorEastAsia" w:hAnsi="Arial" w:cstheme="majorBidi"/>
      <w:b/>
      <w:color w:val="000000" w:themeColor="text1"/>
      <w:szCs w:val="40"/>
      <w:lang w:val="en-GB"/>
    </w:rPr>
  </w:style>
  <w:style w:type="character" w:customStyle="1" w:styleId="Heading2Char">
    <w:name w:val="Heading 2 Char"/>
    <w:basedOn w:val="DefaultParagraphFont"/>
    <w:link w:val="Heading2"/>
    <w:uiPriority w:val="9"/>
    <w:rsid w:val="0073356F"/>
    <w:rPr>
      <w:rFonts w:ascii="Arial" w:eastAsiaTheme="majorEastAsia" w:hAnsi="Arial" w:cstheme="majorBidi"/>
      <w:b/>
      <w:color w:val="000000" w:themeColor="text1"/>
      <w:szCs w:val="32"/>
      <w:lang w:val="en-GB"/>
    </w:rPr>
  </w:style>
  <w:style w:type="character" w:customStyle="1" w:styleId="Heading3Char">
    <w:name w:val="Heading 3 Char"/>
    <w:basedOn w:val="DefaultParagraphFont"/>
    <w:link w:val="Heading3"/>
    <w:uiPriority w:val="9"/>
    <w:semiHidden/>
    <w:rsid w:val="008631B3"/>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631B3"/>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8631B3"/>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8631B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631B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631B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631B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631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1B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631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1B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631B3"/>
    <w:pPr>
      <w:spacing w:before="160"/>
      <w:jc w:val="center"/>
    </w:pPr>
    <w:rPr>
      <w:i/>
      <w:iCs/>
      <w:color w:val="404040" w:themeColor="text1" w:themeTint="BF"/>
    </w:rPr>
  </w:style>
  <w:style w:type="character" w:customStyle="1" w:styleId="QuoteChar">
    <w:name w:val="Quote Char"/>
    <w:basedOn w:val="DefaultParagraphFont"/>
    <w:link w:val="Quote"/>
    <w:uiPriority w:val="29"/>
    <w:rsid w:val="008631B3"/>
    <w:rPr>
      <w:i/>
      <w:iCs/>
      <w:color w:val="404040" w:themeColor="text1" w:themeTint="BF"/>
      <w:lang w:val="en-GB"/>
    </w:rPr>
  </w:style>
  <w:style w:type="paragraph" w:styleId="ListParagraph">
    <w:name w:val="List Paragraph"/>
    <w:basedOn w:val="Normal"/>
    <w:uiPriority w:val="34"/>
    <w:qFormat/>
    <w:rsid w:val="008631B3"/>
    <w:pPr>
      <w:ind w:left="720"/>
      <w:contextualSpacing/>
    </w:pPr>
  </w:style>
  <w:style w:type="character" w:styleId="IntenseEmphasis">
    <w:name w:val="Intense Emphasis"/>
    <w:basedOn w:val="DefaultParagraphFont"/>
    <w:uiPriority w:val="21"/>
    <w:qFormat/>
    <w:rsid w:val="008631B3"/>
    <w:rPr>
      <w:i/>
      <w:iCs/>
      <w:color w:val="2F5496" w:themeColor="accent1" w:themeShade="BF"/>
    </w:rPr>
  </w:style>
  <w:style w:type="paragraph" w:styleId="IntenseQuote">
    <w:name w:val="Intense Quote"/>
    <w:basedOn w:val="Normal"/>
    <w:next w:val="Normal"/>
    <w:link w:val="IntenseQuoteChar"/>
    <w:uiPriority w:val="30"/>
    <w:qFormat/>
    <w:rsid w:val="008631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31B3"/>
    <w:rPr>
      <w:i/>
      <w:iCs/>
      <w:color w:val="2F5496" w:themeColor="accent1" w:themeShade="BF"/>
      <w:lang w:val="en-GB"/>
    </w:rPr>
  </w:style>
  <w:style w:type="character" w:styleId="IntenseReference">
    <w:name w:val="Intense Reference"/>
    <w:basedOn w:val="DefaultParagraphFont"/>
    <w:uiPriority w:val="32"/>
    <w:qFormat/>
    <w:rsid w:val="008631B3"/>
    <w:rPr>
      <w:b/>
      <w:bCs/>
      <w:smallCaps/>
      <w:color w:val="2F5496" w:themeColor="accent1" w:themeShade="BF"/>
      <w:spacing w:val="5"/>
    </w:rPr>
  </w:style>
  <w:style w:type="paragraph" w:styleId="Header">
    <w:name w:val="header"/>
    <w:basedOn w:val="Normal"/>
    <w:link w:val="HeaderChar"/>
    <w:uiPriority w:val="99"/>
    <w:unhideWhenUsed/>
    <w:rsid w:val="00E51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691"/>
    <w:rPr>
      <w:rFonts w:ascii="Arial" w:hAnsi="Arial"/>
      <w:lang w:val="en-GB"/>
    </w:rPr>
  </w:style>
  <w:style w:type="paragraph" w:styleId="Footer">
    <w:name w:val="footer"/>
    <w:basedOn w:val="Normal"/>
    <w:link w:val="FooterChar"/>
    <w:uiPriority w:val="99"/>
    <w:unhideWhenUsed/>
    <w:rsid w:val="00E51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691"/>
    <w:rPr>
      <w:rFonts w:ascii="Arial" w:hAnsi="Arial"/>
      <w:lang w:val="en-GB"/>
    </w:rPr>
  </w:style>
  <w:style w:type="character" w:styleId="Hyperlink">
    <w:name w:val="Hyperlink"/>
    <w:basedOn w:val="DefaultParagraphFont"/>
    <w:uiPriority w:val="99"/>
    <w:unhideWhenUsed/>
    <w:rsid w:val="00666F0F"/>
    <w:rPr>
      <w:color w:val="0563C1" w:themeColor="hyperlink"/>
      <w:u w:val="single"/>
    </w:rPr>
  </w:style>
  <w:style w:type="character" w:styleId="UnresolvedMention">
    <w:name w:val="Unresolved Mention"/>
    <w:basedOn w:val="DefaultParagraphFont"/>
    <w:uiPriority w:val="99"/>
    <w:semiHidden/>
    <w:unhideWhenUsed/>
    <w:rsid w:val="00666F0F"/>
    <w:rPr>
      <w:color w:val="605E5C"/>
      <w:shd w:val="clear" w:color="auto" w:fill="E1DFDD"/>
    </w:rPr>
  </w:style>
  <w:style w:type="paragraph" w:styleId="TOCHeading">
    <w:name w:val="TOC Heading"/>
    <w:basedOn w:val="Heading1"/>
    <w:next w:val="Normal"/>
    <w:uiPriority w:val="39"/>
    <w:unhideWhenUsed/>
    <w:qFormat/>
    <w:rsid w:val="00B955DF"/>
    <w:pPr>
      <w:spacing w:before="240" w:after="0" w:line="259" w:lineRule="auto"/>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B955DF"/>
    <w:pPr>
      <w:spacing w:after="100"/>
    </w:pPr>
  </w:style>
  <w:style w:type="paragraph" w:styleId="TOC2">
    <w:name w:val="toc 2"/>
    <w:basedOn w:val="Normal"/>
    <w:next w:val="Normal"/>
    <w:autoRedefine/>
    <w:uiPriority w:val="39"/>
    <w:unhideWhenUsed/>
    <w:rsid w:val="00B955D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C95F25-EE88-47AF-9A50-04A75B01F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3273</Words>
  <Characters>18660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Nurkas Kaneez (2225340)</cp:lastModifiedBy>
  <cp:revision>4</cp:revision>
  <dcterms:created xsi:type="dcterms:W3CDTF">2026-03-08T09:05:00Z</dcterms:created>
  <dcterms:modified xsi:type="dcterms:W3CDTF">2026-03-08T09:08:00Z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c30079ac-68e6-4aaf-bb12-3fef129ce12b</vt:lpwstr>
  </property>
</Properties>
</file>