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68E9A" w14:textId="3F5C3BCE" w:rsidR="002E72FF" w:rsidRDefault="002E72FF" w:rsidP="00F20F81">
      <w:pPr>
        <w:spacing w:line="360" w:lineRule="auto"/>
        <w:jc w:val="both"/>
        <w:rPr>
          <w:sz w:val="24"/>
          <w:szCs w:val="24"/>
        </w:rPr>
      </w:pPr>
      <w:r>
        <w:rPr>
          <w:sz w:val="24"/>
          <w:szCs w:val="24"/>
        </w:rPr>
        <w:t xml:space="preserve">Learning using digital innovations has become essential </w:t>
      </w:r>
      <w:proofErr w:type="gramStart"/>
      <w:r>
        <w:rPr>
          <w:sz w:val="24"/>
          <w:szCs w:val="24"/>
        </w:rPr>
        <w:t>in today’s society</w:t>
      </w:r>
      <w:proofErr w:type="gramEnd"/>
      <w:r>
        <w:rPr>
          <w:sz w:val="24"/>
          <w:szCs w:val="24"/>
        </w:rPr>
        <w:t>. Digital innovations are more or less expected from government</w:t>
      </w:r>
      <w:r w:rsidR="00A01009">
        <w:rPr>
          <w:sz w:val="24"/>
          <w:szCs w:val="24"/>
        </w:rPr>
        <w:t xml:space="preserve">s, educational systems, researchers, teachers, </w:t>
      </w:r>
      <w:r w:rsidR="00886BE5">
        <w:rPr>
          <w:sz w:val="24"/>
          <w:szCs w:val="24"/>
        </w:rPr>
        <w:t>parents,</w:t>
      </w:r>
      <w:r w:rsidR="00A01009">
        <w:rPr>
          <w:sz w:val="24"/>
          <w:szCs w:val="24"/>
        </w:rPr>
        <w:t xml:space="preserve"> and professionals and are considered to be an essential part of anyone’s education (</w:t>
      </w:r>
      <w:proofErr w:type="spellStart"/>
      <w:r w:rsidR="00A01009">
        <w:rPr>
          <w:sz w:val="24"/>
          <w:szCs w:val="24"/>
        </w:rPr>
        <w:t>Eady</w:t>
      </w:r>
      <w:proofErr w:type="spellEnd"/>
      <w:r w:rsidR="00A01009">
        <w:rPr>
          <w:sz w:val="24"/>
          <w:szCs w:val="24"/>
        </w:rPr>
        <w:t xml:space="preserve"> and Lockyer, 2013). Thus, developing students’ knowledge and skills related to information and communications technology provides and establishes good grounding for later life and learning. Furthermore, it provides equal opportunities regardless of background. Bennett, </w:t>
      </w:r>
      <w:proofErr w:type="spellStart"/>
      <w:r w:rsidR="00A01009">
        <w:rPr>
          <w:sz w:val="24"/>
          <w:szCs w:val="24"/>
        </w:rPr>
        <w:t>Maton</w:t>
      </w:r>
      <w:proofErr w:type="spellEnd"/>
      <w:r w:rsidR="00A01009">
        <w:rPr>
          <w:sz w:val="24"/>
          <w:szCs w:val="24"/>
        </w:rPr>
        <w:t xml:space="preserve"> and </w:t>
      </w:r>
      <w:proofErr w:type="spellStart"/>
      <w:r w:rsidR="00A01009">
        <w:rPr>
          <w:sz w:val="24"/>
          <w:szCs w:val="24"/>
        </w:rPr>
        <w:t>Kervin</w:t>
      </w:r>
      <w:proofErr w:type="spellEnd"/>
      <w:r w:rsidR="00A01009">
        <w:rPr>
          <w:sz w:val="24"/>
          <w:szCs w:val="24"/>
        </w:rPr>
        <w:t xml:space="preserve"> (2008</w:t>
      </w:r>
      <w:r w:rsidR="00E82A0A">
        <w:rPr>
          <w:sz w:val="24"/>
          <w:szCs w:val="24"/>
        </w:rPr>
        <w:t>) challenge assumptions that have been made pertaining to the younger generation being able to fulfil all digital innovations when they may not be able to skilfully use these digital innovations. Thus, meaningful development of technology based on knowledge and skills is important for all students’ so that the second level digital divide can be avoided; this reduces the likelihood of how people participate in society (</w:t>
      </w:r>
      <w:proofErr w:type="spellStart"/>
      <w:r w:rsidR="00E82A0A">
        <w:rPr>
          <w:sz w:val="24"/>
          <w:szCs w:val="24"/>
        </w:rPr>
        <w:t>Eady</w:t>
      </w:r>
      <w:proofErr w:type="spellEnd"/>
      <w:r w:rsidR="00E82A0A">
        <w:rPr>
          <w:sz w:val="24"/>
          <w:szCs w:val="24"/>
        </w:rPr>
        <w:t xml:space="preserve"> and Lockyer, 2013).</w:t>
      </w:r>
    </w:p>
    <w:p w14:paraId="75779BB8" w14:textId="16727372" w:rsidR="00F20F81" w:rsidRDefault="00F20F81" w:rsidP="00F20F81">
      <w:pPr>
        <w:spacing w:line="360" w:lineRule="auto"/>
        <w:jc w:val="both"/>
        <w:rPr>
          <w:sz w:val="24"/>
          <w:szCs w:val="24"/>
        </w:rPr>
      </w:pPr>
      <w:r>
        <w:rPr>
          <w:sz w:val="24"/>
          <w:szCs w:val="24"/>
        </w:rPr>
        <w:t xml:space="preserve">In order to keep pace in society and give students the skills </w:t>
      </w:r>
      <w:r w:rsidR="00111CFC">
        <w:rPr>
          <w:sz w:val="24"/>
          <w:szCs w:val="24"/>
        </w:rPr>
        <w:t xml:space="preserve">to partake in their roles in society are two reasons why digital innovations are important in education. </w:t>
      </w:r>
      <w:proofErr w:type="spellStart"/>
      <w:r w:rsidR="00111CFC">
        <w:rPr>
          <w:sz w:val="24"/>
          <w:szCs w:val="24"/>
        </w:rPr>
        <w:t>Eady</w:t>
      </w:r>
      <w:proofErr w:type="spellEnd"/>
      <w:r w:rsidR="00111CFC">
        <w:rPr>
          <w:sz w:val="24"/>
          <w:szCs w:val="24"/>
        </w:rPr>
        <w:t xml:space="preserve"> and Lockyer (2013) argue that digital innovation is used in education to increase student participation and motivation as it caters for different learning styles and potentially improves learning outcomes. Furthermore, it is important to integrate digital innovations into educational curriculums as students need to know how to apply these knowledge and skills.</w:t>
      </w:r>
      <w:r w:rsidR="00F45241">
        <w:rPr>
          <w:sz w:val="24"/>
          <w:szCs w:val="24"/>
        </w:rPr>
        <w:t xml:space="preserve"> Hence, digital innovations are integrated into each of the key learning areas, and, by integrating digital innovations into pedagogy supports the learning experience and the learning process: right through from planning to delivering teaching. This gives teachers an opportunity to design meaningful learning experiences </w:t>
      </w:r>
      <w:r w:rsidR="00946198">
        <w:rPr>
          <w:sz w:val="24"/>
          <w:szCs w:val="24"/>
        </w:rPr>
        <w:t xml:space="preserve">where digital innovation is embedded appropriately </w:t>
      </w:r>
      <w:r w:rsidR="00F45241">
        <w:rPr>
          <w:sz w:val="24"/>
          <w:szCs w:val="24"/>
        </w:rPr>
        <w:t>(Bandura, 1986).</w:t>
      </w:r>
      <w:r w:rsidR="00946198">
        <w:rPr>
          <w:sz w:val="24"/>
          <w:szCs w:val="24"/>
        </w:rPr>
        <w:t xml:space="preserve"> As teachers and professionals up to date knowledge is important to all professions, and to be able to apply </w:t>
      </w:r>
      <w:r w:rsidR="007B319F">
        <w:rPr>
          <w:sz w:val="24"/>
          <w:szCs w:val="24"/>
        </w:rPr>
        <w:t xml:space="preserve">this involves keeping abreast of new digital innovations. Sometimes as a teacher with new digital innovations it may be a case of trial and error to see what works for the session being taught, but digital innovations may be a pre-requisite of education now. </w:t>
      </w:r>
    </w:p>
    <w:p w14:paraId="3FC3A9E4" w14:textId="0E4C3602" w:rsidR="00F65EE4" w:rsidRDefault="00F65EE4" w:rsidP="00F20F81">
      <w:pPr>
        <w:spacing w:line="360" w:lineRule="auto"/>
        <w:jc w:val="both"/>
        <w:rPr>
          <w:sz w:val="24"/>
          <w:szCs w:val="24"/>
        </w:rPr>
      </w:pPr>
      <w:r>
        <w:rPr>
          <w:sz w:val="24"/>
          <w:szCs w:val="24"/>
        </w:rPr>
        <w:t xml:space="preserve">Teachers have a critical role and expertise in designing and delivering learning experiences as they are at the front line, and it has been well argued that just because digital innovations are available does not mean that teachers will use them or that they will be used effectively (Cuban, 2003). Thus, as lifelong learners, communication is important so that topics can be </w:t>
      </w:r>
      <w:r>
        <w:rPr>
          <w:sz w:val="24"/>
          <w:szCs w:val="24"/>
        </w:rPr>
        <w:lastRenderedPageBreak/>
        <w:t xml:space="preserve">discussed </w:t>
      </w:r>
      <w:r w:rsidR="004E6D0C">
        <w:rPr>
          <w:sz w:val="24"/>
          <w:szCs w:val="24"/>
        </w:rPr>
        <w:t>fully,</w:t>
      </w:r>
      <w:r>
        <w:rPr>
          <w:sz w:val="24"/>
          <w:szCs w:val="24"/>
        </w:rPr>
        <w:t xml:space="preserve"> and ideas shared </w:t>
      </w:r>
      <w:r w:rsidR="00886BE5">
        <w:rPr>
          <w:sz w:val="24"/>
          <w:szCs w:val="24"/>
        </w:rPr>
        <w:t>effectively,</w:t>
      </w:r>
      <w:r w:rsidR="003056D9">
        <w:rPr>
          <w:sz w:val="24"/>
          <w:szCs w:val="24"/>
        </w:rPr>
        <w:t xml:space="preserve"> and learners are adaptable and flexible. Collaboration skills are essential with </w:t>
      </w:r>
      <w:r w:rsidR="004E6D0C">
        <w:rPr>
          <w:sz w:val="24"/>
          <w:szCs w:val="24"/>
        </w:rPr>
        <w:t>students,</w:t>
      </w:r>
      <w:r w:rsidR="003056D9">
        <w:rPr>
          <w:sz w:val="24"/>
          <w:szCs w:val="24"/>
        </w:rPr>
        <w:t xml:space="preserve"> and they need to be able to work together. Furthermore, students need the ability to create in a variety of manners and bring their visions and ideas alive through different types of media.</w:t>
      </w:r>
    </w:p>
    <w:p w14:paraId="77257E1B" w14:textId="77777777" w:rsidR="00F76BBF" w:rsidRPr="0021208E" w:rsidRDefault="00F76BBF" w:rsidP="002B1912">
      <w:pPr>
        <w:spacing w:line="360" w:lineRule="auto"/>
        <w:jc w:val="center"/>
        <w:rPr>
          <w:sz w:val="24"/>
          <w:szCs w:val="24"/>
        </w:rPr>
      </w:pPr>
    </w:p>
    <w:sectPr w:rsidR="00F76BBF" w:rsidRPr="0021208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F7A22" w14:textId="77777777" w:rsidR="00A078CE" w:rsidRDefault="00A078CE" w:rsidP="00973C77">
      <w:pPr>
        <w:spacing w:after="0" w:line="240" w:lineRule="auto"/>
      </w:pPr>
      <w:r>
        <w:separator/>
      </w:r>
    </w:p>
  </w:endnote>
  <w:endnote w:type="continuationSeparator" w:id="0">
    <w:p w14:paraId="72584F64" w14:textId="77777777" w:rsidR="00A078CE" w:rsidRDefault="00A078CE" w:rsidP="00973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148617"/>
      <w:docPartObj>
        <w:docPartGallery w:val="Page Numbers (Bottom of Page)"/>
        <w:docPartUnique/>
      </w:docPartObj>
    </w:sdtPr>
    <w:sdtEndPr>
      <w:rPr>
        <w:noProof/>
      </w:rPr>
    </w:sdtEndPr>
    <w:sdtContent>
      <w:p w14:paraId="6C46C040" w14:textId="4A0D05DA" w:rsidR="00973C77" w:rsidRDefault="00973C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04D246" w14:textId="77777777" w:rsidR="00973C77" w:rsidRDefault="00973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186F3" w14:textId="77777777" w:rsidR="00A078CE" w:rsidRDefault="00A078CE" w:rsidP="00973C77">
      <w:pPr>
        <w:spacing w:after="0" w:line="240" w:lineRule="auto"/>
      </w:pPr>
      <w:r>
        <w:separator/>
      </w:r>
    </w:p>
  </w:footnote>
  <w:footnote w:type="continuationSeparator" w:id="0">
    <w:p w14:paraId="67625681" w14:textId="77777777" w:rsidR="00A078CE" w:rsidRDefault="00A078CE" w:rsidP="00973C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C28"/>
    <w:rsid w:val="0004546C"/>
    <w:rsid w:val="00067AC0"/>
    <w:rsid w:val="000A6C1A"/>
    <w:rsid w:val="00111CFC"/>
    <w:rsid w:val="00120796"/>
    <w:rsid w:val="00121042"/>
    <w:rsid w:val="00176970"/>
    <w:rsid w:val="00182303"/>
    <w:rsid w:val="001A1A2A"/>
    <w:rsid w:val="001B3135"/>
    <w:rsid w:val="001C063B"/>
    <w:rsid w:val="001D1C28"/>
    <w:rsid w:val="0021208E"/>
    <w:rsid w:val="0022414F"/>
    <w:rsid w:val="002516F1"/>
    <w:rsid w:val="00261A3D"/>
    <w:rsid w:val="002A6357"/>
    <w:rsid w:val="002B1912"/>
    <w:rsid w:val="002D3A79"/>
    <w:rsid w:val="002D58BB"/>
    <w:rsid w:val="002E72FF"/>
    <w:rsid w:val="00300CBF"/>
    <w:rsid w:val="003056D9"/>
    <w:rsid w:val="00332F77"/>
    <w:rsid w:val="00357DF3"/>
    <w:rsid w:val="0039481F"/>
    <w:rsid w:val="004632EA"/>
    <w:rsid w:val="00471C00"/>
    <w:rsid w:val="004E6D0C"/>
    <w:rsid w:val="00532D93"/>
    <w:rsid w:val="005403F8"/>
    <w:rsid w:val="00554F08"/>
    <w:rsid w:val="00562DEF"/>
    <w:rsid w:val="005B445A"/>
    <w:rsid w:val="005F493A"/>
    <w:rsid w:val="0066667A"/>
    <w:rsid w:val="006A6B38"/>
    <w:rsid w:val="0071470B"/>
    <w:rsid w:val="00734C11"/>
    <w:rsid w:val="007519A8"/>
    <w:rsid w:val="007646B3"/>
    <w:rsid w:val="00791BC7"/>
    <w:rsid w:val="007B319F"/>
    <w:rsid w:val="007C0D8C"/>
    <w:rsid w:val="007C7506"/>
    <w:rsid w:val="007D5CAA"/>
    <w:rsid w:val="00802439"/>
    <w:rsid w:val="00802B06"/>
    <w:rsid w:val="008372AE"/>
    <w:rsid w:val="00842023"/>
    <w:rsid w:val="0084542B"/>
    <w:rsid w:val="00863B1E"/>
    <w:rsid w:val="00886BE5"/>
    <w:rsid w:val="008D79C8"/>
    <w:rsid w:val="008E218B"/>
    <w:rsid w:val="008E2E74"/>
    <w:rsid w:val="008E3FE3"/>
    <w:rsid w:val="008E5523"/>
    <w:rsid w:val="00906DE3"/>
    <w:rsid w:val="00910792"/>
    <w:rsid w:val="00915237"/>
    <w:rsid w:val="00946198"/>
    <w:rsid w:val="00947224"/>
    <w:rsid w:val="00973C77"/>
    <w:rsid w:val="009871BF"/>
    <w:rsid w:val="009A5CDB"/>
    <w:rsid w:val="009C1642"/>
    <w:rsid w:val="009E4094"/>
    <w:rsid w:val="009F21C0"/>
    <w:rsid w:val="00A01009"/>
    <w:rsid w:val="00A078CE"/>
    <w:rsid w:val="00A438DB"/>
    <w:rsid w:val="00A84A97"/>
    <w:rsid w:val="00AA2497"/>
    <w:rsid w:val="00AC0F02"/>
    <w:rsid w:val="00AE670E"/>
    <w:rsid w:val="00B22870"/>
    <w:rsid w:val="00B541C3"/>
    <w:rsid w:val="00B65B80"/>
    <w:rsid w:val="00B7181A"/>
    <w:rsid w:val="00B740E3"/>
    <w:rsid w:val="00B87BBA"/>
    <w:rsid w:val="00BA33E2"/>
    <w:rsid w:val="00BC3F32"/>
    <w:rsid w:val="00BD26FA"/>
    <w:rsid w:val="00BD2E37"/>
    <w:rsid w:val="00C24D8F"/>
    <w:rsid w:val="00CB5451"/>
    <w:rsid w:val="00CC0AF9"/>
    <w:rsid w:val="00D43BEA"/>
    <w:rsid w:val="00DA5879"/>
    <w:rsid w:val="00DC775B"/>
    <w:rsid w:val="00DC799D"/>
    <w:rsid w:val="00E517D9"/>
    <w:rsid w:val="00E60CA5"/>
    <w:rsid w:val="00E62BAA"/>
    <w:rsid w:val="00E82A0A"/>
    <w:rsid w:val="00E87D47"/>
    <w:rsid w:val="00ED71E6"/>
    <w:rsid w:val="00EE5FCA"/>
    <w:rsid w:val="00F012CE"/>
    <w:rsid w:val="00F20F81"/>
    <w:rsid w:val="00F45241"/>
    <w:rsid w:val="00F4702A"/>
    <w:rsid w:val="00F65EE4"/>
    <w:rsid w:val="00F76BBF"/>
    <w:rsid w:val="00F810B2"/>
    <w:rsid w:val="00FC272A"/>
    <w:rsid w:val="00FC6612"/>
    <w:rsid w:val="00FD495F"/>
    <w:rsid w:val="00FE4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06E7D"/>
  <w15:chartTrackingRefBased/>
  <w15:docId w15:val="{835BE743-7813-4FC6-A697-8E2218CC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8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58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20F81"/>
    <w:pPr>
      <w:spacing w:after="0" w:line="240" w:lineRule="auto"/>
    </w:pPr>
  </w:style>
  <w:style w:type="paragraph" w:styleId="Header">
    <w:name w:val="header"/>
    <w:basedOn w:val="Normal"/>
    <w:link w:val="HeaderChar"/>
    <w:uiPriority w:val="99"/>
    <w:unhideWhenUsed/>
    <w:rsid w:val="00973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C77"/>
  </w:style>
  <w:style w:type="paragraph" w:styleId="Footer">
    <w:name w:val="footer"/>
    <w:basedOn w:val="Normal"/>
    <w:link w:val="FooterChar"/>
    <w:uiPriority w:val="99"/>
    <w:unhideWhenUsed/>
    <w:rsid w:val="00973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C77"/>
  </w:style>
  <w:style w:type="character" w:customStyle="1" w:styleId="Heading1Char">
    <w:name w:val="Heading 1 Char"/>
    <w:basedOn w:val="DefaultParagraphFont"/>
    <w:link w:val="Heading1"/>
    <w:uiPriority w:val="9"/>
    <w:rsid w:val="002D58B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D58BB"/>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2D58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8B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Fen15</b:Tag>
    <b:SourceType>Book</b:SourceType>
    <b:Guid>{F2FB6415-9622-4844-B122-60A4DCD1023B}</b:Guid>
    <b:Year>2015</b:Year>
    <b:Author>
      <b:Author>
        <b:NameList>
          <b:Person>
            <b:Last>Fenwick</b:Last>
            <b:First>T</b:First>
          </b:Person>
          <b:Person>
            <b:Last>Edwards</b:Last>
          </b:Person>
        </b:NameList>
      </b:Author>
    </b:Author>
    <b:RefOrder>1</b:RefOrder>
  </b:Source>
  <b:Source>
    <b:Tag>Ead13</b:Tag>
    <b:SourceType>BookSection</b:SourceType>
    <b:Guid>{782F52D9-C8BA-46CB-A058-80617BDCA14F}</b:Guid>
    <b:Title>Tools for learning: technology and teaching strategies</b:Title>
    <b:Year>2013</b:Year>
    <b:Pages>71-89</b:Pages>
    <b:BookTitle>Learning to teach in the primary school</b:BookTitle>
    <b:City>Cambridge</b:City>
    <b:Publisher>Cambridge University Press</b:Publisher>
    <b:Author>
      <b:Author>
        <b:NameList>
          <b:Person>
            <b:Last>Eady</b:Last>
            <b:First>M</b:First>
          </b:Person>
          <b:Person>
            <b:Last>Lockyer</b:Last>
            <b:First>L</b:First>
          </b:Person>
        </b:NameList>
      </b:Author>
      <b:Editor>
        <b:NameList>
          <b:Person>
            <b:Last>Hudson</b:Last>
            <b:First>P</b:First>
          </b:Person>
        </b:NameList>
      </b:Editor>
    </b:Author>
    <b:RefOrder>1</b:RefOrder>
  </b:Source>
  <b:Source>
    <b:Tag>Edw10</b:Tag>
    <b:SourceType>Book</b:SourceType>
    <b:Guid>{3BDF66DE-B959-4B37-B0C4-5C3465B67C25}</b:Guid>
    <b:Title>A vast machine: Computer models, climate data, and the politics of global warming</b:Title>
    <b:Year>2010</b:Year>
    <b:City>Cambridge</b:City>
    <b:Publisher>MIT press</b:Publisher>
    <b:Author>
      <b:Author>
        <b:NameList>
          <b:Person>
            <b:Last>Edwards</b:Last>
            <b:Middle>N</b:Middle>
            <b:First>Paul</b:First>
          </b:Person>
        </b:NameList>
      </b:Author>
    </b:Author>
    <b:StateProvince>MA</b:StateProvince>
    <b:Pages>17</b:Pages>
    <b:RefOrder>2</b:RefOrder>
  </b:Source>
  <b:Source>
    <b:Tag>Law13</b:Tag>
    <b:SourceType>JournalArticle</b:SourceType>
    <b:Guid>{EC6E963B-5816-45BF-8F34-E6C3841BA80C}</b:Guid>
    <b:Title>A Systemless System: Designing the Disarticulation of English State Education</b:Title>
    <b:Year>2013</b:Year>
    <b:JournalName>European Educational Research Journal</b:JournalName>
    <b:Pages>231-241</b:Pages>
    <b:Volume>12</b:Volume>
    <b:Issue>2</b:Issue>
    <b:Author>
      <b:Author>
        <b:NameList>
          <b:Person>
            <b:Last>Lawn</b:Last>
            <b:First>Martin</b:First>
          </b:Person>
        </b:NameList>
      </b:Author>
    </b:Author>
    <b:RefOrder>3</b:RefOrder>
  </b:Source>
  <b:Source>
    <b:Tag>Wil15</b:Tag>
    <b:SourceType>JournalArticle</b:SourceType>
    <b:Guid>{9E885F89-325A-4501-948B-05DAEF2373C1}</b:Guid>
    <b:Title>Governing software: networks, databases and algorithmic power in the digital governance of public education</b:Title>
    <b:JournalName>Learning, media and technology</b:JournalName>
    <b:Year>2015</b:Year>
    <b:Pages>83-105</b:Pages>
    <b:Volume>40</b:Volume>
    <b:Issue>1</b:Issue>
    <b:Author>
      <b:Author>
        <b:NameList>
          <b:Person>
            <b:Last>Williamson</b:Last>
            <b:First>Ben</b:First>
          </b:Person>
        </b:NameList>
      </b:Author>
    </b:Author>
    <b:RefOrder>4</b:RefOrder>
  </b:Source>
  <b:Source>
    <b:Tag>Fen16</b:Tag>
    <b:SourceType>JournalArticle</b:SourceType>
    <b:Guid>{D7C8DE67-EBCC-495D-9D73-7B3BF2FE24D9}</b:Guid>
    <b:Title>Exploring the impact of digital technologies on professional responsibilities and education</b:Title>
    <b:Year>2016</b:Year>
    <b:JournalName>European Educational Research Journal</b:JournalName>
    <b:Pages>117131</b:Pages>
    <b:Volume>15</b:Volume>
    <b:Issue>1</b:Issue>
    <b:Author>
      <b:Author>
        <b:NameList>
          <b:Person>
            <b:Last>Fenwick</b:Last>
            <b:First>Tara</b:First>
          </b:Person>
          <b:Person>
            <b:Last>Edwards</b:Last>
            <b:First>Richard</b:First>
          </b:Person>
        </b:NameList>
      </b:Author>
    </b:Author>
    <b:RefOrder>5</b:RefOrder>
  </b:Source>
  <b:Source>
    <b:Tag>Ben08</b:Tag>
    <b:SourceType>JournalArticle</b:SourceType>
    <b:Guid>{97648A33-872F-4952-A90F-81D7CC993FC2}</b:Guid>
    <b:Title>The digital natives debate: A critical review of the evidence</b:Title>
    <b:JournalName>British journal of educational technology</b:JournalName>
    <b:Year>2008</b:Year>
    <b:Pages>775-786</b:Pages>
    <b:Volume>39</b:Volume>
    <b:Issue>5</b:Issue>
    <b:Author>
      <b:Author>
        <b:NameList>
          <b:Person>
            <b:Last>Bennett</b:Last>
            <b:First>Sue</b:First>
          </b:Person>
          <b:Person>
            <b:Last>Maton</b:Last>
            <b:First>Karl</b:First>
          </b:Person>
          <b:Person>
            <b:Last>Kervin</b:Last>
            <b:First>Lisa</b:First>
          </b:Person>
        </b:NameList>
      </b:Author>
    </b:Author>
    <b:RefOrder>6</b:RefOrder>
  </b:Source>
  <b:Source>
    <b:Tag>Ban86</b:Tag>
    <b:SourceType>Book</b:SourceType>
    <b:Guid>{2DEA3002-3E9B-40FD-8B4B-7D2C5279CF6F}</b:Guid>
    <b:Title>Social foundations of thought and action: A social cognitive theory</b:Title>
    <b:Year>1986</b:Year>
    <b:City>Englewood Cliffs</b:City>
    <b:Publisher>Prentice Hall</b:Publisher>
    <b:Author>
      <b:Author>
        <b:NameList>
          <b:Person>
            <b:Last>Bandura</b:Last>
            <b:First>A</b:First>
          </b:Person>
        </b:NameList>
      </b:Author>
    </b:Author>
    <b:StateProvince>NJ</b:StateProvince>
    <b:RefOrder>7</b:RefOrder>
  </b:Source>
  <b:Source>
    <b:Tag>Cub03</b:Tag>
    <b:SourceType>Book</b:SourceType>
    <b:Guid>{8B71159F-50DF-4F42-A7DF-5C7C01C1E593}</b:Guid>
    <b:Title>Oversold and underused: Computers in the classroom</b:Title>
    <b:Year>2003</b:Year>
    <b:City>Cambridge</b:City>
    <b:Publisher>Harvard University Press</b:Publisher>
    <b:StateProvince>MA</b:StateProvince>
    <b:Author>
      <b:Author>
        <b:NameList>
          <b:Person>
            <b:Last>Cuban</b:Last>
            <b:First>L</b:First>
          </b:Person>
        </b:NameList>
      </b:Author>
    </b:Author>
    <b:RefOrder>8</b:RefOrder>
  </b:Source>
  <b:Source>
    <b:Tag>Atk68</b:Tag>
    <b:SourceType>BookSection</b:SourceType>
    <b:Guid>{A7F564E2-A7D3-434E-926B-7943A4A06A34}</b:Guid>
    <b:Title>Human memory: A proposed system and its control processes</b:Title>
    <b:Year>1968</b:Year>
    <b:City>New York</b:City>
    <b:Publisher>Academic Press</b:Publisher>
    <b:BookTitle>The psychology of learning and motivation: Advances in research and theory</b:BookTitle>
    <b:Pages>89-195</b:Pages>
    <b:StateProvince>NY</b:StateProvince>
    <b:Volume>2</b:Volume>
    <b:Author>
      <b:Author>
        <b:NameList>
          <b:Person>
            <b:Last>Atkinson</b:Last>
            <b:Middle>C</b:Middle>
            <b:First>R</b:First>
          </b:Person>
          <b:Person>
            <b:Last>Shiffrin</b:Last>
            <b:Middle>M</b:Middle>
            <b:First>R</b:First>
          </b:Person>
        </b:NameList>
      </b:Author>
      <b:Editor>
        <b:NameList>
          <b:Person>
            <b:Last>Spence</b:Last>
            <b:Middle>W</b:Middle>
            <b:First>K</b:First>
          </b:Person>
          <b:Person>
            <b:Last>Spence</b:Last>
            <b:Middle>T</b:Middle>
            <b:First>J</b:First>
          </b:Person>
        </b:NameList>
      </b:Editor>
    </b:Author>
    <b:RefOrder>9</b:RefOrder>
  </b:Source>
  <b:Source>
    <b:Tag>May08</b:Tag>
    <b:SourceType>JournalArticle</b:SourceType>
    <b:Guid>{8FCD743F-4104-465D-A5A1-5C7A3D617D7B}</b:Guid>
    <b:Title>Applying the science of learning: Evidence-based principles for the design of multimedia instruction</b:Title>
    <b:Year>2008</b:Year>
    <b:Pages>760-9</b:Pages>
    <b:JournalName>American Psychologist</b:JournalName>
    <b:Volume>63</b:Volume>
    <b:Issue>8</b:Issue>
    <b:Author>
      <b:Author>
        <b:NameList>
          <b:Person>
            <b:Last>Mayer</b:Last>
            <b:Middle>E</b:Middle>
            <b:First>R</b:First>
          </b:Person>
        </b:NameList>
      </b:Author>
    </b:Author>
    <b:RefOrder>10</b:RefOrder>
  </b:Source>
  <b:Source>
    <b:Tag>Swe88</b:Tag>
    <b:SourceType>JournalArticle</b:SourceType>
    <b:Guid>{EE325F64-03D0-4CAE-B59D-6845FD3BB726}</b:Guid>
    <b:Title>Cognitive load druing problem solving: Effects on learning</b:Title>
    <b:JournalName>Cognitive Science</b:JournalName>
    <b:Year>1988</b:Year>
    <b:Pages>257-85</b:Pages>
    <b:Volume>12</b:Volume>
    <b:Author>
      <b:Author>
        <b:NameList>
          <b:Person>
            <b:Last>Sweller</b:Last>
            <b:First>J</b:First>
          </b:Person>
        </b:NameList>
      </b:Author>
    </b:Author>
    <b:RefOrder>11</b:RefOrder>
  </b:Source>
  <b:Source>
    <b:Tag>Vyg78</b:Tag>
    <b:SourceType>Book</b:SourceType>
    <b:Guid>{8948DDB7-7522-49DF-A2B0-E6327E9DF875}</b:Guid>
    <b:Title>Mind in Society: The development of higher psychological processes</b:Title>
    <b:Year>1978</b:Year>
    <b:City>Cambridge</b:City>
    <b:Publisher>Harvard University Press</b:Publisher>
    <b:StateProvince>MA</b:StateProvince>
    <b:Author>
      <b:Author>
        <b:NameList>
          <b:Person>
            <b:Last>Vygotsky</b:Last>
            <b:Middle>S</b:Middle>
            <b:First>L</b:First>
          </b:Person>
        </b:NameList>
      </b:Author>
    </b:Author>
    <b:RefOrder>12</b:RefOrder>
  </b:Source>
  <b:Source>
    <b:Tag>Lav91</b:Tag>
    <b:SourceType>Book</b:SourceType>
    <b:Guid>{8430D7C3-F07C-43CF-B745-257D93024CC3}</b:Guid>
    <b:Title>Situated Learning: Legitimate peripheral participation</b:Title>
    <b:Year>1991</b:Year>
    <b:City>Melbourne</b:City>
    <b:Publisher>Cambridge University Press</b:Publisher>
    <b:Author>
      <b:Author>
        <b:NameList>
          <b:Person>
            <b:Last>Lave</b:Last>
            <b:First>J</b:First>
          </b:Person>
          <b:Person>
            <b:Last>Wenger</b:Last>
            <b:First>E</b:First>
          </b:Person>
        </b:NameList>
      </b:Author>
    </b:Author>
    <b:RefOrder>13</b:RefOrder>
  </b:Source>
  <b:Source>
    <b:Tag>Mis08</b:Tag>
    <b:SourceType>Report</b:SourceType>
    <b:Guid>{33B5008F-1A6F-4596-8579-6CD49E311BBC}</b:Guid>
    <b:Title>Introducing technological pedagogical content knowledge</b:Title>
    <b:Year>2008</b:Year>
    <b:BookTitle>annual meeting of the American Educational Research Association</b:BookTitle>
    <b:Pages>1-16</b:Pages>
    <b:Author>
      <b:Author>
        <b:NameList>
          <b:Person>
            <b:Last>Mishra</b:Last>
            <b:First>P</b:First>
          </b:Person>
          <b:Person>
            <b:Last>Koehler</b:Last>
            <b:Middle>J</b:Middle>
            <b:First>M</b:First>
          </b:Person>
        </b:NameList>
      </b:Author>
    </b:Author>
    <b:Publisher>American Educational Research Association</b:Publisher>
    <b:City>New York</b:City>
    <b:RefOrder>14</b:RefOrder>
  </b:Source>
  <b:Source>
    <b:Tag>Kal16</b:Tag>
    <b:SourceType>Report</b:SourceType>
    <b:Guid>{0B6E52E4-1D44-4FD1-8BDF-A6C029A890FD}</b:Guid>
    <b:Title>Quizlet vs. Vocabulary Notebook: The Impact of Different Methods of Storing and Revising Vocabulary on Students’ Progress, Retention and Autonomy</b:Title>
    <b:Year>2016</b:Year>
    <b:Publisher>Masaryk University</b:Publisher>
    <b:City>Brno</b:City>
    <b:ThesisType>Masters Thesis</b:ThesisType>
    <b:Author>
      <b:Author>
        <b:NameList>
          <b:Person>
            <b:Last>Kalecky</b:Last>
            <b:First>R</b:First>
          </b:Person>
        </b:NameList>
      </b:Author>
    </b:Author>
    <b:RefOrder>15</b:RefOrder>
  </b:Source>
  <b:Source>
    <b:Tag>Law131</b:Tag>
    <b:SourceType>Book</b:SourceType>
    <b:Guid>{4373D883-3120-45B4-B157-729F0A06108C}</b:Guid>
    <b:Title>The rise of data in education systems: Collection, visualisation and use</b:Title>
    <b:Year>2013</b:Year>
    <b:City>Oxford</b:City>
    <b:Publisher>Symposium</b:Publisher>
    <b:Author>
      <b:Editor>
        <b:NameList>
          <b:Person>
            <b:Last>Lawn</b:Last>
            <b:First>M</b:First>
          </b:Person>
        </b:NameList>
      </b:Editor>
    </b:Author>
    <b:RefOrder>16</b:RefOrder>
  </b:Source>
  <b:Source>
    <b:Tag>Fen14</b:Tag>
    <b:SourceType>Book</b:SourceType>
    <b:Guid>{023CB6FC-E87E-4DA1-B1DA-5FFFF65ABD2B}</b:Guid>
    <b:Title>Governing Knowledge: Comparison, Knowledge-based Technologies and Expertise in the Regulation of Education</b:Title>
    <b:Year>2014</b:Year>
    <b:Publisher>Routledge</b:Publisher>
    <b:City>London</b:City>
    <b:Author>
      <b:Editor>
        <b:NameList>
          <b:Person>
            <b:Last>Fenwick</b:Last>
            <b:First>T</b:First>
          </b:Person>
          <b:Person>
            <b:Last>Manguez</b:Last>
            <b:First>E</b:First>
          </b:Person>
          <b:Person>
            <b:Last>Ozga</b:Last>
            <b:First>J</b:First>
          </b:Person>
        </b:NameList>
      </b:Editor>
    </b:Author>
    <b:RefOrder>17</b:RefOrder>
  </b:Source>
  <b:Source>
    <b:Tag>Wil16</b:Tag>
    <b:SourceType>JournalArticle</b:SourceType>
    <b:Guid>{5497E853-38D1-4FC5-9CCD-BE29C648C4C6}</b:Guid>
    <b:Title>Digital education governance: Data visualisation, predictive analytics and ‘real-time’ policy instruments</b:Title>
    <b:Year>2016</b:Year>
    <b:JournalName>Journal of Education Policy</b:JournalName>
    <b:Pages>123-141</b:Pages>
    <b:Volume>31</b:Volume>
    <b:Issue>2</b:Issue>
    <b:Author>
      <b:Author>
        <b:NameList>
          <b:Person>
            <b:Last>Williamson</b:Last>
            <b:First>B</b:First>
          </b:Person>
        </b:NameList>
      </b:Author>
    </b:Author>
    <b:RefOrder>18</b:RefOrder>
  </b:Source>
  <b:Source>
    <b:Tag>Eve13</b:Tag>
    <b:SourceType>JournalArticle</b:SourceType>
    <b:Guid>{FBCFCD73-8AC8-495D-B68B-8958E24D6FC4}</b:Guid>
    <b:Title>Professionalism: Value and ideology</b:Title>
    <b:JournalName>Current Sociology</b:JournalName>
    <b:Year>2013</b:Year>
    <b:Pages>778-796</b:Pages>
    <b:Volume>61</b:Volume>
    <b:Issue>5/6</b:Issue>
    <b:Author>
      <b:Author>
        <b:NameList>
          <b:Person>
            <b:Last>Evetts</b:Last>
            <b:First>J</b:First>
          </b:Person>
        </b:NameList>
      </b:Author>
    </b:Author>
    <b:RefOrder>19</b:RefOrder>
  </b:Source>
  <b:Source>
    <b:Tag>Fri01</b:Tag>
    <b:SourceType>Book</b:SourceType>
    <b:Guid>{0610C37D-6D3F-4B8D-A420-926A6EE7D3FD}</b:Guid>
    <b:Title>Professionalism: The Third Logic</b:Title>
    <b:Year>2001</b:Year>
    <b:City>Cambridge</b:City>
    <b:Publisher>Polity Press</b:Publisher>
    <b:CountryRegion>UK</b:CountryRegion>
    <b:Author>
      <b:Author>
        <b:NameList>
          <b:Person>
            <b:Last>Friedson</b:Last>
            <b:First>F</b:First>
          </b:Person>
        </b:NameList>
      </b:Author>
    </b:Author>
    <b:RefOrder>20</b:RefOrder>
  </b:Source>
  <b:Source>
    <b:Tag>Gib00</b:Tag>
    <b:SourceType>Book</b:SourceType>
    <b:Guid>{104D00E8-38CA-4775-A6F6-522DC5185094}</b:Guid>
    <b:Title> Why Ethics? Signs of Responsibility</b:Title>
    <b:Year>2000</b:Year>
    <b:City>Princeton</b:City>
    <b:Publisher>Princeton University Press</b:Publisher>
    <b:Author>
      <b:Author>
        <b:NameList>
          <b:Person>
            <b:Last>Gibbs</b:Last>
            <b:First>R</b:First>
          </b:Person>
        </b:NameList>
      </b:Author>
    </b:Author>
    <b:StateProvince>NJ</b:StateProvince>
    <b:RefOrder>21</b:RefOrder>
  </b:Source>
</b:Sources>
</file>

<file path=customXml/itemProps1.xml><?xml version="1.0" encoding="utf-8"?>
<ds:datastoreItem xmlns:ds="http://schemas.openxmlformats.org/officeDocument/2006/customXml" ds:itemID="{997B5405-6FF0-4A5E-BDFF-29222C7DA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450</Words>
  <Characters>2568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Morgan</dc:creator>
  <cp:keywords/>
  <dc:description/>
  <cp:lastModifiedBy>Karl Jones</cp:lastModifiedBy>
  <cp:revision>2</cp:revision>
  <dcterms:created xsi:type="dcterms:W3CDTF">2022-11-22T09:59:00Z</dcterms:created>
  <dcterms:modified xsi:type="dcterms:W3CDTF">2022-11-22T09:59:00Z</dcterms:modified>
</cp:coreProperties>
</file>