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68143B2A" w:rsidRPr="007B1E63" w:rsidRDefault="68143B2A" w:rsidP="68143B2A">
      <w:pPr>
        <w:spacing w:line="480" w:lineRule="auto"/>
        <w:jc w:val="center"/>
        <w:rPr>
          <w:rFonts w:ascii="Arial" w:eastAsia="Arial" w:hAnsi="Arial" w:cs="Arial"/>
          <w:b/>
          <w:bCs/>
          <w:sz w:val="28"/>
          <w:szCs w:val="28"/>
        </w:rPr>
      </w:pPr>
    </w:p>
    <w:p w:rsidR="68143B2A" w:rsidRPr="007B1E63" w:rsidRDefault="68143B2A" w:rsidP="68143B2A">
      <w:pPr>
        <w:spacing w:line="480" w:lineRule="auto"/>
        <w:jc w:val="center"/>
        <w:rPr>
          <w:rFonts w:ascii="Arial" w:eastAsia="Arial" w:hAnsi="Arial" w:cs="Arial"/>
          <w:b/>
          <w:bCs/>
          <w:sz w:val="28"/>
          <w:szCs w:val="28"/>
        </w:rPr>
      </w:pPr>
    </w:p>
    <w:p w:rsidR="5961A484" w:rsidRPr="007B1E63" w:rsidRDefault="68143B2A" w:rsidP="68143B2A">
      <w:pPr>
        <w:spacing w:line="480" w:lineRule="auto"/>
        <w:jc w:val="center"/>
        <w:rPr>
          <w:rFonts w:ascii="Arial" w:eastAsia="Arial" w:hAnsi="Arial" w:cs="Arial"/>
          <w:b/>
          <w:bCs/>
          <w:sz w:val="40"/>
          <w:szCs w:val="40"/>
        </w:rPr>
      </w:pPr>
      <w:r w:rsidRPr="007B1E63">
        <w:rPr>
          <w:rFonts w:ascii="Arial" w:eastAsia="Arial" w:hAnsi="Arial" w:cs="Arial"/>
          <w:b/>
          <w:bCs/>
          <w:sz w:val="40"/>
          <w:szCs w:val="40"/>
        </w:rPr>
        <w:t>Critically Discuss How the Therapeutic Relationship is U</w:t>
      </w:r>
      <w:r w:rsidR="007B1E63" w:rsidRPr="007B1E63">
        <w:rPr>
          <w:rFonts w:ascii="Arial" w:eastAsia="Arial" w:hAnsi="Arial" w:cs="Arial"/>
          <w:b/>
          <w:bCs/>
          <w:sz w:val="40"/>
          <w:szCs w:val="40"/>
          <w:lang w:val="en-GB"/>
        </w:rPr>
        <w:t>understood</w:t>
      </w:r>
      <w:r w:rsidRPr="007B1E63">
        <w:rPr>
          <w:rFonts w:ascii="Arial" w:eastAsia="Arial" w:hAnsi="Arial" w:cs="Arial"/>
          <w:b/>
          <w:bCs/>
          <w:sz w:val="40"/>
          <w:szCs w:val="40"/>
        </w:rPr>
        <w:t xml:space="preserve"> in Cognitive B</w:t>
      </w:r>
      <w:r w:rsidRPr="007B1E63">
        <w:rPr>
          <w:rFonts w:ascii="Arial" w:eastAsia="Arial" w:hAnsi="Arial" w:cs="Arial"/>
          <w:b/>
          <w:bCs/>
          <w:sz w:val="40"/>
          <w:szCs w:val="40"/>
          <w:lang w:val="en-GB"/>
        </w:rPr>
        <w:t>ehavioural</w:t>
      </w:r>
      <w:r w:rsidRPr="007B1E63">
        <w:rPr>
          <w:rFonts w:ascii="Arial" w:eastAsia="Arial" w:hAnsi="Arial" w:cs="Arial"/>
          <w:b/>
          <w:bCs/>
          <w:sz w:val="40"/>
          <w:szCs w:val="40"/>
        </w:rPr>
        <w:t xml:space="preserve"> Therapy</w:t>
      </w:r>
    </w:p>
    <w:p w:rsidR="5961A484" w:rsidRPr="007B1E63" w:rsidRDefault="5961A484" w:rsidP="68143B2A">
      <w:pPr>
        <w:spacing w:line="480" w:lineRule="auto"/>
        <w:jc w:val="center"/>
        <w:rPr>
          <w:rFonts w:ascii="Arial" w:eastAsia="Arial" w:hAnsi="Arial" w:cs="Arial"/>
          <w:b/>
          <w:bCs/>
          <w:sz w:val="40"/>
          <w:szCs w:val="40"/>
        </w:rPr>
      </w:pPr>
    </w:p>
    <w:p w:rsidR="5961A484" w:rsidRPr="007B1E63" w:rsidRDefault="68143B2A" w:rsidP="68143B2A">
      <w:pPr>
        <w:spacing w:line="480" w:lineRule="auto"/>
        <w:jc w:val="center"/>
        <w:rPr>
          <w:rFonts w:ascii="Arial" w:eastAsia="Arial" w:hAnsi="Arial" w:cs="Arial"/>
          <w:b/>
          <w:bCs/>
          <w:sz w:val="40"/>
          <w:szCs w:val="40"/>
        </w:rPr>
      </w:pPr>
      <w:r w:rsidRPr="007B1E63">
        <w:rPr>
          <w:rFonts w:ascii="Arial" w:eastAsia="Arial" w:hAnsi="Arial" w:cs="Arial"/>
          <w:b/>
          <w:bCs/>
          <w:sz w:val="40"/>
          <w:szCs w:val="40"/>
        </w:rPr>
        <w:t>Counselling Theories and Human Flourishing</w:t>
      </w:r>
    </w:p>
    <w:p w:rsidR="5961A484" w:rsidRPr="007B1E63" w:rsidRDefault="68143B2A" w:rsidP="68143B2A">
      <w:pPr>
        <w:spacing w:line="480" w:lineRule="auto"/>
        <w:jc w:val="center"/>
        <w:rPr>
          <w:rFonts w:ascii="Arial" w:eastAsia="Arial" w:hAnsi="Arial" w:cs="Arial"/>
          <w:b/>
          <w:bCs/>
          <w:sz w:val="40"/>
          <w:szCs w:val="40"/>
        </w:rPr>
      </w:pPr>
      <w:r w:rsidRPr="007B1E63">
        <w:rPr>
          <w:rFonts w:ascii="Arial" w:eastAsia="Arial" w:hAnsi="Arial" w:cs="Arial"/>
          <w:b/>
          <w:bCs/>
          <w:sz w:val="40"/>
          <w:szCs w:val="40"/>
        </w:rPr>
        <w:t>(M6X01443)</w:t>
      </w:r>
    </w:p>
    <w:p w:rsidR="5961A484" w:rsidRPr="007B1E63" w:rsidRDefault="5961A484" w:rsidP="68143B2A">
      <w:pPr>
        <w:spacing w:line="480" w:lineRule="auto"/>
        <w:jc w:val="center"/>
        <w:rPr>
          <w:rFonts w:ascii="Arial" w:eastAsia="Arial" w:hAnsi="Arial" w:cs="Arial"/>
          <w:b/>
          <w:bCs/>
          <w:sz w:val="40"/>
          <w:szCs w:val="40"/>
        </w:rPr>
      </w:pPr>
    </w:p>
    <w:p w:rsidR="5961A484" w:rsidRPr="007B1E63" w:rsidRDefault="68143B2A" w:rsidP="68143B2A">
      <w:pPr>
        <w:spacing w:line="480" w:lineRule="auto"/>
        <w:jc w:val="center"/>
        <w:rPr>
          <w:rFonts w:ascii="Arial" w:eastAsia="Arial" w:hAnsi="Arial" w:cs="Arial"/>
          <w:b/>
          <w:bCs/>
          <w:sz w:val="40"/>
          <w:szCs w:val="40"/>
        </w:rPr>
      </w:pPr>
      <w:r w:rsidRPr="007B1E63">
        <w:rPr>
          <w:rFonts w:ascii="Arial" w:eastAsia="Arial" w:hAnsi="Arial" w:cs="Arial"/>
          <w:b/>
          <w:bCs/>
          <w:sz w:val="40"/>
          <w:szCs w:val="40"/>
        </w:rPr>
        <w:t>Lindsay Haywood</w:t>
      </w:r>
    </w:p>
    <w:p w:rsidR="5961A484" w:rsidRPr="007B1E63" w:rsidRDefault="68143B2A" w:rsidP="68143B2A">
      <w:pPr>
        <w:spacing w:line="480" w:lineRule="auto"/>
        <w:jc w:val="center"/>
        <w:rPr>
          <w:rFonts w:ascii="Arial" w:eastAsia="Arial" w:hAnsi="Arial" w:cs="Arial"/>
          <w:b/>
          <w:bCs/>
          <w:sz w:val="40"/>
          <w:szCs w:val="40"/>
        </w:rPr>
      </w:pPr>
      <w:r w:rsidRPr="007B1E63">
        <w:rPr>
          <w:rFonts w:ascii="Arial" w:eastAsia="Arial" w:hAnsi="Arial" w:cs="Arial"/>
          <w:b/>
          <w:bCs/>
          <w:sz w:val="40"/>
          <w:szCs w:val="40"/>
        </w:rPr>
        <w:t>Student number: 26003081</w:t>
      </w:r>
    </w:p>
    <w:p w:rsidR="5961A484" w:rsidRPr="007B1E63" w:rsidRDefault="5961A484" w:rsidP="68143B2A">
      <w:pPr>
        <w:spacing w:line="480" w:lineRule="auto"/>
        <w:jc w:val="center"/>
        <w:rPr>
          <w:rFonts w:ascii="Arial" w:eastAsia="Arial" w:hAnsi="Arial" w:cs="Arial"/>
          <w:b/>
          <w:bCs/>
          <w:sz w:val="28"/>
          <w:szCs w:val="28"/>
        </w:rPr>
      </w:pPr>
    </w:p>
    <w:p w:rsidR="5961A484" w:rsidRPr="007B1E63" w:rsidRDefault="5961A484" w:rsidP="68143B2A">
      <w:pPr>
        <w:spacing w:line="480" w:lineRule="auto"/>
        <w:jc w:val="center"/>
        <w:rPr>
          <w:rFonts w:ascii="Arial" w:eastAsia="Arial" w:hAnsi="Arial" w:cs="Arial"/>
          <w:b/>
          <w:bCs/>
          <w:sz w:val="28"/>
          <w:szCs w:val="28"/>
        </w:rPr>
      </w:pPr>
    </w:p>
    <w:p w:rsidR="5961A484" w:rsidRPr="007B1E63" w:rsidRDefault="5961A484" w:rsidP="68143B2A">
      <w:pPr>
        <w:spacing w:line="480" w:lineRule="auto"/>
        <w:jc w:val="center"/>
        <w:rPr>
          <w:rFonts w:ascii="Arial" w:eastAsia="Arial" w:hAnsi="Arial" w:cs="Arial"/>
          <w:b/>
          <w:bCs/>
          <w:sz w:val="28"/>
          <w:szCs w:val="28"/>
        </w:rPr>
      </w:pPr>
    </w:p>
    <w:p w:rsidR="5961A484"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lang w:val="en-GB"/>
        </w:rPr>
        <w:t xml:space="preserve">In order to critically discuss how the therapeutic relationship is understood it is initially important to identify a definition of both Cognitive Behavioural Therapy (CBT) and the meaning of the therapeutic relationship in the context of counselling.   </w:t>
      </w:r>
      <w:r w:rsidR="00AD6DBB">
        <w:rPr>
          <w:rFonts w:ascii="Arial" w:eastAsia="Arial" w:hAnsi="Arial" w:cs="Arial"/>
          <w:sz w:val="24"/>
          <w:szCs w:val="24"/>
        </w:rPr>
        <w:t>Rogers (1965</w:t>
      </w:r>
      <w:r w:rsidR="007B1E63" w:rsidRPr="007B1E63">
        <w:rPr>
          <w:rFonts w:ascii="Arial" w:eastAsia="Arial" w:hAnsi="Arial" w:cs="Arial"/>
          <w:sz w:val="24"/>
          <w:szCs w:val="24"/>
        </w:rPr>
        <w:t>) identified that in order to build and maintain a good therapeutic relationship between a counsellor and client, a set of core conditions need to be met, which included that, the counsellor had to show the client</w:t>
      </w:r>
      <w:r w:rsidR="00AD6DBB">
        <w:rPr>
          <w:rFonts w:ascii="Arial" w:eastAsia="Arial" w:hAnsi="Arial" w:cs="Arial"/>
          <w:sz w:val="24"/>
          <w:szCs w:val="24"/>
        </w:rPr>
        <w:t xml:space="preserve"> empathy, unconditional positive regard and genuineness. </w:t>
      </w:r>
    </w:p>
    <w:p w:rsidR="5961A484" w:rsidRPr="007B1E63" w:rsidRDefault="68143B2A" w:rsidP="68143B2A">
      <w:pPr>
        <w:spacing w:line="480" w:lineRule="auto"/>
        <w:jc w:val="both"/>
        <w:rPr>
          <w:rFonts w:ascii="Arial" w:eastAsia="Arial" w:hAnsi="Arial" w:cs="Arial"/>
          <w:b/>
          <w:bCs/>
          <w:sz w:val="24"/>
          <w:szCs w:val="24"/>
        </w:rPr>
      </w:pPr>
      <w:r w:rsidRPr="007B1E63">
        <w:rPr>
          <w:rFonts w:ascii="Arial" w:eastAsia="Arial" w:hAnsi="Arial" w:cs="Arial"/>
          <w:sz w:val="24"/>
          <w:szCs w:val="24"/>
          <w:lang w:val="en-GB"/>
        </w:rPr>
        <w:t xml:space="preserve">The development of the therapeutic relationship between the client and the counsellor has been recognised as an essential element of building a relationship that enables the client to build trust in the counsellor as a conduit of supporting the client to make changes and heal.  Trower, Jones and Dryden (2016) identified that there needs to be a “level of engagement” from the client to enable the therapeutic relationship to be built in working cognitively with a client.   This has been illustrated through research relating to different therapeutic methods where building the therapeutic relationship has been recognised as being ‘a crucial part of the beginning of the counselling process’ (Mears and Thorne, 2013, p.161).  </w:t>
      </w:r>
    </w:p>
    <w:p w:rsidR="5961A484" w:rsidRPr="007B1E63" w:rsidRDefault="68143B2A" w:rsidP="68143B2A">
      <w:pPr>
        <w:spacing w:line="480" w:lineRule="auto"/>
        <w:jc w:val="both"/>
        <w:rPr>
          <w:rFonts w:ascii="Arial" w:eastAsia="Arial" w:hAnsi="Arial" w:cs="Arial"/>
          <w:sz w:val="24"/>
          <w:szCs w:val="24"/>
          <w:lang w:val="en-GB"/>
        </w:rPr>
      </w:pPr>
      <w:r w:rsidRPr="007B1E63">
        <w:rPr>
          <w:rFonts w:ascii="Arial" w:eastAsia="Arial" w:hAnsi="Arial" w:cs="Arial"/>
          <w:sz w:val="24"/>
          <w:szCs w:val="24"/>
          <w:lang w:val="en-GB"/>
        </w:rPr>
        <w:t xml:space="preserve">Cognitive behavioural therapy has developed and evolved in its delivery and has been described as now being in its  “third wave” of development therefore a definition is more complex but for the purpose of this discussion the following NHS definition will be used:  “CBT is based on the concept that your thoughts, feelings, physical sensations and actions are interconnected, and that negative thoughts and feelings can trap you in a vicious cycle.” (NHS, 2016) </w:t>
      </w:r>
    </w:p>
    <w:p w:rsidR="5961A484" w:rsidRPr="007B1E63" w:rsidRDefault="68143B2A" w:rsidP="68143B2A">
      <w:pPr>
        <w:spacing w:line="480" w:lineRule="auto"/>
        <w:jc w:val="both"/>
        <w:rPr>
          <w:rFonts w:ascii="Arial" w:eastAsia="Arial" w:hAnsi="Arial" w:cs="Arial"/>
          <w:sz w:val="24"/>
          <w:szCs w:val="24"/>
          <w:lang w:val="en-GB"/>
        </w:rPr>
      </w:pPr>
      <w:r w:rsidRPr="007B1E63">
        <w:rPr>
          <w:rFonts w:ascii="Arial" w:eastAsia="Arial" w:hAnsi="Arial" w:cs="Arial"/>
          <w:sz w:val="24"/>
          <w:szCs w:val="24"/>
          <w:lang w:val="en-GB"/>
        </w:rPr>
        <w:t xml:space="preserve">The definitions of the therapeutic relationship </w:t>
      </w:r>
      <w:r w:rsidR="00AD6DBB">
        <w:rPr>
          <w:rFonts w:ascii="Arial" w:eastAsia="Arial" w:hAnsi="Arial" w:cs="Arial"/>
          <w:sz w:val="24"/>
          <w:szCs w:val="24"/>
          <w:lang w:val="en-GB"/>
        </w:rPr>
        <w:t>are</w:t>
      </w:r>
      <w:r w:rsidRPr="007B1E63">
        <w:rPr>
          <w:rFonts w:ascii="Arial" w:eastAsia="Arial" w:hAnsi="Arial" w:cs="Arial"/>
          <w:sz w:val="24"/>
          <w:szCs w:val="24"/>
          <w:lang w:val="en-GB"/>
        </w:rPr>
        <w:t xml:space="preserve"> well established by Rogers as being mainly focused on the counsellor being able to demonstrate the core conditions however in </w:t>
      </w:r>
      <w:r w:rsidR="00AD6DBB">
        <w:rPr>
          <w:rFonts w:ascii="Arial" w:eastAsia="Arial" w:hAnsi="Arial" w:cs="Arial"/>
          <w:sz w:val="24"/>
          <w:szCs w:val="24"/>
          <w:lang w:val="en-GB"/>
        </w:rPr>
        <w:t>cognitive behavioural therapy</w:t>
      </w:r>
      <w:r w:rsidRPr="007B1E63">
        <w:rPr>
          <w:rFonts w:ascii="Arial" w:eastAsia="Arial" w:hAnsi="Arial" w:cs="Arial"/>
          <w:sz w:val="24"/>
          <w:szCs w:val="24"/>
          <w:lang w:val="en-GB"/>
        </w:rPr>
        <w:t xml:space="preserve"> the client and counsellor relationship is identified as more of a collaborative working alliance with Beck (1979) describing the relationship between client and counsellor in CBT as a ‘therapeutic alliance of collaboration’ (Beck et al., 1979, 54)</w:t>
      </w:r>
    </w:p>
    <w:p w:rsidR="5961A484"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rPr>
        <w:t>The three components of the therapeutic relationship in cognitive behavioural therapy was first identified by Bordin (1979) as being bonds, goals and tasks, therefore establishing that the therapeutic relationship in CBT, although in some ways more structured than in person centred therapies is also an important element contributing to the success of CBT as a therapeutic process.  Bedi and Sampson (2012) in addition to Bordin’s identification of the importance of the empathic bond (Bordin, 1979) found that the clients in their study identified that the ability of the counsellor to support them to explore their own ability to identify what they want to focus on and supporting them through the expression of different emotions contributed to building the therapeutic alliance and relationship. (Bedi and Simpson, 2012, p</w:t>
      </w:r>
      <w:r w:rsidR="007B1E63" w:rsidRPr="007B1E63">
        <w:rPr>
          <w:rFonts w:ascii="Arial" w:eastAsia="Arial" w:hAnsi="Arial" w:cs="Arial"/>
          <w:sz w:val="24"/>
          <w:szCs w:val="24"/>
        </w:rPr>
        <w:t>, 353</w:t>
      </w:r>
      <w:r w:rsidRPr="007B1E63">
        <w:rPr>
          <w:rFonts w:ascii="Arial" w:eastAsia="Arial" w:hAnsi="Arial" w:cs="Arial"/>
          <w:sz w:val="24"/>
          <w:szCs w:val="24"/>
        </w:rPr>
        <w:t xml:space="preserve">).  </w:t>
      </w:r>
      <w:r w:rsidR="007B1E63" w:rsidRPr="007B1E63">
        <w:rPr>
          <w:rFonts w:ascii="Arial" w:eastAsia="Arial" w:hAnsi="Arial" w:cs="Arial"/>
          <w:sz w:val="24"/>
          <w:szCs w:val="24"/>
        </w:rPr>
        <w:t xml:space="preserve">The skills associated with creating an empathic relationship towards the client can be expressed through mimicry of the clients </w:t>
      </w:r>
      <w:r w:rsidR="007B1E63" w:rsidRPr="007B1E63">
        <w:rPr>
          <w:rFonts w:ascii="Arial" w:eastAsia="Arial" w:hAnsi="Arial" w:cs="Arial"/>
          <w:sz w:val="24"/>
          <w:szCs w:val="24"/>
          <w:lang w:val="en-GB"/>
        </w:rPr>
        <w:t xml:space="preserve">facial, vocal, and postural cues (Hoffmann, 2008, p. 442) and when these are mirrored back to a client it allows the client to cognitively absorb empathy from the counsellor.  </w:t>
      </w:r>
      <w:r w:rsidRPr="007B1E63">
        <w:rPr>
          <w:rFonts w:ascii="Arial" w:eastAsia="Arial" w:hAnsi="Arial" w:cs="Arial"/>
          <w:sz w:val="24"/>
          <w:szCs w:val="24"/>
          <w:lang w:val="en-GB"/>
        </w:rPr>
        <w:t>Cognitive behavioural therapy has been described as a colder therapy however, these more subtle ways in which a safe working alliance can be developed are apparent in all therapeutic relationships and approaches with CBT being no exception.</w:t>
      </w:r>
    </w:p>
    <w:p w:rsidR="7101236B" w:rsidRPr="007B1E63" w:rsidRDefault="68143B2A" w:rsidP="68143B2A">
      <w:pPr>
        <w:spacing w:line="480" w:lineRule="auto"/>
        <w:jc w:val="both"/>
      </w:pPr>
      <w:r w:rsidRPr="007B1E63">
        <w:rPr>
          <w:rFonts w:ascii="Arial" w:eastAsia="Arial" w:hAnsi="Arial" w:cs="Arial"/>
          <w:sz w:val="24"/>
          <w:szCs w:val="24"/>
        </w:rPr>
        <w:t>Like other therapeutic approaches it has been proven in a number of studies that in order for the client to be willing to address their problems the counsellor has to create an environment in which client can feel safe to express their emotions and thoughts and to identify and explore their own solutions to problems.  The importance of the relationship between client and counsellor being one of collaboration has been recognised through many studies of the effectiveness of CBT and the strength of this collaboration is what gives CBT and its associated techniques the ability to offer a successful therapy for many clients. (Dryden, 2012, p.87) The therapeutic relationship is an important part of the process of exploring cognitive behavioural therapy as if a counsellor can express an attitude that is warm and genuine, the client will be ‘more likely to engage in the tasks of therapy and consequently be more appreciative of the therapist’s positive qualities if they recover.”  (Moorey and Lavender, 2018, p.5)</w:t>
      </w:r>
    </w:p>
    <w:p w:rsidR="7101236B"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rPr>
        <w:t>The building of this collaborative relationship is an essential element of building a working alliance that enables emotions and distorted beliefs to be identified (Datillio and Hanna, 2013, p.157</w:t>
      </w:r>
      <w:r w:rsidR="007B1E63" w:rsidRPr="007B1E63">
        <w:rPr>
          <w:rFonts w:ascii="Arial" w:eastAsia="Arial" w:hAnsi="Arial" w:cs="Arial"/>
          <w:sz w:val="24"/>
          <w:szCs w:val="24"/>
        </w:rPr>
        <w:t>) The</w:t>
      </w:r>
      <w:r w:rsidRPr="007B1E63">
        <w:rPr>
          <w:rFonts w:ascii="Arial" w:eastAsia="Arial" w:hAnsi="Arial" w:cs="Arial"/>
          <w:sz w:val="24"/>
          <w:szCs w:val="24"/>
        </w:rPr>
        <w:t xml:space="preserve"> processes of homework assignments and </w:t>
      </w:r>
      <w:r w:rsidR="007B1E63" w:rsidRPr="007B1E63">
        <w:rPr>
          <w:rFonts w:ascii="Arial" w:eastAsia="Arial" w:hAnsi="Arial" w:cs="Arial"/>
          <w:sz w:val="24"/>
          <w:szCs w:val="24"/>
        </w:rPr>
        <w:t>Socratic</w:t>
      </w:r>
      <w:r w:rsidRPr="007B1E63">
        <w:rPr>
          <w:rFonts w:ascii="Arial" w:eastAsia="Arial" w:hAnsi="Arial" w:cs="Arial"/>
          <w:sz w:val="24"/>
          <w:szCs w:val="24"/>
        </w:rPr>
        <w:t xml:space="preserve"> questioning involved in CBT are </w:t>
      </w:r>
      <w:r w:rsidR="007B1E63" w:rsidRPr="007B1E63">
        <w:rPr>
          <w:rFonts w:ascii="Arial" w:eastAsia="Arial" w:hAnsi="Arial" w:cs="Arial"/>
          <w:sz w:val="24"/>
          <w:szCs w:val="24"/>
        </w:rPr>
        <w:t>scaffold</w:t>
      </w:r>
      <w:r w:rsidRPr="007B1E63">
        <w:rPr>
          <w:rFonts w:ascii="Arial" w:eastAsia="Arial" w:hAnsi="Arial" w:cs="Arial"/>
          <w:sz w:val="24"/>
          <w:szCs w:val="24"/>
        </w:rPr>
        <w:t xml:space="preserve"> by a relationship of trust and the ability of the counsellor to listen effectively and help the client express emotional states and therefore the success of the CBT approach is strengthened by a strong working alliance.</w:t>
      </w:r>
    </w:p>
    <w:p w:rsidR="29888DB4" w:rsidRPr="007B1E63" w:rsidRDefault="68143B2A" w:rsidP="68143B2A">
      <w:pPr>
        <w:spacing w:line="480" w:lineRule="auto"/>
        <w:jc w:val="both"/>
        <w:rPr>
          <w:rFonts w:ascii="Arial" w:eastAsia="Arial" w:hAnsi="Arial" w:cs="Arial"/>
          <w:sz w:val="24"/>
          <w:szCs w:val="24"/>
          <w:lang w:val="en-GB"/>
        </w:rPr>
      </w:pPr>
      <w:r w:rsidRPr="007B1E63">
        <w:rPr>
          <w:rFonts w:ascii="Arial" w:eastAsia="Arial" w:hAnsi="Arial" w:cs="Arial"/>
          <w:sz w:val="24"/>
          <w:szCs w:val="24"/>
          <w:lang w:val="en-GB"/>
        </w:rPr>
        <w:t xml:space="preserve">The therapeutic relationship in cognitive behavioural therapy has been discussed in depth in the work of Beck (1979) and Bordin (1979) with the later describing an alternative to </w:t>
      </w:r>
      <w:r w:rsidR="007B1E63" w:rsidRPr="007B1E63">
        <w:rPr>
          <w:rFonts w:ascii="Arial" w:eastAsia="Arial" w:hAnsi="Arial" w:cs="Arial"/>
          <w:sz w:val="24"/>
          <w:szCs w:val="24"/>
          <w:lang w:val="en-GB"/>
        </w:rPr>
        <w:t>Rogers’s</w:t>
      </w:r>
      <w:r w:rsidRPr="007B1E63">
        <w:rPr>
          <w:rFonts w:ascii="Arial" w:eastAsia="Arial" w:hAnsi="Arial" w:cs="Arial"/>
          <w:sz w:val="24"/>
          <w:szCs w:val="24"/>
          <w:lang w:val="en-GB"/>
        </w:rPr>
        <w:t xml:space="preserve"> core conditions in relation to cognitive based therapies.  Bordin identified that in CBT there was a broader description of the essentials of the therapeutic relationship by identifying three parts that make up the relationship in CBT. These three elements, bonds, goals and tasks and this identification clarified that although the therapeutic relationship is more structured in nature than the relationship in other therapies, it has important elements which need to be approached in a collaborative alliance between client and counsellor in order to be successful.</w:t>
      </w:r>
    </w:p>
    <w:p w:rsidR="29888DB4" w:rsidRPr="007B1E63" w:rsidRDefault="68143B2A" w:rsidP="68143B2A">
      <w:pPr>
        <w:spacing w:line="480" w:lineRule="auto"/>
        <w:jc w:val="both"/>
        <w:rPr>
          <w:rFonts w:ascii="Arial" w:eastAsia="Arial" w:hAnsi="Arial" w:cs="Arial"/>
          <w:sz w:val="24"/>
          <w:szCs w:val="24"/>
          <w:lang w:val="en-GB"/>
        </w:rPr>
      </w:pPr>
      <w:r w:rsidRPr="007B1E63">
        <w:rPr>
          <w:rFonts w:ascii="Arial" w:eastAsia="Arial" w:hAnsi="Arial" w:cs="Arial"/>
          <w:sz w:val="24"/>
          <w:szCs w:val="24"/>
          <w:lang w:val="en-GB"/>
        </w:rPr>
        <w:t>In addition to the identification of bonds, goals and tasks, another important ingredient in the recipe of the therapeutic alliance in CBT it has been highlighted by the work of Bedi and Sampson (2012) who explored through their studies that a strong therapeutic alliance is built through empathy between the counsellor and client.  Like Bordin (1979) it was found that when studying the relationship between counsellor and client that the counsellor being able to support them through the different emotions that may be expressed whilst the client identifies problems contributes to building the working alliance. (Bedi and Simpson, 2012, p.353)</w:t>
      </w:r>
    </w:p>
    <w:p w:rsidR="00AD6DBB" w:rsidRDefault="68143B2A" w:rsidP="68143B2A">
      <w:pPr>
        <w:spacing w:line="480" w:lineRule="auto"/>
        <w:jc w:val="both"/>
        <w:rPr>
          <w:rFonts w:ascii="TimesNewRomanSF" w:hAnsi="TimesNewRomanSF"/>
          <w:sz w:val="18"/>
          <w:szCs w:val="18"/>
        </w:rPr>
      </w:pPr>
      <w:r w:rsidRPr="007B1E63">
        <w:rPr>
          <w:rFonts w:ascii="Arial" w:eastAsia="Arial" w:hAnsi="Arial" w:cs="Arial"/>
          <w:sz w:val="24"/>
          <w:szCs w:val="24"/>
          <w:lang w:val="en-GB"/>
        </w:rPr>
        <w:t xml:space="preserve">As a world renowned expert in the theory and delivery of cognitive behavioural therapy, Beck (2016) was asked about the importance of the therapeutic relationship in CBT and identified that some of the misconceptions about the unimportance of nurturing the therapeutic relationship in CBT have been developed as a result of studies of the effect of the therapeutic relationship in CBT being based on the textbook delivery of CBT in clinical settings.  These studies do not take into account the counsellor’s ability to empathise and understand the impact of the </w:t>
      </w:r>
      <w:r w:rsidR="007B1E63" w:rsidRPr="007B1E63">
        <w:rPr>
          <w:rFonts w:ascii="Arial" w:eastAsia="Arial" w:hAnsi="Arial" w:cs="Arial"/>
          <w:sz w:val="24"/>
          <w:szCs w:val="24"/>
          <w:lang w:val="en-GB"/>
        </w:rPr>
        <w:t>client’s</w:t>
      </w:r>
      <w:r w:rsidRPr="007B1E63">
        <w:rPr>
          <w:rFonts w:ascii="Arial" w:eastAsia="Arial" w:hAnsi="Arial" w:cs="Arial"/>
          <w:sz w:val="24"/>
          <w:szCs w:val="24"/>
          <w:lang w:val="en-GB"/>
        </w:rPr>
        <w:t xml:space="preserve"> background on the therapeutic process and therefore these studies often illustrate CBT as being a cold therapy that lacks the warmth</w:t>
      </w:r>
      <w:r w:rsidR="00272C29">
        <w:rPr>
          <w:rFonts w:ascii="Arial" w:eastAsia="Arial" w:hAnsi="Arial" w:cs="Arial"/>
          <w:sz w:val="24"/>
          <w:szCs w:val="24"/>
          <w:lang w:val="en-GB"/>
        </w:rPr>
        <w:t xml:space="preserve"> of other therapeutic methods. </w:t>
      </w:r>
      <w:r w:rsidRPr="007B1E63">
        <w:rPr>
          <w:rFonts w:ascii="Arial" w:eastAsia="Arial" w:hAnsi="Arial" w:cs="Arial"/>
          <w:sz w:val="24"/>
          <w:szCs w:val="24"/>
          <w:lang w:val="en-GB"/>
        </w:rPr>
        <w:t xml:space="preserve"> (Dryden, 2008)</w:t>
      </w:r>
      <w:r w:rsidR="00272C29" w:rsidRPr="00272C29">
        <w:rPr>
          <w:rFonts w:ascii="TimesNewRomanSF" w:hAnsi="TimesNewRomanSF"/>
          <w:sz w:val="18"/>
          <w:szCs w:val="18"/>
        </w:rPr>
        <w:t xml:space="preserve"> </w:t>
      </w:r>
    </w:p>
    <w:p w:rsidR="00A34D8C" w:rsidRDefault="007B1E63" w:rsidP="00A34D8C">
      <w:pPr>
        <w:pStyle w:val="NormalWeb"/>
        <w:spacing w:before="2" w:after="2" w:line="480" w:lineRule="auto"/>
        <w:jc w:val="both"/>
        <w:rPr>
          <w:rFonts w:ascii="Arial" w:hAnsi="Arial"/>
          <w:sz w:val="24"/>
          <w:szCs w:val="18"/>
        </w:rPr>
      </w:pPr>
      <w:r w:rsidRPr="00A34D8C">
        <w:rPr>
          <w:rFonts w:ascii="Arial" w:eastAsia="Arial" w:hAnsi="Arial" w:cs="Arial"/>
          <w:sz w:val="24"/>
          <w:szCs w:val="24"/>
        </w:rPr>
        <w:t>Trower, P. Jones, J and Dryden, W, (2016) identified that the variability in experience and perceived success of CBT by clients is greatly influenced by the ability of the therapist to create a good quality therapeutic relationship with a wide range of clients.</w:t>
      </w:r>
      <w:r w:rsidR="00AD6DBB" w:rsidRPr="00A34D8C">
        <w:rPr>
          <w:rFonts w:ascii="Arial" w:hAnsi="Arial"/>
          <w:sz w:val="24"/>
          <w:szCs w:val="18"/>
        </w:rPr>
        <w:t xml:space="preserve"> The term used by Beck for the co operation that the client and counsellor have to build during cognitive behavioural therapy is referred to as collaborative empiricism which enables a treatment plan to be devised together and it is this partnership approach which enables a form of ‘discovery and experimentation’ in relation to exploring the client’s problems.</w:t>
      </w:r>
      <w:r w:rsidR="00A34D8C" w:rsidRPr="00A34D8C">
        <w:rPr>
          <w:rFonts w:ascii="Arial" w:hAnsi="Arial"/>
          <w:sz w:val="24"/>
          <w:szCs w:val="18"/>
        </w:rPr>
        <w:t xml:space="preserve"> (</w:t>
      </w:r>
      <w:r w:rsidR="00A34D8C">
        <w:rPr>
          <w:rFonts w:ascii="Arial" w:hAnsi="Arial"/>
          <w:sz w:val="24"/>
          <w:szCs w:val="18"/>
        </w:rPr>
        <w:t>Scott &amp; Freeman, 2010</w:t>
      </w:r>
      <w:r w:rsidR="00A34D8C" w:rsidRPr="00A34D8C">
        <w:rPr>
          <w:rFonts w:ascii="Arial" w:hAnsi="Arial"/>
          <w:sz w:val="24"/>
          <w:szCs w:val="18"/>
        </w:rPr>
        <w:t>)</w:t>
      </w:r>
    </w:p>
    <w:p w:rsidR="00AD6DBB" w:rsidRPr="00A34D8C" w:rsidRDefault="00AD6DBB" w:rsidP="00A34D8C">
      <w:pPr>
        <w:pStyle w:val="NormalWeb"/>
        <w:spacing w:before="2" w:after="2" w:line="480" w:lineRule="auto"/>
        <w:jc w:val="both"/>
        <w:rPr>
          <w:rFonts w:ascii="Arial" w:hAnsi="Arial"/>
          <w:sz w:val="24"/>
        </w:rPr>
      </w:pPr>
    </w:p>
    <w:p w:rsidR="7C11DF83"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rPr>
        <w:t xml:space="preserve">Cognitive behavioural therapy can </w:t>
      </w:r>
      <w:r w:rsidRPr="007B1E63">
        <w:rPr>
          <w:rFonts w:ascii="Arial" w:eastAsia="Arial" w:hAnsi="Arial" w:cs="Arial"/>
          <w:sz w:val="24"/>
          <w:szCs w:val="24"/>
          <w:lang w:val="en-GB"/>
        </w:rPr>
        <w:t>involve</w:t>
      </w:r>
      <w:r w:rsidRPr="007B1E63">
        <w:rPr>
          <w:rFonts w:ascii="Arial" w:eastAsia="Arial" w:hAnsi="Arial" w:cs="Arial"/>
          <w:sz w:val="24"/>
          <w:szCs w:val="24"/>
        </w:rPr>
        <w:t xml:space="preserve"> challenging and this can lead to difficulties in </w:t>
      </w:r>
      <w:proofErr w:type="gramStart"/>
      <w:r w:rsidRPr="007B1E63">
        <w:rPr>
          <w:rFonts w:ascii="Arial" w:eastAsia="Arial" w:hAnsi="Arial" w:cs="Arial"/>
          <w:sz w:val="24"/>
          <w:szCs w:val="24"/>
        </w:rPr>
        <w:t>the</w:t>
      </w:r>
      <w:proofErr w:type="gramEnd"/>
      <w:r w:rsidRPr="007B1E63">
        <w:rPr>
          <w:rFonts w:ascii="Arial" w:eastAsia="Arial" w:hAnsi="Arial" w:cs="Arial"/>
          <w:sz w:val="24"/>
          <w:szCs w:val="24"/>
        </w:rPr>
        <w:t xml:space="preserve"> alliance between the counsellor and the client, these tensions can create what is referred to as a rupture (Safran, Muran, &amp; Eubanks-Carter, 2011).  </w:t>
      </w:r>
      <w:r w:rsidR="007B1E63" w:rsidRPr="007B1E63">
        <w:rPr>
          <w:rFonts w:ascii="Arial" w:eastAsia="Arial" w:hAnsi="Arial" w:cs="Arial"/>
          <w:sz w:val="24"/>
          <w:szCs w:val="24"/>
        </w:rPr>
        <w:t>In</w:t>
      </w:r>
      <w:r w:rsidRPr="007B1E63">
        <w:rPr>
          <w:rFonts w:ascii="Arial" w:eastAsia="Arial" w:hAnsi="Arial" w:cs="Arial"/>
          <w:sz w:val="24"/>
          <w:szCs w:val="24"/>
        </w:rPr>
        <w:t xml:space="preserve"> other therapeutic methods these ruptures could be viewed as being catastrophic for the counsellor and client relationship however in CBT these breakdowns are viewed as having an essential place in the therapeutic process enabling the counsellor to use this tear and repair (Hill, and Knox, 2008, p.13) process as being an essential part of the success of CBT.</w:t>
      </w:r>
    </w:p>
    <w:p w:rsidR="7C11DF83" w:rsidRPr="007B1E63" w:rsidRDefault="68143B2A" w:rsidP="68143B2A">
      <w:pPr>
        <w:spacing w:line="480" w:lineRule="auto"/>
        <w:jc w:val="both"/>
        <w:rPr>
          <w:rFonts w:ascii="Arial" w:eastAsia="Arial" w:hAnsi="Arial" w:cs="Arial"/>
          <w:sz w:val="24"/>
          <w:szCs w:val="24"/>
          <w:lang w:val="en-GB"/>
        </w:rPr>
      </w:pPr>
      <w:r w:rsidRPr="007B1E63">
        <w:rPr>
          <w:rFonts w:ascii="Arial" w:eastAsia="Arial" w:hAnsi="Arial" w:cs="Arial"/>
          <w:sz w:val="24"/>
          <w:szCs w:val="24"/>
        </w:rPr>
        <w:t xml:space="preserve">Trower, Jones and Dryden (2016) have explored these ruptures in terms of there being a possibility of the working alliance breaking down due to a number of factors which Bordin (1979) identified as being important elements of the therapeutic relationship between client and counsellor including the impact of too good and too bad bonds as if the client and counsellor relationship is too good then the focus of the therapeutic process may be effected and the success limited by the counsellors inability to challenge and address the </w:t>
      </w:r>
      <w:r w:rsidRPr="007B1E63">
        <w:rPr>
          <w:rFonts w:ascii="Arial" w:eastAsia="Arial" w:hAnsi="Arial" w:cs="Arial"/>
          <w:sz w:val="24"/>
          <w:szCs w:val="24"/>
          <w:lang w:val="en-GB"/>
        </w:rPr>
        <w:t>client’s problems.  In situations where the client and counsellor do not form a bond of trust and build a working relationship then it is likely that although the therapy could be successful, if the client lacks respect or confidence in the therapist it is likely to limit progress for the client.</w:t>
      </w:r>
    </w:p>
    <w:p w:rsidR="66FBEDA8"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rPr>
        <w:t xml:space="preserve">Other issues where a therapeutic relationship may breakdown and rupture without repair is in a situation in which the client and counsellor do not agree on either the nature of the problem or the goals to be set or in some cases it may be difficult to persuade the client to focus on the present and future rather than the difficulties in the past. This may lead to the process being limited in progress and the relationship being damaged beyond repair.  The processes of goal setting, challenging beliefs and homework tasks can be a strain on a therapeutic relationship and in cognitive behavioural therapy it can be concluded that this is a risk that may involve an irretrievable relationship between the client and counsellor, however with a good collaborative working alliance the process of rupture and repair is also an essential in </w:t>
      </w:r>
      <w:r w:rsidR="007B1E63" w:rsidRPr="007B1E63">
        <w:rPr>
          <w:rFonts w:ascii="Arial" w:eastAsia="Arial" w:hAnsi="Arial" w:cs="Arial"/>
          <w:sz w:val="24"/>
          <w:szCs w:val="24"/>
        </w:rPr>
        <w:t>enabling</w:t>
      </w:r>
      <w:r w:rsidRPr="007B1E63">
        <w:rPr>
          <w:rFonts w:ascii="Arial" w:eastAsia="Arial" w:hAnsi="Arial" w:cs="Arial"/>
          <w:sz w:val="24"/>
          <w:szCs w:val="24"/>
        </w:rPr>
        <w:t xml:space="preserve"> the client to </w:t>
      </w:r>
      <w:r w:rsidR="007B1E63" w:rsidRPr="007B1E63">
        <w:rPr>
          <w:rFonts w:ascii="Arial" w:eastAsia="Arial" w:hAnsi="Arial" w:cs="Arial"/>
          <w:sz w:val="24"/>
          <w:szCs w:val="24"/>
        </w:rPr>
        <w:t>identify</w:t>
      </w:r>
      <w:r w:rsidRPr="007B1E63">
        <w:rPr>
          <w:rFonts w:ascii="Arial" w:eastAsia="Arial" w:hAnsi="Arial" w:cs="Arial"/>
          <w:sz w:val="24"/>
          <w:szCs w:val="24"/>
        </w:rPr>
        <w:t xml:space="preserve"> and resolve their blockages and problems.</w:t>
      </w:r>
    </w:p>
    <w:p w:rsidR="66FBEDA8" w:rsidRPr="007B1E63" w:rsidRDefault="007B1E63" w:rsidP="68143B2A">
      <w:pPr>
        <w:spacing w:line="480" w:lineRule="auto"/>
        <w:jc w:val="both"/>
        <w:rPr>
          <w:rFonts w:ascii="Arial" w:eastAsia="Arial" w:hAnsi="Arial" w:cs="Arial"/>
          <w:sz w:val="24"/>
          <w:szCs w:val="24"/>
        </w:rPr>
      </w:pPr>
      <w:r w:rsidRPr="007B1E63">
        <w:rPr>
          <w:rFonts w:ascii="Arial" w:eastAsia="Arial" w:hAnsi="Arial" w:cs="Arial"/>
          <w:sz w:val="24"/>
          <w:szCs w:val="24"/>
        </w:rPr>
        <w:t xml:space="preserve">The counsellors ability to show empathy with the client is an important part of the accepted core conditions of providing person centred therapy however as Moorey and Lavender, 2018 state sharing empathy with a client in cognitive behavioural therapy is through the counsellor sharing their curiosity for the clients story, identification of problems and how together the counsellor and client can set tasks and achieve outcome together with the client taking the lead and the counsellor showing interest and curiosity about their future.  </w:t>
      </w:r>
      <w:r w:rsidR="68143B2A" w:rsidRPr="007B1E63">
        <w:rPr>
          <w:rFonts w:ascii="Arial" w:eastAsia="Arial" w:hAnsi="Arial" w:cs="Arial"/>
          <w:sz w:val="24"/>
          <w:szCs w:val="24"/>
        </w:rPr>
        <w:t>This element of curiosity allows the relationship to develop and a solid working relationship to form and be a safe space for the client to be challenged and supported to make steps in a positive direction.</w:t>
      </w:r>
    </w:p>
    <w:p w:rsidR="00AD6DBB" w:rsidRDefault="00272C29" w:rsidP="00A34D8C">
      <w:pPr>
        <w:pStyle w:val="NormalWeb"/>
        <w:spacing w:before="2" w:after="2" w:line="480" w:lineRule="auto"/>
        <w:jc w:val="both"/>
        <w:rPr>
          <w:rFonts w:ascii="Arial" w:eastAsia="Arial" w:hAnsi="Arial" w:cs="Arial"/>
          <w:sz w:val="24"/>
          <w:szCs w:val="24"/>
        </w:rPr>
      </w:pPr>
      <w:r w:rsidRPr="007B1E63">
        <w:rPr>
          <w:rFonts w:ascii="Arial" w:eastAsia="Arial" w:hAnsi="Arial" w:cs="Arial"/>
          <w:sz w:val="24"/>
          <w:szCs w:val="24"/>
        </w:rPr>
        <w:t xml:space="preserve">Empathy has a particularly important place in CBT, because without an understanding of the client’s cognitive world it is not possible to formulate, identify relevant beliefs or explore adaptive alternatives, and the therapist needs to demonstrate that understanding in order to engage the client in the therapeutic journey. (Moorey and Lavender, 2018,p.13) </w:t>
      </w:r>
    </w:p>
    <w:p w:rsidR="00272C29" w:rsidRPr="007B1E63" w:rsidRDefault="00272C29" w:rsidP="00AD6DBB">
      <w:pPr>
        <w:pStyle w:val="NormalWeb"/>
        <w:spacing w:before="2" w:after="2" w:line="360" w:lineRule="auto"/>
        <w:jc w:val="both"/>
      </w:pPr>
    </w:p>
    <w:p w:rsidR="7101236B" w:rsidRPr="007B1E63"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lang w:val="en-GB"/>
        </w:rPr>
        <w:t xml:space="preserve">The therapeutic relationship in cognitive behavioural therapy could be described as being different in relation to the differing </w:t>
      </w:r>
      <w:r w:rsidR="00ED5D06">
        <w:rPr>
          <w:rFonts w:ascii="Arial" w:eastAsia="Arial" w:hAnsi="Arial" w:cs="Arial"/>
          <w:sz w:val="24"/>
          <w:szCs w:val="24"/>
          <w:lang w:val="en-GB"/>
        </w:rPr>
        <w:t>issue presentations of</w:t>
      </w:r>
      <w:r w:rsidRPr="007B1E63">
        <w:rPr>
          <w:rFonts w:ascii="Arial" w:eastAsia="Arial" w:hAnsi="Arial" w:cs="Arial"/>
          <w:sz w:val="24"/>
          <w:szCs w:val="24"/>
          <w:lang w:val="en-GB"/>
        </w:rPr>
        <w:t xml:space="preserve"> clients.  Evans-Jones and Peters (2009) identified that a therapeutic alliance between client and therapist may be more difficult for those who are experiencing psychosis with the influence of past experience of counselling being an influence in the development of the therapeutic relationship.  For clients experiencing psychosis however, if the counsellor is able to build a relationship that includes empathy and acceptance of the experience of the psychotic client then the process and demands in place through cognitive behavioural therapeutic methods may enable to psychotic client to develop and deeper level of collaboration with the counsellor and the outcomes for the client may be improved in comparison to other forms of therapy. (Evans- Jones and Peters (2009).  A number of other conditions have also demonstrated benefits in using cognitive behavioural therapy as a therapeutic process including the treatment of eating disorders where in their study, Brown and Nicholson Perry (2018) found that CBT was an effective practice for clients with eating disorders and that an open therapeutic relationship between client and counsellor where experience and feedback were discussed had a more positive impact than the clinical expertise of the counsellor.  The style of the counsellor also needs to be adaptable to the emotional changes in a client and be able to then use this working alliance to be able to identify thoughts which can be further unpicked. (Brown and Nicholson Perry</w:t>
      </w:r>
      <w:r w:rsidR="007B1E63" w:rsidRPr="007B1E63">
        <w:rPr>
          <w:rFonts w:ascii="Arial" w:eastAsia="Arial" w:hAnsi="Arial" w:cs="Arial"/>
          <w:sz w:val="24"/>
          <w:szCs w:val="24"/>
          <w:lang w:val="en-GB"/>
        </w:rPr>
        <w:t>.</w:t>
      </w:r>
      <w:r w:rsidRPr="007B1E63">
        <w:rPr>
          <w:rFonts w:ascii="Arial" w:eastAsia="Arial" w:hAnsi="Arial" w:cs="Arial"/>
          <w:sz w:val="24"/>
          <w:szCs w:val="24"/>
          <w:lang w:val="en-GB"/>
        </w:rPr>
        <w:t xml:space="preserve"> </w:t>
      </w:r>
      <w:proofErr w:type="gramStart"/>
      <w:r w:rsidRPr="007B1E63">
        <w:rPr>
          <w:rFonts w:ascii="Arial" w:eastAsia="Arial" w:hAnsi="Arial" w:cs="Arial"/>
          <w:sz w:val="24"/>
          <w:szCs w:val="24"/>
          <w:lang w:val="en-GB"/>
        </w:rPr>
        <w:t>(2018), p.2).</w:t>
      </w:r>
      <w:proofErr w:type="gramEnd"/>
      <w:r w:rsidRPr="007B1E63">
        <w:rPr>
          <w:rFonts w:ascii="Arial" w:eastAsia="Arial" w:hAnsi="Arial" w:cs="Arial"/>
          <w:sz w:val="24"/>
          <w:szCs w:val="24"/>
          <w:lang w:val="en-GB"/>
        </w:rPr>
        <w:t xml:space="preserve">  In a study on the effects of using cognitive behavioural therapy to support those clients who are being treated for chronic fatigue, </w:t>
      </w:r>
      <w:r w:rsidRPr="007B1E63">
        <w:rPr>
          <w:rFonts w:ascii="Arial" w:eastAsia="Arial" w:hAnsi="Arial" w:cs="Arial"/>
          <w:sz w:val="24"/>
          <w:szCs w:val="24"/>
        </w:rPr>
        <w:t xml:space="preserve">Heins and Bleijenberg, 2013 found that the effect of a good therapeutic relationship on outcomes was positive but not sufficient to decrease fatigue without other changes in factors that perpetuate the fatigue and vice versa which This implies that outcome expectations and alliance play a crucial role in facilitating cognitive change. </w:t>
      </w:r>
      <w:proofErr w:type="gramStart"/>
      <w:r w:rsidRPr="007B1E63">
        <w:rPr>
          <w:rFonts w:ascii="Arial" w:eastAsia="Arial" w:hAnsi="Arial" w:cs="Arial"/>
          <w:sz w:val="24"/>
          <w:szCs w:val="24"/>
        </w:rPr>
        <w:t>(Heins and Bleijenberg, 2013, pp. 374).</w:t>
      </w:r>
      <w:proofErr w:type="gramEnd"/>
      <w:r w:rsidRPr="007B1E63">
        <w:rPr>
          <w:rFonts w:ascii="Arial" w:eastAsia="Arial" w:hAnsi="Arial" w:cs="Arial"/>
          <w:sz w:val="24"/>
          <w:szCs w:val="24"/>
        </w:rPr>
        <w:t xml:space="preserve">  In terms of managing chronic pain, cognitive behavioural therapy has been found to often be a final choice for those seeking therapy however, the building of a working alliance between the counsellor and the client has been found to be advantageous to the client as this collaborative approach supports a greater chance of the client engaging with a counsellor and therefore improves their chance of success (Miller, 2016)</w:t>
      </w:r>
    </w:p>
    <w:p w:rsidR="00ED5D06" w:rsidRDefault="68143B2A" w:rsidP="68143B2A">
      <w:pPr>
        <w:spacing w:line="480" w:lineRule="auto"/>
        <w:jc w:val="both"/>
        <w:rPr>
          <w:rFonts w:ascii="Arial" w:eastAsia="Arial" w:hAnsi="Arial" w:cs="Arial"/>
          <w:sz w:val="24"/>
          <w:szCs w:val="24"/>
        </w:rPr>
      </w:pPr>
      <w:r w:rsidRPr="007B1E63">
        <w:rPr>
          <w:rFonts w:ascii="Arial" w:eastAsia="Arial" w:hAnsi="Arial" w:cs="Arial"/>
          <w:sz w:val="24"/>
          <w:szCs w:val="24"/>
        </w:rPr>
        <w:t xml:space="preserve">In conclusion, the therapeutic relationship between client and counsellor in cognitive </w:t>
      </w:r>
      <w:r w:rsidRPr="007B1E63">
        <w:rPr>
          <w:rFonts w:ascii="Arial" w:eastAsia="Arial" w:hAnsi="Arial" w:cs="Arial"/>
          <w:sz w:val="24"/>
          <w:szCs w:val="24"/>
          <w:lang w:val="en-GB"/>
        </w:rPr>
        <w:t>behavioural</w:t>
      </w:r>
      <w:r w:rsidRPr="007B1E63">
        <w:rPr>
          <w:rFonts w:ascii="Arial" w:eastAsia="Arial" w:hAnsi="Arial" w:cs="Arial"/>
          <w:sz w:val="24"/>
          <w:szCs w:val="24"/>
        </w:rPr>
        <w:t xml:space="preserve"> therapy has been assumed by many to be unimportant however by critically discussing what the components of the therapeutic relationship in relation to CBT, it is clear that the development of a working relationship between a client and counsellor is an essential part of ensuring the successful engagement of the client in CBT.  It can be concluded that Rogers’ identification of the essential component of the core conditions are also an element of ensuring that CBT is a success for the client.   Studies including Moorey and Lavender (2013) have found that the expression of the core conditions by the counsellor contributes to improving outcomes for the client, however, that this cannot be proven as essential through the limited research studies available.  It cannot therefore be concluded that the core conditions are a necessary precondition to the success of CBT for a client but moreover that it is the building of a collaborative working relationship is an indicator of improving client engagement in cognitive behavioural therapy and increasing the probability of a positive outcome for the client and counsellor.</w:t>
      </w:r>
    </w:p>
    <w:p w:rsidR="00ED5D06" w:rsidRDefault="00ED5D06" w:rsidP="68143B2A">
      <w:pPr>
        <w:spacing w:line="480" w:lineRule="auto"/>
        <w:jc w:val="both"/>
        <w:rPr>
          <w:rFonts w:ascii="Arial" w:eastAsia="Arial" w:hAnsi="Arial" w:cs="Arial"/>
          <w:sz w:val="24"/>
          <w:szCs w:val="24"/>
        </w:rPr>
      </w:pPr>
      <w:r>
        <w:rPr>
          <w:rFonts w:ascii="Arial" w:eastAsia="Arial" w:hAnsi="Arial" w:cs="Arial"/>
          <w:sz w:val="24"/>
          <w:szCs w:val="24"/>
        </w:rPr>
        <w:t xml:space="preserve">In conclusion to this study of the role of the therapeutic relationship between the counsellor and client using cognitive behavioural therapeutic methods, the work of Beck (2013) continues to </w:t>
      </w:r>
      <w:proofErr w:type="spellStart"/>
      <w:r>
        <w:rPr>
          <w:rFonts w:ascii="Arial" w:eastAsia="Arial" w:hAnsi="Arial" w:cs="Arial"/>
          <w:sz w:val="24"/>
          <w:szCs w:val="24"/>
        </w:rPr>
        <w:t>summarise</w:t>
      </w:r>
      <w:proofErr w:type="spellEnd"/>
      <w:r>
        <w:rPr>
          <w:rFonts w:ascii="Arial" w:eastAsia="Arial" w:hAnsi="Arial" w:cs="Arial"/>
          <w:sz w:val="24"/>
          <w:szCs w:val="24"/>
        </w:rPr>
        <w:t xml:space="preserve"> succinctly that the success is an alliance between client and counsellor with the method providing the tools and the relationship enabling a conducive environment to motivate the client to make best use of the method and move forward. (Beck, 2013)</w:t>
      </w:r>
    </w:p>
    <w:p w:rsidR="7C11DF83" w:rsidRPr="007B1E63" w:rsidRDefault="7C11DF83" w:rsidP="68143B2A">
      <w:pPr>
        <w:spacing w:line="480" w:lineRule="auto"/>
        <w:jc w:val="both"/>
        <w:rPr>
          <w:rFonts w:ascii="Arial" w:eastAsia="Arial" w:hAnsi="Arial" w:cs="Arial"/>
          <w:sz w:val="24"/>
          <w:szCs w:val="24"/>
        </w:rPr>
      </w:pPr>
    </w:p>
    <w:p w:rsidR="7101236B" w:rsidRPr="007B1E63" w:rsidRDefault="68143B2A" w:rsidP="66FBEDA8">
      <w:pPr>
        <w:spacing w:line="480" w:lineRule="auto"/>
        <w:jc w:val="both"/>
      </w:pPr>
      <w:r w:rsidRPr="007B1E63">
        <w:rPr>
          <w:rFonts w:ascii="Arial" w:eastAsia="Arial" w:hAnsi="Arial" w:cs="Arial"/>
          <w:sz w:val="24"/>
          <w:szCs w:val="24"/>
        </w:rPr>
        <w:t xml:space="preserve"> </w:t>
      </w:r>
      <w:r w:rsidR="7101236B" w:rsidRPr="007B1E63">
        <w:br w:type="page"/>
      </w:r>
    </w:p>
    <w:p w:rsidR="7101236B" w:rsidRPr="007B1E63" w:rsidRDefault="68143B2A" w:rsidP="68143B2A">
      <w:pPr>
        <w:spacing w:line="480" w:lineRule="auto"/>
        <w:jc w:val="center"/>
        <w:rPr>
          <w:rFonts w:ascii="Arial" w:eastAsia="Arial" w:hAnsi="Arial" w:cs="Arial"/>
          <w:sz w:val="24"/>
          <w:szCs w:val="24"/>
        </w:rPr>
      </w:pPr>
      <w:r w:rsidRPr="007B1E63">
        <w:rPr>
          <w:rFonts w:ascii="Arial" w:eastAsia="Arial" w:hAnsi="Arial" w:cs="Arial"/>
          <w:sz w:val="24"/>
          <w:szCs w:val="24"/>
        </w:rPr>
        <w:t>References</w:t>
      </w:r>
    </w:p>
    <w:p w:rsidR="0078302B" w:rsidRPr="007B1E63" w:rsidRDefault="0078302B" w:rsidP="0078302B">
      <w:pPr>
        <w:spacing w:line="240" w:lineRule="auto"/>
        <w:rPr>
          <w:rFonts w:ascii="Arial" w:eastAsia="Arial" w:hAnsi="Arial" w:cs="Arial"/>
          <w:sz w:val="24"/>
          <w:szCs w:val="24"/>
        </w:rPr>
      </w:pPr>
      <w:r>
        <w:rPr>
          <w:rFonts w:ascii="Arial" w:eastAsia="Arial" w:hAnsi="Arial" w:cs="Arial"/>
          <w:sz w:val="24"/>
          <w:szCs w:val="24"/>
        </w:rPr>
        <w:t xml:space="preserve">Beck, A (2013) </w:t>
      </w:r>
      <w:r w:rsidRPr="00A848C5">
        <w:rPr>
          <w:rFonts w:ascii="Arial" w:eastAsia="Arial" w:hAnsi="Arial" w:cs="Arial"/>
          <w:i/>
          <w:sz w:val="24"/>
          <w:szCs w:val="24"/>
        </w:rPr>
        <w:t xml:space="preserve">The Therapeutic Alliance, Beck Institute for Cognitive </w:t>
      </w:r>
      <w:r w:rsidRPr="007B1E63">
        <w:rPr>
          <w:rFonts w:ascii="Arial" w:eastAsia="Arial" w:hAnsi="Arial" w:cs="Arial"/>
          <w:sz w:val="24"/>
          <w:szCs w:val="24"/>
        </w:rPr>
        <w:t>Behavior Therapy</w:t>
      </w:r>
    </w:p>
    <w:p w:rsidR="0078302B" w:rsidRDefault="0078302B" w:rsidP="0078302B">
      <w:pPr>
        <w:spacing w:line="240" w:lineRule="auto"/>
        <w:rPr>
          <w:rFonts w:ascii="Arial" w:eastAsia="Arial" w:hAnsi="Arial" w:cs="Arial"/>
          <w:sz w:val="24"/>
          <w:szCs w:val="24"/>
        </w:rPr>
      </w:pPr>
      <w:hyperlink r:id="rId4">
        <w:r w:rsidRPr="007B1E63">
          <w:rPr>
            <w:rStyle w:val="Hyperlink"/>
            <w:rFonts w:ascii="Arial" w:eastAsia="Arial" w:hAnsi="Arial" w:cs="Arial"/>
            <w:color w:val="auto"/>
            <w:sz w:val="24"/>
            <w:szCs w:val="24"/>
          </w:rPr>
          <w:t>https://www.youtube.com/watch?v=TTKTz6YbJKk&amp;hl=en_US&amp;version=3</w:t>
        </w:r>
      </w:hyperlink>
    </w:p>
    <w:p w:rsidR="7101236B" w:rsidRPr="007B1E63" w:rsidRDefault="7101236B" w:rsidP="0078302B">
      <w:pPr>
        <w:spacing w:line="240" w:lineRule="auto"/>
        <w:rPr>
          <w:rFonts w:ascii="Arial" w:eastAsia="Arial" w:hAnsi="Arial" w:cs="Arial"/>
          <w:sz w:val="24"/>
          <w:szCs w:val="24"/>
        </w:rPr>
      </w:pPr>
    </w:p>
    <w:p w:rsidR="29888DB4" w:rsidRPr="007B1E63" w:rsidRDefault="68143B2A" w:rsidP="68143B2A">
      <w:pPr>
        <w:rPr>
          <w:rFonts w:ascii="Arial" w:eastAsia="Arial" w:hAnsi="Arial" w:cs="Arial"/>
          <w:sz w:val="24"/>
          <w:szCs w:val="24"/>
        </w:rPr>
      </w:pPr>
      <w:r w:rsidRPr="007B1E63">
        <w:rPr>
          <w:rFonts w:ascii="Arial" w:eastAsia="Arial" w:hAnsi="Arial" w:cs="Arial"/>
          <w:sz w:val="24"/>
          <w:szCs w:val="24"/>
        </w:rPr>
        <w:t>Beck, J and Wylie, M. S. (2016) Cognitive Behavioral Therapy and the Therapeutic Alliance</w:t>
      </w:r>
    </w:p>
    <w:p w:rsidR="00A34D8C" w:rsidRDefault="00940D32" w:rsidP="68143B2A">
      <w:hyperlink r:id="rId5">
        <w:r w:rsidR="68143B2A" w:rsidRPr="007B1E63">
          <w:rPr>
            <w:rStyle w:val="Hyperlink"/>
            <w:rFonts w:ascii="Arial" w:eastAsia="Arial" w:hAnsi="Arial" w:cs="Arial"/>
            <w:color w:val="auto"/>
            <w:sz w:val="24"/>
            <w:szCs w:val="24"/>
          </w:rPr>
          <w:t>https://www.psychotherapynetworker.org/blog/details/999/cognitive-behavioral-therapy-and-the-therapeutic-alliance</w:t>
        </w:r>
      </w:hyperlink>
    </w:p>
    <w:p w:rsidR="29888DB4" w:rsidRPr="007B1E63" w:rsidRDefault="29888DB4" w:rsidP="68143B2A">
      <w:pPr>
        <w:rPr>
          <w:rFonts w:ascii="Arial" w:eastAsia="Arial" w:hAnsi="Arial" w:cs="Arial"/>
          <w:sz w:val="24"/>
          <w:szCs w:val="24"/>
        </w:rPr>
      </w:pPr>
    </w:p>
    <w:p w:rsidR="00A34D8C" w:rsidRPr="00A34D8C" w:rsidRDefault="00A34D8C" w:rsidP="00A34D8C">
      <w:pPr>
        <w:spacing w:beforeLines="1" w:afterLines="1" w:line="240" w:lineRule="auto"/>
        <w:rPr>
          <w:rFonts w:ascii="Arial" w:hAnsi="Arial" w:cs="Times New Roman"/>
          <w:sz w:val="24"/>
          <w:szCs w:val="20"/>
          <w:lang w:val="en-GB"/>
        </w:rPr>
      </w:pPr>
      <w:r w:rsidRPr="00A34D8C">
        <w:rPr>
          <w:rFonts w:ascii="Arial" w:hAnsi="Arial" w:cs="Times New Roman"/>
          <w:sz w:val="24"/>
          <w:szCs w:val="16"/>
          <w:lang w:val="en-GB"/>
        </w:rPr>
        <w:t xml:space="preserve">Bordin, E. S. (1979). </w:t>
      </w:r>
      <w:proofErr w:type="gramStart"/>
      <w:r w:rsidRPr="00A34D8C">
        <w:rPr>
          <w:rFonts w:ascii="Arial" w:hAnsi="Arial" w:cs="Times New Roman"/>
          <w:sz w:val="24"/>
          <w:szCs w:val="16"/>
          <w:lang w:val="en-GB"/>
        </w:rPr>
        <w:t xml:space="preserve">The </w:t>
      </w:r>
      <w:proofErr w:type="spellStart"/>
      <w:r w:rsidRPr="00A34D8C">
        <w:rPr>
          <w:rFonts w:ascii="Arial" w:hAnsi="Arial" w:cs="Times New Roman"/>
          <w:sz w:val="24"/>
          <w:szCs w:val="16"/>
          <w:lang w:val="en-GB"/>
        </w:rPr>
        <w:t>generalizability</w:t>
      </w:r>
      <w:proofErr w:type="spellEnd"/>
      <w:r w:rsidRPr="00A34D8C">
        <w:rPr>
          <w:rFonts w:ascii="Arial" w:hAnsi="Arial" w:cs="Times New Roman"/>
          <w:sz w:val="24"/>
          <w:szCs w:val="16"/>
          <w:lang w:val="en-GB"/>
        </w:rPr>
        <w:t xml:space="preserve"> of the psychoanalytic concept of the working alliance.</w:t>
      </w:r>
      <w:proofErr w:type="gramEnd"/>
      <w:r w:rsidRPr="00A34D8C">
        <w:rPr>
          <w:rFonts w:ascii="Arial" w:hAnsi="Arial" w:cs="Times New Roman"/>
          <w:sz w:val="24"/>
          <w:szCs w:val="16"/>
          <w:lang w:val="en-GB"/>
        </w:rPr>
        <w:t xml:space="preserve"> </w:t>
      </w:r>
      <w:r w:rsidRPr="00A34D8C">
        <w:rPr>
          <w:rFonts w:ascii="Arial" w:hAnsi="Arial" w:cs="Times New Roman"/>
          <w:i/>
          <w:iCs/>
          <w:sz w:val="24"/>
          <w:szCs w:val="16"/>
          <w:lang w:val="en-GB"/>
        </w:rPr>
        <w:t xml:space="preserve">Psychotherapy: Theory, Research, Practice, Train- </w:t>
      </w:r>
      <w:proofErr w:type="spellStart"/>
      <w:r w:rsidRPr="00A34D8C">
        <w:rPr>
          <w:rFonts w:ascii="Arial" w:hAnsi="Arial" w:cs="Times New Roman"/>
          <w:i/>
          <w:iCs/>
          <w:sz w:val="24"/>
          <w:szCs w:val="16"/>
          <w:lang w:val="en-GB"/>
        </w:rPr>
        <w:t>ing</w:t>
      </w:r>
      <w:proofErr w:type="spellEnd"/>
      <w:r w:rsidRPr="00A34D8C">
        <w:rPr>
          <w:rFonts w:ascii="Arial" w:hAnsi="Arial" w:cs="Times New Roman"/>
          <w:i/>
          <w:iCs/>
          <w:sz w:val="24"/>
          <w:szCs w:val="16"/>
          <w:lang w:val="en-GB"/>
        </w:rPr>
        <w:t xml:space="preserve">, </w:t>
      </w:r>
      <w:proofErr w:type="gramStart"/>
      <w:r w:rsidRPr="00A34D8C">
        <w:rPr>
          <w:rFonts w:ascii="Arial" w:hAnsi="Arial" w:cs="Times New Roman"/>
          <w:i/>
          <w:iCs/>
          <w:sz w:val="24"/>
          <w:szCs w:val="16"/>
          <w:lang w:val="en-GB"/>
        </w:rPr>
        <w:t>16</w:t>
      </w:r>
      <w:proofErr w:type="gramEnd"/>
      <w:r w:rsidRPr="00A34D8C">
        <w:rPr>
          <w:rFonts w:ascii="Arial" w:hAnsi="Arial" w:cs="Times New Roman"/>
          <w:i/>
          <w:iCs/>
          <w:sz w:val="24"/>
          <w:szCs w:val="16"/>
          <w:lang w:val="en-GB"/>
        </w:rPr>
        <w:t xml:space="preserve">, </w:t>
      </w:r>
      <w:r w:rsidRPr="00A34D8C">
        <w:rPr>
          <w:rFonts w:ascii="Arial" w:hAnsi="Arial" w:cs="Times New Roman"/>
          <w:sz w:val="24"/>
          <w:szCs w:val="16"/>
          <w:lang w:val="en-GB"/>
        </w:rPr>
        <w:t xml:space="preserve">252–260. http://dx.doi.org/10.1037/h0085885 </w:t>
      </w:r>
    </w:p>
    <w:p w:rsidR="29888DB4" w:rsidRPr="007B1E63" w:rsidRDefault="29888DB4" w:rsidP="68143B2A">
      <w:pPr>
        <w:rPr>
          <w:rFonts w:ascii="Arial" w:eastAsia="Arial" w:hAnsi="Arial" w:cs="Arial"/>
          <w:sz w:val="24"/>
          <w:szCs w:val="24"/>
        </w:rPr>
      </w:pPr>
    </w:p>
    <w:p w:rsidR="0078302B" w:rsidRDefault="68143B2A" w:rsidP="68143B2A">
      <w:pPr>
        <w:rPr>
          <w:rFonts w:ascii="Arial" w:eastAsia="Arial" w:hAnsi="Arial" w:cs="Arial"/>
          <w:sz w:val="24"/>
          <w:szCs w:val="24"/>
        </w:rPr>
      </w:pPr>
      <w:r w:rsidRPr="007B1E63">
        <w:rPr>
          <w:rFonts w:ascii="Arial" w:eastAsia="Arial" w:hAnsi="Arial" w:cs="Arial"/>
        </w:rPr>
        <w:t>Brown, C.E. and Nicholson Perry, K. (2018)</w:t>
      </w:r>
      <w:r w:rsidRPr="007B1E63">
        <w:rPr>
          <w:rFonts w:ascii="Arial" w:eastAsia="Arial" w:hAnsi="Arial" w:cs="Arial"/>
          <w:sz w:val="16"/>
          <w:szCs w:val="16"/>
        </w:rPr>
        <w:t xml:space="preserve"> ‘</w:t>
      </w:r>
      <w:r w:rsidRPr="007B1E63">
        <w:rPr>
          <w:rFonts w:ascii="Arial" w:eastAsia="Arial" w:hAnsi="Arial" w:cs="Arial"/>
          <w:i/>
          <w:iCs/>
          <w:sz w:val="24"/>
          <w:szCs w:val="24"/>
        </w:rPr>
        <w:t xml:space="preserve">Cognitive behavioural therapy for eating disorders: how do clinician characteristics impact on treatment fidelity?’ Journal of Eating Disorders, </w:t>
      </w:r>
      <w:r w:rsidRPr="007B1E63">
        <w:rPr>
          <w:rFonts w:ascii="Arial" w:eastAsia="Arial" w:hAnsi="Arial" w:cs="Arial"/>
          <w:sz w:val="24"/>
          <w:szCs w:val="24"/>
        </w:rPr>
        <w:t>6:19</w:t>
      </w:r>
      <w:r w:rsidRPr="007B1E63">
        <w:rPr>
          <w:rFonts w:ascii="Arial" w:eastAsia="Arial" w:hAnsi="Arial" w:cs="Arial"/>
          <w:i/>
          <w:iCs/>
          <w:sz w:val="24"/>
          <w:szCs w:val="24"/>
        </w:rPr>
        <w:t xml:space="preserve"> </w:t>
      </w:r>
      <w:hyperlink r:id="rId6">
        <w:r w:rsidRPr="007B1E63">
          <w:rPr>
            <w:rStyle w:val="Hyperlink"/>
            <w:rFonts w:ascii="Arial" w:eastAsia="Arial" w:hAnsi="Arial" w:cs="Arial"/>
            <w:color w:val="auto"/>
            <w:sz w:val="24"/>
            <w:szCs w:val="24"/>
          </w:rPr>
          <w:t>https://doi.org/10.1186/s40337-018-0208-0</w:t>
        </w:r>
      </w:hyperlink>
      <w:r w:rsidRPr="007B1E63">
        <w:rPr>
          <w:rFonts w:ascii="Arial" w:eastAsia="Arial" w:hAnsi="Arial" w:cs="Arial"/>
          <w:sz w:val="24"/>
          <w:szCs w:val="24"/>
        </w:rPr>
        <w:t xml:space="preserve"> </w:t>
      </w:r>
    </w:p>
    <w:p w:rsidR="29888DB4" w:rsidRPr="007B1E63" w:rsidRDefault="29888DB4" w:rsidP="68143B2A">
      <w:pPr>
        <w:rPr>
          <w:rFonts w:ascii="Arial" w:eastAsia="Arial" w:hAnsi="Arial" w:cs="Arial"/>
          <w:sz w:val="24"/>
          <w:szCs w:val="24"/>
        </w:rPr>
      </w:pPr>
    </w:p>
    <w:p w:rsidR="0078302B" w:rsidRPr="007B1E63" w:rsidRDefault="0078302B" w:rsidP="0078302B">
      <w:pPr>
        <w:rPr>
          <w:rFonts w:ascii="Arial" w:eastAsia="Arial" w:hAnsi="Arial" w:cs="Arial"/>
          <w:b/>
          <w:bCs/>
          <w:i/>
          <w:iCs/>
          <w:sz w:val="24"/>
          <w:szCs w:val="24"/>
        </w:rPr>
      </w:pPr>
      <w:proofErr w:type="spellStart"/>
      <w:r w:rsidRPr="007B1E63">
        <w:rPr>
          <w:rFonts w:ascii="Arial" w:eastAsia="Arial" w:hAnsi="Arial" w:cs="Arial"/>
          <w:sz w:val="24"/>
          <w:szCs w:val="24"/>
        </w:rPr>
        <w:t>Dattilio</w:t>
      </w:r>
      <w:proofErr w:type="spellEnd"/>
      <w:r w:rsidRPr="007B1E63">
        <w:rPr>
          <w:rFonts w:ascii="Arial" w:eastAsia="Arial" w:hAnsi="Arial" w:cs="Arial"/>
          <w:sz w:val="24"/>
          <w:szCs w:val="24"/>
        </w:rPr>
        <w:t>, F. M. and Hanna, M.A., (2012) ‘</w:t>
      </w:r>
      <w:r w:rsidRPr="007B1E63">
        <w:rPr>
          <w:rFonts w:ascii="Arial" w:eastAsia="Arial" w:hAnsi="Arial" w:cs="Arial"/>
          <w:i/>
          <w:iCs/>
          <w:sz w:val="24"/>
          <w:szCs w:val="24"/>
        </w:rPr>
        <w:t>Collaboration in Cognitive-Behavioral Therapy</w:t>
      </w:r>
      <w:r w:rsidRPr="007B1E63">
        <w:rPr>
          <w:rFonts w:ascii="Arial" w:eastAsia="Arial" w:hAnsi="Arial" w:cs="Arial"/>
          <w:sz w:val="24"/>
          <w:szCs w:val="24"/>
        </w:rPr>
        <w:t xml:space="preserve">’, </w:t>
      </w:r>
      <w:r w:rsidRPr="007B1E63">
        <w:rPr>
          <w:rFonts w:ascii="Arial" w:eastAsia="Arial" w:hAnsi="Arial" w:cs="Arial"/>
          <w:i/>
          <w:iCs/>
          <w:sz w:val="24"/>
          <w:szCs w:val="24"/>
        </w:rPr>
        <w:t xml:space="preserve">Journal of Clinical Psychology, </w:t>
      </w:r>
      <w:r w:rsidRPr="007B1E63">
        <w:rPr>
          <w:rFonts w:ascii="Arial" w:eastAsia="Arial" w:hAnsi="Arial" w:cs="Arial"/>
          <w:sz w:val="24"/>
          <w:szCs w:val="24"/>
        </w:rPr>
        <w:t>02/2012, pp. 146-158</w:t>
      </w:r>
    </w:p>
    <w:p w:rsidR="29888DB4" w:rsidRPr="007B1E63" w:rsidRDefault="29888DB4" w:rsidP="68143B2A">
      <w:pPr>
        <w:rPr>
          <w:rFonts w:ascii="Arial" w:eastAsia="Arial" w:hAnsi="Arial" w:cs="Arial"/>
          <w:sz w:val="24"/>
          <w:szCs w:val="24"/>
        </w:rPr>
      </w:pPr>
    </w:p>
    <w:p w:rsidR="29888DB4" w:rsidRPr="007B1E63" w:rsidRDefault="00457FF6" w:rsidP="68143B2A">
      <w:pPr>
        <w:rPr>
          <w:rFonts w:ascii="Arial" w:eastAsia="Arial" w:hAnsi="Arial" w:cs="Arial"/>
          <w:sz w:val="24"/>
          <w:szCs w:val="24"/>
        </w:rPr>
      </w:pPr>
      <w:r>
        <w:rPr>
          <w:rFonts w:ascii="Arial" w:eastAsia="Arial" w:hAnsi="Arial" w:cs="Arial"/>
          <w:sz w:val="24"/>
          <w:szCs w:val="24"/>
        </w:rPr>
        <w:t>Easterbrook, C.J and Meehan</w:t>
      </w:r>
      <w:r w:rsidR="007B1E63" w:rsidRPr="007B1E63">
        <w:rPr>
          <w:rFonts w:ascii="Arial" w:eastAsia="Arial" w:hAnsi="Arial" w:cs="Arial"/>
          <w:sz w:val="24"/>
          <w:szCs w:val="24"/>
        </w:rPr>
        <w:t xml:space="preserve">, T. </w:t>
      </w:r>
      <w:proofErr w:type="gramStart"/>
      <w:r w:rsidR="007B1E63" w:rsidRPr="007B1E63">
        <w:rPr>
          <w:rFonts w:ascii="Arial" w:eastAsia="Arial" w:hAnsi="Arial" w:cs="Arial"/>
          <w:sz w:val="24"/>
          <w:szCs w:val="24"/>
        </w:rPr>
        <w:t xml:space="preserve">( </w:t>
      </w:r>
      <w:r>
        <w:rPr>
          <w:rFonts w:ascii="Arial" w:eastAsia="Arial" w:hAnsi="Arial" w:cs="Arial"/>
          <w:sz w:val="24"/>
          <w:szCs w:val="24"/>
        </w:rPr>
        <w:t>2017</w:t>
      </w:r>
      <w:proofErr w:type="gramEnd"/>
      <w:r w:rsidR="007B1E63" w:rsidRPr="007B1E63">
        <w:rPr>
          <w:rFonts w:ascii="Arial" w:eastAsia="Arial" w:hAnsi="Arial" w:cs="Arial"/>
          <w:sz w:val="24"/>
          <w:szCs w:val="24"/>
        </w:rPr>
        <w:t xml:space="preserve">) </w:t>
      </w:r>
      <w:r w:rsidR="007B1E63" w:rsidRPr="007B1E63">
        <w:rPr>
          <w:rFonts w:ascii="Arial" w:eastAsia="Arial" w:hAnsi="Arial" w:cs="Arial"/>
          <w:i/>
          <w:iCs/>
          <w:sz w:val="24"/>
          <w:szCs w:val="24"/>
        </w:rPr>
        <w:t>The Therapeutic Relationship and Cognitive Behavioural Therapy: A Case Study of an Adolescent Girl With Depression, The European Journal of Counselling Psychology</w:t>
      </w:r>
    </w:p>
    <w:p w:rsidR="29888DB4" w:rsidRPr="007B1E63" w:rsidRDefault="29888DB4" w:rsidP="68143B2A">
      <w:pPr>
        <w:rPr>
          <w:rFonts w:ascii="Arial" w:eastAsia="Arial" w:hAnsi="Arial" w:cs="Arial"/>
          <w:i/>
          <w:iCs/>
          <w:sz w:val="24"/>
          <w:szCs w:val="24"/>
        </w:rPr>
      </w:pPr>
    </w:p>
    <w:p w:rsidR="0078302B" w:rsidRDefault="68143B2A" w:rsidP="68143B2A">
      <w:pPr>
        <w:rPr>
          <w:rFonts w:ascii="Arial" w:eastAsia="Arial" w:hAnsi="Arial" w:cs="Arial"/>
          <w:sz w:val="24"/>
          <w:szCs w:val="24"/>
        </w:rPr>
      </w:pPr>
      <w:r w:rsidRPr="007B1E63">
        <w:rPr>
          <w:rFonts w:ascii="Arial" w:eastAsia="Arial" w:hAnsi="Arial" w:cs="Arial"/>
          <w:sz w:val="24"/>
          <w:szCs w:val="24"/>
        </w:rPr>
        <w:t xml:space="preserve">Evans-Jones, C. Peters, E. and Barker, C. (2009) </w:t>
      </w:r>
      <w:r w:rsidRPr="007B1E63">
        <w:rPr>
          <w:rFonts w:ascii="Arial" w:eastAsia="Arial" w:hAnsi="Arial" w:cs="Arial"/>
          <w:i/>
          <w:iCs/>
          <w:sz w:val="24"/>
          <w:szCs w:val="24"/>
        </w:rPr>
        <w:t xml:space="preserve">‘The Therapeutic Relationship in CBT for Psychosis: Client, Therapist and Therapy Factors’, Behavioural and Cognitive Psychotherapy, </w:t>
      </w:r>
      <w:r w:rsidRPr="007B1E63">
        <w:rPr>
          <w:rFonts w:ascii="Arial" w:eastAsia="Arial" w:hAnsi="Arial" w:cs="Arial"/>
          <w:sz w:val="24"/>
          <w:szCs w:val="24"/>
        </w:rPr>
        <w:t xml:space="preserve">37, pp.527-540. </w:t>
      </w:r>
      <w:proofErr w:type="gramStart"/>
      <w:r w:rsidRPr="007B1E63">
        <w:rPr>
          <w:rFonts w:ascii="Arial" w:eastAsia="Arial" w:hAnsi="Arial" w:cs="Arial"/>
          <w:sz w:val="24"/>
          <w:szCs w:val="24"/>
        </w:rPr>
        <w:t>doi:10.1017</w:t>
      </w:r>
      <w:proofErr w:type="gramEnd"/>
      <w:r w:rsidRPr="007B1E63">
        <w:rPr>
          <w:rFonts w:ascii="Arial" w:eastAsia="Arial" w:hAnsi="Arial" w:cs="Arial"/>
          <w:sz w:val="24"/>
          <w:szCs w:val="24"/>
        </w:rPr>
        <w:t>/S1352465809990269</w:t>
      </w:r>
    </w:p>
    <w:p w:rsidR="29888DB4" w:rsidRPr="007B1E63" w:rsidRDefault="29888DB4" w:rsidP="68143B2A">
      <w:pPr>
        <w:rPr>
          <w:rFonts w:ascii="Arial" w:eastAsia="Arial" w:hAnsi="Arial" w:cs="Arial"/>
          <w:sz w:val="24"/>
          <w:szCs w:val="24"/>
        </w:rPr>
      </w:pPr>
    </w:p>
    <w:p w:rsidR="00272C29" w:rsidRDefault="0078302B" w:rsidP="0078302B">
      <w:pPr>
        <w:jc w:val="both"/>
      </w:pPr>
      <w:proofErr w:type="spellStart"/>
      <w:r>
        <w:rPr>
          <w:rFonts w:ascii="Arial" w:eastAsia="Arial" w:hAnsi="Arial" w:cs="Arial"/>
          <w:sz w:val="24"/>
          <w:szCs w:val="24"/>
        </w:rPr>
        <w:t>Gelo</w:t>
      </w:r>
      <w:proofErr w:type="spellEnd"/>
      <w:r>
        <w:rPr>
          <w:rFonts w:ascii="Arial" w:eastAsia="Arial" w:hAnsi="Arial" w:cs="Arial"/>
          <w:sz w:val="24"/>
          <w:szCs w:val="24"/>
        </w:rPr>
        <w:t xml:space="preserve">, O. C. G et al, (2016) </w:t>
      </w:r>
      <w:r w:rsidRPr="00A848C5">
        <w:rPr>
          <w:rFonts w:ascii="Arial" w:eastAsia="Arial" w:hAnsi="Arial" w:cs="Arial"/>
          <w:i/>
          <w:sz w:val="24"/>
          <w:szCs w:val="24"/>
        </w:rPr>
        <w:t>Social Representation of Therapeutic Relationship Among Cognitive-Behavioral Psychotherapists, Journal of Counseling Psychology © 2016 American Psychological Association</w:t>
      </w:r>
      <w:r w:rsidRPr="007B1E63">
        <w:rPr>
          <w:rFonts w:ascii="Arial" w:eastAsia="Arial" w:hAnsi="Arial" w:cs="Arial"/>
          <w:sz w:val="24"/>
          <w:szCs w:val="24"/>
        </w:rPr>
        <w:t xml:space="preserve">, Vol. 63, No. 1, 42–56 0022-0167/16/$12.00 </w:t>
      </w:r>
      <w:hyperlink r:id="rId7">
        <w:r w:rsidRPr="007B1E63">
          <w:rPr>
            <w:rStyle w:val="Hyperlink"/>
            <w:rFonts w:ascii="Arial" w:eastAsia="Arial" w:hAnsi="Arial" w:cs="Arial"/>
            <w:color w:val="auto"/>
            <w:sz w:val="24"/>
            <w:szCs w:val="24"/>
          </w:rPr>
          <w:t>http://dx.doi.org/10.1037/cou0000104</w:t>
        </w:r>
      </w:hyperlink>
    </w:p>
    <w:p w:rsidR="0078302B" w:rsidRPr="007B1E63" w:rsidRDefault="0078302B" w:rsidP="0078302B">
      <w:pPr>
        <w:jc w:val="both"/>
        <w:rPr>
          <w:rFonts w:ascii="Arial" w:eastAsia="Arial" w:hAnsi="Arial" w:cs="Arial"/>
          <w:sz w:val="24"/>
          <w:szCs w:val="24"/>
        </w:rPr>
      </w:pPr>
    </w:p>
    <w:p w:rsidR="00272C29" w:rsidRPr="00272C29" w:rsidRDefault="00272C29" w:rsidP="00272C29">
      <w:pPr>
        <w:rPr>
          <w:rFonts w:ascii="Arial" w:hAnsi="Arial"/>
          <w:sz w:val="24"/>
        </w:rPr>
      </w:pPr>
      <w:proofErr w:type="spellStart"/>
      <w:r w:rsidRPr="00272C29">
        <w:rPr>
          <w:rFonts w:ascii="Arial" w:eastAsia="Calibri" w:hAnsi="Arial" w:cs="Calibri"/>
          <w:sz w:val="24"/>
        </w:rPr>
        <w:t>Heins</w:t>
      </w:r>
      <w:proofErr w:type="spellEnd"/>
      <w:r w:rsidRPr="00272C29">
        <w:rPr>
          <w:rFonts w:ascii="Arial" w:eastAsia="Calibri" w:hAnsi="Arial" w:cs="Calibri"/>
          <w:sz w:val="24"/>
        </w:rPr>
        <w:t xml:space="preserve">, M.J., </w:t>
      </w:r>
      <w:proofErr w:type="spellStart"/>
      <w:r w:rsidRPr="00272C29">
        <w:rPr>
          <w:rFonts w:ascii="Arial" w:eastAsia="Calibri" w:hAnsi="Arial" w:cs="Calibri"/>
          <w:sz w:val="24"/>
        </w:rPr>
        <w:t>Knoop</w:t>
      </w:r>
      <w:proofErr w:type="spellEnd"/>
      <w:proofErr w:type="gramStart"/>
      <w:r w:rsidRPr="00272C29">
        <w:rPr>
          <w:rFonts w:ascii="Arial" w:eastAsia="Calibri" w:hAnsi="Arial" w:cs="Calibri"/>
          <w:sz w:val="24"/>
        </w:rPr>
        <w:t>,,</w:t>
      </w:r>
      <w:proofErr w:type="gramEnd"/>
      <w:r w:rsidRPr="00272C29">
        <w:rPr>
          <w:rFonts w:ascii="Arial" w:eastAsia="Calibri" w:hAnsi="Arial" w:cs="Calibri"/>
          <w:sz w:val="24"/>
        </w:rPr>
        <w:t xml:space="preserve"> H., and </w:t>
      </w:r>
      <w:proofErr w:type="spellStart"/>
      <w:r w:rsidRPr="00272C29">
        <w:rPr>
          <w:rFonts w:ascii="Arial" w:eastAsia="Calibri" w:hAnsi="Arial" w:cs="Calibri"/>
          <w:sz w:val="24"/>
        </w:rPr>
        <w:t>Bleijenberg</w:t>
      </w:r>
      <w:proofErr w:type="spellEnd"/>
      <w:r w:rsidRPr="00272C29">
        <w:rPr>
          <w:rFonts w:ascii="Arial" w:eastAsia="Calibri" w:hAnsi="Arial" w:cs="Calibri"/>
          <w:sz w:val="24"/>
        </w:rPr>
        <w:t xml:space="preserve"> G., (2013) </w:t>
      </w:r>
      <w:r w:rsidRPr="00272C29">
        <w:rPr>
          <w:rFonts w:ascii="Arial" w:eastAsia="Calibri" w:hAnsi="Arial" w:cs="Calibri"/>
          <w:i/>
          <w:sz w:val="24"/>
        </w:rPr>
        <w:t xml:space="preserve">The role of the therapeutic relationship in cognitive </w:t>
      </w:r>
      <w:proofErr w:type="spellStart"/>
      <w:r w:rsidRPr="00272C29">
        <w:rPr>
          <w:rFonts w:ascii="Arial" w:eastAsia="Calibri" w:hAnsi="Arial" w:cs="Calibri"/>
          <w:i/>
          <w:sz w:val="24"/>
        </w:rPr>
        <w:t>behaviour</w:t>
      </w:r>
      <w:proofErr w:type="spellEnd"/>
      <w:r w:rsidRPr="00272C29">
        <w:rPr>
          <w:rFonts w:ascii="Arial" w:eastAsia="Calibri" w:hAnsi="Arial" w:cs="Calibri"/>
          <w:i/>
          <w:sz w:val="24"/>
        </w:rPr>
        <w:t xml:space="preserve"> therapy for chronic fatigue syndrome</w:t>
      </w:r>
      <w:r w:rsidRPr="00272C29">
        <w:rPr>
          <w:rFonts w:ascii="Arial" w:eastAsia="Calibri" w:hAnsi="Arial" w:cs="Calibri"/>
          <w:sz w:val="24"/>
        </w:rPr>
        <w:t xml:space="preserve">, </w:t>
      </w:r>
      <w:proofErr w:type="spellStart"/>
      <w:r w:rsidRPr="00272C29">
        <w:rPr>
          <w:rFonts w:ascii="Arial" w:eastAsia="Calibri" w:hAnsi="Arial" w:cs="Calibri"/>
          <w:i/>
          <w:sz w:val="24"/>
        </w:rPr>
        <w:t>Behaviour</w:t>
      </w:r>
      <w:proofErr w:type="spellEnd"/>
      <w:r w:rsidRPr="00272C29">
        <w:rPr>
          <w:rFonts w:ascii="Arial" w:eastAsia="Calibri" w:hAnsi="Arial" w:cs="Calibri"/>
          <w:i/>
          <w:sz w:val="24"/>
        </w:rPr>
        <w:t xml:space="preserve"> Research and Therapy</w:t>
      </w:r>
      <w:r w:rsidRPr="00272C29">
        <w:rPr>
          <w:rFonts w:ascii="Arial" w:eastAsia="Calibri" w:hAnsi="Arial" w:cs="Calibri"/>
          <w:sz w:val="24"/>
        </w:rPr>
        <w:t xml:space="preserve"> 51 (2013) 368- 376</w:t>
      </w:r>
    </w:p>
    <w:p w:rsidR="0078302B" w:rsidRPr="007B1E63" w:rsidRDefault="0078302B" w:rsidP="0078302B">
      <w:pPr>
        <w:jc w:val="both"/>
        <w:rPr>
          <w:rFonts w:ascii="Arial" w:eastAsia="Arial" w:hAnsi="Arial" w:cs="Arial"/>
          <w:sz w:val="24"/>
          <w:szCs w:val="24"/>
        </w:rPr>
      </w:pPr>
    </w:p>
    <w:p w:rsidR="0078302B" w:rsidRPr="007B1E63" w:rsidRDefault="0078302B" w:rsidP="0078302B">
      <w:pPr>
        <w:spacing w:line="240" w:lineRule="auto"/>
        <w:jc w:val="both"/>
        <w:rPr>
          <w:rFonts w:ascii="Arial" w:eastAsia="Arial" w:hAnsi="Arial" w:cs="Arial"/>
          <w:i/>
          <w:iCs/>
          <w:sz w:val="24"/>
          <w:szCs w:val="24"/>
        </w:rPr>
      </w:pPr>
      <w:r w:rsidRPr="007B1E63">
        <w:rPr>
          <w:rFonts w:ascii="Arial" w:eastAsia="Arial" w:hAnsi="Arial" w:cs="Arial"/>
          <w:sz w:val="24"/>
          <w:szCs w:val="24"/>
        </w:rPr>
        <w:t xml:space="preserve">Hill, C. E. and Knox, S. (2009) </w:t>
      </w:r>
      <w:proofErr w:type="gramStart"/>
      <w:r w:rsidRPr="007B1E63">
        <w:rPr>
          <w:rFonts w:ascii="Arial" w:eastAsia="Arial" w:hAnsi="Arial" w:cs="Arial"/>
          <w:i/>
          <w:iCs/>
          <w:sz w:val="24"/>
          <w:szCs w:val="24"/>
        </w:rPr>
        <w:t>Processing</w:t>
      </w:r>
      <w:proofErr w:type="gramEnd"/>
      <w:r w:rsidRPr="007B1E63">
        <w:rPr>
          <w:rFonts w:ascii="Arial" w:eastAsia="Arial" w:hAnsi="Arial" w:cs="Arial"/>
          <w:i/>
          <w:iCs/>
          <w:sz w:val="24"/>
          <w:szCs w:val="24"/>
        </w:rPr>
        <w:t xml:space="preserve"> the therapeutic relationship,</w:t>
      </w:r>
    </w:p>
    <w:p w:rsidR="0078302B" w:rsidRPr="007B1E63" w:rsidRDefault="0078302B" w:rsidP="0078302B">
      <w:pPr>
        <w:spacing w:line="240" w:lineRule="auto"/>
        <w:jc w:val="both"/>
      </w:pPr>
      <w:r w:rsidRPr="007B1E63">
        <w:rPr>
          <w:rFonts w:ascii="Arial" w:eastAsia="Arial" w:hAnsi="Arial" w:cs="Arial"/>
          <w:i/>
          <w:iCs/>
          <w:sz w:val="24"/>
          <w:szCs w:val="24"/>
        </w:rPr>
        <w:t>Psychotherapy Research</w:t>
      </w:r>
      <w:r w:rsidRPr="007B1E63">
        <w:rPr>
          <w:rFonts w:ascii="Arial" w:eastAsia="Arial" w:hAnsi="Arial" w:cs="Arial"/>
          <w:sz w:val="24"/>
          <w:szCs w:val="24"/>
        </w:rPr>
        <w:t xml:space="preserve">, 19:1, </w:t>
      </w:r>
      <w:proofErr w:type="gramStart"/>
      <w:r w:rsidRPr="007B1E63">
        <w:rPr>
          <w:rFonts w:ascii="Arial" w:eastAsia="Arial" w:hAnsi="Arial" w:cs="Arial"/>
          <w:sz w:val="24"/>
          <w:szCs w:val="24"/>
        </w:rPr>
        <w:t>13</w:t>
      </w:r>
      <w:proofErr w:type="gramEnd"/>
      <w:r w:rsidRPr="007B1E63">
        <w:rPr>
          <w:rFonts w:ascii="Arial" w:eastAsia="Arial" w:hAnsi="Arial" w:cs="Arial"/>
          <w:sz w:val="24"/>
          <w:szCs w:val="24"/>
        </w:rPr>
        <w:t>-29, DOI: 10.1080/10503300802621206</w:t>
      </w:r>
    </w:p>
    <w:p w:rsidR="0078302B" w:rsidRDefault="0078302B" w:rsidP="0078302B">
      <w:pPr>
        <w:spacing w:line="240" w:lineRule="auto"/>
        <w:jc w:val="both"/>
        <w:rPr>
          <w:rFonts w:ascii="Arial" w:eastAsia="Arial" w:hAnsi="Arial" w:cs="Arial"/>
          <w:sz w:val="24"/>
          <w:szCs w:val="24"/>
        </w:rPr>
      </w:pPr>
    </w:p>
    <w:p w:rsidR="0078302B" w:rsidRDefault="0078302B" w:rsidP="0078302B">
      <w:pPr>
        <w:spacing w:line="240" w:lineRule="auto"/>
        <w:jc w:val="both"/>
        <w:rPr>
          <w:rFonts w:ascii="Arial" w:eastAsia="Arial" w:hAnsi="Arial" w:cs="Arial"/>
          <w:sz w:val="24"/>
          <w:szCs w:val="24"/>
        </w:rPr>
      </w:pPr>
      <w:proofErr w:type="spellStart"/>
      <w:r w:rsidRPr="007B1E63">
        <w:rPr>
          <w:rFonts w:ascii="Arial" w:eastAsia="Arial" w:hAnsi="Arial" w:cs="Arial"/>
          <w:sz w:val="24"/>
          <w:szCs w:val="24"/>
        </w:rPr>
        <w:t>Mearns</w:t>
      </w:r>
      <w:proofErr w:type="spellEnd"/>
      <w:r w:rsidRPr="007B1E63">
        <w:rPr>
          <w:rFonts w:ascii="Arial" w:eastAsia="Arial" w:hAnsi="Arial" w:cs="Arial"/>
          <w:sz w:val="24"/>
          <w:szCs w:val="24"/>
        </w:rPr>
        <w:t>, D and Thorne, B (2013) Person-centred Counselling in Action (4</w:t>
      </w:r>
      <w:r w:rsidRPr="007B1E63">
        <w:rPr>
          <w:rFonts w:ascii="Arial" w:eastAsia="Arial" w:hAnsi="Arial" w:cs="Arial"/>
          <w:sz w:val="24"/>
          <w:szCs w:val="24"/>
          <w:vertAlign w:val="superscript"/>
        </w:rPr>
        <w:t>th</w:t>
      </w:r>
      <w:r w:rsidRPr="007B1E63">
        <w:rPr>
          <w:rFonts w:ascii="Arial" w:eastAsia="Arial" w:hAnsi="Arial" w:cs="Arial"/>
          <w:sz w:val="24"/>
          <w:szCs w:val="24"/>
        </w:rPr>
        <w:t xml:space="preserve"> Edition), London: Sage</w:t>
      </w:r>
    </w:p>
    <w:p w:rsidR="68143B2A" w:rsidRPr="007B1E63" w:rsidRDefault="68143B2A" w:rsidP="68143B2A">
      <w:pPr>
        <w:rPr>
          <w:rFonts w:ascii="Arial" w:eastAsia="Arial" w:hAnsi="Arial" w:cs="Arial"/>
          <w:sz w:val="24"/>
          <w:szCs w:val="24"/>
        </w:rPr>
      </w:pPr>
    </w:p>
    <w:p w:rsidR="00AD6DBB" w:rsidRDefault="68143B2A" w:rsidP="68143B2A">
      <w:r w:rsidRPr="007B1E63">
        <w:rPr>
          <w:rFonts w:ascii="Arial" w:eastAsia="Arial" w:hAnsi="Arial" w:cs="Arial"/>
          <w:sz w:val="24"/>
          <w:szCs w:val="24"/>
        </w:rPr>
        <w:t>Miller, A. R. (2016) Chronic Pain and Opioid Use: The Important Role of CBT Therapists, Beck Institute for Cognitive Behavior Therapy</w:t>
      </w:r>
      <w:r w:rsidR="00AD6DBB">
        <w:rPr>
          <w:rFonts w:ascii="Arial" w:eastAsia="Arial" w:hAnsi="Arial" w:cs="Arial"/>
          <w:sz w:val="24"/>
          <w:szCs w:val="24"/>
        </w:rPr>
        <w:t xml:space="preserve"> </w:t>
      </w:r>
      <w:hyperlink r:id="rId8">
        <w:r w:rsidRPr="007B1E63">
          <w:rPr>
            <w:rStyle w:val="Hyperlink"/>
            <w:rFonts w:ascii="Arial" w:eastAsia="Arial" w:hAnsi="Arial" w:cs="Arial"/>
            <w:color w:val="auto"/>
            <w:sz w:val="24"/>
            <w:szCs w:val="24"/>
          </w:rPr>
          <w:t>https://beckinstitute.org/chronic-pain-and-opioid-use-the-important-role-of-cbt-therapists/</w:t>
        </w:r>
      </w:hyperlink>
    </w:p>
    <w:p w:rsidR="0078302B" w:rsidRPr="00AD6DBB" w:rsidRDefault="0078302B" w:rsidP="68143B2A">
      <w:pPr>
        <w:rPr>
          <w:rFonts w:ascii="Arial" w:eastAsia="Arial" w:hAnsi="Arial" w:cs="Arial"/>
          <w:sz w:val="24"/>
          <w:szCs w:val="24"/>
        </w:rPr>
      </w:pPr>
    </w:p>
    <w:p w:rsidR="00AD6DBB" w:rsidRPr="0078302B" w:rsidRDefault="00AD6DBB" w:rsidP="00AD6DBB">
      <w:pPr>
        <w:spacing w:line="240" w:lineRule="auto"/>
        <w:jc w:val="both"/>
        <w:rPr>
          <w:rFonts w:ascii="Arial" w:eastAsia="Arial" w:hAnsi="Arial" w:cs="Arial"/>
          <w:sz w:val="24"/>
          <w:szCs w:val="24"/>
        </w:rPr>
      </w:pPr>
      <w:r>
        <w:rPr>
          <w:rFonts w:ascii="Arial" w:eastAsia="Arial" w:hAnsi="Arial" w:cs="Arial"/>
          <w:sz w:val="24"/>
          <w:szCs w:val="24"/>
        </w:rPr>
        <w:t xml:space="preserve">NHS, </w:t>
      </w:r>
      <w:r w:rsidRPr="007B1E63">
        <w:rPr>
          <w:rFonts w:ascii="Arial" w:eastAsia="Arial" w:hAnsi="Arial" w:cs="Arial"/>
          <w:sz w:val="24"/>
          <w:szCs w:val="24"/>
        </w:rPr>
        <w:t>2016</w:t>
      </w:r>
      <w:proofErr w:type="gramStart"/>
      <w:r w:rsidRPr="007B1E63">
        <w:rPr>
          <w:rFonts w:ascii="Arial" w:eastAsia="Arial" w:hAnsi="Arial" w:cs="Arial"/>
          <w:sz w:val="24"/>
          <w:szCs w:val="24"/>
        </w:rPr>
        <w:t xml:space="preserve">, </w:t>
      </w:r>
      <w:r>
        <w:rPr>
          <w:rFonts w:ascii="Arial" w:eastAsia="Arial" w:hAnsi="Arial" w:cs="Arial"/>
          <w:sz w:val="24"/>
          <w:szCs w:val="24"/>
        </w:rPr>
        <w:t xml:space="preserve"> What</w:t>
      </w:r>
      <w:proofErr w:type="gramEnd"/>
      <w:r>
        <w:rPr>
          <w:rFonts w:ascii="Arial" w:eastAsia="Arial" w:hAnsi="Arial" w:cs="Arial"/>
          <w:sz w:val="24"/>
          <w:szCs w:val="24"/>
        </w:rPr>
        <w:t xml:space="preserve"> is Cognitive Behavioural Therapy,  London: NHS    </w:t>
      </w:r>
      <w:hyperlink r:id="rId9">
        <w:r w:rsidRPr="007B1E63">
          <w:rPr>
            <w:rStyle w:val="Hyperlink"/>
            <w:rFonts w:ascii="Arial" w:eastAsia="Arial" w:hAnsi="Arial" w:cs="Arial"/>
            <w:color w:val="auto"/>
            <w:sz w:val="24"/>
            <w:szCs w:val="24"/>
          </w:rPr>
          <w:t>https://www.nhs.uk/conditions/cognitive-behavioural-therapy-cbt/</w:t>
        </w:r>
      </w:hyperlink>
      <w:r>
        <w:rPr>
          <w:rFonts w:ascii="Arial" w:eastAsia="Arial" w:hAnsi="Arial" w:cs="Arial"/>
          <w:sz w:val="24"/>
          <w:szCs w:val="24"/>
        </w:rPr>
        <w:t xml:space="preserve">  </w:t>
      </w:r>
      <w:r w:rsidRPr="007B1E63">
        <w:rPr>
          <w:rFonts w:ascii="Arial" w:eastAsia="Arial" w:hAnsi="Arial" w:cs="Arial"/>
          <w:sz w:val="24"/>
          <w:szCs w:val="24"/>
        </w:rPr>
        <w:t>Accessed 18.11.18</w:t>
      </w:r>
    </w:p>
    <w:p w:rsidR="68143B2A" w:rsidRPr="007B1E63" w:rsidRDefault="68143B2A" w:rsidP="68143B2A">
      <w:pPr>
        <w:rPr>
          <w:rFonts w:ascii="Arial" w:eastAsia="Arial" w:hAnsi="Arial" w:cs="Arial"/>
          <w:sz w:val="24"/>
          <w:szCs w:val="24"/>
        </w:rPr>
      </w:pPr>
    </w:p>
    <w:p w:rsidR="00AD6DBB" w:rsidRPr="00AD6DBB" w:rsidRDefault="00AD6DBB" w:rsidP="00AB524F">
      <w:pPr>
        <w:spacing w:beforeLines="1" w:afterLines="1" w:line="240" w:lineRule="auto"/>
        <w:rPr>
          <w:rFonts w:ascii="Arial" w:hAnsi="Arial" w:cs="Times New Roman"/>
          <w:sz w:val="24"/>
          <w:szCs w:val="16"/>
          <w:lang w:val="en-GB"/>
        </w:rPr>
      </w:pPr>
      <w:proofErr w:type="gramStart"/>
      <w:r>
        <w:rPr>
          <w:rFonts w:ascii="Arial" w:hAnsi="Arial" w:cs="Times New Roman"/>
          <w:sz w:val="24"/>
          <w:szCs w:val="16"/>
          <w:lang w:val="en-GB"/>
        </w:rPr>
        <w:t>R</w:t>
      </w:r>
      <w:r w:rsidRPr="00AD6DBB">
        <w:rPr>
          <w:rFonts w:ascii="Arial" w:hAnsi="Arial" w:cs="Times New Roman"/>
          <w:sz w:val="24"/>
          <w:szCs w:val="16"/>
          <w:lang w:val="en-GB"/>
        </w:rPr>
        <w:t>ogers, C. R. (1965).</w:t>
      </w:r>
      <w:proofErr w:type="gramEnd"/>
      <w:r w:rsidRPr="00AD6DBB">
        <w:rPr>
          <w:rFonts w:ascii="Arial" w:hAnsi="Arial" w:cs="Times New Roman"/>
          <w:sz w:val="24"/>
          <w:szCs w:val="16"/>
          <w:lang w:val="en-GB"/>
        </w:rPr>
        <w:t xml:space="preserve"> </w:t>
      </w:r>
      <w:r w:rsidRPr="00AD6DBB">
        <w:rPr>
          <w:rFonts w:ascii="Arial" w:hAnsi="Arial" w:cs="Times New Roman"/>
          <w:i/>
          <w:sz w:val="24"/>
          <w:szCs w:val="16"/>
          <w:lang w:val="en-GB"/>
        </w:rPr>
        <w:t>The therapeutic relationship: Recent theory and rese</w:t>
      </w:r>
      <w:r w:rsidR="00AB524F">
        <w:rPr>
          <w:rFonts w:ascii="Arial" w:hAnsi="Arial" w:cs="Times New Roman"/>
          <w:i/>
          <w:sz w:val="24"/>
          <w:szCs w:val="16"/>
          <w:lang w:val="en-GB"/>
        </w:rPr>
        <w:t xml:space="preserve">arch. </w:t>
      </w:r>
      <w:r w:rsidRPr="00AD6DBB">
        <w:rPr>
          <w:rFonts w:ascii="Arial" w:hAnsi="Arial" w:cs="Times New Roman"/>
          <w:i/>
          <w:iCs/>
          <w:sz w:val="24"/>
          <w:szCs w:val="16"/>
          <w:lang w:val="en-GB"/>
        </w:rPr>
        <w:t>Australian Journal of Psychology</w:t>
      </w:r>
      <w:proofErr w:type="gramStart"/>
      <w:r w:rsidRPr="00AD6DBB">
        <w:rPr>
          <w:rFonts w:ascii="Arial" w:hAnsi="Arial" w:cs="Times New Roman"/>
          <w:i/>
          <w:iCs/>
          <w:sz w:val="24"/>
          <w:szCs w:val="16"/>
          <w:lang w:val="en-GB"/>
        </w:rPr>
        <w:t>,</w:t>
      </w:r>
      <w:r w:rsidR="00AB524F">
        <w:rPr>
          <w:rFonts w:ascii="Arial" w:hAnsi="Arial" w:cs="Times New Roman"/>
          <w:i/>
          <w:iCs/>
          <w:sz w:val="24"/>
          <w:szCs w:val="16"/>
          <w:lang w:val="en-GB"/>
        </w:rPr>
        <w:t xml:space="preserve"> </w:t>
      </w:r>
      <w:r w:rsidRPr="00AD6DBB">
        <w:rPr>
          <w:rFonts w:ascii="Arial" w:hAnsi="Arial" w:cs="Times New Roman"/>
          <w:i/>
          <w:iCs/>
          <w:sz w:val="24"/>
          <w:szCs w:val="16"/>
          <w:lang w:val="en-GB"/>
        </w:rPr>
        <w:t xml:space="preserve"> 17</w:t>
      </w:r>
      <w:proofErr w:type="gramEnd"/>
      <w:r w:rsidRPr="00AD6DBB">
        <w:rPr>
          <w:rFonts w:ascii="Arial" w:hAnsi="Arial" w:cs="Times New Roman"/>
          <w:i/>
          <w:iCs/>
          <w:sz w:val="24"/>
          <w:szCs w:val="16"/>
          <w:lang w:val="en-GB"/>
        </w:rPr>
        <w:t>,</w:t>
      </w:r>
      <w:r w:rsidR="00AB524F">
        <w:rPr>
          <w:rFonts w:ascii="Arial" w:hAnsi="Arial" w:cs="Times New Roman"/>
          <w:i/>
          <w:iCs/>
          <w:sz w:val="24"/>
          <w:szCs w:val="16"/>
          <w:lang w:val="en-GB"/>
        </w:rPr>
        <w:t xml:space="preserve"> </w:t>
      </w:r>
      <w:r w:rsidRPr="00AD6DBB">
        <w:rPr>
          <w:rFonts w:ascii="Arial" w:hAnsi="Arial" w:cs="Times New Roman"/>
          <w:sz w:val="24"/>
          <w:szCs w:val="16"/>
          <w:lang w:val="en-GB"/>
        </w:rPr>
        <w:t xml:space="preserve">95–108. </w:t>
      </w:r>
      <w:r w:rsidR="00AB524F">
        <w:rPr>
          <w:rFonts w:ascii="Arial" w:hAnsi="Arial" w:cs="Times New Roman"/>
          <w:sz w:val="24"/>
          <w:szCs w:val="16"/>
          <w:lang w:val="en-GB"/>
        </w:rPr>
        <w:t xml:space="preserve">    </w:t>
      </w:r>
      <w:r>
        <w:rPr>
          <w:rFonts w:ascii="Arial" w:hAnsi="Arial" w:cs="Times New Roman"/>
          <w:sz w:val="24"/>
          <w:szCs w:val="16"/>
          <w:lang w:val="en-GB"/>
        </w:rPr>
        <w:t>http://dx.doi</w:t>
      </w:r>
      <w:r w:rsidRPr="00AD6DBB">
        <w:rPr>
          <w:rFonts w:ascii="Arial" w:hAnsi="Arial" w:cs="Times New Roman"/>
          <w:sz w:val="24"/>
          <w:szCs w:val="16"/>
          <w:lang w:val="en-GB"/>
        </w:rPr>
        <w:t xml:space="preserve">.org/10.1080/00049536508255531 </w:t>
      </w:r>
    </w:p>
    <w:p w:rsidR="00A34D8C" w:rsidRDefault="00A34D8C" w:rsidP="68143B2A">
      <w:pPr>
        <w:rPr>
          <w:rFonts w:ascii="Arial" w:eastAsia="Arial" w:hAnsi="Arial" w:cs="Arial"/>
          <w:sz w:val="24"/>
          <w:szCs w:val="24"/>
        </w:rPr>
      </w:pPr>
    </w:p>
    <w:p w:rsidR="00A34D8C" w:rsidRPr="00A34D8C" w:rsidRDefault="00A34D8C" w:rsidP="00A34D8C">
      <w:pPr>
        <w:spacing w:beforeLines="1" w:afterLines="1" w:line="240" w:lineRule="auto"/>
        <w:jc w:val="both"/>
        <w:rPr>
          <w:rFonts w:ascii="Arial" w:hAnsi="Arial" w:cs="Times New Roman"/>
          <w:sz w:val="24"/>
          <w:szCs w:val="20"/>
          <w:lang w:val="en-GB"/>
        </w:rPr>
      </w:pPr>
      <w:r w:rsidRPr="00A34D8C">
        <w:rPr>
          <w:rFonts w:ascii="Arial" w:hAnsi="Arial" w:cs="Times New Roman"/>
          <w:sz w:val="24"/>
          <w:szCs w:val="16"/>
          <w:lang w:val="en-GB"/>
        </w:rPr>
        <w:t xml:space="preserve">Scott, J., &amp; Freeman, A. (2010). </w:t>
      </w:r>
      <w:proofErr w:type="gramStart"/>
      <w:r w:rsidRPr="00A34D8C">
        <w:rPr>
          <w:rFonts w:ascii="Arial" w:hAnsi="Arial" w:cs="Times New Roman"/>
          <w:i/>
          <w:sz w:val="24"/>
          <w:szCs w:val="16"/>
          <w:lang w:val="en-GB"/>
        </w:rPr>
        <w:t>Beck’s cognitive therapy</w:t>
      </w:r>
      <w:r w:rsidRPr="00A34D8C">
        <w:rPr>
          <w:rFonts w:ascii="Arial" w:hAnsi="Arial" w:cs="Times New Roman"/>
          <w:sz w:val="24"/>
          <w:szCs w:val="16"/>
          <w:lang w:val="en-GB"/>
        </w:rPr>
        <w:t>.</w:t>
      </w:r>
      <w:proofErr w:type="gramEnd"/>
      <w:r w:rsidRPr="00A34D8C">
        <w:rPr>
          <w:rFonts w:ascii="Arial" w:hAnsi="Arial" w:cs="Times New Roman"/>
          <w:sz w:val="24"/>
          <w:szCs w:val="16"/>
          <w:lang w:val="en-GB"/>
        </w:rPr>
        <w:t xml:space="preserve"> In N. </w:t>
      </w:r>
      <w:proofErr w:type="spellStart"/>
      <w:r w:rsidRPr="00A34D8C">
        <w:rPr>
          <w:rFonts w:ascii="Arial" w:hAnsi="Arial" w:cs="Times New Roman"/>
          <w:sz w:val="24"/>
          <w:szCs w:val="16"/>
          <w:lang w:val="en-GB"/>
        </w:rPr>
        <w:t>Kazantizis</w:t>
      </w:r>
      <w:proofErr w:type="spellEnd"/>
      <w:r w:rsidRPr="00A34D8C">
        <w:rPr>
          <w:rFonts w:ascii="Arial" w:hAnsi="Arial" w:cs="Times New Roman"/>
          <w:sz w:val="24"/>
          <w:szCs w:val="16"/>
          <w:lang w:val="en-GB"/>
        </w:rPr>
        <w:t xml:space="preserve">, M. </w:t>
      </w:r>
      <w:proofErr w:type="spellStart"/>
      <w:r w:rsidRPr="00A34D8C">
        <w:rPr>
          <w:rFonts w:ascii="Arial" w:hAnsi="Arial" w:cs="Times New Roman"/>
          <w:sz w:val="24"/>
          <w:szCs w:val="16"/>
          <w:lang w:val="en-GB"/>
        </w:rPr>
        <w:t>Reinecke</w:t>
      </w:r>
      <w:proofErr w:type="spellEnd"/>
      <w:r w:rsidRPr="00A34D8C">
        <w:rPr>
          <w:rFonts w:ascii="Arial" w:hAnsi="Arial" w:cs="Times New Roman"/>
          <w:sz w:val="24"/>
          <w:szCs w:val="16"/>
          <w:lang w:val="en-GB"/>
        </w:rPr>
        <w:t xml:space="preserve">, &amp; A. Freeman (Eds.), Cognitive and </w:t>
      </w:r>
      <w:proofErr w:type="spellStart"/>
      <w:r w:rsidRPr="00A34D8C">
        <w:rPr>
          <w:rFonts w:ascii="Arial" w:hAnsi="Arial" w:cs="Times New Roman"/>
          <w:sz w:val="24"/>
          <w:szCs w:val="16"/>
          <w:lang w:val="en-GB"/>
        </w:rPr>
        <w:t>behavioral</w:t>
      </w:r>
      <w:proofErr w:type="spellEnd"/>
      <w:r w:rsidRPr="00A34D8C">
        <w:rPr>
          <w:rFonts w:ascii="Arial" w:hAnsi="Arial" w:cs="Times New Roman"/>
          <w:sz w:val="24"/>
          <w:szCs w:val="16"/>
          <w:lang w:val="en-GB"/>
        </w:rPr>
        <w:t xml:space="preserve"> theories in clinical practice (pp. 28–75). New York, NY: Guildford Press.</w:t>
      </w:r>
    </w:p>
    <w:p w:rsidR="68143B2A" w:rsidRPr="007B1E63" w:rsidRDefault="68143B2A" w:rsidP="68143B2A">
      <w:pPr>
        <w:rPr>
          <w:rFonts w:ascii="Arial" w:eastAsia="Arial" w:hAnsi="Arial" w:cs="Arial"/>
          <w:sz w:val="24"/>
          <w:szCs w:val="24"/>
        </w:rPr>
      </w:pPr>
    </w:p>
    <w:p w:rsidR="68143B2A" w:rsidRPr="007B1E63" w:rsidRDefault="68143B2A" w:rsidP="68143B2A">
      <w:pPr>
        <w:rPr>
          <w:rFonts w:ascii="Arial" w:eastAsia="Arial" w:hAnsi="Arial" w:cs="Arial"/>
          <w:sz w:val="24"/>
          <w:szCs w:val="24"/>
        </w:rPr>
      </w:pPr>
      <w:r w:rsidRPr="007B1E63">
        <w:rPr>
          <w:rFonts w:ascii="Arial" w:eastAsia="Arial" w:hAnsi="Arial" w:cs="Arial"/>
          <w:sz w:val="24"/>
          <w:szCs w:val="24"/>
        </w:rPr>
        <w:t>Simpson, A.J. and Bedi, R.P. (2012)</w:t>
      </w:r>
      <w:r w:rsidRPr="007B1E63">
        <w:rPr>
          <w:rFonts w:ascii="Arial" w:eastAsia="Arial" w:hAnsi="Arial" w:cs="Arial"/>
          <w:i/>
          <w:iCs/>
          <w:sz w:val="24"/>
          <w:szCs w:val="24"/>
        </w:rPr>
        <w:t xml:space="preserve"> ‘The Therapeutic Alliance: Client’s categorization of client- identified factors’ Canadian Journal of Counselling and Psychotherapy</w:t>
      </w:r>
      <w:r w:rsidRPr="007B1E63">
        <w:rPr>
          <w:rFonts w:ascii="Arial" w:eastAsia="Arial" w:hAnsi="Arial" w:cs="Arial"/>
          <w:sz w:val="24"/>
          <w:szCs w:val="24"/>
        </w:rPr>
        <w:t>, 46:4, pp. 344-366</w:t>
      </w:r>
    </w:p>
    <w:p w:rsidR="68143B2A" w:rsidRPr="007B1E63" w:rsidRDefault="68143B2A" w:rsidP="68143B2A">
      <w:pPr>
        <w:rPr>
          <w:rFonts w:ascii="Arial" w:eastAsia="Arial" w:hAnsi="Arial" w:cs="Arial"/>
          <w:sz w:val="24"/>
          <w:szCs w:val="24"/>
        </w:rPr>
      </w:pPr>
    </w:p>
    <w:p w:rsidR="68143B2A" w:rsidRPr="007B1E63" w:rsidRDefault="68143B2A" w:rsidP="68143B2A">
      <w:pPr>
        <w:rPr>
          <w:rFonts w:ascii="Arial" w:eastAsia="Arial" w:hAnsi="Arial" w:cs="Arial"/>
          <w:sz w:val="24"/>
          <w:szCs w:val="24"/>
        </w:rPr>
      </w:pPr>
      <w:r w:rsidRPr="007B1E63">
        <w:rPr>
          <w:rFonts w:ascii="Arial" w:eastAsia="Arial" w:hAnsi="Arial" w:cs="Arial"/>
          <w:sz w:val="24"/>
          <w:szCs w:val="24"/>
        </w:rPr>
        <w:t xml:space="preserve">Stiles-Shields, C et al (2014) </w:t>
      </w:r>
      <w:r w:rsidRPr="007B1E63">
        <w:rPr>
          <w:rFonts w:ascii="Arial" w:eastAsia="Arial" w:hAnsi="Arial" w:cs="Arial"/>
          <w:i/>
          <w:iCs/>
          <w:sz w:val="24"/>
          <w:szCs w:val="24"/>
        </w:rPr>
        <w:t xml:space="preserve">Therapeutic Alliance in Face-to-face and Telephone-Administered Cognitive Behavioral Therapy, Journal of Consultative Clinical Psychology, </w:t>
      </w:r>
      <w:r w:rsidRPr="007B1E63">
        <w:rPr>
          <w:rFonts w:ascii="Arial" w:eastAsia="Arial" w:hAnsi="Arial" w:cs="Arial"/>
          <w:sz w:val="24"/>
          <w:szCs w:val="24"/>
        </w:rPr>
        <w:t>82(2): 349–354 doi: [10.1037/a0035554]</w:t>
      </w:r>
    </w:p>
    <w:p w:rsidR="24ADFC3B" w:rsidRPr="007B1E63" w:rsidRDefault="00940D32" w:rsidP="68143B2A">
      <w:pPr>
        <w:rPr>
          <w:rFonts w:ascii="Arial" w:eastAsia="Arial" w:hAnsi="Arial" w:cs="Arial"/>
          <w:sz w:val="24"/>
          <w:szCs w:val="24"/>
        </w:rPr>
      </w:pPr>
      <w:hyperlink r:id="rId10">
        <w:r w:rsidR="68143B2A" w:rsidRPr="007B1E63">
          <w:rPr>
            <w:rStyle w:val="Hyperlink"/>
            <w:rFonts w:ascii="Arial" w:eastAsia="Arial" w:hAnsi="Arial" w:cs="Arial"/>
            <w:color w:val="auto"/>
            <w:sz w:val="24"/>
            <w:szCs w:val="24"/>
          </w:rPr>
          <w:t>https://beckinstitute.org/the-therapeutic-alliance/</w:t>
        </w:r>
      </w:hyperlink>
    </w:p>
    <w:p w:rsidR="66FBEDA8" w:rsidRPr="007B1E63" w:rsidRDefault="66FBEDA8" w:rsidP="00A848C5">
      <w:pPr>
        <w:spacing w:line="240" w:lineRule="auto"/>
        <w:jc w:val="both"/>
        <w:rPr>
          <w:rFonts w:ascii="Arial" w:eastAsia="Arial" w:hAnsi="Arial" w:cs="Arial"/>
          <w:sz w:val="24"/>
          <w:szCs w:val="24"/>
        </w:rPr>
      </w:pPr>
    </w:p>
    <w:p w:rsidR="66FBEDA8" w:rsidRPr="007B1E63" w:rsidRDefault="68143B2A" w:rsidP="68143B2A">
      <w:pPr>
        <w:rPr>
          <w:rFonts w:ascii="Calibri" w:eastAsia="Calibri" w:hAnsi="Calibri" w:cs="Calibri"/>
        </w:rPr>
      </w:pPr>
      <w:proofErr w:type="spellStart"/>
      <w:r w:rsidRPr="007B1E63">
        <w:rPr>
          <w:rFonts w:ascii="Arial" w:eastAsia="Arial" w:hAnsi="Arial" w:cs="Arial"/>
          <w:sz w:val="24"/>
          <w:szCs w:val="24"/>
        </w:rPr>
        <w:t>Stirling</w:t>
      </w:r>
      <w:proofErr w:type="spellEnd"/>
      <w:r w:rsidRPr="007B1E63">
        <w:rPr>
          <w:rFonts w:ascii="Arial" w:eastAsia="Arial" w:hAnsi="Arial" w:cs="Arial"/>
          <w:sz w:val="24"/>
          <w:szCs w:val="24"/>
        </w:rPr>
        <w:t xml:space="preserve"> Moorey, S. and Lavender A. (2018) </w:t>
      </w:r>
      <w:r w:rsidRPr="007B1E63">
        <w:rPr>
          <w:rFonts w:ascii="Arial" w:eastAsia="Arial" w:hAnsi="Arial" w:cs="Arial"/>
          <w:i/>
          <w:iCs/>
          <w:sz w:val="24"/>
          <w:szCs w:val="24"/>
        </w:rPr>
        <w:t>The Therapeutic Relationship in Cognitive Behavioural Therapy</w:t>
      </w:r>
      <w:r w:rsidRPr="007B1E63">
        <w:rPr>
          <w:rFonts w:ascii="Arial" w:eastAsia="Arial" w:hAnsi="Arial" w:cs="Arial"/>
          <w:sz w:val="24"/>
          <w:szCs w:val="24"/>
        </w:rPr>
        <w:t>, London</w:t>
      </w:r>
      <w:r w:rsidR="007B1E63" w:rsidRPr="007B1E63">
        <w:rPr>
          <w:rFonts w:ascii="Arial" w:eastAsia="Arial" w:hAnsi="Arial" w:cs="Arial"/>
          <w:sz w:val="24"/>
          <w:szCs w:val="24"/>
        </w:rPr>
        <w:t>: Sage</w:t>
      </w:r>
    </w:p>
    <w:p w:rsidR="00987A09" w:rsidRDefault="00987A09" w:rsidP="5961A484"/>
    <w:p w:rsidR="00987A09" w:rsidRDefault="00987A09" w:rsidP="5961A484">
      <w:pPr>
        <w:rPr>
          <w:rFonts w:ascii="Arial" w:hAnsi="Arial"/>
          <w:sz w:val="24"/>
        </w:rPr>
      </w:pPr>
      <w:r w:rsidRPr="00987A09">
        <w:rPr>
          <w:rFonts w:ascii="Arial" w:hAnsi="Arial"/>
          <w:sz w:val="24"/>
        </w:rPr>
        <w:t xml:space="preserve">Trower, P., Jones, J. and Dryden, W., (2016) </w:t>
      </w:r>
      <w:r w:rsidRPr="00987A09">
        <w:rPr>
          <w:rFonts w:ascii="Arial" w:hAnsi="Arial"/>
          <w:i/>
          <w:sz w:val="24"/>
        </w:rPr>
        <w:t xml:space="preserve">Cognitive Behavioural </w:t>
      </w:r>
      <w:proofErr w:type="spellStart"/>
      <w:r w:rsidRPr="00987A09">
        <w:rPr>
          <w:rFonts w:ascii="Arial" w:hAnsi="Arial"/>
          <w:i/>
          <w:sz w:val="24"/>
        </w:rPr>
        <w:t>Counselling</w:t>
      </w:r>
      <w:proofErr w:type="spellEnd"/>
      <w:r w:rsidRPr="00987A09">
        <w:rPr>
          <w:rFonts w:ascii="Arial" w:hAnsi="Arial"/>
          <w:i/>
          <w:sz w:val="24"/>
        </w:rPr>
        <w:t xml:space="preserve"> in Action</w:t>
      </w:r>
      <w:r w:rsidRPr="00987A09">
        <w:rPr>
          <w:rFonts w:ascii="Arial" w:hAnsi="Arial"/>
          <w:sz w:val="24"/>
        </w:rPr>
        <w:t>, London: Sage</w:t>
      </w:r>
    </w:p>
    <w:p w:rsidR="5961A484" w:rsidRPr="00987A09" w:rsidRDefault="5961A484" w:rsidP="5961A484">
      <w:pPr>
        <w:rPr>
          <w:rFonts w:ascii="Arial" w:hAnsi="Arial"/>
          <w:sz w:val="24"/>
        </w:rPr>
      </w:pPr>
    </w:p>
    <w:p w:rsidR="00987A09" w:rsidRPr="00987A09" w:rsidRDefault="00987A09" w:rsidP="00987A09">
      <w:pPr>
        <w:rPr>
          <w:i/>
        </w:rPr>
      </w:pPr>
    </w:p>
    <w:p w:rsidR="5961A484" w:rsidRPr="007B1E63" w:rsidRDefault="5961A484"/>
    <w:p w:rsidR="5961A484" w:rsidRPr="007B1E63" w:rsidRDefault="5961A484" w:rsidP="5961A484">
      <w:pPr>
        <w:rPr>
          <w:rFonts w:ascii="Calibri" w:eastAsia="Calibri" w:hAnsi="Calibri" w:cs="Calibri"/>
        </w:rPr>
      </w:pPr>
    </w:p>
    <w:sectPr w:rsidR="5961A484" w:rsidRPr="007B1E63" w:rsidSect="00940D32">
      <w:headerReference w:type="default" r:id="rId11"/>
      <w:footerReference w:type="even" r:id="rId12"/>
      <w:footerReference w:type="default" r:id="rId13"/>
      <w:headerReference w:type="first" r:id="rId14"/>
      <w:footerReference w:type="first" r:id="rId15"/>
      <w:pgSz w:w="12240" w:h="15840"/>
      <w:pgMar w:top="1440" w:right="1440" w:bottom="1440" w:left="1440" w:gutter="0"/>
      <w:titlePg/>
      <w:docGrid w:linePitch="360"/>
    </w:sectPr>
  </w:body>
</w:document>
</file>

<file path=word/fontTable.xml><?xml version="1.0" encoding="utf-8"?>
<w:fonts xmlns:r="http://schemas.openxmlformats.org/officeDocument/2006/relationships" xmlns:w="http://schemas.openxmlformats.org/wordprocessingml/2006/main">
  <w:font w:name="Calibri">
    <w:altName w:val="Arial"/>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SF">
    <w:altName w:val="Geneva"/>
    <w:panose1 w:val="00000000000000000000"/>
    <w:charset w:val="4D"/>
    <w:family w:val="roman"/>
    <w:notTrueType/>
    <w:pitch w:val="default"/>
    <w:sig w:usb0="00000003" w:usb1="00000000" w:usb2="00000000" w:usb3="00000000" w:csb0="00000001" w:csb1="00000000"/>
  </w:font>
  <w:font w:name="Calibri Light">
    <w:charset w:val="00"/>
    <w:family w:val="swiss"/>
    <w:pitch w:val="variable"/>
    <w:sig w:usb0="A0002AEF" w:usb1="4000207B" w:usb2="00000000" w:usb3="00000000" w:csb0="000001F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DBB" w:rsidRDefault="00AD6DBB" w:rsidP="00ED5D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6DBB" w:rsidRDefault="00AD6DBB" w:rsidP="007B1E63">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DBB" w:rsidRDefault="00AD6DBB" w:rsidP="00ED5D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46EC">
      <w:rPr>
        <w:rStyle w:val="PageNumber"/>
        <w:noProof/>
      </w:rPr>
      <w:t>10</w:t>
    </w:r>
    <w:r>
      <w:rPr>
        <w:rStyle w:val="PageNumber"/>
      </w:rPr>
      <w:fldChar w:fldCharType="end"/>
    </w:r>
  </w:p>
  <w:tbl>
    <w:tblPr>
      <w:tblW w:w="0" w:type="auto"/>
      <w:tblLayout w:type="fixed"/>
      <w:tblLook w:val="04A0"/>
    </w:tblPr>
    <w:tblGrid>
      <w:gridCol w:w="3120"/>
      <w:gridCol w:w="3120"/>
      <w:gridCol w:w="3120"/>
    </w:tblGrid>
    <w:tr w:rsidR="00AD6DBB">
      <w:tc>
        <w:tcPr>
          <w:tcW w:w="3120" w:type="dxa"/>
        </w:tcPr>
        <w:p w:rsidR="00AD6DBB" w:rsidRDefault="00AD6DBB" w:rsidP="007B1E63">
          <w:pPr>
            <w:pStyle w:val="Header"/>
            <w:ind w:left="-115" w:right="360"/>
          </w:pPr>
        </w:p>
      </w:tc>
      <w:tc>
        <w:tcPr>
          <w:tcW w:w="3120" w:type="dxa"/>
        </w:tcPr>
        <w:p w:rsidR="00AD6DBB" w:rsidRDefault="00AD6DBB" w:rsidP="68143B2A">
          <w:pPr>
            <w:pStyle w:val="Header"/>
            <w:jc w:val="center"/>
          </w:pPr>
        </w:p>
      </w:tc>
      <w:tc>
        <w:tcPr>
          <w:tcW w:w="3120" w:type="dxa"/>
        </w:tcPr>
        <w:p w:rsidR="00AD6DBB" w:rsidRDefault="00AD6DBB" w:rsidP="68143B2A">
          <w:pPr>
            <w:pStyle w:val="Header"/>
            <w:ind w:right="-115"/>
            <w:jc w:val="right"/>
          </w:pPr>
        </w:p>
      </w:tc>
    </w:tr>
  </w:tbl>
  <w:p w:rsidR="00AD6DBB" w:rsidRDefault="00AD6DBB" w:rsidP="68143B2A">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120"/>
      <w:gridCol w:w="3120"/>
      <w:gridCol w:w="3120"/>
    </w:tblGrid>
    <w:tr w:rsidR="00AD6DBB">
      <w:tc>
        <w:tcPr>
          <w:tcW w:w="3120" w:type="dxa"/>
        </w:tcPr>
        <w:p w:rsidR="00AD6DBB" w:rsidRDefault="00AD6DBB" w:rsidP="68143B2A">
          <w:pPr>
            <w:pStyle w:val="Header"/>
            <w:ind w:left="-115"/>
          </w:pPr>
        </w:p>
      </w:tc>
      <w:tc>
        <w:tcPr>
          <w:tcW w:w="3120" w:type="dxa"/>
        </w:tcPr>
        <w:p w:rsidR="00AD6DBB" w:rsidRDefault="00AD6DBB" w:rsidP="68143B2A">
          <w:pPr>
            <w:pStyle w:val="Header"/>
            <w:jc w:val="center"/>
          </w:pPr>
        </w:p>
      </w:tc>
      <w:tc>
        <w:tcPr>
          <w:tcW w:w="3120" w:type="dxa"/>
        </w:tcPr>
        <w:p w:rsidR="00AD6DBB" w:rsidRDefault="00AD6DBB" w:rsidP="68143B2A">
          <w:pPr>
            <w:pStyle w:val="Header"/>
            <w:ind w:right="-115"/>
            <w:jc w:val="right"/>
          </w:pPr>
        </w:p>
      </w:tc>
    </w:tr>
  </w:tbl>
  <w:p w:rsidR="00AD6DBB" w:rsidRDefault="00AD6DBB" w:rsidP="68143B2A">
    <w:pPr>
      <w:pStyle w:val="Foote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120"/>
      <w:gridCol w:w="3120"/>
      <w:gridCol w:w="3120"/>
    </w:tblGrid>
    <w:tr w:rsidR="00AD6DBB">
      <w:tc>
        <w:tcPr>
          <w:tcW w:w="3120" w:type="dxa"/>
        </w:tcPr>
        <w:p w:rsidR="00AD6DBB" w:rsidRDefault="00AD6DBB" w:rsidP="68143B2A">
          <w:pPr>
            <w:pStyle w:val="Header"/>
            <w:ind w:left="-115"/>
          </w:pPr>
        </w:p>
      </w:tc>
      <w:tc>
        <w:tcPr>
          <w:tcW w:w="3120" w:type="dxa"/>
        </w:tcPr>
        <w:p w:rsidR="00AD6DBB" w:rsidRDefault="00AD6DBB" w:rsidP="68143B2A">
          <w:pPr>
            <w:pStyle w:val="Header"/>
            <w:jc w:val="center"/>
          </w:pPr>
        </w:p>
      </w:tc>
      <w:tc>
        <w:tcPr>
          <w:tcW w:w="3120" w:type="dxa"/>
        </w:tcPr>
        <w:p w:rsidR="00AD6DBB" w:rsidRDefault="00AD6DBB" w:rsidP="68143B2A">
          <w:pPr>
            <w:pStyle w:val="Header"/>
            <w:ind w:right="-115"/>
            <w:jc w:val="right"/>
          </w:pPr>
        </w:p>
      </w:tc>
    </w:tr>
  </w:tbl>
  <w:p w:rsidR="00AD6DBB" w:rsidRDefault="00AD6DBB" w:rsidP="68143B2A">
    <w:pPr>
      <w:pStyle w:val="Header"/>
    </w:pPr>
    <w:r>
      <w:tab/>
      <w:t xml:space="preserve">    </w:t>
    </w:r>
    <w:r>
      <w:tab/>
      <w:t>Lindsay Haywood : 26003081</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120"/>
      <w:gridCol w:w="3120"/>
      <w:gridCol w:w="3120"/>
    </w:tblGrid>
    <w:tr w:rsidR="00AD6DBB">
      <w:tc>
        <w:tcPr>
          <w:tcW w:w="3120" w:type="dxa"/>
        </w:tcPr>
        <w:p w:rsidR="00AD6DBB" w:rsidRDefault="00AD6DBB" w:rsidP="68143B2A">
          <w:pPr>
            <w:pStyle w:val="Header"/>
            <w:ind w:left="-115"/>
          </w:pPr>
        </w:p>
      </w:tc>
      <w:tc>
        <w:tcPr>
          <w:tcW w:w="3120" w:type="dxa"/>
        </w:tcPr>
        <w:p w:rsidR="00AD6DBB" w:rsidRDefault="00AD6DBB" w:rsidP="68143B2A">
          <w:pPr>
            <w:pStyle w:val="Header"/>
            <w:jc w:val="center"/>
          </w:pPr>
        </w:p>
      </w:tc>
      <w:tc>
        <w:tcPr>
          <w:tcW w:w="3120" w:type="dxa"/>
        </w:tcPr>
        <w:p w:rsidR="00AD6DBB" w:rsidRDefault="00AD6DBB" w:rsidP="68143B2A">
          <w:pPr>
            <w:pStyle w:val="Header"/>
            <w:ind w:right="-115"/>
            <w:jc w:val="right"/>
          </w:pPr>
        </w:p>
      </w:tc>
    </w:tr>
    <w:tr w:rsidR="00AD6DBB">
      <w:tc>
        <w:tcPr>
          <w:tcW w:w="3120" w:type="dxa"/>
        </w:tcPr>
        <w:p w:rsidR="00AD6DBB" w:rsidRDefault="00AD6DBB" w:rsidP="68143B2A">
          <w:pPr>
            <w:pStyle w:val="Header"/>
            <w:ind w:left="-115"/>
          </w:pPr>
        </w:p>
      </w:tc>
      <w:tc>
        <w:tcPr>
          <w:tcW w:w="3120" w:type="dxa"/>
        </w:tcPr>
        <w:p w:rsidR="00AD6DBB" w:rsidRDefault="00AD6DBB" w:rsidP="68143B2A">
          <w:pPr>
            <w:pStyle w:val="Header"/>
            <w:jc w:val="center"/>
          </w:pPr>
        </w:p>
      </w:tc>
      <w:tc>
        <w:tcPr>
          <w:tcW w:w="3120" w:type="dxa"/>
        </w:tcPr>
        <w:p w:rsidR="00AD6DBB" w:rsidRDefault="00AD6DBB" w:rsidP="68143B2A">
          <w:pPr>
            <w:pStyle w:val="Header"/>
            <w:ind w:right="-115"/>
            <w:jc w:val="right"/>
          </w:pPr>
        </w:p>
      </w:tc>
    </w:tr>
  </w:tbl>
  <w:p w:rsidR="00AD6DBB" w:rsidRDefault="00AD6DBB" w:rsidP="68143B2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21AA3A96"/>
    <w:rsid w:val="00272C29"/>
    <w:rsid w:val="00457FF6"/>
    <w:rsid w:val="006946EC"/>
    <w:rsid w:val="0078302B"/>
    <w:rsid w:val="007B1E63"/>
    <w:rsid w:val="00940D32"/>
    <w:rsid w:val="00987A09"/>
    <w:rsid w:val="00A34D8C"/>
    <w:rsid w:val="00A848C5"/>
    <w:rsid w:val="00AB524F"/>
    <w:rsid w:val="00AD6DBB"/>
    <w:rsid w:val="00D909BB"/>
    <w:rsid w:val="00ED5D06"/>
    <w:rsid w:val="12F307FA"/>
    <w:rsid w:val="21AA3A96"/>
    <w:rsid w:val="245A4C26"/>
    <w:rsid w:val="24ADFC3B"/>
    <w:rsid w:val="29888DB4"/>
    <w:rsid w:val="30F43437"/>
    <w:rsid w:val="5961A484"/>
    <w:rsid w:val="5D5FD3C6"/>
    <w:rsid w:val="66FBEDA8"/>
    <w:rsid w:val="68143B2A"/>
    <w:rsid w:val="6E38EFE1"/>
    <w:rsid w:val="7101236B"/>
    <w:rsid w:val="7949404E"/>
    <w:rsid w:val="7C11DF83"/>
    <w:rsid w:val="7E49EAC7"/>
  </w:rsids>
  <m:mathPr>
    <m:mathFont m:val="Calibri Ligh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276">
    <w:lsdException w:name="Normal (Web)" w:uiPriority="99"/>
  </w:latentStyles>
  <w:style w:type="paragraph" w:default="1" w:styleId="Normal">
    <w:name w:val="Normal"/>
    <w:qFormat/>
    <w:rsid w:val="00940D3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940D32"/>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940D32"/>
  </w:style>
  <w:style w:type="paragraph" w:styleId="Header">
    <w:name w:val="header"/>
    <w:basedOn w:val="Normal"/>
    <w:link w:val="HeaderChar"/>
    <w:uiPriority w:val="99"/>
    <w:unhideWhenUsed/>
    <w:rsid w:val="00940D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D32"/>
  </w:style>
  <w:style w:type="paragraph" w:styleId="Footer">
    <w:name w:val="footer"/>
    <w:basedOn w:val="Normal"/>
    <w:link w:val="FooterChar"/>
    <w:uiPriority w:val="99"/>
    <w:unhideWhenUsed/>
    <w:rsid w:val="00940D32"/>
    <w:pPr>
      <w:tabs>
        <w:tab w:val="center" w:pos="4680"/>
        <w:tab w:val="right" w:pos="9360"/>
      </w:tabs>
      <w:spacing w:after="0" w:line="240" w:lineRule="auto"/>
    </w:pPr>
  </w:style>
  <w:style w:type="character" w:styleId="PageNumber">
    <w:name w:val="page number"/>
    <w:basedOn w:val="DefaultParagraphFont"/>
    <w:uiPriority w:val="99"/>
    <w:semiHidden/>
    <w:unhideWhenUsed/>
    <w:rsid w:val="007B1E63"/>
  </w:style>
  <w:style w:type="character" w:styleId="FollowedHyperlink">
    <w:name w:val="FollowedHyperlink"/>
    <w:basedOn w:val="DefaultParagraphFont"/>
    <w:uiPriority w:val="99"/>
    <w:semiHidden/>
    <w:unhideWhenUsed/>
    <w:rsid w:val="0078302B"/>
    <w:rPr>
      <w:color w:val="954F72" w:themeColor="followedHyperlink"/>
      <w:u w:val="single"/>
    </w:rPr>
  </w:style>
  <w:style w:type="paragraph" w:styleId="NormalWeb">
    <w:name w:val="Normal (Web)"/>
    <w:basedOn w:val="Normal"/>
    <w:uiPriority w:val="99"/>
    <w:rsid w:val="00272C29"/>
    <w:pPr>
      <w:spacing w:beforeLines="1" w:afterLines="1" w:line="240" w:lineRule="auto"/>
    </w:pPr>
    <w:rPr>
      <w:rFonts w:ascii="Times" w:hAnsi="Times"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129396502">
      <w:bodyDiv w:val="1"/>
      <w:marLeft w:val="0"/>
      <w:marRight w:val="0"/>
      <w:marTop w:val="0"/>
      <w:marBottom w:val="0"/>
      <w:divBdr>
        <w:top w:val="none" w:sz="0" w:space="0" w:color="auto"/>
        <w:left w:val="none" w:sz="0" w:space="0" w:color="auto"/>
        <w:bottom w:val="none" w:sz="0" w:space="0" w:color="auto"/>
        <w:right w:val="none" w:sz="0" w:space="0" w:color="auto"/>
      </w:divBdr>
      <w:divsChild>
        <w:div w:id="1466388522">
          <w:marLeft w:val="0"/>
          <w:marRight w:val="0"/>
          <w:marTop w:val="0"/>
          <w:marBottom w:val="0"/>
          <w:divBdr>
            <w:top w:val="none" w:sz="0" w:space="0" w:color="auto"/>
            <w:left w:val="none" w:sz="0" w:space="0" w:color="auto"/>
            <w:bottom w:val="none" w:sz="0" w:space="0" w:color="auto"/>
            <w:right w:val="none" w:sz="0" w:space="0" w:color="auto"/>
          </w:divBdr>
          <w:divsChild>
            <w:div w:id="1808737478">
              <w:marLeft w:val="0"/>
              <w:marRight w:val="0"/>
              <w:marTop w:val="0"/>
              <w:marBottom w:val="0"/>
              <w:divBdr>
                <w:top w:val="none" w:sz="0" w:space="0" w:color="auto"/>
                <w:left w:val="none" w:sz="0" w:space="0" w:color="auto"/>
                <w:bottom w:val="none" w:sz="0" w:space="0" w:color="auto"/>
                <w:right w:val="none" w:sz="0" w:space="0" w:color="auto"/>
              </w:divBdr>
              <w:divsChild>
                <w:div w:id="1439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153990">
      <w:bodyDiv w:val="1"/>
      <w:marLeft w:val="0"/>
      <w:marRight w:val="0"/>
      <w:marTop w:val="0"/>
      <w:marBottom w:val="0"/>
      <w:divBdr>
        <w:top w:val="none" w:sz="0" w:space="0" w:color="auto"/>
        <w:left w:val="none" w:sz="0" w:space="0" w:color="auto"/>
        <w:bottom w:val="none" w:sz="0" w:space="0" w:color="auto"/>
        <w:right w:val="none" w:sz="0" w:space="0" w:color="auto"/>
      </w:divBdr>
      <w:divsChild>
        <w:div w:id="956181521">
          <w:marLeft w:val="0"/>
          <w:marRight w:val="0"/>
          <w:marTop w:val="0"/>
          <w:marBottom w:val="0"/>
          <w:divBdr>
            <w:top w:val="none" w:sz="0" w:space="0" w:color="auto"/>
            <w:left w:val="none" w:sz="0" w:space="0" w:color="auto"/>
            <w:bottom w:val="none" w:sz="0" w:space="0" w:color="auto"/>
            <w:right w:val="none" w:sz="0" w:space="0" w:color="auto"/>
          </w:divBdr>
          <w:divsChild>
            <w:div w:id="1512139471">
              <w:marLeft w:val="0"/>
              <w:marRight w:val="0"/>
              <w:marTop w:val="0"/>
              <w:marBottom w:val="0"/>
              <w:divBdr>
                <w:top w:val="none" w:sz="0" w:space="0" w:color="auto"/>
                <w:left w:val="none" w:sz="0" w:space="0" w:color="auto"/>
                <w:bottom w:val="none" w:sz="0" w:space="0" w:color="auto"/>
                <w:right w:val="none" w:sz="0" w:space="0" w:color="auto"/>
              </w:divBdr>
              <w:divsChild>
                <w:div w:id="561719077">
                  <w:marLeft w:val="0"/>
                  <w:marRight w:val="0"/>
                  <w:marTop w:val="0"/>
                  <w:marBottom w:val="0"/>
                  <w:divBdr>
                    <w:top w:val="none" w:sz="0" w:space="0" w:color="auto"/>
                    <w:left w:val="none" w:sz="0" w:space="0" w:color="auto"/>
                    <w:bottom w:val="none" w:sz="0" w:space="0" w:color="auto"/>
                    <w:right w:val="none" w:sz="0" w:space="0" w:color="auto"/>
                  </w:divBdr>
                  <w:divsChild>
                    <w:div w:id="16446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683358">
      <w:bodyDiv w:val="1"/>
      <w:marLeft w:val="0"/>
      <w:marRight w:val="0"/>
      <w:marTop w:val="0"/>
      <w:marBottom w:val="0"/>
      <w:divBdr>
        <w:top w:val="none" w:sz="0" w:space="0" w:color="auto"/>
        <w:left w:val="none" w:sz="0" w:space="0" w:color="auto"/>
        <w:bottom w:val="none" w:sz="0" w:space="0" w:color="auto"/>
        <w:right w:val="none" w:sz="0" w:space="0" w:color="auto"/>
      </w:divBdr>
      <w:divsChild>
        <w:div w:id="1988437295">
          <w:marLeft w:val="0"/>
          <w:marRight w:val="0"/>
          <w:marTop w:val="0"/>
          <w:marBottom w:val="0"/>
          <w:divBdr>
            <w:top w:val="none" w:sz="0" w:space="0" w:color="auto"/>
            <w:left w:val="none" w:sz="0" w:space="0" w:color="auto"/>
            <w:bottom w:val="none" w:sz="0" w:space="0" w:color="auto"/>
            <w:right w:val="none" w:sz="0" w:space="0" w:color="auto"/>
          </w:divBdr>
          <w:divsChild>
            <w:div w:id="1379627763">
              <w:marLeft w:val="0"/>
              <w:marRight w:val="0"/>
              <w:marTop w:val="0"/>
              <w:marBottom w:val="0"/>
              <w:divBdr>
                <w:top w:val="none" w:sz="0" w:space="0" w:color="auto"/>
                <w:left w:val="none" w:sz="0" w:space="0" w:color="auto"/>
                <w:bottom w:val="none" w:sz="0" w:space="0" w:color="auto"/>
                <w:right w:val="none" w:sz="0" w:space="0" w:color="auto"/>
              </w:divBdr>
              <w:divsChild>
                <w:div w:id="1054692637">
                  <w:marLeft w:val="0"/>
                  <w:marRight w:val="0"/>
                  <w:marTop w:val="0"/>
                  <w:marBottom w:val="0"/>
                  <w:divBdr>
                    <w:top w:val="none" w:sz="0" w:space="0" w:color="auto"/>
                    <w:left w:val="none" w:sz="0" w:space="0" w:color="auto"/>
                    <w:bottom w:val="none" w:sz="0" w:space="0" w:color="auto"/>
                    <w:right w:val="none" w:sz="0" w:space="0" w:color="auto"/>
                  </w:divBdr>
                  <w:divsChild>
                    <w:div w:id="19552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365014">
      <w:bodyDiv w:val="1"/>
      <w:marLeft w:val="0"/>
      <w:marRight w:val="0"/>
      <w:marTop w:val="0"/>
      <w:marBottom w:val="0"/>
      <w:divBdr>
        <w:top w:val="none" w:sz="0" w:space="0" w:color="auto"/>
        <w:left w:val="none" w:sz="0" w:space="0" w:color="auto"/>
        <w:bottom w:val="none" w:sz="0" w:space="0" w:color="auto"/>
        <w:right w:val="none" w:sz="0" w:space="0" w:color="auto"/>
      </w:divBdr>
      <w:divsChild>
        <w:div w:id="1563101549">
          <w:marLeft w:val="0"/>
          <w:marRight w:val="0"/>
          <w:marTop w:val="0"/>
          <w:marBottom w:val="0"/>
          <w:divBdr>
            <w:top w:val="none" w:sz="0" w:space="0" w:color="auto"/>
            <w:left w:val="none" w:sz="0" w:space="0" w:color="auto"/>
            <w:bottom w:val="none" w:sz="0" w:space="0" w:color="auto"/>
            <w:right w:val="none" w:sz="0" w:space="0" w:color="auto"/>
          </w:divBdr>
          <w:divsChild>
            <w:div w:id="1031537106">
              <w:marLeft w:val="0"/>
              <w:marRight w:val="0"/>
              <w:marTop w:val="0"/>
              <w:marBottom w:val="0"/>
              <w:divBdr>
                <w:top w:val="none" w:sz="0" w:space="0" w:color="auto"/>
                <w:left w:val="none" w:sz="0" w:space="0" w:color="auto"/>
                <w:bottom w:val="none" w:sz="0" w:space="0" w:color="auto"/>
                <w:right w:val="none" w:sz="0" w:space="0" w:color="auto"/>
              </w:divBdr>
              <w:divsChild>
                <w:div w:id="117553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535831">
      <w:bodyDiv w:val="1"/>
      <w:marLeft w:val="0"/>
      <w:marRight w:val="0"/>
      <w:marTop w:val="0"/>
      <w:marBottom w:val="0"/>
      <w:divBdr>
        <w:top w:val="none" w:sz="0" w:space="0" w:color="auto"/>
        <w:left w:val="none" w:sz="0" w:space="0" w:color="auto"/>
        <w:bottom w:val="none" w:sz="0" w:space="0" w:color="auto"/>
        <w:right w:val="none" w:sz="0" w:space="0" w:color="auto"/>
      </w:divBdr>
      <w:divsChild>
        <w:div w:id="742338031">
          <w:marLeft w:val="0"/>
          <w:marRight w:val="0"/>
          <w:marTop w:val="0"/>
          <w:marBottom w:val="0"/>
          <w:divBdr>
            <w:top w:val="none" w:sz="0" w:space="0" w:color="auto"/>
            <w:left w:val="none" w:sz="0" w:space="0" w:color="auto"/>
            <w:bottom w:val="none" w:sz="0" w:space="0" w:color="auto"/>
            <w:right w:val="none" w:sz="0" w:space="0" w:color="auto"/>
          </w:divBdr>
          <w:divsChild>
            <w:div w:id="1372147415">
              <w:marLeft w:val="0"/>
              <w:marRight w:val="0"/>
              <w:marTop w:val="0"/>
              <w:marBottom w:val="0"/>
              <w:divBdr>
                <w:top w:val="none" w:sz="0" w:space="0" w:color="auto"/>
                <w:left w:val="none" w:sz="0" w:space="0" w:color="auto"/>
                <w:bottom w:val="none" w:sz="0" w:space="0" w:color="auto"/>
                <w:right w:val="none" w:sz="0" w:space="0" w:color="auto"/>
              </w:divBdr>
              <w:divsChild>
                <w:div w:id="5648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24250">
      <w:bodyDiv w:val="1"/>
      <w:marLeft w:val="0"/>
      <w:marRight w:val="0"/>
      <w:marTop w:val="0"/>
      <w:marBottom w:val="0"/>
      <w:divBdr>
        <w:top w:val="none" w:sz="0" w:space="0" w:color="auto"/>
        <w:left w:val="none" w:sz="0" w:space="0" w:color="auto"/>
        <w:bottom w:val="none" w:sz="0" w:space="0" w:color="auto"/>
        <w:right w:val="none" w:sz="0" w:space="0" w:color="auto"/>
      </w:divBdr>
      <w:divsChild>
        <w:div w:id="1806392776">
          <w:marLeft w:val="0"/>
          <w:marRight w:val="0"/>
          <w:marTop w:val="0"/>
          <w:marBottom w:val="0"/>
          <w:divBdr>
            <w:top w:val="none" w:sz="0" w:space="0" w:color="auto"/>
            <w:left w:val="none" w:sz="0" w:space="0" w:color="auto"/>
            <w:bottom w:val="none" w:sz="0" w:space="0" w:color="auto"/>
            <w:right w:val="none" w:sz="0" w:space="0" w:color="auto"/>
          </w:divBdr>
          <w:divsChild>
            <w:div w:id="645469862">
              <w:marLeft w:val="0"/>
              <w:marRight w:val="0"/>
              <w:marTop w:val="0"/>
              <w:marBottom w:val="0"/>
              <w:divBdr>
                <w:top w:val="none" w:sz="0" w:space="0" w:color="auto"/>
                <w:left w:val="none" w:sz="0" w:space="0" w:color="auto"/>
                <w:bottom w:val="none" w:sz="0" w:space="0" w:color="auto"/>
                <w:right w:val="none" w:sz="0" w:space="0" w:color="auto"/>
              </w:divBdr>
              <w:divsChild>
                <w:div w:id="92159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89580">
      <w:bodyDiv w:val="1"/>
      <w:marLeft w:val="0"/>
      <w:marRight w:val="0"/>
      <w:marTop w:val="0"/>
      <w:marBottom w:val="0"/>
      <w:divBdr>
        <w:top w:val="none" w:sz="0" w:space="0" w:color="auto"/>
        <w:left w:val="none" w:sz="0" w:space="0" w:color="auto"/>
        <w:bottom w:val="none" w:sz="0" w:space="0" w:color="auto"/>
        <w:right w:val="none" w:sz="0" w:space="0" w:color="auto"/>
      </w:divBdr>
      <w:divsChild>
        <w:div w:id="1797019837">
          <w:marLeft w:val="0"/>
          <w:marRight w:val="0"/>
          <w:marTop w:val="0"/>
          <w:marBottom w:val="0"/>
          <w:divBdr>
            <w:top w:val="none" w:sz="0" w:space="0" w:color="auto"/>
            <w:left w:val="none" w:sz="0" w:space="0" w:color="auto"/>
            <w:bottom w:val="none" w:sz="0" w:space="0" w:color="auto"/>
            <w:right w:val="none" w:sz="0" w:space="0" w:color="auto"/>
          </w:divBdr>
          <w:divsChild>
            <w:div w:id="1291666910">
              <w:marLeft w:val="0"/>
              <w:marRight w:val="0"/>
              <w:marTop w:val="0"/>
              <w:marBottom w:val="0"/>
              <w:divBdr>
                <w:top w:val="none" w:sz="0" w:space="0" w:color="auto"/>
                <w:left w:val="none" w:sz="0" w:space="0" w:color="auto"/>
                <w:bottom w:val="none" w:sz="0" w:space="0" w:color="auto"/>
                <w:right w:val="none" w:sz="0" w:space="0" w:color="auto"/>
              </w:divBdr>
              <w:divsChild>
                <w:div w:id="1691292322">
                  <w:marLeft w:val="0"/>
                  <w:marRight w:val="0"/>
                  <w:marTop w:val="0"/>
                  <w:marBottom w:val="0"/>
                  <w:divBdr>
                    <w:top w:val="none" w:sz="0" w:space="0" w:color="auto"/>
                    <w:left w:val="none" w:sz="0" w:space="0" w:color="auto"/>
                    <w:bottom w:val="none" w:sz="0" w:space="0" w:color="auto"/>
                    <w:right w:val="none" w:sz="0" w:space="0" w:color="auto"/>
                  </w:divBdr>
                  <w:divsChild>
                    <w:div w:id="4038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2.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youtube.com/watch?v=TTKTz6YbJKk&amp;hl=en_US&amp;version=3" TargetMode="External"/><Relationship Id="rId5" Type="http://schemas.openxmlformats.org/officeDocument/2006/relationships/hyperlink" Target="https://www.psychotherapynetworker.org/blog/details/999/cognitive-behavioral-therapy-and-the-therapeutic-alliance" TargetMode="External"/><Relationship Id="rId6" Type="http://schemas.openxmlformats.org/officeDocument/2006/relationships/hyperlink" Target="https://doi.org/10.1186/s40337-018-0208-0" TargetMode="External"/><Relationship Id="rId7" Type="http://schemas.openxmlformats.org/officeDocument/2006/relationships/hyperlink" Target="http://dx.doi.org/10.1037/cou0000104" TargetMode="External"/><Relationship Id="rId8" Type="http://schemas.openxmlformats.org/officeDocument/2006/relationships/hyperlink" Target="https://beckinstitute.org/chronic-pain-and-opioid-use-the-important-role-of-cbt-therapists/" TargetMode="External"/><Relationship Id="rId9" Type="http://schemas.openxmlformats.org/officeDocument/2006/relationships/hyperlink" Target="https://www.nhs.uk/conditions/cognitive-behavioural-therapy-cbt/" TargetMode="External"/><Relationship Id="rId10" Type="http://schemas.openxmlformats.org/officeDocument/2006/relationships/hyperlink" Target="https://beckinstitute.org/the-therapeutic-al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2776</Words>
  <Characters>15826</Characters>
  <Application>Microsoft Macintosh Word</Application>
  <DocSecurity>0</DocSecurity>
  <Lines>131</Lines>
  <Paragraphs>31</Paragraphs>
  <ScaleCrop>false</ScaleCrop>
  <Company/>
  <LinksUpToDate>false</LinksUpToDate>
  <CharactersWithSpaces>19435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Haywood (26003081)</dc:creator>
  <cp:keywords/>
  <dc:description/>
  <cp:lastModifiedBy>lindsay haywood-nyambe</cp:lastModifiedBy>
  <cp:revision>2</cp:revision>
  <dcterms:created xsi:type="dcterms:W3CDTF">2018-12-04T23:26:00Z</dcterms:created>
  <dcterms:modified xsi:type="dcterms:W3CDTF">2018-12-04T23:26:00Z</dcterms:modified>
</cp:coreProperties>
</file>