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AD2F097" w14:textId="5793B411" w:rsidR="00851031" w:rsidRDefault="00851031" w:rsidP="001A2D46">
      <w:r>
        <w:t>Discuss the importance of King David in the Hebrew Bible:</w:t>
      </w:r>
    </w:p>
    <w:p w14:paraId="008E13F7" w14:textId="46B85BA3" w:rsidR="00572713" w:rsidRDefault="00572713" w:rsidP="001A2D46">
      <w:r>
        <w:t>Anecdotally it is often thought that the first of something is often the best. When considering a series of books, collections of movies</w:t>
      </w:r>
      <w:r w:rsidR="002830B1">
        <w:t xml:space="preserve"> or tv series</w:t>
      </w:r>
      <w:r>
        <w:t>, it is common for people to think that nothing can be better than the original.</w:t>
      </w:r>
      <w:r w:rsidR="002830B1">
        <w:t xml:space="preserve"> Furthermore,</w:t>
      </w:r>
      <w:r>
        <w:t xml:space="preserve"> </w:t>
      </w:r>
      <w:r w:rsidR="002830B1">
        <w:t>t</w:t>
      </w:r>
      <w:r>
        <w:t>hose who do something first are</w:t>
      </w:r>
      <w:r w:rsidR="00C10D35">
        <w:t xml:space="preserve"> often</w:t>
      </w:r>
      <w:r>
        <w:t xml:space="preserve"> </w:t>
      </w:r>
      <w:r w:rsidR="002830B1">
        <w:t>more memorable</w:t>
      </w:r>
      <w:r>
        <w:t xml:space="preserve"> than those that follow in their footsteps. This to</w:t>
      </w:r>
      <w:r w:rsidR="002830B1">
        <w:t>o</w:t>
      </w:r>
      <w:r>
        <w:t xml:space="preserve"> could be the case with David, the first </w:t>
      </w:r>
      <w:r w:rsidR="00C10D35">
        <w:t xml:space="preserve">to establish a </w:t>
      </w:r>
      <w:r w:rsidR="002830B1">
        <w:t>dynasty</w:t>
      </w:r>
      <w:r>
        <w:t xml:space="preserve"> </w:t>
      </w:r>
      <w:r w:rsidR="00C10D35">
        <w:t xml:space="preserve">for </w:t>
      </w:r>
      <w:r>
        <w:t>Isreal. This essay</w:t>
      </w:r>
      <w:r w:rsidR="00E71899">
        <w:t xml:space="preserve"> </w:t>
      </w:r>
      <w:r>
        <w:t xml:space="preserve">will examine the importance of </w:t>
      </w:r>
      <w:r w:rsidR="00E71899">
        <w:t xml:space="preserve">King David within the Hebrew texts </w:t>
      </w:r>
      <w:r w:rsidR="0074464C">
        <w:t>specifically in respect of David before he became a king.</w:t>
      </w:r>
      <w:r w:rsidR="003762C2">
        <w:t xml:space="preserve"> The essay will seek to examine the importance of the imagery and </w:t>
      </w:r>
      <w:r w:rsidR="007B52B1">
        <w:t>foreshadowing</w:t>
      </w:r>
      <w:r w:rsidR="003762C2">
        <w:t xml:space="preserve"> pertaining to David in respect to his purpose, as opposed to th</w:t>
      </w:r>
      <w:r w:rsidR="007B52B1">
        <w:t>e foreshadowing</w:t>
      </w:r>
      <w:r w:rsidR="003762C2">
        <w:t xml:space="preserve"> often linked to Jesus.</w:t>
      </w:r>
      <w:r w:rsidR="003B50D5">
        <w:t xml:space="preserve"> </w:t>
      </w:r>
    </w:p>
    <w:p w14:paraId="32A12FCB" w14:textId="376FE3E6" w:rsidR="003B50D5" w:rsidRDefault="0001145D" w:rsidP="001A2D46">
      <w:r>
        <w:t xml:space="preserve">Summarising who David is and his narrative is both troublesome and complex. In her book </w:t>
      </w:r>
      <w:r w:rsidR="00B41DF1">
        <w:t>Tragedy and Biblical narrative</w:t>
      </w:r>
      <w:r>
        <w:t>, Cheryl Exum states that David can be described as pious trusting and faithful as well as calculating, manipulative and ruthless.</w:t>
      </w:r>
      <w:r w:rsidR="0024783E">
        <w:rPr>
          <w:rStyle w:val="FootnoteReference"/>
        </w:rPr>
        <w:footnoteReference w:id="1"/>
      </w:r>
      <w:r>
        <w:t xml:space="preserve"> </w:t>
      </w:r>
      <w:r w:rsidR="0024783E">
        <w:t>His life</w:t>
      </w:r>
      <w:r w:rsidR="009A10B8">
        <w:t xml:space="preserve"> narrative</w:t>
      </w:r>
      <w:r w:rsidR="0024783E">
        <w:t xml:space="preserve"> </w:t>
      </w:r>
      <w:r w:rsidR="009A10B8">
        <w:t xml:space="preserve">by some </w:t>
      </w:r>
      <w:r w:rsidR="0024783E">
        <w:t>can be categorised in</w:t>
      </w:r>
      <w:r w:rsidR="009A10B8">
        <w:t xml:space="preserve"> two major movements, firstly his ascent to kingship in Jerusalem and then his reign until death.</w:t>
      </w:r>
      <w:r w:rsidR="009A10B8">
        <w:rPr>
          <w:rStyle w:val="FootnoteReference"/>
        </w:rPr>
        <w:footnoteReference w:id="2"/>
      </w:r>
      <w:r w:rsidR="009A10B8">
        <w:t xml:space="preserve"> These two categories are separated by the success</w:t>
      </w:r>
      <w:r w:rsidR="007221A9">
        <w:t>es</w:t>
      </w:r>
      <w:r w:rsidR="009A10B8">
        <w:t xml:space="preserve"> he achieved</w:t>
      </w:r>
      <w:r w:rsidR="007221A9">
        <w:t>,</w:t>
      </w:r>
      <w:r w:rsidR="009A10B8">
        <w:t xml:space="preserve"> followed by a troublesome period until death.</w:t>
      </w:r>
      <w:r w:rsidR="009A10B8">
        <w:rPr>
          <w:rStyle w:val="FootnoteReference"/>
        </w:rPr>
        <w:footnoteReference w:id="3"/>
      </w:r>
      <w:r w:rsidR="009A10B8">
        <w:t xml:space="preserve"> </w:t>
      </w:r>
      <w:r w:rsidR="00690BB0">
        <w:t xml:space="preserve">His story which at times is polarised </w:t>
      </w:r>
      <w:r w:rsidR="00D1049F">
        <w:t xml:space="preserve">from him trusting God, to having a man killed </w:t>
      </w:r>
      <w:r w:rsidR="00576E8F">
        <w:t xml:space="preserve">in a bid to cover up his sin </w:t>
      </w:r>
      <w:r w:rsidR="00690BB0">
        <w:t xml:space="preserve">is not the only element of David which </w:t>
      </w:r>
      <w:r w:rsidR="006141B9">
        <w:t xml:space="preserve">brings him to the fore when discussing the Hebrew texts. </w:t>
      </w:r>
      <w:r w:rsidR="00057528">
        <w:t>David’s</w:t>
      </w:r>
      <w:r w:rsidR="003C2874">
        <w:t xml:space="preserve"> narrative occupies more of the </w:t>
      </w:r>
      <w:r w:rsidR="00851F14">
        <w:t>Hebrew scriptures</w:t>
      </w:r>
      <w:r w:rsidR="00576E8F">
        <w:t xml:space="preserve"> </w:t>
      </w:r>
      <w:r w:rsidR="00851F14">
        <w:t>than any other character.</w:t>
      </w:r>
      <w:r w:rsidR="006C0DC3">
        <w:rPr>
          <w:rStyle w:val="FootnoteReference"/>
        </w:rPr>
        <w:footnoteReference w:id="4"/>
      </w:r>
      <w:r w:rsidR="00851F14">
        <w:t xml:space="preserve"> </w:t>
      </w:r>
      <w:r w:rsidR="00BA6B20">
        <w:t>This alone would signify the importance of David, however there are significances in the position David held within his family</w:t>
      </w:r>
      <w:r w:rsidR="00C55CC5">
        <w:t xml:space="preserve"> </w:t>
      </w:r>
      <w:r w:rsidR="00BA6B20">
        <w:t xml:space="preserve">and his early anointing by Samuel in </w:t>
      </w:r>
      <w:r w:rsidR="00231B41">
        <w:t>1 Samuel 16. (1 Sa</w:t>
      </w:r>
      <w:r w:rsidR="00694CA9">
        <w:t>m</w:t>
      </w:r>
      <w:r w:rsidR="00231B41">
        <w:t xml:space="preserve"> 16)</w:t>
      </w:r>
    </w:p>
    <w:p w14:paraId="0D6DBD1E" w14:textId="77777777" w:rsidR="007F5879" w:rsidRDefault="004A7235" w:rsidP="001A2D46">
      <w:r>
        <w:t>Amongst his stories D</w:t>
      </w:r>
      <w:r w:rsidR="002955A2">
        <w:t xml:space="preserve">avid is most notably known for his </w:t>
      </w:r>
      <w:r w:rsidR="007F5879">
        <w:t>fight</w:t>
      </w:r>
      <w:r w:rsidR="002955A2">
        <w:t xml:space="preserve"> with Goliath, a quick search of the Trinity St Davids online Library for ‘David and Goliath’ returns multiple searches not relating to the Biblical character at all, but instead articles relating to tech companies</w:t>
      </w:r>
      <w:r w:rsidR="00C64E13">
        <w:t xml:space="preserve"> </w:t>
      </w:r>
      <w:r w:rsidR="004363B3">
        <w:t>becoming giants to be held to account</w:t>
      </w:r>
      <w:r w:rsidR="00997139">
        <w:t>.</w:t>
      </w:r>
      <w:r w:rsidR="002955A2">
        <w:rPr>
          <w:rStyle w:val="FootnoteReference"/>
        </w:rPr>
        <w:footnoteReference w:id="5"/>
      </w:r>
      <w:r w:rsidR="002955A2">
        <w:t xml:space="preserve"> </w:t>
      </w:r>
      <w:r w:rsidR="00997139">
        <w:t>Aswell as journals regarding s</w:t>
      </w:r>
      <w:r w:rsidR="002955A2">
        <w:t>uperstores verses market stalls</w:t>
      </w:r>
      <w:r w:rsidR="00997139">
        <w:t>.</w:t>
      </w:r>
      <w:r w:rsidR="002955A2">
        <w:rPr>
          <w:rStyle w:val="FootnoteReference"/>
        </w:rPr>
        <w:footnoteReference w:id="6"/>
      </w:r>
      <w:r w:rsidR="002955A2">
        <w:t xml:space="preserve"> </w:t>
      </w:r>
    </w:p>
    <w:p w14:paraId="6E518494" w14:textId="1E3A5EC1" w:rsidR="002955A2" w:rsidRDefault="000C1F0D" w:rsidP="001A2D46">
      <w:r>
        <w:t xml:space="preserve">In Steven Mckenzies book King David: A Biography he introduces the chapter of David and Goliath </w:t>
      </w:r>
      <w:r w:rsidR="009F0897">
        <w:t>citing an advert where the imagery points to the story of David without needing to name the characters.</w:t>
      </w:r>
      <w:r w:rsidR="009F0897">
        <w:rPr>
          <w:rStyle w:val="FootnoteReference"/>
        </w:rPr>
        <w:footnoteReference w:id="7"/>
      </w:r>
      <w:r w:rsidR="009F0897">
        <w:t xml:space="preserve"> </w:t>
      </w:r>
      <w:r w:rsidR="002955A2">
        <w:t xml:space="preserve"> The title is one that </w:t>
      </w:r>
      <w:r w:rsidR="005C4AFA">
        <w:t xml:space="preserve">is recognisable to all throughout history, even those who may not have read a bible. </w:t>
      </w:r>
      <w:r w:rsidR="00D44285">
        <w:t>It is</w:t>
      </w:r>
      <w:r w:rsidR="002955A2">
        <w:t xml:space="preserve"> a battle that defies the laws of logic</w:t>
      </w:r>
      <w:r w:rsidR="00C83360">
        <w:t>. In</w:t>
      </w:r>
      <w:r w:rsidR="002955A2">
        <w:t xml:space="preserve"> the western world</w:t>
      </w:r>
      <w:r w:rsidR="00C83360">
        <w:t xml:space="preserve"> David </w:t>
      </w:r>
      <w:r w:rsidR="002955A2">
        <w:t xml:space="preserve">has been depicted as a small shepherd, coming up against a hardened warrior that a whole nation is scared to face. The outcome </w:t>
      </w:r>
      <w:r w:rsidR="00671400">
        <w:t xml:space="preserve">results in David defeating Goliath with a stone and his sling. </w:t>
      </w:r>
      <w:proofErr w:type="gramStart"/>
      <w:r w:rsidR="00671400">
        <w:t>Davids</w:t>
      </w:r>
      <w:proofErr w:type="gramEnd"/>
      <w:r w:rsidR="00671400">
        <w:t xml:space="preserve"> </w:t>
      </w:r>
      <w:r w:rsidR="00207137">
        <w:t xml:space="preserve">introduction however precursors the Goliath </w:t>
      </w:r>
      <w:r w:rsidR="00E33988">
        <w:t>fight</w:t>
      </w:r>
      <w:r w:rsidR="00207137">
        <w:t xml:space="preserve"> and his </w:t>
      </w:r>
      <w:r w:rsidR="00671400">
        <w:t>role as a shepherd however should not be overlooked or mis</w:t>
      </w:r>
      <w:r w:rsidR="00E33988">
        <w:t>-</w:t>
      </w:r>
      <w:r w:rsidR="00671400">
        <w:t xml:space="preserve">represented as Steven Mckenzie </w:t>
      </w:r>
      <w:r w:rsidR="00E33988">
        <w:t>highlights</w:t>
      </w:r>
      <w:r w:rsidR="00671400">
        <w:t>. David is not a shepherd in a scene of rolling hills with flowing grass and pretty white sheep dotted around</w:t>
      </w:r>
      <w:r w:rsidR="00207137">
        <w:t>.</w:t>
      </w:r>
      <w:r w:rsidR="00671400">
        <w:t xml:space="preserve"> </w:t>
      </w:r>
      <w:r w:rsidR="00207137">
        <w:t>T</w:t>
      </w:r>
      <w:r w:rsidR="00671400">
        <w:t xml:space="preserve">he terrain and sheep </w:t>
      </w:r>
      <w:r w:rsidR="002830B1">
        <w:t xml:space="preserve">at the time of David </w:t>
      </w:r>
      <w:r w:rsidR="00671400">
        <w:t>would have been significantly different with a more rugged landscape.</w:t>
      </w:r>
      <w:r w:rsidR="00671400">
        <w:rPr>
          <w:rStyle w:val="FootnoteReference"/>
        </w:rPr>
        <w:footnoteReference w:id="8"/>
      </w:r>
      <w:r w:rsidR="00671400">
        <w:t xml:space="preserve"> This understanding of what a shepherd would have encountered along with the meaning that is associated with the word shepherd in the </w:t>
      </w:r>
      <w:r w:rsidR="002830B1">
        <w:t>ancient</w:t>
      </w:r>
      <w:r w:rsidR="00671400">
        <w:t xml:space="preserve"> </w:t>
      </w:r>
      <w:r w:rsidR="00B02EC0">
        <w:t>near</w:t>
      </w:r>
      <w:r w:rsidR="00671400">
        <w:t xml:space="preserve"> eastern world is of </w:t>
      </w:r>
      <w:r w:rsidR="002830B1">
        <w:t xml:space="preserve">grave significance to the Hebrew Bible. </w:t>
      </w:r>
    </w:p>
    <w:p w14:paraId="6AF11A6F" w14:textId="6F9E199F" w:rsidR="00197781" w:rsidRDefault="008B6715" w:rsidP="001A2D46">
      <w:r>
        <w:lastRenderedPageBreak/>
        <w:t>In Psalm 23</w:t>
      </w:r>
      <w:r w:rsidR="00D03281">
        <w:t>,</w:t>
      </w:r>
      <w:r w:rsidR="00C51378">
        <w:t xml:space="preserve"> attributed to David, God </w:t>
      </w:r>
      <w:r>
        <w:t xml:space="preserve">is described as being a shepherd, a shepherd </w:t>
      </w:r>
      <w:r w:rsidR="00FB4897">
        <w:t>who</w:t>
      </w:r>
      <w:r>
        <w:t xml:space="preserve"> </w:t>
      </w:r>
      <w:r w:rsidR="008A329B">
        <w:t>leads his sheep to green pastures</w:t>
      </w:r>
      <w:r w:rsidR="00DF61C3">
        <w:t xml:space="preserve"> and still waters. A shepherd who </w:t>
      </w:r>
      <w:r w:rsidR="00D03281">
        <w:t>possesses</w:t>
      </w:r>
      <w:r w:rsidR="00DF61C3">
        <w:t xml:space="preserve"> a rod and staff which</w:t>
      </w:r>
      <w:r w:rsidR="00B2407B">
        <w:t xml:space="preserve"> offer comfo</w:t>
      </w:r>
      <w:r w:rsidR="00C51378">
        <w:t xml:space="preserve">rt </w:t>
      </w:r>
      <w:r w:rsidR="00FB4897">
        <w:t>through valleys of the shadow of death</w:t>
      </w:r>
      <w:r w:rsidR="00D56061">
        <w:t>.</w:t>
      </w:r>
      <w:r w:rsidR="00B02EC0">
        <w:t xml:space="preserve"> </w:t>
      </w:r>
      <w:r w:rsidR="00147D87">
        <w:t>(Psalm 23</w:t>
      </w:r>
      <w:r w:rsidR="00D56061">
        <w:t>)</w:t>
      </w:r>
      <w:r w:rsidR="00A4078C">
        <w:t xml:space="preserve"> The image of the God being described </w:t>
      </w:r>
      <w:r w:rsidR="00725BE0">
        <w:t>as a shepherd is often interpreted in a pastoral sense, in tending to a flock and meeting their needs.</w:t>
      </w:r>
      <w:r w:rsidR="00D515EF">
        <w:rPr>
          <w:rStyle w:val="FootnoteReference"/>
        </w:rPr>
        <w:footnoteReference w:id="9"/>
      </w:r>
      <w:r w:rsidR="00725BE0">
        <w:t xml:space="preserve"> </w:t>
      </w:r>
      <w:r w:rsidR="00BD0AEF">
        <w:t xml:space="preserve">There is evidence which suggests that the meaning of being a shepherd </w:t>
      </w:r>
      <w:r w:rsidR="009728EF">
        <w:t xml:space="preserve">during </w:t>
      </w:r>
      <w:proofErr w:type="gramStart"/>
      <w:r w:rsidR="009728EF">
        <w:t>Davids</w:t>
      </w:r>
      <w:proofErr w:type="gramEnd"/>
      <w:r w:rsidR="009728EF">
        <w:t xml:space="preserve"> period and beyond</w:t>
      </w:r>
      <w:r w:rsidR="00BD0AEF">
        <w:t xml:space="preserve"> would not </w:t>
      </w:r>
      <w:r w:rsidR="008A6F5B">
        <w:t>necessarily</w:t>
      </w:r>
      <w:r w:rsidR="00BD0AEF">
        <w:t xml:space="preserve"> </w:t>
      </w:r>
      <w:r w:rsidR="002346AC">
        <w:t xml:space="preserve">only </w:t>
      </w:r>
      <w:r w:rsidR="00171FF1">
        <w:t>be literal but</w:t>
      </w:r>
      <w:r w:rsidR="002346AC">
        <w:t xml:space="preserve"> also</w:t>
      </w:r>
      <w:r w:rsidR="00171FF1">
        <w:t xml:space="preserve"> a</w:t>
      </w:r>
      <w:r w:rsidR="0023128F">
        <w:t xml:space="preserve"> metaphor and an</w:t>
      </w:r>
      <w:r w:rsidR="00171FF1">
        <w:t xml:space="preserve"> image of </w:t>
      </w:r>
      <w:r w:rsidR="008A6F5B">
        <w:t xml:space="preserve">a royal ruler. The rod and staff for example </w:t>
      </w:r>
      <w:r w:rsidR="00DC3166">
        <w:t>were known to be parts of royal regalia throughout ancient near east.</w:t>
      </w:r>
      <w:r w:rsidR="00DE523E">
        <w:rPr>
          <w:rStyle w:val="FootnoteReference"/>
        </w:rPr>
        <w:footnoteReference w:id="10"/>
      </w:r>
      <w:r w:rsidR="00DC3166">
        <w:t xml:space="preserve"> </w:t>
      </w:r>
      <w:r w:rsidR="00DE523E">
        <w:t xml:space="preserve">The rod and staff were depicted in other </w:t>
      </w:r>
      <w:r w:rsidR="00302F59">
        <w:t>ancient near east cultures</w:t>
      </w:r>
      <w:r w:rsidR="0023128F">
        <w:t xml:space="preserve">, </w:t>
      </w:r>
      <w:r w:rsidR="00F1193D">
        <w:t xml:space="preserve">with the Egyptian crook being interpreted to be a </w:t>
      </w:r>
      <w:r w:rsidR="003E123B">
        <w:t>shepherd’s</w:t>
      </w:r>
      <w:r w:rsidR="00CA3F41">
        <w:t xml:space="preserve"> instrument.</w:t>
      </w:r>
      <w:r w:rsidR="00DF5644">
        <w:rPr>
          <w:rStyle w:val="FootnoteReference"/>
        </w:rPr>
        <w:footnoteReference w:id="11"/>
      </w:r>
      <w:r w:rsidR="00B9633E">
        <w:t xml:space="preserve"> In the </w:t>
      </w:r>
      <w:r w:rsidR="00654CB7">
        <w:t>Assyrian</w:t>
      </w:r>
      <w:r w:rsidR="00B9633E">
        <w:t xml:space="preserve"> empire, ceremonies of shepherdship were conducted</w:t>
      </w:r>
      <w:r w:rsidR="00F03739">
        <w:t xml:space="preserve"> and shepherd imagery was used throughout to attribute to royalty.</w:t>
      </w:r>
      <w:r w:rsidR="00F03739">
        <w:rPr>
          <w:rStyle w:val="FootnoteReference"/>
        </w:rPr>
        <w:footnoteReference w:id="12"/>
      </w:r>
      <w:r w:rsidR="00F03739">
        <w:t xml:space="preserve"> </w:t>
      </w:r>
      <w:r w:rsidR="0066139F">
        <w:t xml:space="preserve">The thoughts relating to shepherd imagery and royalty is shared with the writer </w:t>
      </w:r>
      <w:r w:rsidR="008C4ED5">
        <w:t>Christopher A Porter when discussing the kings of Judah in Ezekiel who are described as Shepherds.</w:t>
      </w:r>
      <w:r w:rsidR="008C4ED5">
        <w:rPr>
          <w:rStyle w:val="FootnoteReference"/>
        </w:rPr>
        <w:footnoteReference w:id="13"/>
      </w:r>
      <w:r w:rsidR="00DF3025">
        <w:t xml:space="preserve"> This idea of shepherd imagery is widespread th</w:t>
      </w:r>
      <w:r w:rsidR="006348C8">
        <w:t>roughout ancient near east as described above in different cultures</w:t>
      </w:r>
      <w:r w:rsidR="00A2379B">
        <w:t xml:space="preserve">. The </w:t>
      </w:r>
      <w:r w:rsidR="004C5E37">
        <w:t>understanding of this imagery is</w:t>
      </w:r>
      <w:r w:rsidR="001C4F1B">
        <w:t xml:space="preserve"> described by many different scholars, some of whom are referenced above </w:t>
      </w:r>
      <w:r w:rsidR="006348C8">
        <w:t>and therefore</w:t>
      </w:r>
      <w:r w:rsidR="001C4F1B">
        <w:t xml:space="preserve"> the importance of David being a shepherd</w:t>
      </w:r>
      <w:r w:rsidR="006348C8">
        <w:t xml:space="preserve"> should not be something to be overlooked.</w:t>
      </w:r>
      <w:r w:rsidR="006348C8">
        <w:rPr>
          <w:rStyle w:val="FootnoteReference"/>
        </w:rPr>
        <w:footnoteReference w:id="14"/>
      </w:r>
      <w:r w:rsidR="006348C8">
        <w:t xml:space="preserve"> </w:t>
      </w:r>
      <w:r w:rsidR="00A522FA">
        <w:t xml:space="preserve">A reason for this link between shepherd and leadership would be the qualities that one needs to posses to keep a heard, in addition </w:t>
      </w:r>
      <w:r w:rsidR="00C14DF4">
        <w:t>it is evident from biblical texts that there were sheep in abundance</w:t>
      </w:r>
      <w:r w:rsidR="004A3ED8">
        <w:t xml:space="preserve">, and the number of sheep one had could be a symbol of status. For </w:t>
      </w:r>
      <w:r w:rsidR="00282993">
        <w:t>example,</w:t>
      </w:r>
      <w:r w:rsidR="004A3ED8">
        <w:t xml:space="preserve"> </w:t>
      </w:r>
      <w:r w:rsidR="00E10B78">
        <w:t>Jan Var</w:t>
      </w:r>
      <w:r w:rsidR="00AF4050">
        <w:t>hau</w:t>
      </w:r>
      <w:r w:rsidR="00E10B78">
        <w:t xml:space="preserve">g highlights that in the Hebrew </w:t>
      </w:r>
      <w:r w:rsidR="00282993">
        <w:t>B</w:t>
      </w:r>
      <w:r w:rsidR="00E10B78">
        <w:t xml:space="preserve">ible </w:t>
      </w:r>
      <w:r w:rsidR="00DC037B">
        <w:t xml:space="preserve">God looks more favourably on </w:t>
      </w:r>
      <w:r w:rsidR="00AF4050">
        <w:t>A</w:t>
      </w:r>
      <w:r w:rsidR="00DC037B">
        <w:t>bels offering of herds instead of Cains grain offering</w:t>
      </w:r>
      <w:r w:rsidR="000076A1">
        <w:t xml:space="preserve">, and Solomon was able to sacrifice one hundred and twenty thousand sheep </w:t>
      </w:r>
      <w:r w:rsidR="00AF4050">
        <w:t>when he consecrated the new temple.</w:t>
      </w:r>
      <w:r w:rsidR="00AF4050">
        <w:rPr>
          <w:rStyle w:val="FootnoteReference"/>
        </w:rPr>
        <w:footnoteReference w:id="15"/>
      </w:r>
      <w:r w:rsidR="00AF4050">
        <w:t xml:space="preserve"> </w:t>
      </w:r>
    </w:p>
    <w:p w14:paraId="22BEC815" w14:textId="37A807D2" w:rsidR="00BE5EDE" w:rsidRDefault="006253E2" w:rsidP="001A2D46">
      <w:r>
        <w:t xml:space="preserve">The </w:t>
      </w:r>
      <w:r w:rsidR="00DE007F">
        <w:t xml:space="preserve">imagery of ancient near east shepherd compared to modern western depictions of David is </w:t>
      </w:r>
      <w:r w:rsidR="00E11BEA">
        <w:t xml:space="preserve">at odds </w:t>
      </w:r>
      <w:r w:rsidR="00BE5EDE">
        <w:t xml:space="preserve">and provides a different way of understanding the story of David and the significance of his origins. </w:t>
      </w:r>
    </w:p>
    <w:p w14:paraId="2A8DEBDB" w14:textId="3983B180" w:rsidR="00C43CC7" w:rsidRDefault="004008B4" w:rsidP="001A2D46">
      <w:r>
        <w:t>David is first introduced in 1</w:t>
      </w:r>
      <w:r>
        <w:rPr>
          <w:vertAlign w:val="superscript"/>
        </w:rPr>
        <w:t xml:space="preserve"> </w:t>
      </w:r>
      <w:r>
        <w:t xml:space="preserve">Samuel chapter 16. </w:t>
      </w:r>
      <w:r w:rsidR="007A1AEC">
        <w:t xml:space="preserve">His significance is evident form the outset. </w:t>
      </w:r>
      <w:r w:rsidR="008B123B">
        <w:t xml:space="preserve">At the time of Davids introduction </w:t>
      </w:r>
      <w:r w:rsidR="007A1AEC">
        <w:t>Saul is still king, however</w:t>
      </w:r>
      <w:r w:rsidR="008B123B">
        <w:t xml:space="preserve"> Saul</w:t>
      </w:r>
      <w:r w:rsidR="007A1AEC">
        <w:t xml:space="preserve"> has been rejected by God</w:t>
      </w:r>
      <w:r w:rsidR="008B123B">
        <w:t xml:space="preserve">. God </w:t>
      </w:r>
      <w:r w:rsidR="00B162CC">
        <w:t>has provided for himself a king, and instructs Samuel to anoint him</w:t>
      </w:r>
      <w:r w:rsidR="00EE3A98">
        <w:t>, his name is not known at this passage</w:t>
      </w:r>
      <w:r w:rsidR="00BA37FB">
        <w:t>. Not only does God interrupt and reject Saul</w:t>
      </w:r>
      <w:r w:rsidR="006C7AB8">
        <w:t xml:space="preserve"> </w:t>
      </w:r>
      <w:r w:rsidR="00BA37FB">
        <w:t>rather than the lineage continue</w:t>
      </w:r>
      <w:r w:rsidR="006C7AB8">
        <w:t>,</w:t>
      </w:r>
      <w:r w:rsidR="00300F28">
        <w:t xml:space="preserve"> God interjects and provides a new king</w:t>
      </w:r>
      <w:r w:rsidR="006C7AB8">
        <w:t xml:space="preserve"> one chosen by God</w:t>
      </w:r>
      <w:r w:rsidR="00BC2107">
        <w:t xml:space="preserve"> himself</w:t>
      </w:r>
      <w:r w:rsidR="00300F28">
        <w:t>.</w:t>
      </w:r>
      <w:r w:rsidR="0016274F">
        <w:t>(</w:t>
      </w:r>
      <w:r w:rsidR="0016274F" w:rsidRPr="0016274F">
        <w:t xml:space="preserve"> </w:t>
      </w:r>
      <w:r w:rsidR="0016274F">
        <w:t>1 Sam 16:1</w:t>
      </w:r>
      <w:r w:rsidR="0016274F">
        <w:t xml:space="preserve">) </w:t>
      </w:r>
      <w:r w:rsidR="002265A0">
        <w:t xml:space="preserve">The importance of this notion is highlighted </w:t>
      </w:r>
      <w:r w:rsidR="00CD2924">
        <w:t xml:space="preserve">by </w:t>
      </w:r>
      <w:r w:rsidR="009109D7">
        <w:t xml:space="preserve">Mckenzie </w:t>
      </w:r>
      <w:r w:rsidR="00F03DD6">
        <w:t xml:space="preserve">in summing up the anointing </w:t>
      </w:r>
      <w:r w:rsidR="00D000AC">
        <w:t>and calling it candid.</w:t>
      </w:r>
      <w:r w:rsidR="000C5686">
        <w:rPr>
          <w:rStyle w:val="FootnoteReference"/>
        </w:rPr>
        <w:footnoteReference w:id="16"/>
      </w:r>
      <w:r w:rsidR="00D000AC">
        <w:t xml:space="preserve"> </w:t>
      </w:r>
      <w:r w:rsidR="00502954">
        <w:t xml:space="preserve">Mckenzie </w:t>
      </w:r>
      <w:r w:rsidR="00B907DB">
        <w:t xml:space="preserve">argues that David being a shepherd is more to do with his future role as leader, as opposed to any imagery of royalty or status </w:t>
      </w:r>
      <w:r w:rsidR="00CD2924">
        <w:t xml:space="preserve">that he possessed </w:t>
      </w:r>
      <w:r w:rsidR="00B907DB">
        <w:t xml:space="preserve">at the time. </w:t>
      </w:r>
      <w:r w:rsidR="00444E88">
        <w:t xml:space="preserve">The lowly status David held at the time is supported </w:t>
      </w:r>
      <w:r w:rsidR="003805A3">
        <w:t xml:space="preserve">where he is </w:t>
      </w:r>
      <w:r w:rsidR="009D5F83">
        <w:t xml:space="preserve">seemingly </w:t>
      </w:r>
      <w:r w:rsidR="00C67C3B">
        <w:t xml:space="preserve">mocked by his brother when he goes to watch a battle </w:t>
      </w:r>
      <w:r w:rsidR="009D5F83">
        <w:t>asking him who he had left his ‘few sheep’ with.</w:t>
      </w:r>
      <w:r w:rsidR="003C0CEF">
        <w:rPr>
          <w:rStyle w:val="FootnoteReference"/>
        </w:rPr>
        <w:footnoteReference w:id="17"/>
      </w:r>
      <w:r w:rsidR="009D5F83">
        <w:t xml:space="preserve"> </w:t>
      </w:r>
      <w:r w:rsidR="00787BC2">
        <w:t xml:space="preserve">He is then not someone who herds a large number of sheep due to </w:t>
      </w:r>
      <w:r w:rsidR="001055EF">
        <w:t>being part of a wealthy family, h</w:t>
      </w:r>
      <w:r w:rsidR="003C0CEF">
        <w:t xml:space="preserve">is role as s shepherd then is one of a status to </w:t>
      </w:r>
      <w:r w:rsidR="00787BC2">
        <w:t>be fulfilled</w:t>
      </w:r>
      <w:r w:rsidR="003C0CEF">
        <w:t xml:space="preserve">. </w:t>
      </w:r>
    </w:p>
    <w:p w14:paraId="085F5293" w14:textId="48929B2A" w:rsidR="0015016F" w:rsidRDefault="001055EF" w:rsidP="001A2D46">
      <w:r>
        <w:lastRenderedPageBreak/>
        <w:t>David’s</w:t>
      </w:r>
      <w:r w:rsidR="00C43CC7">
        <w:t xml:space="preserve"> character and position within the family is also of great significance. </w:t>
      </w:r>
      <w:r w:rsidR="00F24D00">
        <w:t xml:space="preserve">There are two records in which </w:t>
      </w:r>
      <w:r>
        <w:t>David’s</w:t>
      </w:r>
      <w:r w:rsidR="00F24D00">
        <w:t xml:space="preserve"> </w:t>
      </w:r>
      <w:r w:rsidR="00D72D9D">
        <w:t xml:space="preserve">siblings are mentioned apparently in full. The first being in </w:t>
      </w:r>
      <w:r w:rsidR="00D92003">
        <w:t>1 Samuel</w:t>
      </w:r>
      <w:r w:rsidR="007D1866">
        <w:t>,</w:t>
      </w:r>
    </w:p>
    <w:p w14:paraId="40A0E833" w14:textId="78D144AB" w:rsidR="0015016F" w:rsidRDefault="0015016F" w:rsidP="0088717B">
      <w:pPr>
        <w:ind w:left="720"/>
      </w:pPr>
      <w:r>
        <w:t xml:space="preserve">Now David was the son of an Ephrathite of Bethlehem in Judah, named Jesse, who had eight sons. In the days of </w:t>
      </w:r>
      <w:proofErr w:type="gramStart"/>
      <w:r>
        <w:t>Saul</w:t>
      </w:r>
      <w:proofErr w:type="gramEnd"/>
      <w:r>
        <w:t xml:space="preserve"> the man was already old and advanced in years. </w:t>
      </w:r>
      <w:r w:rsidR="007D1866">
        <w:t xml:space="preserve">(1 Sam17:12). </w:t>
      </w:r>
    </w:p>
    <w:p w14:paraId="19E5D403" w14:textId="7F470BF2" w:rsidR="00161356" w:rsidRDefault="00161356" w:rsidP="00161356">
      <w:r>
        <w:t>The second is recorded in 1 Chronicles</w:t>
      </w:r>
      <w:r w:rsidR="00AA2D30">
        <w:t xml:space="preserve">, </w:t>
      </w:r>
    </w:p>
    <w:p w14:paraId="642C19AD" w14:textId="253DDCF8" w:rsidR="00AA2D30" w:rsidRDefault="00AA2D30" w:rsidP="00AA2D30">
      <w:pPr>
        <w:ind w:left="720"/>
      </w:pPr>
      <w:r>
        <w:t xml:space="preserve">Jesse became the father of Eliab his firstborn, Abinadab the second, </w:t>
      </w:r>
      <w:proofErr w:type="spellStart"/>
      <w:r>
        <w:t>Shimea</w:t>
      </w:r>
      <w:proofErr w:type="spellEnd"/>
      <w:r>
        <w:t xml:space="preserve"> the third, </w:t>
      </w:r>
      <w:r w:rsidR="006232A1">
        <w:t>Nethanel the fourth, Raddai the fifth, Ozem the sixth, David the seventh, (1 Chron 2:13-15)</w:t>
      </w:r>
    </w:p>
    <w:p w14:paraId="423D822C" w14:textId="12C41C30" w:rsidR="004A53D6" w:rsidRDefault="003B6FF7" w:rsidP="001A2D46">
      <w:r>
        <w:t xml:space="preserve">Samuel is instructed to locate Jesse, he is not instructed as to which of </w:t>
      </w:r>
      <w:proofErr w:type="gramStart"/>
      <w:r>
        <w:t>Jesse</w:t>
      </w:r>
      <w:proofErr w:type="gramEnd"/>
      <w:r>
        <w:t xml:space="preserve"> sons to anoint, but to simply go and find him. Jesse is recorded as having either seven or eight sons. There are two accounts, both are agued to be correct </w:t>
      </w:r>
      <w:r w:rsidR="006719DF">
        <w:t xml:space="preserve">in that the Samuel account of Davids siblings could be read as David being the seventh, </w:t>
      </w:r>
      <w:r w:rsidR="00044D69">
        <w:t xml:space="preserve">which would then </w:t>
      </w:r>
      <w:r w:rsidR="00FE063C">
        <w:t>corelate</w:t>
      </w:r>
      <w:r w:rsidR="00044D69">
        <w:t xml:space="preserve"> with the genealogy recorded in first chronicles.</w:t>
      </w:r>
      <w:r w:rsidR="00044D69">
        <w:rPr>
          <w:rStyle w:val="FootnoteReference"/>
        </w:rPr>
        <w:footnoteReference w:id="18"/>
      </w:r>
      <w:r w:rsidR="00044D69">
        <w:t xml:space="preserve"> </w:t>
      </w:r>
      <w:r w:rsidR="004A53D6">
        <w:t>The narrative continues with Jesse presenting his sons and Samuel</w:t>
      </w:r>
      <w:r w:rsidR="00C4649C">
        <w:t xml:space="preserve"> reject</w:t>
      </w:r>
      <w:r w:rsidR="00FE063C">
        <w:t>ing</w:t>
      </w:r>
      <w:r w:rsidR="00C4649C">
        <w:t xml:space="preserve"> the seven sons presented to him </w:t>
      </w:r>
      <w:r w:rsidR="00155F94">
        <w:t xml:space="preserve">following instruction of the Lord. </w:t>
      </w:r>
    </w:p>
    <w:p w14:paraId="1B15BC29" w14:textId="013FDFF5" w:rsidR="004008B4" w:rsidRDefault="004A53D6" w:rsidP="001A2D46">
      <w:r>
        <w:t xml:space="preserve">It is contended that the number of sons is significant, for the number seven </w:t>
      </w:r>
      <w:r w:rsidR="006074DC">
        <w:t xml:space="preserve">in ancient thought is </w:t>
      </w:r>
      <w:r w:rsidR="00872927">
        <w:t>that the seventh son would be considered special and favoured.</w:t>
      </w:r>
      <w:r w:rsidR="00D86F9D">
        <w:rPr>
          <w:rStyle w:val="FootnoteReference"/>
        </w:rPr>
        <w:footnoteReference w:id="19"/>
      </w:r>
      <w:r w:rsidR="00872927">
        <w:t xml:space="preserve"> This would marry with the idea of David bein</w:t>
      </w:r>
      <w:r w:rsidR="00D86F9D">
        <w:t>g</w:t>
      </w:r>
      <w:r w:rsidR="00872927">
        <w:t xml:space="preserve"> special not only because of the amount that he is referenced in biblical work but again as he is chosen by God. </w:t>
      </w:r>
      <w:r w:rsidR="00D86F9D">
        <w:t>There are those scholars who then conten</w:t>
      </w:r>
      <w:r w:rsidR="00573B3E">
        <w:t>d</w:t>
      </w:r>
      <w:r w:rsidR="00D86F9D">
        <w:t xml:space="preserve"> that th</w:t>
      </w:r>
      <w:r w:rsidR="0028477C">
        <w:t>ere are in fact eight male siblings, if this were to be the case then this narrative</w:t>
      </w:r>
      <w:r w:rsidR="00573B3E">
        <w:t xml:space="preserve"> also</w:t>
      </w:r>
      <w:r w:rsidR="0028477C">
        <w:t xml:space="preserve"> would fit the </w:t>
      </w:r>
      <w:r w:rsidR="00573B3E">
        <w:t xml:space="preserve">story of </w:t>
      </w:r>
      <w:r w:rsidR="0028477C">
        <w:t xml:space="preserve">David being </w:t>
      </w:r>
      <w:r w:rsidR="00573B3E">
        <w:t>of</w:t>
      </w:r>
      <w:r w:rsidR="0028477C">
        <w:t xml:space="preserve"> humble </w:t>
      </w:r>
      <w:r w:rsidR="00CC562A">
        <w:t>beginnings</w:t>
      </w:r>
      <w:r w:rsidR="0028477C">
        <w:t>, and God favouring those who are of humble background.</w:t>
      </w:r>
      <w:r w:rsidR="0028477C">
        <w:rPr>
          <w:rStyle w:val="FootnoteReference"/>
        </w:rPr>
        <w:footnoteReference w:id="20"/>
      </w:r>
      <w:r w:rsidR="00D86F9D">
        <w:t xml:space="preserve"> </w:t>
      </w:r>
      <w:r w:rsidR="003569A5">
        <w:t>Paul Borgman contends that when Samuel attends to Jesse in search of the next king to anoint that David is an afterthought, and continues with the idea of David being the eighth male</w:t>
      </w:r>
      <w:r w:rsidR="004645EA">
        <w:t>, sitting outside the perfect Hebrew number of seven.</w:t>
      </w:r>
      <w:r w:rsidR="004645EA">
        <w:rPr>
          <w:rStyle w:val="FootnoteReference"/>
        </w:rPr>
        <w:footnoteReference w:id="21"/>
      </w:r>
      <w:r w:rsidR="004645EA">
        <w:t xml:space="preserve"> </w:t>
      </w:r>
      <w:r w:rsidR="0028477C">
        <w:t>Either way the number of siblings which David had forms an important part of his narrative and</w:t>
      </w:r>
      <w:r w:rsidR="00036275">
        <w:t xml:space="preserve"> character for him to later become king. </w:t>
      </w:r>
      <w:r w:rsidR="00155F94">
        <w:t xml:space="preserve">For the reader </w:t>
      </w:r>
      <w:r w:rsidR="00036275">
        <w:t xml:space="preserve">then </w:t>
      </w:r>
      <w:r w:rsidR="00155F94">
        <w:t>it make</w:t>
      </w:r>
      <w:r w:rsidR="00000746">
        <w:t>s</w:t>
      </w:r>
      <w:r w:rsidR="00155F94">
        <w:t xml:space="preserve"> sense that the last remaining son </w:t>
      </w:r>
      <w:r w:rsidR="00036275">
        <w:t xml:space="preserve">seventh or eighth </w:t>
      </w:r>
      <w:r w:rsidR="00155F94">
        <w:t xml:space="preserve">is the one to be chosen, </w:t>
      </w:r>
      <w:r w:rsidR="00036275">
        <w:t>especially when it is</w:t>
      </w:r>
      <w:r w:rsidR="005F7E8F">
        <w:t xml:space="preserve"> read</w:t>
      </w:r>
      <w:r w:rsidR="00036275">
        <w:t xml:space="preserve"> with the understanding </w:t>
      </w:r>
      <w:r w:rsidR="005F7E8F">
        <w:t>of</w:t>
      </w:r>
      <w:r w:rsidR="00036275">
        <w:t xml:space="preserve"> shepherd imagery</w:t>
      </w:r>
      <w:r w:rsidR="00CE2135">
        <w:t>.</w:t>
      </w:r>
      <w:r w:rsidR="00036275">
        <w:t xml:space="preserve"> Davids character </w:t>
      </w:r>
      <w:r w:rsidR="00A738AD">
        <w:t>prior to his anointing is one that foreshadows his future.</w:t>
      </w:r>
      <w:r w:rsidR="00CC562A">
        <w:rPr>
          <w:rStyle w:val="FootnoteReference"/>
        </w:rPr>
        <w:footnoteReference w:id="22"/>
      </w:r>
      <w:r w:rsidR="00A738AD">
        <w:t xml:space="preserve"> </w:t>
      </w:r>
    </w:p>
    <w:p w14:paraId="165F31B8" w14:textId="27A6013F" w:rsidR="002D1D68" w:rsidRDefault="002D1D68" w:rsidP="001A2D46">
      <w:r>
        <w:t xml:space="preserve">Continuing with Davids early narrative foreshadowing his future and returning to the story of David and Goliath. </w:t>
      </w:r>
      <w:r w:rsidR="00823A6B">
        <w:t xml:space="preserve">David in this story picks five stones, his selection of five stones however does not </w:t>
      </w:r>
      <w:r w:rsidR="004F339A">
        <w:t>align with the presentation of his confidence in his God to be with him when facing Goliath.</w:t>
      </w:r>
      <w:r w:rsidR="004F339A">
        <w:rPr>
          <w:rStyle w:val="FootnoteReference"/>
        </w:rPr>
        <w:footnoteReference w:id="23"/>
      </w:r>
      <w:r w:rsidR="004F339A">
        <w:t xml:space="preserve"> Questions remain as to why he selected five stones. </w:t>
      </w:r>
      <w:r w:rsidR="00DD6D7F">
        <w:t xml:space="preserve">There are however answers that may be provided in </w:t>
      </w:r>
      <w:r w:rsidR="003661A0">
        <w:t xml:space="preserve">respect of this selection. </w:t>
      </w:r>
      <w:r w:rsidR="00E01190">
        <w:t xml:space="preserve">The answers again come in respect of what David is attributed with later in </w:t>
      </w:r>
      <w:r w:rsidR="00E01190">
        <w:lastRenderedPageBreak/>
        <w:t xml:space="preserve">his narrative. </w:t>
      </w:r>
      <w:r w:rsidR="00EC1389">
        <w:t xml:space="preserve">David late in his career is attributed with killing a further four </w:t>
      </w:r>
      <w:r w:rsidR="00524929">
        <w:t>‘giants’</w:t>
      </w:r>
      <w:r w:rsidR="006C6D6E">
        <w:t>, relatives of Goliath whom he had first defeated</w:t>
      </w:r>
      <w:r w:rsidR="00524929">
        <w:t>.</w:t>
      </w:r>
      <w:r w:rsidR="00A62045">
        <w:rPr>
          <w:rStyle w:val="FootnoteReference"/>
        </w:rPr>
        <w:footnoteReference w:id="24"/>
      </w:r>
      <w:r w:rsidR="00524929">
        <w:t xml:space="preserve"> </w:t>
      </w:r>
    </w:p>
    <w:p w14:paraId="7E6869C2" w14:textId="03EB1F8B" w:rsidR="002830B1" w:rsidRDefault="00913754" w:rsidP="001A2D46">
      <w:r>
        <w:t xml:space="preserve">To conclude, David is not only an important figure within the </w:t>
      </w:r>
      <w:r w:rsidR="00041FF5">
        <w:t xml:space="preserve">Hebrew texts, he </w:t>
      </w:r>
      <w:r w:rsidR="00904B17">
        <w:t>is</w:t>
      </w:r>
      <w:r w:rsidR="00041FF5">
        <w:t xml:space="preserve"> an important figure from the outset</w:t>
      </w:r>
      <w:r w:rsidR="00904B17">
        <w:t xml:space="preserve"> prior to any texts being recorded of him</w:t>
      </w:r>
      <w:r w:rsidR="00041FF5">
        <w:t xml:space="preserve">. While some attribute </w:t>
      </w:r>
      <w:r w:rsidR="00AE5ADC">
        <w:t xml:space="preserve">his characteristics recorded in the Bible to being </w:t>
      </w:r>
      <w:r w:rsidR="00C23D12">
        <w:t>metaphorical rather than historically correct, which ever be the case, the notion is still the same</w:t>
      </w:r>
      <w:r w:rsidR="002D1D68">
        <w:t>. David is a historical figure</w:t>
      </w:r>
      <w:r w:rsidR="00D12055">
        <w:t xml:space="preserve"> a figure whose narrative is one that </w:t>
      </w:r>
      <w:r w:rsidR="00D660F9">
        <w:t>is recorded to convey his importance</w:t>
      </w:r>
      <w:r w:rsidR="002D1D68">
        <w:t>.</w:t>
      </w:r>
      <w:r w:rsidR="002D1D68">
        <w:rPr>
          <w:rStyle w:val="FootnoteReference"/>
        </w:rPr>
        <w:footnoteReference w:id="25"/>
      </w:r>
      <w:r w:rsidR="002D1D68">
        <w:t xml:space="preserve"> </w:t>
      </w:r>
      <w:r w:rsidR="00D660F9">
        <w:t>David</w:t>
      </w:r>
      <w:r w:rsidR="00DE5DB8">
        <w:t>’</w:t>
      </w:r>
      <w:r w:rsidR="00D660F9">
        <w:t>s importance begins with him being</w:t>
      </w:r>
      <w:r w:rsidR="00C23D12">
        <w:t xml:space="preserve"> chosen by God</w:t>
      </w:r>
      <w:r w:rsidR="001B1D19">
        <w:t xml:space="preserve"> </w:t>
      </w:r>
      <w:r w:rsidR="00157E80">
        <w:t>before Samuel was instructed to anoint him. Davids position within the family</w:t>
      </w:r>
      <w:r w:rsidR="001B1D19">
        <w:t xml:space="preserve">, </w:t>
      </w:r>
      <w:r w:rsidR="001B18DA">
        <w:t>his responsibilities</w:t>
      </w:r>
      <w:r w:rsidR="001B1D19">
        <w:t xml:space="preserve"> and his choices</w:t>
      </w:r>
      <w:r w:rsidR="001B18DA">
        <w:t xml:space="preserve"> </w:t>
      </w:r>
      <w:r w:rsidR="00A96E76">
        <w:t xml:space="preserve">are all crucial to understanding his role </w:t>
      </w:r>
      <w:r w:rsidR="001B1D19">
        <w:t xml:space="preserve">later </w:t>
      </w:r>
      <w:r w:rsidR="00A96E76">
        <w:t>within the Hebrew texts</w:t>
      </w:r>
      <w:r w:rsidR="00844CFF">
        <w:t xml:space="preserve">. </w:t>
      </w:r>
      <w:r w:rsidR="00480F08">
        <w:t xml:space="preserve">In particular the story of David and Goliath is one that is introduced to highlight Davids might and his anointing by God. </w:t>
      </w:r>
      <w:r w:rsidR="00BB57EA">
        <w:t xml:space="preserve">Goliath being </w:t>
      </w:r>
      <w:r w:rsidR="00863B19">
        <w:t>referred</w:t>
      </w:r>
      <w:r w:rsidR="00BB57EA">
        <w:t xml:space="preserve"> to as ‘the philistine’ is </w:t>
      </w:r>
      <w:r w:rsidR="00863B19">
        <w:t xml:space="preserve">an </w:t>
      </w:r>
      <w:r w:rsidR="00A95A40">
        <w:t>intent</w:t>
      </w:r>
      <w:r w:rsidR="00863B19">
        <w:t xml:space="preserve"> from the author to remove </w:t>
      </w:r>
      <w:r w:rsidR="00A95A40">
        <w:t>Goliaths</w:t>
      </w:r>
      <w:r w:rsidR="00863B19">
        <w:t xml:space="preserve"> significance in order to highlight Davids instead.</w:t>
      </w:r>
      <w:r w:rsidR="00957508">
        <w:rPr>
          <w:rStyle w:val="FootnoteReference"/>
        </w:rPr>
        <w:footnoteReference w:id="26"/>
      </w:r>
      <w:r w:rsidR="00863B19">
        <w:t xml:space="preserve"> If the story wasn’t enough to capture the reader</w:t>
      </w:r>
      <w:r w:rsidR="00957508">
        <w:t xml:space="preserve">, the author makes sure that </w:t>
      </w:r>
      <w:r w:rsidR="00DE5DB8">
        <w:t>David’s</w:t>
      </w:r>
      <w:r w:rsidR="00957508">
        <w:t xml:space="preserve"> importance prevails through </w:t>
      </w:r>
      <w:r w:rsidR="009A3382">
        <w:t>minor details such as leaving Goliath nameless in parts.</w:t>
      </w:r>
      <w:r w:rsidR="003B6DFC">
        <w:t xml:space="preserve"> (1 Sam 17:15-51.)</w:t>
      </w:r>
      <w:r w:rsidR="00957508">
        <w:t xml:space="preserve"> </w:t>
      </w:r>
      <w:r w:rsidR="00DE5DB8">
        <w:t xml:space="preserve">His introduction to the Hebrew texts is a small section of Davids Narrative, however </w:t>
      </w:r>
      <w:r w:rsidR="004E544D">
        <w:t xml:space="preserve">as evidenced, there are parts to his introduction that are key to understanding </w:t>
      </w:r>
      <w:r w:rsidR="00C375B5">
        <w:t xml:space="preserve">the reason he becomes significant. </w:t>
      </w:r>
    </w:p>
    <w:p w14:paraId="1CA5F47F" w14:textId="58EDA57B" w:rsidR="0089007D" w:rsidRDefault="0089007D" w:rsidP="001A2D46">
      <w:r>
        <w:t xml:space="preserve">During the writing of this </w:t>
      </w:r>
      <w:r w:rsidR="000B6AAD">
        <w:t>discussion,</w:t>
      </w:r>
      <w:r>
        <w:t xml:space="preserve"> I have not used any AI, all references and sources are recorded within the </w:t>
      </w:r>
      <w:r w:rsidR="00A96383">
        <w:t>b</w:t>
      </w:r>
      <w:r>
        <w:t xml:space="preserve">ibliography. </w:t>
      </w:r>
    </w:p>
    <w:p w14:paraId="6392D384" w14:textId="36162126" w:rsidR="002830B1" w:rsidRPr="0089007D" w:rsidRDefault="0089007D" w:rsidP="001A2D46">
      <w:pPr>
        <w:rPr>
          <w:i/>
          <w:iCs/>
        </w:rPr>
      </w:pPr>
      <w:r>
        <w:tab/>
      </w:r>
      <w:r>
        <w:tab/>
      </w:r>
      <w:r>
        <w:tab/>
      </w:r>
      <w:r>
        <w:tab/>
      </w:r>
      <w:r>
        <w:tab/>
      </w:r>
      <w:r>
        <w:tab/>
      </w:r>
      <w:r>
        <w:tab/>
      </w:r>
      <w:r>
        <w:tab/>
      </w:r>
      <w:r>
        <w:tab/>
      </w:r>
      <w:r>
        <w:tab/>
      </w:r>
      <w:r>
        <w:rPr>
          <w:i/>
          <w:iCs/>
        </w:rPr>
        <w:t>Word Count 1861</w:t>
      </w:r>
    </w:p>
    <w:p w14:paraId="6A5AB60F" w14:textId="34C04065" w:rsidR="00851031" w:rsidRDefault="00851031" w:rsidP="001A2D46"/>
    <w:p w14:paraId="73874508" w14:textId="77777777" w:rsidR="00851031" w:rsidRDefault="00851031" w:rsidP="001A2D46"/>
    <w:p w14:paraId="23340749" w14:textId="77777777" w:rsidR="004063E1" w:rsidRDefault="004063E1" w:rsidP="001A2D46"/>
    <w:p w14:paraId="1E880941" w14:textId="77777777" w:rsidR="00DC07D2" w:rsidRDefault="00DC07D2" w:rsidP="001A2D46"/>
    <w:p w14:paraId="650FA66C" w14:textId="77777777" w:rsidR="00DC07D2" w:rsidRDefault="00DC07D2" w:rsidP="001A2D46"/>
    <w:p w14:paraId="08781B29" w14:textId="77777777" w:rsidR="00DC07D2" w:rsidRDefault="00DC07D2" w:rsidP="001A2D46"/>
    <w:p w14:paraId="065BEBBD" w14:textId="77777777" w:rsidR="0009313C" w:rsidRDefault="0009313C" w:rsidP="001A2D46"/>
    <w:p w14:paraId="4FC34076" w14:textId="77777777" w:rsidR="00A62045" w:rsidRDefault="00A62045" w:rsidP="001A2D46"/>
    <w:p w14:paraId="02EB85B7" w14:textId="77777777" w:rsidR="00A62045" w:rsidRDefault="00A62045" w:rsidP="001A2D46"/>
    <w:p w14:paraId="5597CBE0" w14:textId="77777777" w:rsidR="00A62045" w:rsidRDefault="00A62045" w:rsidP="001A2D46"/>
    <w:p w14:paraId="74E0533C" w14:textId="77777777" w:rsidR="00B45276" w:rsidRDefault="00B45276" w:rsidP="001A2D46"/>
    <w:p w14:paraId="73641D5D" w14:textId="77777777" w:rsidR="000B6AAD" w:rsidRDefault="000B6AAD" w:rsidP="001A2D46"/>
    <w:p w14:paraId="014F038C" w14:textId="77777777" w:rsidR="00B45276" w:rsidRDefault="00B45276" w:rsidP="001A2D46"/>
    <w:p w14:paraId="1558DE6E" w14:textId="31D68E02" w:rsidR="00851031" w:rsidRDefault="001E342E" w:rsidP="001A2D46">
      <w:r>
        <w:lastRenderedPageBreak/>
        <w:t>Bi</w:t>
      </w:r>
      <w:r w:rsidR="00A96383">
        <w:t>bli</w:t>
      </w:r>
      <w:r>
        <w:t>ography:</w:t>
      </w:r>
    </w:p>
    <w:p w14:paraId="55E2A13F" w14:textId="77777777" w:rsidR="00B45276" w:rsidRDefault="00B45276" w:rsidP="001A2D46"/>
    <w:p w14:paraId="1FFC9CE4" w14:textId="37C0EF7A" w:rsidR="00B45276" w:rsidRDefault="00B45276" w:rsidP="001A2D46">
      <w:r>
        <w:t>Borgman,</w:t>
      </w:r>
      <w:r>
        <w:t xml:space="preserve"> Paul,</w:t>
      </w:r>
      <w:r>
        <w:t xml:space="preserve"> </w:t>
      </w:r>
      <w:r>
        <w:rPr>
          <w:i/>
          <w:iCs/>
        </w:rPr>
        <w:t xml:space="preserve">David, Saul </w:t>
      </w:r>
      <w:proofErr w:type="gramStart"/>
      <w:r>
        <w:rPr>
          <w:i/>
          <w:iCs/>
        </w:rPr>
        <w:t>And</w:t>
      </w:r>
      <w:proofErr w:type="gramEnd"/>
      <w:r>
        <w:rPr>
          <w:i/>
          <w:iCs/>
        </w:rPr>
        <w:t xml:space="preserve"> God: Rediscovering </w:t>
      </w:r>
      <w:proofErr w:type="gramStart"/>
      <w:r>
        <w:rPr>
          <w:i/>
          <w:iCs/>
        </w:rPr>
        <w:t>An</w:t>
      </w:r>
      <w:proofErr w:type="gramEnd"/>
      <w:r>
        <w:rPr>
          <w:i/>
          <w:iCs/>
        </w:rPr>
        <w:t xml:space="preserve"> Ancient Story, </w:t>
      </w:r>
      <w:r>
        <w:t xml:space="preserve">(New York, Oxford Academic 2008) </w:t>
      </w:r>
    </w:p>
    <w:p w14:paraId="4FE130C5" w14:textId="77777777" w:rsidR="008A2554" w:rsidRDefault="008A2554" w:rsidP="001A2D46"/>
    <w:p w14:paraId="0F910FA6" w14:textId="5BBFF989" w:rsidR="008A2554" w:rsidRDefault="008A2554" w:rsidP="001A2D46">
      <w:r>
        <w:t xml:space="preserve">Exum, </w:t>
      </w:r>
      <w:r>
        <w:t xml:space="preserve">J. Cheryl, </w:t>
      </w:r>
      <w:r>
        <w:rPr>
          <w:i/>
          <w:iCs/>
        </w:rPr>
        <w:t xml:space="preserve">Tragedy </w:t>
      </w:r>
      <w:proofErr w:type="gramStart"/>
      <w:r>
        <w:rPr>
          <w:i/>
          <w:iCs/>
        </w:rPr>
        <w:t>And</w:t>
      </w:r>
      <w:proofErr w:type="gramEnd"/>
      <w:r>
        <w:rPr>
          <w:i/>
          <w:iCs/>
        </w:rPr>
        <w:t xml:space="preserve"> Biblical Narrative, </w:t>
      </w:r>
      <w:r>
        <w:t>(Cambridge University Press 1992)</w:t>
      </w:r>
    </w:p>
    <w:p w14:paraId="6D80B901" w14:textId="77777777" w:rsidR="001E342E" w:rsidRDefault="001E342E" w:rsidP="001A2D46"/>
    <w:p w14:paraId="5491CE32" w14:textId="04424403" w:rsidR="001E342E" w:rsidRDefault="001E342E" w:rsidP="001A2D46">
      <w:r w:rsidRPr="00F30677">
        <w:t>Isbell,</w:t>
      </w:r>
      <w:r>
        <w:t xml:space="preserve"> C. D.</w:t>
      </w:r>
      <w:r w:rsidRPr="00F30677">
        <w:t xml:space="preserve"> </w:t>
      </w:r>
      <w:r>
        <w:t>‘</w:t>
      </w:r>
      <w:r w:rsidRPr="00F30677">
        <w:t>A biblical Midrash on David and Goliath,</w:t>
      </w:r>
      <w:r>
        <w:t>’</w:t>
      </w:r>
      <w:r w:rsidRPr="00F30677">
        <w:t xml:space="preserve"> </w:t>
      </w:r>
      <w:r w:rsidRPr="00F30677">
        <w:rPr>
          <w:i/>
          <w:iCs/>
        </w:rPr>
        <w:t xml:space="preserve">Scandinavian journal of the Old </w:t>
      </w:r>
      <w:proofErr w:type="gramStart"/>
      <w:r w:rsidRPr="00F30677">
        <w:rPr>
          <w:i/>
          <w:iCs/>
        </w:rPr>
        <w:t>Testament :</w:t>
      </w:r>
      <w:proofErr w:type="gramEnd"/>
      <w:r w:rsidRPr="00F30677">
        <w:rPr>
          <w:i/>
          <w:iCs/>
        </w:rPr>
        <w:t xml:space="preserve"> </w:t>
      </w:r>
      <w:r w:rsidRPr="00DC07D2">
        <w:t>(2006)</w:t>
      </w:r>
      <w:r>
        <w:rPr>
          <w:i/>
          <w:iCs/>
        </w:rPr>
        <w:t xml:space="preserve"> </w:t>
      </w:r>
      <w:r w:rsidRPr="00F30677">
        <w:rPr>
          <w:i/>
          <w:iCs/>
        </w:rPr>
        <w:t>SJOT</w:t>
      </w:r>
      <w:r w:rsidRPr="00F30677">
        <w:t xml:space="preserve">, 20(2), </w:t>
      </w:r>
      <w:r>
        <w:t xml:space="preserve">(206) </w:t>
      </w:r>
      <w:r w:rsidRPr="00F30677">
        <w:t>pp. 259–263</w:t>
      </w:r>
      <w:r>
        <w:t>. &lt;</w:t>
      </w:r>
      <w:hyperlink r:id="rId6" w:history="1">
        <w:r w:rsidRPr="00C83775">
          <w:rPr>
            <w:rStyle w:val="Hyperlink"/>
          </w:rPr>
          <w:t>https://doi.org/10.1080/09018320601049516</w:t>
        </w:r>
      </w:hyperlink>
      <w:r>
        <w:t>&gt;.</w:t>
      </w:r>
    </w:p>
    <w:p w14:paraId="2E6B7713" w14:textId="77777777" w:rsidR="008A2554" w:rsidRDefault="008A2554" w:rsidP="001A2D46"/>
    <w:p w14:paraId="031E262F" w14:textId="18BA4F46" w:rsidR="008A2554" w:rsidRDefault="008A2554" w:rsidP="001A2D46">
      <w:r>
        <w:t>Kelle</w:t>
      </w:r>
      <w:r>
        <w:t>,</w:t>
      </w:r>
      <w:r>
        <w:t xml:space="preserve"> </w:t>
      </w:r>
      <w:r>
        <w:t xml:space="preserve">Brad E. </w:t>
      </w:r>
      <w:r>
        <w:t xml:space="preserve">and Brent A Strawn, </w:t>
      </w:r>
      <w:r>
        <w:rPr>
          <w:i/>
          <w:iCs/>
        </w:rPr>
        <w:t xml:space="preserve">The Oxford Handbook </w:t>
      </w:r>
      <w:proofErr w:type="gramStart"/>
      <w:r>
        <w:rPr>
          <w:i/>
          <w:iCs/>
        </w:rPr>
        <w:t>Of</w:t>
      </w:r>
      <w:proofErr w:type="gramEnd"/>
      <w:r>
        <w:rPr>
          <w:i/>
          <w:iCs/>
        </w:rPr>
        <w:t xml:space="preserve"> </w:t>
      </w:r>
      <w:proofErr w:type="gramStart"/>
      <w:r>
        <w:rPr>
          <w:i/>
          <w:iCs/>
        </w:rPr>
        <w:t>The</w:t>
      </w:r>
      <w:proofErr w:type="gramEnd"/>
      <w:r>
        <w:rPr>
          <w:i/>
          <w:iCs/>
        </w:rPr>
        <w:t xml:space="preserve"> Historical Books </w:t>
      </w:r>
      <w:proofErr w:type="gramStart"/>
      <w:r>
        <w:rPr>
          <w:i/>
          <w:iCs/>
        </w:rPr>
        <w:t>Of</w:t>
      </w:r>
      <w:proofErr w:type="gramEnd"/>
      <w:r>
        <w:rPr>
          <w:i/>
          <w:iCs/>
        </w:rPr>
        <w:t xml:space="preserve"> </w:t>
      </w:r>
      <w:proofErr w:type="gramStart"/>
      <w:r>
        <w:rPr>
          <w:i/>
          <w:iCs/>
        </w:rPr>
        <w:t>The</w:t>
      </w:r>
      <w:proofErr w:type="gramEnd"/>
      <w:r>
        <w:rPr>
          <w:i/>
          <w:iCs/>
        </w:rPr>
        <w:t xml:space="preserve"> Hebrew Bible,</w:t>
      </w:r>
      <w:r>
        <w:t xml:space="preserve"> (Oxford University Press 2020), p. 497.</w:t>
      </w:r>
    </w:p>
    <w:p w14:paraId="6B8FADAD" w14:textId="77777777" w:rsidR="008A2554" w:rsidRDefault="008A2554" w:rsidP="001A2D46"/>
    <w:p w14:paraId="7E287FBB" w14:textId="168A4799" w:rsidR="00344B4D" w:rsidRDefault="00344B4D" w:rsidP="001A2D46">
      <w:r w:rsidRPr="002955A2">
        <w:t>Lundsten</w:t>
      </w:r>
      <w:r>
        <w:t xml:space="preserve"> </w:t>
      </w:r>
      <w:r>
        <w:t xml:space="preserve">D. P., </w:t>
      </w:r>
      <w:r>
        <w:t xml:space="preserve">and </w:t>
      </w:r>
      <w:r w:rsidRPr="002955A2">
        <w:t>L.</w:t>
      </w:r>
      <w:r>
        <w:t xml:space="preserve"> Brennan ‘</w:t>
      </w:r>
      <w:r w:rsidRPr="002955A2">
        <w:t xml:space="preserve">Walmart vs. Festival Foods—David and </w:t>
      </w:r>
      <w:proofErr w:type="gramStart"/>
      <w:r w:rsidRPr="002955A2">
        <w:t>Goliath?,</w:t>
      </w:r>
      <w:proofErr w:type="gramEnd"/>
      <w:r>
        <w:t>’</w:t>
      </w:r>
      <w:r w:rsidRPr="002955A2">
        <w:t xml:space="preserve"> </w:t>
      </w:r>
      <w:r w:rsidRPr="002955A2">
        <w:rPr>
          <w:i/>
          <w:iCs/>
        </w:rPr>
        <w:t>Journal of real estate practice and education</w:t>
      </w:r>
      <w:r w:rsidRPr="002955A2">
        <w:t xml:space="preserve">, 15(1), </w:t>
      </w:r>
      <w:r>
        <w:t xml:space="preserve">(2012) </w:t>
      </w:r>
      <w:r w:rsidRPr="002955A2">
        <w:t>pp. 43–54</w:t>
      </w:r>
      <w:r>
        <w:t>, &lt;</w:t>
      </w:r>
      <w:r w:rsidRPr="002955A2">
        <w:t>https://doi.org/10.1080/10835547.2012.12091705</w:t>
      </w:r>
      <w:r>
        <w:t>&gt;</w:t>
      </w:r>
      <w:r w:rsidRPr="002955A2">
        <w:t>.</w:t>
      </w:r>
    </w:p>
    <w:p w14:paraId="41529928" w14:textId="77777777" w:rsidR="00344B4D" w:rsidRDefault="00344B4D" w:rsidP="001A2D46"/>
    <w:p w14:paraId="03034B25" w14:textId="5A15FB58" w:rsidR="00410337" w:rsidRDefault="00410337" w:rsidP="00410337">
      <w:r w:rsidRPr="00410337">
        <w:t xml:space="preserve">McKenzie, S.L. (2024) </w:t>
      </w:r>
      <w:r w:rsidRPr="00410337">
        <w:rPr>
          <w:i/>
          <w:iCs/>
        </w:rPr>
        <w:t xml:space="preserve">King </w:t>
      </w:r>
      <w:proofErr w:type="gramStart"/>
      <w:r w:rsidRPr="00410337">
        <w:rPr>
          <w:i/>
          <w:iCs/>
        </w:rPr>
        <w:t>David :</w:t>
      </w:r>
      <w:proofErr w:type="gramEnd"/>
      <w:r w:rsidRPr="00410337">
        <w:rPr>
          <w:i/>
          <w:iCs/>
        </w:rPr>
        <w:t xml:space="preserve"> a biography</w:t>
      </w:r>
      <w:r w:rsidRPr="00410337">
        <w:t xml:space="preserve">. 1st ed. New </w:t>
      </w:r>
      <w:proofErr w:type="gramStart"/>
      <w:r w:rsidRPr="00410337">
        <w:t>York ;</w:t>
      </w:r>
      <w:proofErr w:type="gramEnd"/>
      <w:r w:rsidRPr="00410337">
        <w:t xml:space="preserve"> Oxford University Press.  </w:t>
      </w:r>
      <w:hyperlink r:id="rId7" w:history="1">
        <w:r w:rsidR="008A2554" w:rsidRPr="00C83775">
          <w:rPr>
            <w:rStyle w:val="Hyperlink"/>
          </w:rPr>
          <w:t>https://doi.org/10.1093/oso/9780195132731.001.0001</w:t>
        </w:r>
      </w:hyperlink>
      <w:r w:rsidRPr="00410337">
        <w:t>.</w:t>
      </w:r>
    </w:p>
    <w:p w14:paraId="3426B4D4" w14:textId="77777777" w:rsidR="008A2554" w:rsidRDefault="008A2554" w:rsidP="00410337"/>
    <w:p w14:paraId="5DE0965D" w14:textId="4D89BDCA" w:rsidR="008A2554" w:rsidRPr="008A2554" w:rsidRDefault="008A2554" w:rsidP="008A2554">
      <w:pPr>
        <w:pStyle w:val="FootnoteText"/>
        <w:rPr>
          <w:sz w:val="22"/>
          <w:szCs w:val="22"/>
        </w:rPr>
      </w:pPr>
      <w:r w:rsidRPr="008A2554">
        <w:rPr>
          <w:sz w:val="22"/>
          <w:szCs w:val="22"/>
        </w:rPr>
        <w:t xml:space="preserve">Orben, </w:t>
      </w:r>
      <w:r w:rsidRPr="008A2554">
        <w:rPr>
          <w:sz w:val="22"/>
          <w:szCs w:val="22"/>
        </w:rPr>
        <w:t xml:space="preserve">A, </w:t>
      </w:r>
      <w:r w:rsidRPr="008A2554">
        <w:rPr>
          <w:sz w:val="22"/>
          <w:szCs w:val="22"/>
        </w:rPr>
        <w:t xml:space="preserve">‘The fight to keep big tech in check: digital researchers are in ‘David and Goliath’ battle’, </w:t>
      </w:r>
      <w:r w:rsidRPr="008A2554">
        <w:rPr>
          <w:i/>
          <w:iCs/>
          <w:sz w:val="22"/>
          <w:szCs w:val="22"/>
        </w:rPr>
        <w:t xml:space="preserve">Nature, </w:t>
      </w:r>
      <w:r w:rsidRPr="008A2554">
        <w:rPr>
          <w:sz w:val="22"/>
          <w:szCs w:val="22"/>
        </w:rPr>
        <w:t>(2025)</w:t>
      </w:r>
      <w:r w:rsidRPr="008A2554">
        <w:rPr>
          <w:i/>
          <w:iCs/>
          <w:sz w:val="22"/>
          <w:szCs w:val="22"/>
        </w:rPr>
        <w:t>,</w:t>
      </w:r>
      <w:r w:rsidRPr="008A2554">
        <w:rPr>
          <w:sz w:val="22"/>
          <w:szCs w:val="22"/>
        </w:rPr>
        <w:t xml:space="preserve"> pp. 571–571, &lt;https://doi.org/10.1038/d41586-025-01141-9&gt;.</w:t>
      </w:r>
    </w:p>
    <w:p w14:paraId="103F5E82" w14:textId="77777777" w:rsidR="00851031" w:rsidRPr="008A2554" w:rsidRDefault="00851031" w:rsidP="001A2D46"/>
    <w:p w14:paraId="0CB58516" w14:textId="71961F7F" w:rsidR="00B45276" w:rsidRPr="008A2554" w:rsidRDefault="00B45276" w:rsidP="00B45276">
      <w:pPr>
        <w:pStyle w:val="FootnoteText"/>
        <w:rPr>
          <w:sz w:val="22"/>
          <w:szCs w:val="22"/>
        </w:rPr>
      </w:pPr>
      <w:r w:rsidRPr="008A2554">
        <w:rPr>
          <w:sz w:val="22"/>
          <w:szCs w:val="22"/>
        </w:rPr>
        <w:t>Porter,</w:t>
      </w:r>
      <w:r w:rsidR="00B31E33" w:rsidRPr="008A2554">
        <w:rPr>
          <w:sz w:val="22"/>
          <w:szCs w:val="22"/>
        </w:rPr>
        <w:t xml:space="preserve"> C. A.</w:t>
      </w:r>
      <w:r w:rsidRPr="008A2554">
        <w:rPr>
          <w:sz w:val="22"/>
          <w:szCs w:val="22"/>
        </w:rPr>
        <w:t xml:space="preserve"> ‘Of Sheep, Shepherds, and Temples: A Social Identity Reading of the Good Shepherd,’ </w:t>
      </w:r>
      <w:r w:rsidRPr="008A2554">
        <w:rPr>
          <w:i/>
          <w:iCs/>
          <w:sz w:val="22"/>
          <w:szCs w:val="22"/>
        </w:rPr>
        <w:t>CONSPECTUS</w:t>
      </w:r>
      <w:r w:rsidRPr="008A2554">
        <w:rPr>
          <w:sz w:val="22"/>
          <w:szCs w:val="22"/>
        </w:rPr>
        <w:t>, 32(1</w:t>
      </w:r>
      <w:proofErr w:type="gramStart"/>
      <w:r w:rsidRPr="008A2554">
        <w:rPr>
          <w:sz w:val="22"/>
          <w:szCs w:val="22"/>
        </w:rPr>
        <w:t>),(</w:t>
      </w:r>
      <w:proofErr w:type="gramEnd"/>
      <w:r w:rsidRPr="008A2554">
        <w:rPr>
          <w:sz w:val="22"/>
          <w:szCs w:val="22"/>
        </w:rPr>
        <w:t>2021) pp. 158–171. (p. 161) &lt;https://doi.org/10.54725/conspectus.2021.2.9&gt;.</w:t>
      </w:r>
    </w:p>
    <w:p w14:paraId="2CC2DC5E" w14:textId="77777777" w:rsidR="00B45276" w:rsidRDefault="00B45276" w:rsidP="001A2D46"/>
    <w:p w14:paraId="1FA10818" w14:textId="77777777" w:rsidR="0089007D" w:rsidRDefault="0089007D" w:rsidP="0089007D">
      <w:r w:rsidRPr="00425732">
        <w:t xml:space="preserve">Sabanal, A.G. </w:t>
      </w:r>
      <w:r w:rsidRPr="00425732">
        <w:rPr>
          <w:i/>
          <w:iCs/>
        </w:rPr>
        <w:t>Motif of ‘shepherd’ and politics in the Hebrew prophets</w:t>
      </w:r>
      <w:r w:rsidRPr="00425732">
        <w:t>.</w:t>
      </w:r>
      <w:r>
        <w:t xml:space="preserve"> (2017)</w:t>
      </w:r>
      <w:r w:rsidRPr="00425732">
        <w:t xml:space="preserve"> The University of Edinburgh.</w:t>
      </w:r>
    </w:p>
    <w:p w14:paraId="5EDC46BD" w14:textId="77777777" w:rsidR="00833E9C" w:rsidRDefault="00833E9C" w:rsidP="0089007D"/>
    <w:p w14:paraId="5968AC26" w14:textId="02FDA027" w:rsidR="0089007D" w:rsidRDefault="00833E9C" w:rsidP="001A2D46">
      <w:r>
        <w:t>The Holy Bible, NRSV</w:t>
      </w:r>
      <w:r w:rsidR="000B6AAD">
        <w:t>, &lt;</w:t>
      </w:r>
      <w:r w:rsidR="000B6AAD" w:rsidRPr="000B6AAD">
        <w:t xml:space="preserve"> </w:t>
      </w:r>
      <w:hyperlink r:id="rId8" w:history="1">
        <w:r w:rsidR="000B6AAD" w:rsidRPr="00C83775">
          <w:rPr>
            <w:rStyle w:val="Hyperlink"/>
          </w:rPr>
          <w:t>https://www.biblegateway.com/versions/New-Revised-Standard-Version-Updated-Edition-NRSVue-Bible/</w:t>
        </w:r>
      </w:hyperlink>
      <w:r w:rsidR="000B6AAD">
        <w:t>&gt;</w:t>
      </w:r>
    </w:p>
    <w:p w14:paraId="7D03DB95" w14:textId="77777777" w:rsidR="000B6AAD" w:rsidRDefault="000B6AAD" w:rsidP="001A2D46"/>
    <w:p w14:paraId="30C064C4" w14:textId="3260B07C" w:rsidR="00B45276" w:rsidRDefault="00B45276" w:rsidP="001A2D46">
      <w:r w:rsidRPr="003B50D5">
        <w:t xml:space="preserve">Varhaug, J. </w:t>
      </w:r>
      <w:r>
        <w:t>‘</w:t>
      </w:r>
      <w:r w:rsidRPr="003B50D5">
        <w:t>The Decline of the Shepherd Metaphor as Royal Self-Expression1,</w:t>
      </w:r>
      <w:r>
        <w:t>’</w:t>
      </w:r>
      <w:r w:rsidRPr="003B50D5">
        <w:t xml:space="preserve"> </w:t>
      </w:r>
      <w:r w:rsidRPr="003B50D5">
        <w:rPr>
          <w:i/>
          <w:iCs/>
        </w:rPr>
        <w:t xml:space="preserve">Scandinavian journal of the Old </w:t>
      </w:r>
      <w:proofErr w:type="gramStart"/>
      <w:r w:rsidRPr="003B50D5">
        <w:rPr>
          <w:i/>
          <w:iCs/>
        </w:rPr>
        <w:t>Testament :</w:t>
      </w:r>
      <w:proofErr w:type="gramEnd"/>
      <w:r w:rsidRPr="003B50D5">
        <w:rPr>
          <w:i/>
          <w:iCs/>
        </w:rPr>
        <w:t xml:space="preserve"> </w:t>
      </w:r>
      <w:r w:rsidRPr="00B45276">
        <w:t>(2019)</w:t>
      </w:r>
      <w:r>
        <w:rPr>
          <w:i/>
          <w:iCs/>
        </w:rPr>
        <w:t xml:space="preserve"> </w:t>
      </w:r>
      <w:r w:rsidRPr="003B50D5">
        <w:rPr>
          <w:i/>
          <w:iCs/>
        </w:rPr>
        <w:t>SJOT</w:t>
      </w:r>
      <w:r w:rsidRPr="003B50D5">
        <w:t>, 33(1), pp. 16–23.</w:t>
      </w:r>
      <w:r>
        <w:t xml:space="preserve"> &lt;</w:t>
      </w:r>
      <w:r w:rsidRPr="003B50D5">
        <w:t>https://doi.org/10.1080/09018328.2019.1599623.</w:t>
      </w:r>
      <w:r>
        <w:t xml:space="preserve">&gt; </w:t>
      </w:r>
    </w:p>
    <w:p w14:paraId="28ACC877" w14:textId="77777777" w:rsidR="00B45276" w:rsidRDefault="00B45276" w:rsidP="001A2D46"/>
    <w:p w14:paraId="60D2A4B6" w14:textId="77777777" w:rsidR="001A2D46" w:rsidRDefault="001A2D46"/>
    <w:p w14:paraId="62B2587E" w14:textId="77777777" w:rsidR="001A2D46" w:rsidRDefault="001A2D46"/>
    <w:p w14:paraId="149D54EC" w14:textId="77777777" w:rsidR="002955A2" w:rsidRDefault="002955A2"/>
    <w:sectPr w:rsidR="002955A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EC55F5D" w14:textId="77777777" w:rsidR="00E75E27" w:rsidRDefault="00E75E27" w:rsidP="0024783E">
      <w:pPr>
        <w:spacing w:after="0" w:line="240" w:lineRule="auto"/>
      </w:pPr>
      <w:r>
        <w:separator/>
      </w:r>
    </w:p>
  </w:endnote>
  <w:endnote w:type="continuationSeparator" w:id="0">
    <w:p w14:paraId="60E70FBE" w14:textId="77777777" w:rsidR="00E75E27" w:rsidRDefault="00E75E27" w:rsidP="0024783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800671A" w14:textId="77777777" w:rsidR="00E75E27" w:rsidRDefault="00E75E27" w:rsidP="0024783E">
      <w:pPr>
        <w:spacing w:after="0" w:line="240" w:lineRule="auto"/>
      </w:pPr>
      <w:r>
        <w:separator/>
      </w:r>
    </w:p>
  </w:footnote>
  <w:footnote w:type="continuationSeparator" w:id="0">
    <w:p w14:paraId="066ACC28" w14:textId="77777777" w:rsidR="00E75E27" w:rsidRDefault="00E75E27" w:rsidP="0024783E">
      <w:pPr>
        <w:spacing w:after="0" w:line="240" w:lineRule="auto"/>
      </w:pPr>
      <w:r>
        <w:continuationSeparator/>
      </w:r>
    </w:p>
  </w:footnote>
  <w:footnote w:id="1">
    <w:p w14:paraId="5DBAA7A9" w14:textId="3E478217" w:rsidR="0024783E" w:rsidRDefault="0024783E">
      <w:pPr>
        <w:pStyle w:val="FootnoteText"/>
      </w:pPr>
      <w:r>
        <w:rPr>
          <w:rStyle w:val="FootnoteReference"/>
        </w:rPr>
        <w:footnoteRef/>
      </w:r>
      <w:r>
        <w:t xml:space="preserve"> </w:t>
      </w:r>
      <w:r w:rsidR="00BC6D78">
        <w:t xml:space="preserve">J. </w:t>
      </w:r>
      <w:r>
        <w:t>Cheryl Exum</w:t>
      </w:r>
      <w:r w:rsidR="00993A55">
        <w:t xml:space="preserve">, </w:t>
      </w:r>
      <w:r w:rsidR="00993A55">
        <w:rPr>
          <w:i/>
          <w:iCs/>
        </w:rPr>
        <w:t xml:space="preserve">Tragedy </w:t>
      </w:r>
      <w:proofErr w:type="gramStart"/>
      <w:r w:rsidR="00993A55">
        <w:rPr>
          <w:i/>
          <w:iCs/>
        </w:rPr>
        <w:t>And</w:t>
      </w:r>
      <w:proofErr w:type="gramEnd"/>
      <w:r w:rsidR="00993A55">
        <w:rPr>
          <w:i/>
          <w:iCs/>
        </w:rPr>
        <w:t xml:space="preserve"> Biblical Narrative,</w:t>
      </w:r>
      <w:r w:rsidR="00510EFB">
        <w:rPr>
          <w:i/>
          <w:iCs/>
        </w:rPr>
        <w:t xml:space="preserve"> </w:t>
      </w:r>
      <w:r w:rsidR="00510EFB">
        <w:t>(</w:t>
      </w:r>
      <w:r w:rsidR="008F4744">
        <w:t>Cambridge University Press 1992)</w:t>
      </w:r>
      <w:r w:rsidR="00993A55">
        <w:rPr>
          <w:i/>
          <w:iCs/>
        </w:rPr>
        <w:t xml:space="preserve"> </w:t>
      </w:r>
      <w:r>
        <w:t xml:space="preserve">p 120. </w:t>
      </w:r>
    </w:p>
  </w:footnote>
  <w:footnote w:id="2">
    <w:p w14:paraId="125FA050" w14:textId="4D4999B9" w:rsidR="009A10B8" w:rsidRDefault="009A10B8">
      <w:pPr>
        <w:pStyle w:val="FootnoteText"/>
      </w:pPr>
      <w:r>
        <w:rPr>
          <w:rStyle w:val="FootnoteReference"/>
        </w:rPr>
        <w:footnoteRef/>
      </w:r>
      <w:r>
        <w:t xml:space="preserve"> </w:t>
      </w:r>
      <w:r w:rsidR="00783E9F">
        <w:t xml:space="preserve">Brad E </w:t>
      </w:r>
      <w:r w:rsidR="00E44FAD">
        <w:t xml:space="preserve">Kelle and Brent A Strawn, </w:t>
      </w:r>
      <w:r w:rsidR="00E44FAD">
        <w:rPr>
          <w:i/>
          <w:iCs/>
        </w:rPr>
        <w:t xml:space="preserve">The Oxford Handbook </w:t>
      </w:r>
      <w:proofErr w:type="gramStart"/>
      <w:r w:rsidR="00E44FAD">
        <w:rPr>
          <w:i/>
          <w:iCs/>
        </w:rPr>
        <w:t>Of</w:t>
      </w:r>
      <w:proofErr w:type="gramEnd"/>
      <w:r w:rsidR="00E44FAD">
        <w:rPr>
          <w:i/>
          <w:iCs/>
        </w:rPr>
        <w:t xml:space="preserve"> </w:t>
      </w:r>
      <w:proofErr w:type="gramStart"/>
      <w:r w:rsidR="00E44FAD">
        <w:rPr>
          <w:i/>
          <w:iCs/>
        </w:rPr>
        <w:t>The</w:t>
      </w:r>
      <w:proofErr w:type="gramEnd"/>
      <w:r w:rsidR="00E44FAD">
        <w:rPr>
          <w:i/>
          <w:iCs/>
        </w:rPr>
        <w:t xml:space="preserve"> Historical Books </w:t>
      </w:r>
      <w:proofErr w:type="gramStart"/>
      <w:r w:rsidR="00E44FAD">
        <w:rPr>
          <w:i/>
          <w:iCs/>
        </w:rPr>
        <w:t>Of</w:t>
      </w:r>
      <w:proofErr w:type="gramEnd"/>
      <w:r w:rsidR="00E44FAD">
        <w:rPr>
          <w:i/>
          <w:iCs/>
        </w:rPr>
        <w:t xml:space="preserve"> </w:t>
      </w:r>
      <w:proofErr w:type="gramStart"/>
      <w:r w:rsidR="00E44FAD">
        <w:rPr>
          <w:i/>
          <w:iCs/>
        </w:rPr>
        <w:t>The</w:t>
      </w:r>
      <w:proofErr w:type="gramEnd"/>
      <w:r w:rsidR="00E44FAD">
        <w:rPr>
          <w:i/>
          <w:iCs/>
        </w:rPr>
        <w:t xml:space="preserve"> Hebrew Bible,</w:t>
      </w:r>
      <w:r w:rsidR="00E44FAD">
        <w:t xml:space="preserve"> (Oxford University Press </w:t>
      </w:r>
      <w:r w:rsidR="00C3167D">
        <w:t>2020), p.</w:t>
      </w:r>
      <w:r>
        <w:t xml:space="preserve"> 497. </w:t>
      </w:r>
    </w:p>
  </w:footnote>
  <w:footnote w:id="3">
    <w:p w14:paraId="52E1B218" w14:textId="5F160A6F" w:rsidR="009A10B8" w:rsidRDefault="009A10B8">
      <w:pPr>
        <w:pStyle w:val="FootnoteText"/>
      </w:pPr>
      <w:r>
        <w:rPr>
          <w:rStyle w:val="FootnoteReference"/>
        </w:rPr>
        <w:footnoteRef/>
      </w:r>
      <w:r>
        <w:t xml:space="preserve"> </w:t>
      </w:r>
      <w:r w:rsidR="00607535">
        <w:t xml:space="preserve">Kelle and Strawn, </w:t>
      </w:r>
      <w:r w:rsidR="00607535">
        <w:rPr>
          <w:i/>
          <w:iCs/>
        </w:rPr>
        <w:t xml:space="preserve">The Oxford Handbook </w:t>
      </w:r>
      <w:proofErr w:type="gramStart"/>
      <w:r w:rsidR="00607535">
        <w:rPr>
          <w:i/>
          <w:iCs/>
        </w:rPr>
        <w:t>Of</w:t>
      </w:r>
      <w:proofErr w:type="gramEnd"/>
      <w:r w:rsidR="00607535">
        <w:rPr>
          <w:i/>
          <w:iCs/>
        </w:rPr>
        <w:t xml:space="preserve"> </w:t>
      </w:r>
      <w:proofErr w:type="gramStart"/>
      <w:r w:rsidR="00607535">
        <w:rPr>
          <w:i/>
          <w:iCs/>
        </w:rPr>
        <w:t>The</w:t>
      </w:r>
      <w:proofErr w:type="gramEnd"/>
      <w:r w:rsidR="00607535">
        <w:rPr>
          <w:i/>
          <w:iCs/>
        </w:rPr>
        <w:t xml:space="preserve"> Historical Books </w:t>
      </w:r>
      <w:proofErr w:type="gramStart"/>
      <w:r w:rsidR="00607535">
        <w:rPr>
          <w:i/>
          <w:iCs/>
        </w:rPr>
        <w:t>Of</w:t>
      </w:r>
      <w:proofErr w:type="gramEnd"/>
      <w:r w:rsidR="00607535">
        <w:rPr>
          <w:i/>
          <w:iCs/>
        </w:rPr>
        <w:t xml:space="preserve"> </w:t>
      </w:r>
      <w:proofErr w:type="gramStart"/>
      <w:r w:rsidR="00607535">
        <w:rPr>
          <w:i/>
          <w:iCs/>
        </w:rPr>
        <w:t>The</w:t>
      </w:r>
      <w:proofErr w:type="gramEnd"/>
      <w:r w:rsidR="00607535">
        <w:rPr>
          <w:i/>
          <w:iCs/>
        </w:rPr>
        <w:t xml:space="preserve"> Hebrew Bible, </w:t>
      </w:r>
      <w:r w:rsidR="008C6DD9">
        <w:t xml:space="preserve">p. </w:t>
      </w:r>
      <w:r>
        <w:t>497.</w:t>
      </w:r>
    </w:p>
  </w:footnote>
  <w:footnote w:id="4">
    <w:p w14:paraId="0BBAE347" w14:textId="4C950FD2" w:rsidR="006C0DC3" w:rsidRPr="00CF269B" w:rsidRDefault="006C0DC3">
      <w:pPr>
        <w:pStyle w:val="FootnoteText"/>
      </w:pPr>
      <w:r>
        <w:rPr>
          <w:rStyle w:val="FootnoteReference"/>
        </w:rPr>
        <w:footnoteRef/>
      </w:r>
      <w:r>
        <w:t xml:space="preserve"> </w:t>
      </w:r>
      <w:r w:rsidR="008B4743">
        <w:t xml:space="preserve">Paul </w:t>
      </w:r>
      <w:r w:rsidR="009A07A7">
        <w:t xml:space="preserve">Borgman, </w:t>
      </w:r>
      <w:r w:rsidR="00CF269B">
        <w:rPr>
          <w:i/>
          <w:iCs/>
        </w:rPr>
        <w:t xml:space="preserve">David, Saul </w:t>
      </w:r>
      <w:proofErr w:type="gramStart"/>
      <w:r w:rsidR="00CF269B">
        <w:rPr>
          <w:i/>
          <w:iCs/>
        </w:rPr>
        <w:t>And</w:t>
      </w:r>
      <w:proofErr w:type="gramEnd"/>
      <w:r w:rsidR="00CF269B">
        <w:rPr>
          <w:i/>
          <w:iCs/>
        </w:rPr>
        <w:t xml:space="preserve"> God: Rediscovering </w:t>
      </w:r>
      <w:proofErr w:type="gramStart"/>
      <w:r w:rsidR="00CF269B">
        <w:rPr>
          <w:i/>
          <w:iCs/>
        </w:rPr>
        <w:t>An</w:t>
      </w:r>
      <w:proofErr w:type="gramEnd"/>
      <w:r w:rsidR="00CF269B">
        <w:rPr>
          <w:i/>
          <w:iCs/>
        </w:rPr>
        <w:t xml:space="preserve"> Ancient Story, </w:t>
      </w:r>
      <w:r w:rsidR="00CF269B">
        <w:t>(</w:t>
      </w:r>
      <w:r w:rsidR="00057528">
        <w:t>New York, Oxford Academic 2008) p. 38.</w:t>
      </w:r>
    </w:p>
  </w:footnote>
  <w:footnote w:id="5">
    <w:p w14:paraId="746DA950" w14:textId="671D9389" w:rsidR="002955A2" w:rsidRDefault="002955A2">
      <w:pPr>
        <w:pStyle w:val="FootnoteText"/>
      </w:pPr>
      <w:r>
        <w:rPr>
          <w:rStyle w:val="FootnoteReference"/>
        </w:rPr>
        <w:footnoteRef/>
      </w:r>
      <w:r>
        <w:t xml:space="preserve"> </w:t>
      </w:r>
      <w:r w:rsidR="00AC6B42">
        <w:t xml:space="preserve">A. </w:t>
      </w:r>
      <w:r w:rsidRPr="002955A2">
        <w:t xml:space="preserve">Orben, </w:t>
      </w:r>
      <w:r w:rsidR="001D3529">
        <w:t>‘</w:t>
      </w:r>
      <w:r w:rsidRPr="002955A2">
        <w:t>The fight to keep big tech in check: digital researchers are in ‘David and Goliath’ battle</w:t>
      </w:r>
      <w:r w:rsidR="001D3529">
        <w:t>’,</w:t>
      </w:r>
      <w:r w:rsidRPr="002955A2">
        <w:t xml:space="preserve"> </w:t>
      </w:r>
      <w:r w:rsidRPr="002955A2">
        <w:rPr>
          <w:i/>
          <w:iCs/>
        </w:rPr>
        <w:t>Nature</w:t>
      </w:r>
      <w:r w:rsidR="00D23D95">
        <w:rPr>
          <w:i/>
          <w:iCs/>
        </w:rPr>
        <w:t>,</w:t>
      </w:r>
      <w:r w:rsidRPr="002955A2">
        <w:rPr>
          <w:i/>
          <w:iCs/>
        </w:rPr>
        <w:t xml:space="preserve"> </w:t>
      </w:r>
      <w:r w:rsidR="00C70A1D" w:rsidRPr="00C70A1D">
        <w:t>(2025)</w:t>
      </w:r>
      <w:r w:rsidR="00D23D95">
        <w:rPr>
          <w:i/>
          <w:iCs/>
        </w:rPr>
        <w:t>,</w:t>
      </w:r>
      <w:r w:rsidRPr="002955A2">
        <w:t xml:space="preserve"> pp. 571–571</w:t>
      </w:r>
      <w:r w:rsidR="00214956">
        <w:t>,</w:t>
      </w:r>
      <w:r w:rsidRPr="002955A2">
        <w:t xml:space="preserve"> </w:t>
      </w:r>
      <w:r w:rsidR="00214956">
        <w:t>&lt;</w:t>
      </w:r>
      <w:r w:rsidRPr="002955A2">
        <w:t>https://doi.org/10.1038/d41586-025-01141-9</w:t>
      </w:r>
      <w:r w:rsidR="00214956">
        <w:t>&gt;</w:t>
      </w:r>
      <w:r w:rsidRPr="002955A2">
        <w:t>.</w:t>
      </w:r>
    </w:p>
  </w:footnote>
  <w:footnote w:id="6">
    <w:p w14:paraId="4EE844C6" w14:textId="336A3B3E" w:rsidR="002955A2" w:rsidRDefault="002955A2">
      <w:pPr>
        <w:pStyle w:val="FootnoteText"/>
      </w:pPr>
      <w:r>
        <w:rPr>
          <w:rStyle w:val="FootnoteReference"/>
        </w:rPr>
        <w:footnoteRef/>
      </w:r>
      <w:r>
        <w:t xml:space="preserve"> </w:t>
      </w:r>
      <w:r w:rsidRPr="002955A2">
        <w:t>D.P. Lundsten</w:t>
      </w:r>
      <w:r w:rsidR="00344B4D">
        <w:t xml:space="preserve"> and </w:t>
      </w:r>
      <w:r w:rsidRPr="002955A2">
        <w:t>L.</w:t>
      </w:r>
      <w:r w:rsidR="00214956">
        <w:t xml:space="preserve"> Brennan ‘</w:t>
      </w:r>
      <w:r w:rsidRPr="002955A2">
        <w:t xml:space="preserve">Walmart vs. Festival Foods—David and </w:t>
      </w:r>
      <w:proofErr w:type="gramStart"/>
      <w:r w:rsidRPr="002955A2">
        <w:t>Goliath?,</w:t>
      </w:r>
      <w:proofErr w:type="gramEnd"/>
      <w:r w:rsidR="00214956">
        <w:t>’</w:t>
      </w:r>
      <w:r w:rsidRPr="002955A2">
        <w:t xml:space="preserve"> </w:t>
      </w:r>
      <w:r w:rsidRPr="002955A2">
        <w:rPr>
          <w:i/>
          <w:iCs/>
        </w:rPr>
        <w:t>Journal of real estate practice and education</w:t>
      </w:r>
      <w:r w:rsidRPr="002955A2">
        <w:t xml:space="preserve">, 15(1), </w:t>
      </w:r>
      <w:r w:rsidR="00214956">
        <w:t xml:space="preserve">(2012) </w:t>
      </w:r>
      <w:r w:rsidRPr="002955A2">
        <w:t>pp. 43–54</w:t>
      </w:r>
      <w:r w:rsidR="00214956">
        <w:t>, &lt;</w:t>
      </w:r>
      <w:r w:rsidRPr="002955A2">
        <w:t>https://doi.org/10.1080/10835547.2012.12091705</w:t>
      </w:r>
      <w:r w:rsidR="00214956">
        <w:t>&gt;</w:t>
      </w:r>
      <w:r w:rsidRPr="002955A2">
        <w:t>.</w:t>
      </w:r>
    </w:p>
  </w:footnote>
  <w:footnote w:id="7">
    <w:p w14:paraId="52417805" w14:textId="4FC0BFC8" w:rsidR="009F0897" w:rsidRDefault="009F0897">
      <w:pPr>
        <w:pStyle w:val="FootnoteText"/>
      </w:pPr>
      <w:r>
        <w:rPr>
          <w:rStyle w:val="FootnoteReference"/>
        </w:rPr>
        <w:footnoteRef/>
      </w:r>
      <w:r>
        <w:t xml:space="preserve"> </w:t>
      </w:r>
      <w:r>
        <w:t xml:space="preserve">Steven L. Mckenzie, </w:t>
      </w:r>
      <w:r>
        <w:rPr>
          <w:i/>
          <w:iCs/>
        </w:rPr>
        <w:t xml:space="preserve">King David: A Biography, </w:t>
      </w:r>
      <w:r>
        <w:t xml:space="preserve">(Oxford University Press 2000), p. </w:t>
      </w:r>
      <w:r>
        <w:t>38</w:t>
      </w:r>
      <w:r>
        <w:t>.</w:t>
      </w:r>
    </w:p>
  </w:footnote>
  <w:footnote w:id="8">
    <w:p w14:paraId="503A5C81" w14:textId="4377C0AF" w:rsidR="00671400" w:rsidRDefault="00671400">
      <w:pPr>
        <w:pStyle w:val="FootnoteText"/>
      </w:pPr>
      <w:r>
        <w:rPr>
          <w:rStyle w:val="FootnoteReference"/>
        </w:rPr>
        <w:footnoteRef/>
      </w:r>
      <w:r>
        <w:t xml:space="preserve"> </w:t>
      </w:r>
      <w:r w:rsidR="00B054F0">
        <w:t xml:space="preserve">Steven L. Mckenzie, </w:t>
      </w:r>
      <w:r w:rsidR="00B054F0">
        <w:rPr>
          <w:i/>
          <w:iCs/>
        </w:rPr>
        <w:t xml:space="preserve">King David: A Biography, </w:t>
      </w:r>
      <w:r w:rsidR="00E20845">
        <w:t>p</w:t>
      </w:r>
      <w:r>
        <w:t>. 46</w:t>
      </w:r>
      <w:r w:rsidR="00E20845">
        <w:t>.</w:t>
      </w:r>
    </w:p>
  </w:footnote>
  <w:footnote w:id="9">
    <w:p w14:paraId="6469DE4D" w14:textId="3272EE54" w:rsidR="00D515EF" w:rsidRPr="00DE523E" w:rsidRDefault="00D515EF" w:rsidP="00DE523E">
      <w:pPr>
        <w:rPr>
          <w:sz w:val="20"/>
          <w:szCs w:val="20"/>
        </w:rPr>
      </w:pPr>
      <w:r w:rsidRPr="00D515EF">
        <w:rPr>
          <w:rStyle w:val="FootnoteReference"/>
          <w:sz w:val="20"/>
          <w:szCs w:val="20"/>
        </w:rPr>
        <w:footnoteRef/>
      </w:r>
      <w:r w:rsidRPr="00D515EF">
        <w:rPr>
          <w:sz w:val="20"/>
          <w:szCs w:val="20"/>
        </w:rPr>
        <w:t xml:space="preserve"> </w:t>
      </w:r>
      <w:r w:rsidR="00D56061">
        <w:rPr>
          <w:sz w:val="20"/>
          <w:szCs w:val="20"/>
        </w:rPr>
        <w:t xml:space="preserve">J. </w:t>
      </w:r>
      <w:r w:rsidRPr="003B50D5">
        <w:rPr>
          <w:sz w:val="20"/>
          <w:szCs w:val="20"/>
        </w:rPr>
        <w:t>Varhaug,</w:t>
      </w:r>
      <w:r w:rsidR="00D56061">
        <w:rPr>
          <w:sz w:val="20"/>
          <w:szCs w:val="20"/>
        </w:rPr>
        <w:t xml:space="preserve"> ‘</w:t>
      </w:r>
      <w:r w:rsidRPr="003B50D5">
        <w:rPr>
          <w:sz w:val="20"/>
          <w:szCs w:val="20"/>
        </w:rPr>
        <w:t>The Decline of the Shepherd Metaphor as Royal Self-Expression1,</w:t>
      </w:r>
      <w:r w:rsidR="00D56061">
        <w:rPr>
          <w:sz w:val="20"/>
          <w:szCs w:val="20"/>
        </w:rPr>
        <w:t>’</w:t>
      </w:r>
      <w:r w:rsidRPr="003B50D5">
        <w:rPr>
          <w:sz w:val="20"/>
          <w:szCs w:val="20"/>
        </w:rPr>
        <w:t xml:space="preserve"> </w:t>
      </w:r>
      <w:r w:rsidRPr="003B50D5">
        <w:rPr>
          <w:i/>
          <w:iCs/>
          <w:sz w:val="20"/>
          <w:szCs w:val="20"/>
        </w:rPr>
        <w:t xml:space="preserve">Scandinavian journal of the Old </w:t>
      </w:r>
      <w:proofErr w:type="gramStart"/>
      <w:r w:rsidRPr="003B50D5">
        <w:rPr>
          <w:i/>
          <w:iCs/>
          <w:sz w:val="20"/>
          <w:szCs w:val="20"/>
        </w:rPr>
        <w:t>Testament :</w:t>
      </w:r>
      <w:proofErr w:type="gramEnd"/>
      <w:r w:rsidRPr="003B50D5">
        <w:rPr>
          <w:i/>
          <w:iCs/>
          <w:sz w:val="20"/>
          <w:szCs w:val="20"/>
        </w:rPr>
        <w:t xml:space="preserve"> SJOT</w:t>
      </w:r>
      <w:r w:rsidRPr="003B50D5">
        <w:rPr>
          <w:sz w:val="20"/>
          <w:szCs w:val="20"/>
        </w:rPr>
        <w:t>, 33(1),</w:t>
      </w:r>
      <w:r w:rsidR="00D56061">
        <w:rPr>
          <w:sz w:val="20"/>
          <w:szCs w:val="20"/>
        </w:rPr>
        <w:t xml:space="preserve"> (2019)</w:t>
      </w:r>
      <w:r w:rsidRPr="003B50D5">
        <w:rPr>
          <w:sz w:val="20"/>
          <w:szCs w:val="20"/>
        </w:rPr>
        <w:t xml:space="preserve"> p</w:t>
      </w:r>
      <w:r w:rsidRPr="00D515EF">
        <w:rPr>
          <w:sz w:val="20"/>
          <w:szCs w:val="20"/>
        </w:rPr>
        <w:t xml:space="preserve">. 23. </w:t>
      </w:r>
    </w:p>
  </w:footnote>
  <w:footnote w:id="10">
    <w:p w14:paraId="2094B128" w14:textId="2C5F1E2B" w:rsidR="00DE523E" w:rsidRDefault="00DE523E">
      <w:pPr>
        <w:pStyle w:val="FootnoteText"/>
      </w:pPr>
      <w:r>
        <w:rPr>
          <w:rStyle w:val="FootnoteReference"/>
        </w:rPr>
        <w:footnoteRef/>
      </w:r>
      <w:r>
        <w:t xml:space="preserve"> </w:t>
      </w:r>
      <w:r w:rsidRPr="003B50D5">
        <w:t xml:space="preserve">Varhaug, </w:t>
      </w:r>
      <w:r w:rsidR="00A83E21">
        <w:t>‘</w:t>
      </w:r>
      <w:r w:rsidRPr="003B50D5">
        <w:t>The Decline of the Shepherd Metaphor as Royal Self-Expression1,</w:t>
      </w:r>
      <w:r w:rsidR="00A83E21">
        <w:t>’</w:t>
      </w:r>
      <w:r>
        <w:t xml:space="preserve"> p. 16. </w:t>
      </w:r>
    </w:p>
  </w:footnote>
  <w:footnote w:id="11">
    <w:p w14:paraId="25859091" w14:textId="36B26CFF" w:rsidR="00DF5644" w:rsidRDefault="00DF5644">
      <w:pPr>
        <w:pStyle w:val="FootnoteText"/>
      </w:pPr>
      <w:r>
        <w:rPr>
          <w:rStyle w:val="FootnoteReference"/>
        </w:rPr>
        <w:footnoteRef/>
      </w:r>
      <w:r>
        <w:t xml:space="preserve"> Ibid p. </w:t>
      </w:r>
      <w:r w:rsidR="00B9633E">
        <w:t xml:space="preserve">18. </w:t>
      </w:r>
    </w:p>
  </w:footnote>
  <w:footnote w:id="12">
    <w:p w14:paraId="163DC2D2" w14:textId="000957F4" w:rsidR="00F03739" w:rsidRDefault="00F03739">
      <w:pPr>
        <w:pStyle w:val="FootnoteText"/>
      </w:pPr>
      <w:r>
        <w:rPr>
          <w:rStyle w:val="FootnoteReference"/>
        </w:rPr>
        <w:footnoteRef/>
      </w:r>
      <w:r w:rsidR="007B6E8A">
        <w:t xml:space="preserve"> </w:t>
      </w:r>
      <w:r>
        <w:t xml:space="preserve">Ibid p. 20-21. </w:t>
      </w:r>
    </w:p>
  </w:footnote>
  <w:footnote w:id="13">
    <w:p w14:paraId="1D56A473" w14:textId="6A85F216" w:rsidR="008C4ED5" w:rsidRDefault="008C4ED5">
      <w:pPr>
        <w:pStyle w:val="FootnoteText"/>
      </w:pPr>
      <w:r>
        <w:rPr>
          <w:rStyle w:val="FootnoteReference"/>
        </w:rPr>
        <w:footnoteRef/>
      </w:r>
      <w:r w:rsidR="00ED71F0">
        <w:t xml:space="preserve"> </w:t>
      </w:r>
      <w:r w:rsidR="002A2257">
        <w:t xml:space="preserve">C. A. </w:t>
      </w:r>
      <w:r w:rsidR="00292576" w:rsidRPr="00292576">
        <w:t xml:space="preserve">Porter, </w:t>
      </w:r>
      <w:r w:rsidR="00A214DC">
        <w:t>‘</w:t>
      </w:r>
      <w:r w:rsidR="00292576" w:rsidRPr="00292576">
        <w:t>Of Sheep, Shepherds, and Temples: A Social Identity Reading of the Good Shepherd,</w:t>
      </w:r>
      <w:r w:rsidR="00A214DC">
        <w:t xml:space="preserve">’ </w:t>
      </w:r>
      <w:r w:rsidR="00292576" w:rsidRPr="00292576">
        <w:rPr>
          <w:i/>
          <w:iCs/>
        </w:rPr>
        <w:t>CONSPECTUS</w:t>
      </w:r>
      <w:r w:rsidR="00292576" w:rsidRPr="00292576">
        <w:t>, 32(1</w:t>
      </w:r>
      <w:proofErr w:type="gramStart"/>
      <w:r w:rsidR="00292576" w:rsidRPr="00292576">
        <w:t>),</w:t>
      </w:r>
      <w:r w:rsidR="00A214DC">
        <w:t>(</w:t>
      </w:r>
      <w:proofErr w:type="gramEnd"/>
      <w:r w:rsidR="00A214DC">
        <w:t>2021)</w:t>
      </w:r>
      <w:r w:rsidR="00292576" w:rsidRPr="00292576">
        <w:t xml:space="preserve"> pp. 158–171.</w:t>
      </w:r>
      <w:r w:rsidR="002A3EBD">
        <w:t xml:space="preserve"> (p. 161)</w:t>
      </w:r>
      <w:r w:rsidR="00292576" w:rsidRPr="00292576">
        <w:t xml:space="preserve"> </w:t>
      </w:r>
      <w:r w:rsidR="00A214DC">
        <w:t>&lt;</w:t>
      </w:r>
      <w:r w:rsidR="00292576" w:rsidRPr="00292576">
        <w:t>https://doi.org/10.54725/conspectus.2021.2.9</w:t>
      </w:r>
      <w:r w:rsidR="00A214DC">
        <w:t>&gt;</w:t>
      </w:r>
      <w:r w:rsidR="00292576" w:rsidRPr="00292576">
        <w:t>.</w:t>
      </w:r>
    </w:p>
  </w:footnote>
  <w:footnote w:id="14">
    <w:p w14:paraId="3C1B6164" w14:textId="7F2C9EA3" w:rsidR="006348C8" w:rsidRDefault="006348C8">
      <w:pPr>
        <w:pStyle w:val="FootnoteText"/>
      </w:pPr>
      <w:r>
        <w:rPr>
          <w:rStyle w:val="FootnoteReference"/>
        </w:rPr>
        <w:footnoteRef/>
      </w:r>
      <w:r>
        <w:t xml:space="preserve"> </w:t>
      </w:r>
      <w:r w:rsidR="00F63C23">
        <w:t xml:space="preserve">Steven L. Mckenzie, </w:t>
      </w:r>
      <w:r w:rsidR="00F63C23">
        <w:rPr>
          <w:i/>
          <w:iCs/>
        </w:rPr>
        <w:t xml:space="preserve">King David: A Biography, </w:t>
      </w:r>
      <w:r w:rsidR="00F63C23">
        <w:t>(Oxford University Press 2000), p. 4</w:t>
      </w:r>
      <w:r w:rsidR="00F63C23">
        <w:t>9.</w:t>
      </w:r>
    </w:p>
  </w:footnote>
  <w:footnote w:id="15">
    <w:p w14:paraId="2603BF74" w14:textId="59D6FAC8" w:rsidR="00AF4050" w:rsidRDefault="00AF4050">
      <w:pPr>
        <w:pStyle w:val="FootnoteText"/>
      </w:pPr>
      <w:r>
        <w:rPr>
          <w:rStyle w:val="FootnoteReference"/>
        </w:rPr>
        <w:footnoteRef/>
      </w:r>
      <w:r>
        <w:t xml:space="preserve"> </w:t>
      </w:r>
      <w:r w:rsidRPr="003B50D5">
        <w:t xml:space="preserve">Varhaug, </w:t>
      </w:r>
      <w:r w:rsidR="0016274F">
        <w:t>‘</w:t>
      </w:r>
      <w:r w:rsidRPr="003B50D5">
        <w:t>The Decline of the Shepherd Metaphor as Royal Self-Expression1,</w:t>
      </w:r>
      <w:r w:rsidR="0016274F">
        <w:t>’</w:t>
      </w:r>
      <w:r>
        <w:t xml:space="preserve"> p. 17. </w:t>
      </w:r>
    </w:p>
  </w:footnote>
  <w:footnote w:id="16">
    <w:p w14:paraId="5681ECF7" w14:textId="2408EA28" w:rsidR="000C5686" w:rsidRDefault="000C5686">
      <w:pPr>
        <w:pStyle w:val="FootnoteText"/>
      </w:pPr>
      <w:r>
        <w:rPr>
          <w:rStyle w:val="FootnoteReference"/>
        </w:rPr>
        <w:footnoteRef/>
      </w:r>
      <w:r>
        <w:t xml:space="preserve"> </w:t>
      </w:r>
      <w:r w:rsidR="0016274F">
        <w:t xml:space="preserve">Steven L. Mckenzie, </w:t>
      </w:r>
      <w:r w:rsidR="0016274F">
        <w:rPr>
          <w:i/>
          <w:iCs/>
        </w:rPr>
        <w:t>King David: A Biography,</w:t>
      </w:r>
      <w:r w:rsidR="00A5340D">
        <w:rPr>
          <w:i/>
          <w:iCs/>
        </w:rPr>
        <w:t xml:space="preserve"> </w:t>
      </w:r>
      <w:r w:rsidR="0016274F">
        <w:t>p. 49.</w:t>
      </w:r>
    </w:p>
  </w:footnote>
  <w:footnote w:id="17">
    <w:p w14:paraId="071E5DCE" w14:textId="29F073BA" w:rsidR="003C0CEF" w:rsidRDefault="003C0CEF">
      <w:pPr>
        <w:pStyle w:val="FootnoteText"/>
      </w:pPr>
      <w:r>
        <w:rPr>
          <w:rStyle w:val="FootnoteReference"/>
        </w:rPr>
        <w:footnoteRef/>
      </w:r>
      <w:r>
        <w:t xml:space="preserve"> </w:t>
      </w:r>
      <w:r w:rsidR="000B3438">
        <w:t xml:space="preserve">Steven L. Mckenzie, </w:t>
      </w:r>
      <w:r w:rsidR="000B3438">
        <w:rPr>
          <w:i/>
          <w:iCs/>
        </w:rPr>
        <w:t xml:space="preserve">King David: A Biography, </w:t>
      </w:r>
      <w:r w:rsidR="000B3438">
        <w:t>(Oxford University Press 2000), p. 4</w:t>
      </w:r>
      <w:r w:rsidR="000B3438">
        <w:t>8.</w:t>
      </w:r>
    </w:p>
  </w:footnote>
  <w:footnote w:id="18">
    <w:p w14:paraId="3A465EDE" w14:textId="41D5E76C" w:rsidR="00044D69" w:rsidRDefault="00044D69">
      <w:pPr>
        <w:pStyle w:val="FootnoteText"/>
      </w:pPr>
      <w:r>
        <w:rPr>
          <w:rStyle w:val="FootnoteReference"/>
        </w:rPr>
        <w:footnoteRef/>
      </w:r>
      <w:r>
        <w:t xml:space="preserve"> </w:t>
      </w:r>
      <w:r w:rsidR="00A5340D">
        <w:t xml:space="preserve">Steven L. Mckenzie, </w:t>
      </w:r>
      <w:r w:rsidR="00A5340D">
        <w:rPr>
          <w:i/>
          <w:iCs/>
        </w:rPr>
        <w:t xml:space="preserve">King David: A Biography, </w:t>
      </w:r>
      <w:r w:rsidR="00A5340D">
        <w:t xml:space="preserve">p. </w:t>
      </w:r>
      <w:r w:rsidR="00A5340D">
        <w:t>53</w:t>
      </w:r>
      <w:r w:rsidR="00A5340D">
        <w:t>.</w:t>
      </w:r>
    </w:p>
  </w:footnote>
  <w:footnote w:id="19">
    <w:p w14:paraId="70E06186" w14:textId="591F5E3E" w:rsidR="00D86F9D" w:rsidRDefault="00D86F9D">
      <w:pPr>
        <w:pStyle w:val="FootnoteText"/>
      </w:pPr>
      <w:r>
        <w:rPr>
          <w:rStyle w:val="FootnoteReference"/>
        </w:rPr>
        <w:footnoteRef/>
      </w:r>
      <w:r>
        <w:t xml:space="preserve"> </w:t>
      </w:r>
      <w:r w:rsidR="000B3438">
        <w:t>Ibid.</w:t>
      </w:r>
      <w:r w:rsidR="00A5340D">
        <w:t xml:space="preserve"> p. </w:t>
      </w:r>
      <w:r w:rsidR="00A5340D">
        <w:t>53.</w:t>
      </w:r>
    </w:p>
  </w:footnote>
  <w:footnote w:id="20">
    <w:p w14:paraId="684EF66D" w14:textId="5E0A675C" w:rsidR="0028477C" w:rsidRDefault="0028477C">
      <w:pPr>
        <w:pStyle w:val="FootnoteText"/>
      </w:pPr>
      <w:r>
        <w:rPr>
          <w:rStyle w:val="FootnoteReference"/>
        </w:rPr>
        <w:footnoteRef/>
      </w:r>
      <w:r>
        <w:t xml:space="preserve"> </w:t>
      </w:r>
      <w:r w:rsidR="00A5340D">
        <w:t>Ibid. p</w:t>
      </w:r>
      <w:r w:rsidR="002C058C">
        <w:t xml:space="preserve">. </w:t>
      </w:r>
      <w:r w:rsidR="00A5340D">
        <w:t xml:space="preserve">53. </w:t>
      </w:r>
      <w:r>
        <w:t xml:space="preserve"> </w:t>
      </w:r>
    </w:p>
  </w:footnote>
  <w:footnote w:id="21">
    <w:p w14:paraId="0A7F57E7" w14:textId="7C3468DB" w:rsidR="004645EA" w:rsidRDefault="004645EA">
      <w:pPr>
        <w:pStyle w:val="FootnoteText"/>
      </w:pPr>
      <w:r>
        <w:rPr>
          <w:rStyle w:val="FootnoteReference"/>
        </w:rPr>
        <w:footnoteRef/>
      </w:r>
      <w:r>
        <w:t xml:space="preserve"> </w:t>
      </w:r>
      <w:r>
        <w:t xml:space="preserve">Paul Borgman, </w:t>
      </w:r>
      <w:r>
        <w:rPr>
          <w:i/>
          <w:iCs/>
        </w:rPr>
        <w:t xml:space="preserve">David, Saul </w:t>
      </w:r>
      <w:proofErr w:type="gramStart"/>
      <w:r>
        <w:rPr>
          <w:i/>
          <w:iCs/>
        </w:rPr>
        <w:t>And</w:t>
      </w:r>
      <w:proofErr w:type="gramEnd"/>
      <w:r>
        <w:rPr>
          <w:i/>
          <w:iCs/>
        </w:rPr>
        <w:t xml:space="preserve"> God: Rediscovering </w:t>
      </w:r>
      <w:proofErr w:type="gramStart"/>
      <w:r>
        <w:rPr>
          <w:i/>
          <w:iCs/>
        </w:rPr>
        <w:t>An</w:t>
      </w:r>
      <w:proofErr w:type="gramEnd"/>
      <w:r>
        <w:rPr>
          <w:i/>
          <w:iCs/>
        </w:rPr>
        <w:t xml:space="preserve"> Ancient Story, </w:t>
      </w:r>
      <w:r>
        <w:t xml:space="preserve">(New York, Oxford Academic 2008) p. </w:t>
      </w:r>
      <w:r w:rsidR="00BA5B2B">
        <w:t>40</w:t>
      </w:r>
      <w:r>
        <w:t>.</w:t>
      </w:r>
    </w:p>
  </w:footnote>
  <w:footnote w:id="22">
    <w:p w14:paraId="36C0EB98" w14:textId="1C781DE0" w:rsidR="00CC562A" w:rsidRDefault="00CC562A">
      <w:pPr>
        <w:pStyle w:val="FootnoteText"/>
      </w:pPr>
      <w:r>
        <w:rPr>
          <w:rStyle w:val="FootnoteReference"/>
        </w:rPr>
        <w:footnoteRef/>
      </w:r>
      <w:r>
        <w:t xml:space="preserve"> </w:t>
      </w:r>
      <w:r w:rsidR="00BA5B2B">
        <w:t xml:space="preserve">Mckenzie, </w:t>
      </w:r>
      <w:r w:rsidR="00BA5B2B">
        <w:rPr>
          <w:i/>
          <w:iCs/>
        </w:rPr>
        <w:t>King David: A Biography,</w:t>
      </w:r>
      <w:r w:rsidR="00B64298">
        <w:t xml:space="preserve"> p.</w:t>
      </w:r>
      <w:r w:rsidR="002C058C">
        <w:t xml:space="preserve"> 57</w:t>
      </w:r>
      <w:r w:rsidR="00B64298">
        <w:t>.</w:t>
      </w:r>
    </w:p>
  </w:footnote>
  <w:footnote w:id="23">
    <w:p w14:paraId="0443707B" w14:textId="205AC66D" w:rsidR="00141513" w:rsidRDefault="004F339A" w:rsidP="00141513">
      <w:r>
        <w:rPr>
          <w:rStyle w:val="FootnoteReference"/>
        </w:rPr>
        <w:footnoteRef/>
      </w:r>
      <w:r>
        <w:t xml:space="preserve"> </w:t>
      </w:r>
      <w:r w:rsidR="00141513" w:rsidRPr="00A62045">
        <w:rPr>
          <w:sz w:val="20"/>
          <w:szCs w:val="20"/>
        </w:rPr>
        <w:t xml:space="preserve">C. D. </w:t>
      </w:r>
      <w:r w:rsidR="00141513" w:rsidRPr="00A62045">
        <w:rPr>
          <w:sz w:val="20"/>
          <w:szCs w:val="20"/>
        </w:rPr>
        <w:t>Isbell,</w:t>
      </w:r>
      <w:r w:rsidR="00141513" w:rsidRPr="00A62045">
        <w:rPr>
          <w:sz w:val="20"/>
          <w:szCs w:val="20"/>
        </w:rPr>
        <w:t xml:space="preserve"> </w:t>
      </w:r>
      <w:r w:rsidR="00141513" w:rsidRPr="00A62045">
        <w:rPr>
          <w:sz w:val="20"/>
          <w:szCs w:val="20"/>
        </w:rPr>
        <w:t xml:space="preserve">(2006) </w:t>
      </w:r>
      <w:r w:rsidR="00141513" w:rsidRPr="00A62045">
        <w:rPr>
          <w:sz w:val="20"/>
          <w:szCs w:val="20"/>
        </w:rPr>
        <w:t>‘</w:t>
      </w:r>
      <w:r w:rsidR="00141513" w:rsidRPr="00A62045">
        <w:rPr>
          <w:sz w:val="20"/>
          <w:szCs w:val="20"/>
        </w:rPr>
        <w:t>A biblical Midrash on David and Goliath,</w:t>
      </w:r>
      <w:r w:rsidR="00141513" w:rsidRPr="00A62045">
        <w:rPr>
          <w:sz w:val="20"/>
          <w:szCs w:val="20"/>
        </w:rPr>
        <w:t>’</w:t>
      </w:r>
      <w:r w:rsidR="00141513" w:rsidRPr="00A62045">
        <w:rPr>
          <w:sz w:val="20"/>
          <w:szCs w:val="20"/>
        </w:rPr>
        <w:t xml:space="preserve"> </w:t>
      </w:r>
      <w:r w:rsidR="00141513" w:rsidRPr="00A62045">
        <w:rPr>
          <w:i/>
          <w:iCs/>
          <w:sz w:val="20"/>
          <w:szCs w:val="20"/>
        </w:rPr>
        <w:t xml:space="preserve">Scandinavian journal of the Old </w:t>
      </w:r>
      <w:proofErr w:type="gramStart"/>
      <w:r w:rsidR="00141513" w:rsidRPr="00A62045">
        <w:rPr>
          <w:i/>
          <w:iCs/>
          <w:sz w:val="20"/>
          <w:szCs w:val="20"/>
        </w:rPr>
        <w:t>Testament :</w:t>
      </w:r>
      <w:proofErr w:type="gramEnd"/>
      <w:r w:rsidR="00141513" w:rsidRPr="00A62045">
        <w:rPr>
          <w:i/>
          <w:iCs/>
          <w:sz w:val="20"/>
          <w:szCs w:val="20"/>
        </w:rPr>
        <w:t xml:space="preserve"> SJOT</w:t>
      </w:r>
      <w:r w:rsidR="00141513" w:rsidRPr="00A62045">
        <w:rPr>
          <w:sz w:val="20"/>
          <w:szCs w:val="20"/>
        </w:rPr>
        <w:t xml:space="preserve">, 20(2), </w:t>
      </w:r>
      <w:r w:rsidR="00141513" w:rsidRPr="00A62045">
        <w:rPr>
          <w:sz w:val="20"/>
          <w:szCs w:val="20"/>
        </w:rPr>
        <w:t xml:space="preserve">(206) </w:t>
      </w:r>
      <w:r w:rsidR="00141513" w:rsidRPr="00A62045">
        <w:rPr>
          <w:sz w:val="20"/>
          <w:szCs w:val="20"/>
        </w:rPr>
        <w:t xml:space="preserve">pp. 259–263. </w:t>
      </w:r>
      <w:r w:rsidR="00141513" w:rsidRPr="00A62045">
        <w:rPr>
          <w:sz w:val="20"/>
          <w:szCs w:val="20"/>
        </w:rPr>
        <w:t>P. 261. &lt;</w:t>
      </w:r>
      <w:hyperlink r:id="rId1" w:history="1">
        <w:r w:rsidR="00141513" w:rsidRPr="00A62045">
          <w:rPr>
            <w:rStyle w:val="Hyperlink"/>
            <w:sz w:val="20"/>
            <w:szCs w:val="20"/>
          </w:rPr>
          <w:t>https://doi.org/10.1080/09018320601049516</w:t>
        </w:r>
      </w:hyperlink>
      <w:r w:rsidR="00141513" w:rsidRPr="00A62045">
        <w:rPr>
          <w:sz w:val="20"/>
          <w:szCs w:val="20"/>
        </w:rPr>
        <w:t>&gt;.</w:t>
      </w:r>
      <w:r w:rsidR="00141513">
        <w:t xml:space="preserve"> </w:t>
      </w:r>
    </w:p>
    <w:p w14:paraId="795EB455" w14:textId="2A3EE258" w:rsidR="004F339A" w:rsidRPr="00BA5B2B" w:rsidRDefault="004F339A" w:rsidP="004F339A">
      <w:pPr>
        <w:pStyle w:val="FootnoteText"/>
      </w:pPr>
    </w:p>
    <w:p w14:paraId="19EA3A13" w14:textId="413914A5" w:rsidR="004F339A" w:rsidRDefault="004F339A">
      <w:pPr>
        <w:pStyle w:val="FootnoteText"/>
      </w:pPr>
    </w:p>
  </w:footnote>
  <w:footnote w:id="24">
    <w:p w14:paraId="268A8B1B" w14:textId="477E801A" w:rsidR="00A62045" w:rsidRDefault="00A62045">
      <w:pPr>
        <w:pStyle w:val="FootnoteText"/>
      </w:pPr>
      <w:r>
        <w:rPr>
          <w:rStyle w:val="FootnoteReference"/>
        </w:rPr>
        <w:footnoteRef/>
      </w:r>
      <w:r>
        <w:t xml:space="preserve"> </w:t>
      </w:r>
      <w:r>
        <w:t xml:space="preserve">C. D. </w:t>
      </w:r>
      <w:r w:rsidRPr="00F30677">
        <w:t xml:space="preserve">Isbell, </w:t>
      </w:r>
      <w:r>
        <w:t>‘</w:t>
      </w:r>
      <w:r w:rsidRPr="00F30677">
        <w:t>A biblical Midrash on David and Goliath,</w:t>
      </w:r>
      <w:r>
        <w:t>’</w:t>
      </w:r>
      <w:r w:rsidRPr="00F30677">
        <w:t xml:space="preserve"> </w:t>
      </w:r>
      <w:r w:rsidRPr="00F30677">
        <w:rPr>
          <w:i/>
          <w:iCs/>
        </w:rPr>
        <w:t xml:space="preserve">Scandinavian journal of the Old </w:t>
      </w:r>
      <w:proofErr w:type="gramStart"/>
      <w:r w:rsidRPr="00F30677">
        <w:rPr>
          <w:i/>
          <w:iCs/>
        </w:rPr>
        <w:t>Testament :</w:t>
      </w:r>
      <w:proofErr w:type="gramEnd"/>
      <w:r w:rsidRPr="00F30677">
        <w:rPr>
          <w:i/>
          <w:iCs/>
        </w:rPr>
        <w:t xml:space="preserve"> </w:t>
      </w:r>
      <w:r w:rsidR="00DC07D2" w:rsidRPr="00DC07D2">
        <w:t>(2006)</w:t>
      </w:r>
      <w:r w:rsidR="00DC07D2">
        <w:rPr>
          <w:i/>
          <w:iCs/>
        </w:rPr>
        <w:t xml:space="preserve"> </w:t>
      </w:r>
      <w:r w:rsidRPr="00F30677">
        <w:rPr>
          <w:i/>
          <w:iCs/>
        </w:rPr>
        <w:t>SJOT</w:t>
      </w:r>
      <w:r w:rsidRPr="00F30677">
        <w:t xml:space="preserve">, 20(2), </w:t>
      </w:r>
      <w:r>
        <w:t xml:space="preserve">(206) </w:t>
      </w:r>
      <w:r w:rsidRPr="00F30677">
        <w:t xml:space="preserve">pp. 259–263. </w:t>
      </w:r>
      <w:r>
        <w:t>P. 26</w:t>
      </w:r>
      <w:r>
        <w:t>2 - 263</w:t>
      </w:r>
      <w:r>
        <w:t>. &lt;</w:t>
      </w:r>
      <w:hyperlink r:id="rId2" w:history="1">
        <w:r w:rsidRPr="00C83775">
          <w:rPr>
            <w:rStyle w:val="Hyperlink"/>
          </w:rPr>
          <w:t>https://doi.org/10.1080/09018320601049516</w:t>
        </w:r>
      </w:hyperlink>
      <w:r>
        <w:t>&gt;.</w:t>
      </w:r>
    </w:p>
  </w:footnote>
  <w:footnote w:id="25">
    <w:p w14:paraId="70376549" w14:textId="70BCBD20" w:rsidR="002D1D68" w:rsidRDefault="002D1D68">
      <w:pPr>
        <w:pStyle w:val="FootnoteText"/>
      </w:pPr>
      <w:r>
        <w:rPr>
          <w:rStyle w:val="FootnoteReference"/>
        </w:rPr>
        <w:footnoteRef/>
      </w:r>
      <w:r>
        <w:t xml:space="preserve"> </w:t>
      </w:r>
      <w:r>
        <w:t xml:space="preserve">Paul Borgman, </w:t>
      </w:r>
      <w:r>
        <w:rPr>
          <w:i/>
          <w:iCs/>
        </w:rPr>
        <w:t xml:space="preserve">David, Saul </w:t>
      </w:r>
      <w:proofErr w:type="gramStart"/>
      <w:r>
        <w:rPr>
          <w:i/>
          <w:iCs/>
        </w:rPr>
        <w:t>And</w:t>
      </w:r>
      <w:proofErr w:type="gramEnd"/>
      <w:r>
        <w:rPr>
          <w:i/>
          <w:iCs/>
        </w:rPr>
        <w:t xml:space="preserve"> God: Rediscovering </w:t>
      </w:r>
      <w:proofErr w:type="gramStart"/>
      <w:r>
        <w:rPr>
          <w:i/>
          <w:iCs/>
        </w:rPr>
        <w:t>An</w:t>
      </w:r>
      <w:proofErr w:type="gramEnd"/>
      <w:r>
        <w:rPr>
          <w:i/>
          <w:iCs/>
        </w:rPr>
        <w:t xml:space="preserve"> Ancient Story, </w:t>
      </w:r>
      <w:r>
        <w:t xml:space="preserve">(New York, Oxford Academic 2008) p. </w:t>
      </w:r>
      <w:r>
        <w:t>49</w:t>
      </w:r>
      <w:r>
        <w:t>.</w:t>
      </w:r>
    </w:p>
  </w:footnote>
  <w:footnote w:id="26">
    <w:p w14:paraId="3C32918F" w14:textId="4D10596B" w:rsidR="00957508" w:rsidRDefault="00957508">
      <w:pPr>
        <w:pStyle w:val="FootnoteText"/>
      </w:pPr>
      <w:r>
        <w:rPr>
          <w:rStyle w:val="FootnoteReference"/>
        </w:rPr>
        <w:footnoteRef/>
      </w:r>
      <w:r>
        <w:t xml:space="preserve"> </w:t>
      </w:r>
      <w:r>
        <w:t xml:space="preserve">C. D. </w:t>
      </w:r>
      <w:r w:rsidRPr="00F30677">
        <w:t xml:space="preserve">Isbell, </w:t>
      </w:r>
      <w:r>
        <w:t>‘</w:t>
      </w:r>
      <w:r w:rsidRPr="00F30677">
        <w:t>A biblical Midrash on David and Goliath,</w:t>
      </w:r>
      <w:r>
        <w:t>’</w:t>
      </w:r>
      <w:r w:rsidRPr="00F30677">
        <w:t xml:space="preserve"> </w:t>
      </w:r>
      <w:r w:rsidRPr="00F30677">
        <w:rPr>
          <w:i/>
          <w:iCs/>
        </w:rPr>
        <w:t xml:space="preserve">Scandinavian journal of the Old </w:t>
      </w:r>
      <w:proofErr w:type="gramStart"/>
      <w:r w:rsidRPr="00F30677">
        <w:rPr>
          <w:i/>
          <w:iCs/>
        </w:rPr>
        <w:t>Testament :</w:t>
      </w:r>
      <w:proofErr w:type="gramEnd"/>
      <w:r w:rsidRPr="00F30677">
        <w:rPr>
          <w:i/>
          <w:iCs/>
        </w:rPr>
        <w:t xml:space="preserve"> </w:t>
      </w:r>
      <w:r w:rsidR="00DC07D2" w:rsidRPr="00DC07D2">
        <w:t xml:space="preserve">(2006) </w:t>
      </w:r>
      <w:r w:rsidRPr="00F30677">
        <w:rPr>
          <w:i/>
          <w:iCs/>
        </w:rPr>
        <w:t>SJOT</w:t>
      </w:r>
      <w:r w:rsidRPr="00F30677">
        <w:t xml:space="preserve">, 20(2), </w:t>
      </w:r>
      <w:r>
        <w:t xml:space="preserve">(206) </w:t>
      </w:r>
      <w:r w:rsidRPr="00F30677">
        <w:t xml:space="preserve">pp. 259–263. </w:t>
      </w:r>
      <w:r>
        <w:t>P. 26</w:t>
      </w:r>
      <w:r w:rsidR="00DC07D2">
        <w:t>0</w:t>
      </w:r>
      <w:r>
        <w:t>. &lt;</w:t>
      </w:r>
      <w:hyperlink r:id="rId3" w:history="1">
        <w:r w:rsidRPr="00C83775">
          <w:rPr>
            <w:rStyle w:val="Hyperlink"/>
          </w:rPr>
          <w:t>https://doi.org/10.1080/09018320601049516</w:t>
        </w:r>
      </w:hyperlink>
      <w:r>
        <w:t>&gt;.</w:t>
      </w:r>
      <w:r w:rsidR="00DC07D2">
        <w:t xml:space="preserve"> </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A2D46"/>
    <w:rsid w:val="00000746"/>
    <w:rsid w:val="00002B14"/>
    <w:rsid w:val="000076A1"/>
    <w:rsid w:val="0001145D"/>
    <w:rsid w:val="00025620"/>
    <w:rsid w:val="00025F74"/>
    <w:rsid w:val="00036275"/>
    <w:rsid w:val="00041FF5"/>
    <w:rsid w:val="00044D69"/>
    <w:rsid w:val="00051526"/>
    <w:rsid w:val="00057528"/>
    <w:rsid w:val="00077BC2"/>
    <w:rsid w:val="0009313C"/>
    <w:rsid w:val="000A5C75"/>
    <w:rsid w:val="000B3438"/>
    <w:rsid w:val="000B6AAD"/>
    <w:rsid w:val="000B7554"/>
    <w:rsid w:val="000C1F0D"/>
    <w:rsid w:val="000C5686"/>
    <w:rsid w:val="001055EF"/>
    <w:rsid w:val="0012040C"/>
    <w:rsid w:val="00126C9B"/>
    <w:rsid w:val="00135FBB"/>
    <w:rsid w:val="00141513"/>
    <w:rsid w:val="00147D87"/>
    <w:rsid w:val="0015016F"/>
    <w:rsid w:val="00155F94"/>
    <w:rsid w:val="00157E80"/>
    <w:rsid w:val="00161356"/>
    <w:rsid w:val="0016274F"/>
    <w:rsid w:val="00171FF1"/>
    <w:rsid w:val="001911DE"/>
    <w:rsid w:val="00197781"/>
    <w:rsid w:val="001A2D46"/>
    <w:rsid w:val="001B18DA"/>
    <w:rsid w:val="001B1D19"/>
    <w:rsid w:val="001C4F1B"/>
    <w:rsid w:val="001D3529"/>
    <w:rsid w:val="001E342E"/>
    <w:rsid w:val="00207137"/>
    <w:rsid w:val="00207286"/>
    <w:rsid w:val="00214956"/>
    <w:rsid w:val="002265A0"/>
    <w:rsid w:val="0023128F"/>
    <w:rsid w:val="00231B41"/>
    <w:rsid w:val="002346AC"/>
    <w:rsid w:val="0024783E"/>
    <w:rsid w:val="00282993"/>
    <w:rsid w:val="002830B1"/>
    <w:rsid w:val="0028477C"/>
    <w:rsid w:val="00292576"/>
    <w:rsid w:val="002955A2"/>
    <w:rsid w:val="002A2257"/>
    <w:rsid w:val="002A3EBD"/>
    <w:rsid w:val="002C058C"/>
    <w:rsid w:val="002D1D68"/>
    <w:rsid w:val="002D4FA4"/>
    <w:rsid w:val="00300F28"/>
    <w:rsid w:val="00302F59"/>
    <w:rsid w:val="003106BF"/>
    <w:rsid w:val="00344B4D"/>
    <w:rsid w:val="003569A5"/>
    <w:rsid w:val="003661A0"/>
    <w:rsid w:val="00371574"/>
    <w:rsid w:val="003762C2"/>
    <w:rsid w:val="003805A3"/>
    <w:rsid w:val="003A120B"/>
    <w:rsid w:val="003B50D5"/>
    <w:rsid w:val="003B6DFC"/>
    <w:rsid w:val="003B6FF7"/>
    <w:rsid w:val="003C0CEF"/>
    <w:rsid w:val="003C2874"/>
    <w:rsid w:val="003E123B"/>
    <w:rsid w:val="003F1F76"/>
    <w:rsid w:val="003F3673"/>
    <w:rsid w:val="004008B4"/>
    <w:rsid w:val="004063E1"/>
    <w:rsid w:val="00410337"/>
    <w:rsid w:val="004123E1"/>
    <w:rsid w:val="00425732"/>
    <w:rsid w:val="004363B3"/>
    <w:rsid w:val="00444E88"/>
    <w:rsid w:val="00451799"/>
    <w:rsid w:val="004645EA"/>
    <w:rsid w:val="00480F08"/>
    <w:rsid w:val="004A3ED8"/>
    <w:rsid w:val="004A53D6"/>
    <w:rsid w:val="004A7235"/>
    <w:rsid w:val="004C5E37"/>
    <w:rsid w:val="004C7C3F"/>
    <w:rsid w:val="004E544D"/>
    <w:rsid w:val="004F339A"/>
    <w:rsid w:val="00502954"/>
    <w:rsid w:val="00510EFB"/>
    <w:rsid w:val="00524929"/>
    <w:rsid w:val="00572713"/>
    <w:rsid w:val="00573B3E"/>
    <w:rsid w:val="00576E8F"/>
    <w:rsid w:val="005856DD"/>
    <w:rsid w:val="005A3D62"/>
    <w:rsid w:val="005B6911"/>
    <w:rsid w:val="005C4AFA"/>
    <w:rsid w:val="005F7E8F"/>
    <w:rsid w:val="006074DC"/>
    <w:rsid w:val="00607535"/>
    <w:rsid w:val="006141B9"/>
    <w:rsid w:val="006232A1"/>
    <w:rsid w:val="006253E2"/>
    <w:rsid w:val="006348C8"/>
    <w:rsid w:val="00640B67"/>
    <w:rsid w:val="00654CB7"/>
    <w:rsid w:val="0066139F"/>
    <w:rsid w:val="00663369"/>
    <w:rsid w:val="00671400"/>
    <w:rsid w:val="006719DF"/>
    <w:rsid w:val="00684C1E"/>
    <w:rsid w:val="00690BB0"/>
    <w:rsid w:val="00694CA9"/>
    <w:rsid w:val="006A1C9F"/>
    <w:rsid w:val="006C0DC3"/>
    <w:rsid w:val="006C6D6E"/>
    <w:rsid w:val="006C7AB8"/>
    <w:rsid w:val="007221A9"/>
    <w:rsid w:val="00725BE0"/>
    <w:rsid w:val="0074464C"/>
    <w:rsid w:val="00764BED"/>
    <w:rsid w:val="00783E9F"/>
    <w:rsid w:val="00787BC2"/>
    <w:rsid w:val="007947D5"/>
    <w:rsid w:val="007A1AEC"/>
    <w:rsid w:val="007A73E5"/>
    <w:rsid w:val="007B52B1"/>
    <w:rsid w:val="007B6E8A"/>
    <w:rsid w:val="007C6423"/>
    <w:rsid w:val="007D1866"/>
    <w:rsid w:val="007F5879"/>
    <w:rsid w:val="00822F58"/>
    <w:rsid w:val="00823A6B"/>
    <w:rsid w:val="00833E9C"/>
    <w:rsid w:val="0083427F"/>
    <w:rsid w:val="00844CFF"/>
    <w:rsid w:val="00851031"/>
    <w:rsid w:val="00851F14"/>
    <w:rsid w:val="00863B19"/>
    <w:rsid w:val="00872927"/>
    <w:rsid w:val="0088717B"/>
    <w:rsid w:val="0089007D"/>
    <w:rsid w:val="008A2554"/>
    <w:rsid w:val="008A2837"/>
    <w:rsid w:val="008A329B"/>
    <w:rsid w:val="008A6F5B"/>
    <w:rsid w:val="008B123B"/>
    <w:rsid w:val="008B4743"/>
    <w:rsid w:val="008B6715"/>
    <w:rsid w:val="008C4ED5"/>
    <w:rsid w:val="008C6DD9"/>
    <w:rsid w:val="008E2128"/>
    <w:rsid w:val="008F4744"/>
    <w:rsid w:val="00902934"/>
    <w:rsid w:val="00904B17"/>
    <w:rsid w:val="009109D7"/>
    <w:rsid w:val="00913754"/>
    <w:rsid w:val="009463A4"/>
    <w:rsid w:val="00957508"/>
    <w:rsid w:val="009728EF"/>
    <w:rsid w:val="00993A55"/>
    <w:rsid w:val="00997139"/>
    <w:rsid w:val="009A07A7"/>
    <w:rsid w:val="009A10B8"/>
    <w:rsid w:val="009A3382"/>
    <w:rsid w:val="009B4215"/>
    <w:rsid w:val="009B5ACF"/>
    <w:rsid w:val="009D5F83"/>
    <w:rsid w:val="009F0897"/>
    <w:rsid w:val="009F2FDB"/>
    <w:rsid w:val="00A15060"/>
    <w:rsid w:val="00A214DC"/>
    <w:rsid w:val="00A21BA3"/>
    <w:rsid w:val="00A2379B"/>
    <w:rsid w:val="00A4078C"/>
    <w:rsid w:val="00A417E8"/>
    <w:rsid w:val="00A522FA"/>
    <w:rsid w:val="00A5340D"/>
    <w:rsid w:val="00A62045"/>
    <w:rsid w:val="00A738AD"/>
    <w:rsid w:val="00A83E21"/>
    <w:rsid w:val="00A95A40"/>
    <w:rsid w:val="00A96383"/>
    <w:rsid w:val="00A96E76"/>
    <w:rsid w:val="00AA2D30"/>
    <w:rsid w:val="00AC6B42"/>
    <w:rsid w:val="00AE5ADC"/>
    <w:rsid w:val="00AF4050"/>
    <w:rsid w:val="00B02EC0"/>
    <w:rsid w:val="00B054F0"/>
    <w:rsid w:val="00B13BAB"/>
    <w:rsid w:val="00B141CA"/>
    <w:rsid w:val="00B162CC"/>
    <w:rsid w:val="00B234A0"/>
    <w:rsid w:val="00B2407B"/>
    <w:rsid w:val="00B31E33"/>
    <w:rsid w:val="00B41DF1"/>
    <w:rsid w:val="00B45276"/>
    <w:rsid w:val="00B64298"/>
    <w:rsid w:val="00B87210"/>
    <w:rsid w:val="00B907DB"/>
    <w:rsid w:val="00B9633E"/>
    <w:rsid w:val="00BA1238"/>
    <w:rsid w:val="00BA37FB"/>
    <w:rsid w:val="00BA5B2B"/>
    <w:rsid w:val="00BA6B20"/>
    <w:rsid w:val="00BB57EA"/>
    <w:rsid w:val="00BC2107"/>
    <w:rsid w:val="00BC6D78"/>
    <w:rsid w:val="00BD0AEF"/>
    <w:rsid w:val="00BE5EDE"/>
    <w:rsid w:val="00C10D35"/>
    <w:rsid w:val="00C14DF4"/>
    <w:rsid w:val="00C23D12"/>
    <w:rsid w:val="00C3167D"/>
    <w:rsid w:val="00C375B5"/>
    <w:rsid w:val="00C37E35"/>
    <w:rsid w:val="00C43CC7"/>
    <w:rsid w:val="00C4649C"/>
    <w:rsid w:val="00C50CFF"/>
    <w:rsid w:val="00C51378"/>
    <w:rsid w:val="00C55CC5"/>
    <w:rsid w:val="00C64E13"/>
    <w:rsid w:val="00C67C3B"/>
    <w:rsid w:val="00C70A1D"/>
    <w:rsid w:val="00C83360"/>
    <w:rsid w:val="00C95DF9"/>
    <w:rsid w:val="00CA3F41"/>
    <w:rsid w:val="00CC562A"/>
    <w:rsid w:val="00CD2924"/>
    <w:rsid w:val="00CD3C26"/>
    <w:rsid w:val="00CE2135"/>
    <w:rsid w:val="00CF269B"/>
    <w:rsid w:val="00D000AC"/>
    <w:rsid w:val="00D03281"/>
    <w:rsid w:val="00D1049F"/>
    <w:rsid w:val="00D12055"/>
    <w:rsid w:val="00D23D95"/>
    <w:rsid w:val="00D31E34"/>
    <w:rsid w:val="00D3354A"/>
    <w:rsid w:val="00D42596"/>
    <w:rsid w:val="00D44285"/>
    <w:rsid w:val="00D515EF"/>
    <w:rsid w:val="00D55AA1"/>
    <w:rsid w:val="00D56061"/>
    <w:rsid w:val="00D660F9"/>
    <w:rsid w:val="00D72D9D"/>
    <w:rsid w:val="00D80D89"/>
    <w:rsid w:val="00D86F9D"/>
    <w:rsid w:val="00D92003"/>
    <w:rsid w:val="00DC037B"/>
    <w:rsid w:val="00DC07D2"/>
    <w:rsid w:val="00DC3166"/>
    <w:rsid w:val="00DD6D7F"/>
    <w:rsid w:val="00DE007F"/>
    <w:rsid w:val="00DE523E"/>
    <w:rsid w:val="00DE5DB8"/>
    <w:rsid w:val="00DF3025"/>
    <w:rsid w:val="00DF5644"/>
    <w:rsid w:val="00DF61C3"/>
    <w:rsid w:val="00E01190"/>
    <w:rsid w:val="00E10B78"/>
    <w:rsid w:val="00E11BEA"/>
    <w:rsid w:val="00E20845"/>
    <w:rsid w:val="00E33988"/>
    <w:rsid w:val="00E44FAD"/>
    <w:rsid w:val="00E71899"/>
    <w:rsid w:val="00E75E27"/>
    <w:rsid w:val="00EA08F6"/>
    <w:rsid w:val="00EC1389"/>
    <w:rsid w:val="00ED71F0"/>
    <w:rsid w:val="00EE3A98"/>
    <w:rsid w:val="00F03739"/>
    <w:rsid w:val="00F03DD6"/>
    <w:rsid w:val="00F1193D"/>
    <w:rsid w:val="00F24D00"/>
    <w:rsid w:val="00F30677"/>
    <w:rsid w:val="00F63C23"/>
    <w:rsid w:val="00FB4897"/>
    <w:rsid w:val="00FB75FA"/>
    <w:rsid w:val="00FE063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FBE1BDA"/>
  <w15:chartTrackingRefBased/>
  <w15:docId w15:val="{48C5C54F-BFF7-4F80-A3E3-00596004D7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A2D46"/>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1A2D46"/>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1A2D46"/>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1A2D46"/>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1A2D46"/>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1A2D4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A2D4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A2D4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A2D4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A2D46"/>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1A2D46"/>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1A2D46"/>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1A2D46"/>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1A2D46"/>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1A2D4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A2D4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A2D4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A2D46"/>
    <w:rPr>
      <w:rFonts w:eastAsiaTheme="majorEastAsia" w:cstheme="majorBidi"/>
      <w:color w:val="272727" w:themeColor="text1" w:themeTint="D8"/>
    </w:rPr>
  </w:style>
  <w:style w:type="paragraph" w:styleId="Title">
    <w:name w:val="Title"/>
    <w:basedOn w:val="Normal"/>
    <w:next w:val="Normal"/>
    <w:link w:val="TitleChar"/>
    <w:uiPriority w:val="10"/>
    <w:qFormat/>
    <w:rsid w:val="001A2D4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A2D4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A2D4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A2D4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A2D46"/>
    <w:pPr>
      <w:spacing w:before="160"/>
      <w:jc w:val="center"/>
    </w:pPr>
    <w:rPr>
      <w:i/>
      <w:iCs/>
      <w:color w:val="404040" w:themeColor="text1" w:themeTint="BF"/>
    </w:rPr>
  </w:style>
  <w:style w:type="character" w:customStyle="1" w:styleId="QuoteChar">
    <w:name w:val="Quote Char"/>
    <w:basedOn w:val="DefaultParagraphFont"/>
    <w:link w:val="Quote"/>
    <w:uiPriority w:val="29"/>
    <w:rsid w:val="001A2D46"/>
    <w:rPr>
      <w:i/>
      <w:iCs/>
      <w:color w:val="404040" w:themeColor="text1" w:themeTint="BF"/>
    </w:rPr>
  </w:style>
  <w:style w:type="paragraph" w:styleId="ListParagraph">
    <w:name w:val="List Paragraph"/>
    <w:basedOn w:val="Normal"/>
    <w:uiPriority w:val="34"/>
    <w:qFormat/>
    <w:rsid w:val="001A2D46"/>
    <w:pPr>
      <w:ind w:left="720"/>
      <w:contextualSpacing/>
    </w:pPr>
  </w:style>
  <w:style w:type="character" w:styleId="IntenseEmphasis">
    <w:name w:val="Intense Emphasis"/>
    <w:basedOn w:val="DefaultParagraphFont"/>
    <w:uiPriority w:val="21"/>
    <w:qFormat/>
    <w:rsid w:val="001A2D46"/>
    <w:rPr>
      <w:i/>
      <w:iCs/>
      <w:color w:val="2F5496" w:themeColor="accent1" w:themeShade="BF"/>
    </w:rPr>
  </w:style>
  <w:style w:type="paragraph" w:styleId="IntenseQuote">
    <w:name w:val="Intense Quote"/>
    <w:basedOn w:val="Normal"/>
    <w:next w:val="Normal"/>
    <w:link w:val="IntenseQuoteChar"/>
    <w:uiPriority w:val="30"/>
    <w:qFormat/>
    <w:rsid w:val="001A2D46"/>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1A2D46"/>
    <w:rPr>
      <w:i/>
      <w:iCs/>
      <w:color w:val="2F5496" w:themeColor="accent1" w:themeShade="BF"/>
    </w:rPr>
  </w:style>
  <w:style w:type="character" w:styleId="IntenseReference">
    <w:name w:val="Intense Reference"/>
    <w:basedOn w:val="DefaultParagraphFont"/>
    <w:uiPriority w:val="32"/>
    <w:qFormat/>
    <w:rsid w:val="001A2D46"/>
    <w:rPr>
      <w:b/>
      <w:bCs/>
      <w:smallCaps/>
      <w:color w:val="2F5496" w:themeColor="accent1" w:themeShade="BF"/>
      <w:spacing w:val="5"/>
    </w:rPr>
  </w:style>
  <w:style w:type="paragraph" w:styleId="FootnoteText">
    <w:name w:val="footnote text"/>
    <w:basedOn w:val="Normal"/>
    <w:link w:val="FootnoteTextChar"/>
    <w:uiPriority w:val="99"/>
    <w:semiHidden/>
    <w:unhideWhenUsed/>
    <w:rsid w:val="0024783E"/>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24783E"/>
    <w:rPr>
      <w:sz w:val="20"/>
      <w:szCs w:val="20"/>
    </w:rPr>
  </w:style>
  <w:style w:type="character" w:styleId="FootnoteReference">
    <w:name w:val="footnote reference"/>
    <w:basedOn w:val="DefaultParagraphFont"/>
    <w:uiPriority w:val="99"/>
    <w:semiHidden/>
    <w:unhideWhenUsed/>
    <w:rsid w:val="0024783E"/>
    <w:rPr>
      <w:vertAlign w:val="superscript"/>
    </w:rPr>
  </w:style>
  <w:style w:type="character" w:styleId="Hyperlink">
    <w:name w:val="Hyperlink"/>
    <w:basedOn w:val="DefaultParagraphFont"/>
    <w:uiPriority w:val="99"/>
    <w:unhideWhenUsed/>
    <w:rsid w:val="00A4078C"/>
    <w:rPr>
      <w:color w:val="0563C1" w:themeColor="hyperlink"/>
      <w:u w:val="single"/>
    </w:rPr>
  </w:style>
  <w:style w:type="character" w:styleId="UnresolvedMention">
    <w:name w:val="Unresolved Mention"/>
    <w:basedOn w:val="DefaultParagraphFont"/>
    <w:uiPriority w:val="99"/>
    <w:semiHidden/>
    <w:unhideWhenUsed/>
    <w:rsid w:val="00A4078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iblegateway.com/versions/New-Revised-Standard-Version-Updated-Edition-NRSVue-Bible/" TargetMode="External"/><Relationship Id="rId3" Type="http://schemas.openxmlformats.org/officeDocument/2006/relationships/webSettings" Target="webSettings.xml"/><Relationship Id="rId7" Type="http://schemas.openxmlformats.org/officeDocument/2006/relationships/hyperlink" Target="https://doi.org/10.1093/oso/9780195132731.001.0001"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doi.org/10.1080/09018320601049516" TargetMode="External"/><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_rels/footnotes.xml.rels><?xml version="1.0" encoding="UTF-8" standalone="yes"?>
<Relationships xmlns="http://schemas.openxmlformats.org/package/2006/relationships"><Relationship Id="rId3" Type="http://schemas.openxmlformats.org/officeDocument/2006/relationships/hyperlink" Target="https://doi.org/10.1080/09018320601049516" TargetMode="External"/><Relationship Id="rId2" Type="http://schemas.openxmlformats.org/officeDocument/2006/relationships/hyperlink" Target="https://doi.org/10.1080/09018320601049516" TargetMode="External"/><Relationship Id="rId1" Type="http://schemas.openxmlformats.org/officeDocument/2006/relationships/hyperlink" Target="https://doi.org/10.1080/0901832060104951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9629</TotalTime>
  <Pages>6</Pages>
  <Words>1940</Words>
  <Characters>11059</Characters>
  <Application>Microsoft Office Word</Application>
  <DocSecurity>0</DocSecurity>
  <Lines>92</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12974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Marcus Chick</dc:creator>
  <cp:keywords/>
  <dc:description/>
  <cp:lastModifiedBy>Marcus Chick</cp:lastModifiedBy>
  <cp:revision>267</cp:revision>
  <dcterms:created xsi:type="dcterms:W3CDTF">2026-04-20T14:43:00Z</dcterms:created>
  <dcterms:modified xsi:type="dcterms:W3CDTF">2026-04-27T21:04:00Z</dcterms:modified>
</cp:coreProperties>
</file>