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1B7F2AD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r w:rsidR="00115D68" w:rsidRPr="00063B4C">
        <w:rPr>
          <w:rFonts w:cs="Arial"/>
          <w:sz w:val="20"/>
        </w:rPr>
        <w:t>statement,</w:t>
      </w:r>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157F4931" w14:textId="77777777" w:rsidR="00115D68" w:rsidRDefault="00115D68" w:rsidP="00604A87">
      <w:pPr>
        <w:rPr>
          <w:rFonts w:eastAsia="Times New Roman" w:cs="Arial"/>
          <w:b/>
          <w:sz w:val="28"/>
          <w:szCs w:val="28"/>
        </w:rPr>
      </w:pPr>
    </w:p>
    <w:p w14:paraId="3C667F00" w14:textId="77777777" w:rsidR="00115D68" w:rsidRDefault="00115D68" w:rsidP="00604A87">
      <w:pPr>
        <w:rPr>
          <w:rFonts w:eastAsia="Times New Roman" w:cs="Arial"/>
          <w:b/>
          <w:sz w:val="28"/>
          <w:szCs w:val="28"/>
        </w:rPr>
      </w:pPr>
    </w:p>
    <w:p w14:paraId="2E172F20" w14:textId="77777777" w:rsidR="00115D68" w:rsidRDefault="00115D68" w:rsidP="00604A87">
      <w:pPr>
        <w:rPr>
          <w:rFonts w:eastAsia="Times New Roman" w:cs="Arial"/>
          <w:b/>
          <w:sz w:val="28"/>
          <w:szCs w:val="28"/>
        </w:rPr>
      </w:pPr>
    </w:p>
    <w:p w14:paraId="6E2BBC0E" w14:textId="77777777" w:rsidR="00115D68" w:rsidRDefault="00115D68"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CB54116"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39055F">
        <w:rPr>
          <w:rFonts w:eastAsia="Times New Roman" w:cs="Arial"/>
        </w:rPr>
        <w:t>J.Lawrence</w:t>
      </w:r>
      <w:proofErr w:type="spellEnd"/>
      <w:proofErr w:type="gramEnd"/>
      <w:r w:rsidRPr="00604A87">
        <w:rPr>
          <w:rFonts w:eastAsia="Times New Roman" w:cs="Arial"/>
        </w:rPr>
        <w:t>…………………………………</w:t>
      </w:r>
    </w:p>
    <w:p w14:paraId="16B6CB34" w14:textId="3155F60D" w:rsidR="00604A87" w:rsidRPr="00604A87" w:rsidRDefault="00604A87" w:rsidP="00604A87">
      <w:pPr>
        <w:rPr>
          <w:rFonts w:eastAsia="Times New Roman" w:cs="Arial"/>
        </w:rPr>
      </w:pPr>
      <w:r w:rsidRPr="00604A87">
        <w:rPr>
          <w:rFonts w:eastAsia="Times New Roman" w:cs="Arial"/>
        </w:rPr>
        <w:t>Date……………</w:t>
      </w:r>
      <w:r w:rsidR="0039055F">
        <w:rPr>
          <w:rFonts w:eastAsia="Times New Roman" w:cs="Arial"/>
        </w:rPr>
        <w:t>01/07/26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486A3B0F"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39055F">
        <w:rPr>
          <w:rFonts w:eastAsia="Times New Roman" w:cs="Arial"/>
        </w:rPr>
        <w:t>J.Lawrence</w:t>
      </w:r>
      <w:proofErr w:type="spellEnd"/>
      <w:proofErr w:type="gramEnd"/>
      <w:r w:rsidRPr="00604A87">
        <w:rPr>
          <w:rFonts w:eastAsia="Times New Roman" w:cs="Arial"/>
        </w:rPr>
        <w:t xml:space="preserve">…………………………………. </w:t>
      </w:r>
    </w:p>
    <w:p w14:paraId="21F5E413" w14:textId="21426A13" w:rsidR="00604A87" w:rsidRPr="00604A87" w:rsidRDefault="00604A87" w:rsidP="00604A87">
      <w:pPr>
        <w:rPr>
          <w:rFonts w:eastAsia="Times New Roman" w:cs="Arial"/>
        </w:rPr>
      </w:pPr>
      <w:r w:rsidRPr="00604A87">
        <w:rPr>
          <w:rFonts w:eastAsia="Times New Roman" w:cs="Arial"/>
        </w:rPr>
        <w:t>Date……………</w:t>
      </w:r>
      <w:r w:rsidR="0039055F">
        <w:rPr>
          <w:rFonts w:eastAsia="Times New Roman" w:cs="Arial"/>
        </w:rPr>
        <w:t>01/07/26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74BC421B"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39055F">
        <w:rPr>
          <w:rFonts w:eastAsia="Times New Roman" w:cs="Arial"/>
        </w:rPr>
        <w:t>J.Lawrence</w:t>
      </w:r>
      <w:proofErr w:type="spellEnd"/>
      <w:proofErr w:type="gramEnd"/>
      <w:r w:rsidRPr="00604A87">
        <w:rPr>
          <w:rFonts w:eastAsia="Times New Roman" w:cs="Arial"/>
        </w:rPr>
        <w:t>…………………………………</w:t>
      </w:r>
    </w:p>
    <w:p w14:paraId="1CB40FFB" w14:textId="05944AE2" w:rsidR="00604A87" w:rsidRPr="00604A87" w:rsidRDefault="00604A87" w:rsidP="00604A87">
      <w:pPr>
        <w:rPr>
          <w:rFonts w:eastAsia="Times New Roman" w:cs="Arial"/>
        </w:rPr>
      </w:pPr>
      <w:r w:rsidRPr="00604A87">
        <w:rPr>
          <w:rFonts w:eastAsia="Times New Roman" w:cs="Arial"/>
        </w:rPr>
        <w:t>Date……………</w:t>
      </w:r>
      <w:r w:rsidR="0039055F">
        <w:rPr>
          <w:rFonts w:eastAsia="Times New Roman" w:cs="Arial"/>
        </w:rPr>
        <w:t>01/07/26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25F5D958"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39055F">
        <w:rPr>
          <w:rFonts w:eastAsia="Times New Roman" w:cs="Arial"/>
        </w:rPr>
        <w:t>J.Lawrence</w:t>
      </w:r>
      <w:proofErr w:type="spellEnd"/>
      <w:proofErr w:type="gramEnd"/>
      <w:r w:rsidRPr="00604A87">
        <w:rPr>
          <w:rFonts w:eastAsia="Times New Roman" w:cs="Arial"/>
        </w:rPr>
        <w:t>…………………………………</w:t>
      </w:r>
    </w:p>
    <w:p w14:paraId="021196D1" w14:textId="6813036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39055F">
        <w:rPr>
          <w:rFonts w:eastAsia="Times New Roman" w:cs="Arial"/>
        </w:rPr>
        <w:t>01/07/26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40569ACE"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39055F">
        <w:rPr>
          <w:rFonts w:eastAsia="Times New Roman" w:cs="Arial"/>
        </w:rPr>
        <w:t>J.Lawrence</w:t>
      </w:r>
      <w:proofErr w:type="spellEnd"/>
      <w:proofErr w:type="gramEnd"/>
      <w:r w:rsidRPr="00604A87">
        <w:rPr>
          <w:rFonts w:eastAsia="Times New Roman" w:cs="Arial"/>
        </w:rPr>
        <w:t>……………………………………</w:t>
      </w:r>
    </w:p>
    <w:p w14:paraId="2BDDE109" w14:textId="2A21480E"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39055F">
        <w:rPr>
          <w:rFonts w:eastAsia="Times New Roman" w:cs="Arial"/>
        </w:rPr>
        <w:t>01/07/26</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90A29A2" w14:textId="77777777" w:rsidR="0039055F" w:rsidRPr="0039055F" w:rsidRDefault="0039055F" w:rsidP="0039055F">
      <w:pPr>
        <w:pBdr>
          <w:bottom w:val="single" w:sz="4" w:space="1" w:color="auto"/>
        </w:pBdr>
        <w:spacing w:before="240" w:after="0"/>
        <w:jc w:val="center"/>
        <w:rPr>
          <w:rFonts w:ascii="Arial" w:eastAsia="Times New Roman" w:hAnsi="Arial" w:cs="Arial"/>
          <w:b/>
          <w:bCs/>
          <w:kern w:val="0"/>
          <w:sz w:val="28"/>
          <w:szCs w:val="28"/>
          <w:highlight w:val="white"/>
          <w:lang w:eastAsia="en-US"/>
          <w14:ligatures w14:val="none"/>
        </w:rPr>
      </w:pPr>
      <w:r w:rsidRPr="0039055F">
        <w:rPr>
          <w:rFonts w:ascii="Arial" w:eastAsia="Times New Roman" w:hAnsi="Arial" w:cs="Arial"/>
          <w:b/>
          <w:bCs/>
          <w:kern w:val="0"/>
          <w:sz w:val="28"/>
          <w:szCs w:val="28"/>
          <w:highlight w:val="white"/>
          <w:lang w:eastAsia="en-US"/>
          <w14:ligatures w14:val="none"/>
        </w:rPr>
        <w:t>Examining the Effect of COVID-19 Emergency Clinical Training on Staff Competency Levels within the UK Health Care Industry</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0178EF69" w14:textId="77777777" w:rsidR="0039055F" w:rsidRPr="0039055F" w:rsidRDefault="0039055F" w:rsidP="0039055F">
      <w:pPr>
        <w:spacing w:before="240" w:after="0"/>
        <w:jc w:val="center"/>
        <w:rPr>
          <w:rFonts w:ascii="Arial" w:eastAsia="Times New Roman" w:hAnsi="Arial" w:cs="Arial"/>
          <w:bCs/>
          <w:kern w:val="0"/>
          <w:sz w:val="28"/>
          <w:szCs w:val="28"/>
          <w:highlight w:val="white"/>
          <w:lang w:eastAsia="en-US"/>
          <w14:ligatures w14:val="none"/>
        </w:rPr>
      </w:pPr>
      <w:r w:rsidRPr="0039055F">
        <w:rPr>
          <w:rFonts w:ascii="Arial" w:eastAsia="Times New Roman" w:hAnsi="Arial" w:cs="Arial"/>
          <w:b/>
          <w:bCs/>
          <w:kern w:val="0"/>
          <w:sz w:val="28"/>
          <w:szCs w:val="28"/>
          <w:highlight w:val="white"/>
          <w:lang w:eastAsia="en-US"/>
          <w14:ligatures w14:val="none"/>
        </w:rPr>
        <w:t xml:space="preserve">Student Name: </w:t>
      </w:r>
      <w:r w:rsidRPr="0039055F">
        <w:rPr>
          <w:rFonts w:ascii="Arial" w:eastAsia="Times New Roman" w:hAnsi="Arial" w:cs="Arial"/>
          <w:bCs/>
          <w:kern w:val="0"/>
          <w:sz w:val="28"/>
          <w:szCs w:val="28"/>
          <w:lang w:eastAsia="en-US"/>
          <w14:ligatures w14:val="none"/>
        </w:rPr>
        <w:t>Jacqueline Lawrence</w:t>
      </w:r>
    </w:p>
    <w:p w14:paraId="17853057" w14:textId="77777777" w:rsidR="0039055F" w:rsidRPr="0039055F" w:rsidRDefault="0039055F" w:rsidP="0039055F">
      <w:pPr>
        <w:spacing w:before="240" w:after="0"/>
        <w:jc w:val="center"/>
        <w:rPr>
          <w:rFonts w:ascii="Arial" w:eastAsia="Times New Roman" w:hAnsi="Arial" w:cs="Arial"/>
          <w:b/>
          <w:bCs/>
          <w:kern w:val="0"/>
          <w:sz w:val="28"/>
          <w:szCs w:val="28"/>
          <w:highlight w:val="white"/>
          <w:lang w:eastAsia="en-US"/>
          <w14:ligatures w14:val="none"/>
        </w:rPr>
      </w:pPr>
      <w:r w:rsidRPr="0039055F">
        <w:rPr>
          <w:rFonts w:ascii="Arial" w:eastAsia="Times New Roman" w:hAnsi="Arial" w:cs="Arial"/>
          <w:b/>
          <w:bCs/>
          <w:kern w:val="0"/>
          <w:sz w:val="28"/>
          <w:szCs w:val="28"/>
          <w:highlight w:val="white"/>
          <w:lang w:eastAsia="en-US"/>
          <w14:ligatures w14:val="none"/>
        </w:rPr>
        <w:t>Student ID: 2315750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1460CAB5" w14:textId="77777777" w:rsidR="000627E2" w:rsidRDefault="000627E2"/>
    <w:p w14:paraId="0FFF6794" w14:textId="77777777" w:rsidR="000627E2" w:rsidRDefault="000627E2"/>
    <w:p w14:paraId="1D7E03E5" w14:textId="77777777" w:rsidR="000627E2" w:rsidRDefault="000627E2"/>
    <w:p w14:paraId="0F4A849F" w14:textId="3642A960" w:rsidR="00995444" w:rsidRPr="0025020C" w:rsidRDefault="00995444" w:rsidP="00115D68">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Cs/>
        </w:rPr>
      </w:pPr>
      <w:r w:rsidRPr="00995444">
        <w:rPr>
          <w:rFonts w:eastAsia="Arial Unicode MS" w:cs="Arial"/>
          <w:b/>
          <w:sz w:val="28"/>
          <w:szCs w:val="28"/>
        </w:rPr>
        <w:lastRenderedPageBreak/>
        <w:t>ACKNOWLEDGEMENTS</w:t>
      </w:r>
    </w:p>
    <w:p w14:paraId="63B1FE13" w14:textId="046C0AF7"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r w:rsidR="00115D68" w:rsidRPr="00995444">
        <w:rPr>
          <w:rFonts w:ascii="Aptos" w:hAnsi="Aptos" w:cs="Arial"/>
          <w:color w:val="333333"/>
          <w:sz w:val="22"/>
          <w:szCs w:val="22"/>
        </w:rPr>
        <w:t>section is</w:t>
      </w:r>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5525097E"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r w:rsidR="00115D68" w:rsidRPr="00995444">
        <w:rPr>
          <w:rFonts w:ascii="Aptos" w:hAnsi="Aptos" w:cs="Arial"/>
          <w:color w:val="333333"/>
          <w:sz w:val="22"/>
          <w:szCs w:val="22"/>
        </w:rPr>
        <w:t>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r w:rsidR="00115D68" w:rsidRPr="00995444">
        <w:rPr>
          <w:rFonts w:ascii="Aptos" w:hAnsi="Aptos" w:cs="Arial"/>
          <w:color w:val="333333"/>
          <w:sz w:val="22"/>
          <w:szCs w:val="22"/>
        </w:rPr>
        <w:t>your</w:t>
      </w:r>
      <w:r w:rsidRPr="00995444">
        <w:rPr>
          <w:rFonts w:ascii="Aptos" w:hAnsi="Aptos" w:cs="Arial"/>
          <w:color w:val="333333"/>
          <w:sz w:val="22"/>
          <w:szCs w:val="22"/>
        </w:rPr>
        <w:t xml:space="preserve"> assistance.</w:t>
      </w:r>
    </w:p>
    <w:p w14:paraId="40A3E6C2" w14:textId="77777777" w:rsidR="00995444" w:rsidRDefault="00995444"/>
    <w:p w14:paraId="7EA8A979" w14:textId="6CF0D5B3" w:rsidR="0073280B" w:rsidRDefault="00E243E0" w:rsidP="00E243E0">
      <w:pPr>
        <w:tabs>
          <w:tab w:val="right" w:pos="9026"/>
        </w:tabs>
        <w:jc w:val="right"/>
      </w:pPr>
      <w:proofErr w:type="spellStart"/>
      <w:proofErr w:type="gramStart"/>
      <w:r>
        <w:t>J.Lawrence</w:t>
      </w:r>
      <w:proofErr w:type="spellEnd"/>
      <w:proofErr w:type="gramEnd"/>
      <w:r>
        <w:t xml:space="preserve">                       </w:t>
      </w:r>
      <w:r>
        <w:tab/>
        <w:t>01/07/2026</w:t>
      </w:r>
    </w:p>
    <w:p w14:paraId="24382F47" w14:textId="77777777" w:rsidR="0073280B" w:rsidRDefault="0073280B"/>
    <w:p w14:paraId="6A8FCE15" w14:textId="77777777" w:rsidR="0073280B" w:rsidRDefault="0073280B" w:rsidP="00E243E0">
      <w:pPr>
        <w:jc w:val="right"/>
      </w:pPr>
    </w:p>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5D52B59F" w14:textId="77777777" w:rsidR="0039055F" w:rsidRDefault="0039055F"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8249928" w14:textId="59D9B6E3" w:rsidR="0073280B" w:rsidRPr="0025020C" w:rsidRDefault="0073280B" w:rsidP="00115D6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rPr>
      </w:pPr>
      <w:r w:rsidRPr="0025020C">
        <w:rPr>
          <w:rFonts w:eastAsia="Arial Unicode MS" w:cs="Arial"/>
          <w:b/>
          <w:sz w:val="28"/>
          <w:szCs w:val="28"/>
        </w:rPr>
        <w:lastRenderedPageBreak/>
        <w:t>ABSTRACT</w:t>
      </w:r>
    </w:p>
    <w:p w14:paraId="310D40A5" w14:textId="77777777" w:rsidR="0073280B" w:rsidRPr="0025020C" w:rsidRDefault="0073280B" w:rsidP="0025020C">
      <w:pPr>
        <w:ind w:right="194"/>
        <w:rPr>
          <w:rFonts w:eastAsia="Arial Unicode MS" w:cs="Arial"/>
        </w:rPr>
      </w:pPr>
    </w:p>
    <w:p w14:paraId="5010D16E" w14:textId="77777777" w:rsidR="00115D68" w:rsidRDefault="00AF78BA" w:rsidP="00115D68">
      <w:r>
        <w:t> </w:t>
      </w:r>
      <w:r w:rsidR="00115D68">
        <w:t xml:space="preserve">The research study focuses on the impact of the COVID-19 emergency clinical training on the competency level in the UK healthcare sector. The research aims to determine the impact of rapid training initiatives on the knowledge, skills and confidence of the staff as well as their professional preparedness in pandemic situations. The study is implicit in the field of health and social care, given that it examines the preparedness of the workforce, patient safety, and their resilience during a crisis. </w:t>
      </w:r>
    </w:p>
    <w:p w14:paraId="303F371D" w14:textId="77777777" w:rsidR="00115D68" w:rsidRDefault="00115D68" w:rsidP="00115D68">
      <w:r>
        <w:t>A secondary research design has been considered for the study that aimed at gathering information from published literature and NHS reports. The recurring patterns and themes are developed based on thematic analysis. This approach provides an opportunity to investigate the effectiveness of training, flexibility of workforce, delivery limitations and support systems. Through a critical review of the literature, the study gives an insight into evidence-based research concerning the aspects of strengths and limitations of the emergency training. Besides, evidence-based suggestions on future practice, policy and workforce development for healthcare emergencies are established.</w:t>
      </w:r>
    </w:p>
    <w:p w14:paraId="04321853" w14:textId="77777777" w:rsidR="00115D68" w:rsidRDefault="00115D68" w:rsidP="00115D68">
      <w:r>
        <w:t>The findings indicated that high-quality emergency clinical training, workforce flexibility, and role adaptation are key factors that improve the resilience of services. The key themes included the importance of simulation training, multidisciplinary working, and policy alignment. These themes and findings together showed that prepared and flexible workforces are important in improving the quality of care, decision-making, and continuity in high-pressure clinical contexts.</w:t>
      </w:r>
    </w:p>
    <w:p w14:paraId="10DBD1E4" w14:textId="77777777" w:rsidR="00115D68" w:rsidRDefault="00115D68" w:rsidP="00115D68">
      <w:r>
        <w:t xml:space="preserve">The study was constrained </w:t>
      </w:r>
      <w:proofErr w:type="gramStart"/>
      <w:r>
        <w:t>by the use of</w:t>
      </w:r>
      <w:proofErr w:type="gramEnd"/>
      <w:r>
        <w:t xml:space="preserve"> secondary data, which limited the study to accessing direct service perspectives and real-time service data. The differences in the study settings and workforces also created limitations for the study. This might affect the generalisability of the results of the study, and the results should be treated with caution when generalising the results to other health and social care organisations.</w:t>
      </w:r>
    </w:p>
    <w:p w14:paraId="5C0FD1F9" w14:textId="77777777" w:rsidR="00115D68" w:rsidRDefault="00115D68" w:rsidP="00115D68">
      <w:r>
        <w:t>The recommendations were to enhance workforce preparedness by providing training, enhance workforce flexibility by implementing multiskilling and adaptive workforce practices, and align policy with the views of frontline services.</w:t>
      </w:r>
    </w:p>
    <w:p w14:paraId="019A2C1E" w14:textId="65F7157F" w:rsidR="0073280B" w:rsidRDefault="0073280B" w:rsidP="00AF78BA"/>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076A78D5" w14:textId="77777777" w:rsidR="00115D68" w:rsidRDefault="00115D68" w:rsidP="00115D68">
      <w:pPr>
        <w:pStyle w:val="TOC1"/>
        <w:tabs>
          <w:tab w:val="right" w:leader="dot" w:pos="9350"/>
        </w:tabs>
        <w:rPr>
          <w:rFonts w:asciiTheme="minorHAnsi" w:eastAsiaTheme="minorEastAsia" w:hAnsiTheme="minorHAnsi"/>
          <w:noProof/>
          <w:lang w:val="en-IN" w:eastAsia="en-IN"/>
        </w:rPr>
      </w:pPr>
      <w:r>
        <w:rPr>
          <w:rFonts w:cs="Arial"/>
          <w:lang w:val="en-GB"/>
        </w:rPr>
        <w:fldChar w:fldCharType="begin"/>
      </w:r>
      <w:r>
        <w:rPr>
          <w:rFonts w:cs="Arial"/>
          <w:lang w:val="en-GB"/>
        </w:rPr>
        <w:instrText xml:space="preserve"> TOC \o "1-3" \h \z \u </w:instrText>
      </w:r>
      <w:r>
        <w:rPr>
          <w:rFonts w:cs="Arial"/>
          <w:lang w:val="en-GB"/>
        </w:rPr>
        <w:fldChar w:fldCharType="separate"/>
      </w:r>
      <w:hyperlink r:id="rId9" w:anchor="_Toc232409263" w:history="1">
        <w:r>
          <w:rPr>
            <w:rStyle w:val="Hyperlink"/>
            <w:rFonts w:cs="Arial"/>
            <w:noProof/>
            <w:lang w:val="en-GB"/>
          </w:rPr>
          <w:t>Element 3 - Dissertation document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_Toc232409263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w:t>
        </w:r>
        <w:r>
          <w:rPr>
            <w:rStyle w:val="Hyperlink"/>
            <w:noProof/>
            <w:webHidden/>
            <w:color w:val="auto"/>
            <w:u w:val="none"/>
          </w:rPr>
          <w:fldChar w:fldCharType="end"/>
        </w:r>
      </w:hyperlink>
    </w:p>
    <w:p w14:paraId="1AAA4312" w14:textId="77777777" w:rsidR="00115D68" w:rsidRDefault="00115D68" w:rsidP="00115D68">
      <w:pPr>
        <w:pStyle w:val="TOC1"/>
        <w:tabs>
          <w:tab w:val="right" w:leader="dot" w:pos="9350"/>
        </w:tabs>
        <w:rPr>
          <w:rFonts w:asciiTheme="minorHAnsi" w:eastAsiaTheme="minorEastAsia" w:hAnsiTheme="minorHAnsi"/>
          <w:noProof/>
          <w:lang w:val="en-IN" w:eastAsia="en-IN"/>
        </w:rPr>
      </w:pPr>
      <w:hyperlink r:id="rId10" w:anchor="_Toc232409264" w:history="1">
        <w:r>
          <w:rPr>
            <w:rStyle w:val="Hyperlink"/>
            <w:noProof/>
            <w:lang w:val="en-GB"/>
          </w:rPr>
          <w:t>Chapter 1 -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_Toc232409264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7</w:t>
        </w:r>
        <w:r>
          <w:rPr>
            <w:rStyle w:val="Hyperlink"/>
            <w:noProof/>
            <w:webHidden/>
            <w:color w:val="auto"/>
            <w:u w:val="none"/>
          </w:rPr>
          <w:fldChar w:fldCharType="end"/>
        </w:r>
      </w:hyperlink>
    </w:p>
    <w:p w14:paraId="10DBCC27"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1" w:anchor="_Toc232409265" w:history="1">
        <w:r>
          <w:rPr>
            <w:rStyle w:val="Hyperlink"/>
            <w:noProof/>
            <w:lang w:val="en-GB"/>
          </w:rPr>
          <w:t>1.1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_Toc232409265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7</w:t>
        </w:r>
        <w:r>
          <w:rPr>
            <w:rStyle w:val="Hyperlink"/>
            <w:noProof/>
            <w:webHidden/>
            <w:color w:val="auto"/>
            <w:u w:val="none"/>
          </w:rPr>
          <w:fldChar w:fldCharType="end"/>
        </w:r>
      </w:hyperlink>
    </w:p>
    <w:p w14:paraId="5B33BA00"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2" w:anchor="_Toc232409266" w:history="1">
        <w:r>
          <w:rPr>
            <w:rStyle w:val="Hyperlink"/>
            <w:noProof/>
            <w:lang w:val="en-GB"/>
          </w:rPr>
          <w:t>1.2 Definitions and Terminology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_Toc232409266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7</w:t>
        </w:r>
        <w:r>
          <w:rPr>
            <w:rStyle w:val="Hyperlink"/>
            <w:noProof/>
            <w:webHidden/>
            <w:color w:val="auto"/>
            <w:u w:val="none"/>
          </w:rPr>
          <w:fldChar w:fldCharType="end"/>
        </w:r>
      </w:hyperlink>
    </w:p>
    <w:p w14:paraId="6A7376ED"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3" w:anchor="_Toc232409267" w:history="1">
        <w:r>
          <w:rPr>
            <w:rStyle w:val="Hyperlink"/>
            <w:noProof/>
            <w:lang w:val="en-GB"/>
          </w:rPr>
          <w:t>1.3 Rationale for Research</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_Toc232409267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8</w:t>
        </w:r>
        <w:r>
          <w:rPr>
            <w:rStyle w:val="Hyperlink"/>
            <w:noProof/>
            <w:webHidden/>
            <w:color w:val="auto"/>
            <w:u w:val="none"/>
          </w:rPr>
          <w:fldChar w:fldCharType="end"/>
        </w:r>
      </w:hyperlink>
    </w:p>
    <w:p w14:paraId="6AA655A3"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4" w:anchor="_Toc232409268" w:history="1">
        <w:r>
          <w:rPr>
            <w:rStyle w:val="Hyperlink"/>
            <w:noProof/>
            <w:lang w:val="en-GB"/>
          </w:rPr>
          <w:t>1.4 Aim and Objectives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_Toc232409268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9</w:t>
        </w:r>
        <w:r>
          <w:rPr>
            <w:rStyle w:val="Hyperlink"/>
            <w:noProof/>
            <w:webHidden/>
            <w:color w:val="auto"/>
            <w:u w:val="none"/>
          </w:rPr>
          <w:fldChar w:fldCharType="end"/>
        </w:r>
      </w:hyperlink>
    </w:p>
    <w:p w14:paraId="0A302B81"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5" w:anchor="_Toc232409269" w:history="1">
        <w:r>
          <w:rPr>
            <w:rStyle w:val="Hyperlink"/>
            <w:noProof/>
            <w:lang w:val="en-GB"/>
          </w:rPr>
          <w:t>1.5 Conclusion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_Toc232409269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9</w:t>
        </w:r>
        <w:r>
          <w:rPr>
            <w:rStyle w:val="Hyperlink"/>
            <w:noProof/>
            <w:webHidden/>
            <w:color w:val="auto"/>
            <w:u w:val="none"/>
          </w:rPr>
          <w:fldChar w:fldCharType="end"/>
        </w:r>
      </w:hyperlink>
    </w:p>
    <w:p w14:paraId="7501ACCE" w14:textId="77777777" w:rsidR="00115D68" w:rsidRDefault="00115D68" w:rsidP="00115D68">
      <w:pPr>
        <w:pStyle w:val="TOC1"/>
        <w:tabs>
          <w:tab w:val="right" w:leader="dot" w:pos="9350"/>
        </w:tabs>
        <w:rPr>
          <w:rFonts w:asciiTheme="minorHAnsi" w:eastAsiaTheme="minorEastAsia" w:hAnsiTheme="minorHAnsi"/>
          <w:noProof/>
          <w:lang w:val="en-IN" w:eastAsia="en-IN"/>
        </w:rPr>
      </w:pPr>
      <w:hyperlink r:id="rId16" w:anchor="_Toc232409270" w:history="1">
        <w:r>
          <w:rPr>
            <w:rStyle w:val="Hyperlink"/>
            <w:noProof/>
            <w:highlight w:val="white"/>
          </w:rPr>
          <w:t>Chapter</w:t>
        </w:r>
        <w:r>
          <w:rPr>
            <w:rStyle w:val="Hyperlink"/>
            <w:noProof/>
            <w:highlight w:val="white"/>
            <w:lang w:val="en-GB"/>
          </w:rPr>
          <w:t xml:space="preserve"> 2 - Background Information and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_Toc232409270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10</w:t>
        </w:r>
        <w:r>
          <w:rPr>
            <w:rStyle w:val="Hyperlink"/>
            <w:noProof/>
            <w:webHidden/>
            <w:color w:val="auto"/>
            <w:u w:val="none"/>
          </w:rPr>
          <w:fldChar w:fldCharType="end"/>
        </w:r>
      </w:hyperlink>
    </w:p>
    <w:p w14:paraId="5C4F5CD6"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7" w:anchor="_Toc232409271" w:history="1">
        <w:r>
          <w:rPr>
            <w:rStyle w:val="Hyperlink"/>
            <w:noProof/>
            <w:highlight w:val="white"/>
            <w:lang w:val="en-GB"/>
          </w:rPr>
          <w:t>2.1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_Toc232409271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10</w:t>
        </w:r>
        <w:r>
          <w:rPr>
            <w:rStyle w:val="Hyperlink"/>
            <w:noProof/>
            <w:webHidden/>
            <w:color w:val="auto"/>
            <w:u w:val="none"/>
          </w:rPr>
          <w:fldChar w:fldCharType="end"/>
        </w:r>
      </w:hyperlink>
    </w:p>
    <w:p w14:paraId="6BA95D46"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8" w:anchor="_Toc232409272" w:history="1">
        <w:r>
          <w:rPr>
            <w:rStyle w:val="Hyperlink"/>
            <w:noProof/>
            <w:highlight w:val="white"/>
            <w:lang w:val="en-GB"/>
          </w:rPr>
          <w:t>2.2 Historical Background</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10</w:t>
        </w:r>
        <w:r>
          <w:rPr>
            <w:rStyle w:val="Hyperlink"/>
            <w:noProof/>
            <w:webHidden/>
            <w:color w:val="auto"/>
            <w:u w:val="none"/>
          </w:rPr>
          <w:fldChar w:fldCharType="end"/>
        </w:r>
      </w:hyperlink>
    </w:p>
    <w:p w14:paraId="5B6C36F8"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19" w:anchor="_Toc232409273" w:history="1">
        <w:r>
          <w:rPr>
            <w:rStyle w:val="Hyperlink"/>
            <w:noProof/>
            <w:highlight w:val="white"/>
            <w:lang w:val="en-GB"/>
          </w:rPr>
          <w:t>2.3 Theoretical Background</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11</w:t>
        </w:r>
        <w:r>
          <w:rPr>
            <w:rStyle w:val="Hyperlink"/>
            <w:noProof/>
            <w:webHidden/>
            <w:color w:val="auto"/>
            <w:u w:val="none"/>
          </w:rPr>
          <w:fldChar w:fldCharType="end"/>
        </w:r>
      </w:hyperlink>
    </w:p>
    <w:p w14:paraId="6185C1B3"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0" w:anchor="_Toc232409274" w:history="1">
        <w:r>
          <w:rPr>
            <w:rStyle w:val="Hyperlink"/>
            <w:noProof/>
            <w:highlight w:val="white"/>
            <w:lang w:val="en-GB"/>
          </w:rPr>
          <w:t>2.4 International Context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13</w:t>
        </w:r>
        <w:r>
          <w:rPr>
            <w:rStyle w:val="Hyperlink"/>
            <w:noProof/>
            <w:webHidden/>
            <w:color w:val="auto"/>
            <w:u w:val="none"/>
          </w:rPr>
          <w:fldChar w:fldCharType="end"/>
        </w:r>
      </w:hyperlink>
    </w:p>
    <w:p w14:paraId="6364E8A9"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1" w:anchor="_Toc232409275" w:history="1">
        <w:r>
          <w:rPr>
            <w:rStyle w:val="Hyperlink"/>
            <w:noProof/>
            <w:highlight w:val="white"/>
            <w:lang w:val="en-GB"/>
          </w:rPr>
          <w:t>2.5 National/Local UK Context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14</w:t>
        </w:r>
        <w:r>
          <w:rPr>
            <w:rStyle w:val="Hyperlink"/>
            <w:noProof/>
            <w:webHidden/>
            <w:color w:val="auto"/>
            <w:u w:val="none"/>
          </w:rPr>
          <w:fldChar w:fldCharType="end"/>
        </w:r>
      </w:hyperlink>
    </w:p>
    <w:p w14:paraId="313E862B"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2" w:anchor="_Toc232409276" w:history="1">
        <w:r>
          <w:rPr>
            <w:rStyle w:val="Hyperlink"/>
            <w:noProof/>
            <w:highlight w:val="white"/>
            <w:lang w:val="en-GB"/>
          </w:rPr>
          <w:t>2.6 Conclusion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15</w:t>
        </w:r>
        <w:r>
          <w:rPr>
            <w:rStyle w:val="Hyperlink"/>
            <w:noProof/>
            <w:webHidden/>
            <w:color w:val="auto"/>
            <w:u w:val="none"/>
          </w:rPr>
          <w:fldChar w:fldCharType="end"/>
        </w:r>
      </w:hyperlink>
    </w:p>
    <w:p w14:paraId="46ADF33E" w14:textId="77777777" w:rsidR="00115D68" w:rsidRDefault="00115D68" w:rsidP="00115D68">
      <w:pPr>
        <w:pStyle w:val="TOC1"/>
        <w:tabs>
          <w:tab w:val="right" w:leader="dot" w:pos="9350"/>
        </w:tabs>
        <w:rPr>
          <w:rFonts w:asciiTheme="minorHAnsi" w:eastAsiaTheme="minorEastAsia" w:hAnsiTheme="minorHAnsi"/>
          <w:noProof/>
          <w:lang w:val="en-IN" w:eastAsia="en-IN"/>
        </w:rPr>
      </w:pPr>
      <w:hyperlink r:id="rId23" w:anchor="_Toc232409277" w:history="1">
        <w:r>
          <w:rPr>
            <w:rStyle w:val="Hyperlink"/>
            <w:noProof/>
            <w:lang w:val="en-GB"/>
          </w:rPr>
          <w:t>Chapter 3 – Methods and Search Strategy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17</w:t>
        </w:r>
        <w:r>
          <w:rPr>
            <w:rStyle w:val="Hyperlink"/>
            <w:noProof/>
            <w:webHidden/>
            <w:color w:val="auto"/>
            <w:u w:val="none"/>
          </w:rPr>
          <w:fldChar w:fldCharType="end"/>
        </w:r>
      </w:hyperlink>
    </w:p>
    <w:p w14:paraId="1A596047"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4" w:anchor="_Toc232409278" w:history="1">
        <w:r>
          <w:rPr>
            <w:rStyle w:val="Hyperlink"/>
            <w:noProof/>
            <w:lang w:val="en-GB"/>
          </w:rPr>
          <w:t>3.1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17</w:t>
        </w:r>
        <w:r>
          <w:rPr>
            <w:rStyle w:val="Hyperlink"/>
            <w:noProof/>
            <w:webHidden/>
            <w:color w:val="auto"/>
            <w:u w:val="none"/>
          </w:rPr>
          <w:fldChar w:fldCharType="end"/>
        </w:r>
      </w:hyperlink>
    </w:p>
    <w:p w14:paraId="71CF3398"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5" w:anchor="_Toc232409279" w:history="1">
        <w:r>
          <w:rPr>
            <w:rStyle w:val="Hyperlink"/>
            <w:noProof/>
            <w:lang w:val="en-GB"/>
          </w:rPr>
          <w:t>3.2 Search Strategy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_Toc232409279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17</w:t>
        </w:r>
        <w:r>
          <w:rPr>
            <w:rStyle w:val="Hyperlink"/>
            <w:noProof/>
            <w:webHidden/>
            <w:color w:val="auto"/>
            <w:u w:val="none"/>
          </w:rPr>
          <w:fldChar w:fldCharType="end"/>
        </w:r>
      </w:hyperlink>
    </w:p>
    <w:p w14:paraId="34FB4A14"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6" w:anchor="_Toc232409280" w:history="1">
        <w:r>
          <w:rPr>
            <w:rStyle w:val="Hyperlink"/>
            <w:noProof/>
            <w:lang w:val="en-GB"/>
          </w:rPr>
          <w:t>3.3 Searching for Information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_Toc232409280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19</w:t>
        </w:r>
        <w:r>
          <w:rPr>
            <w:rStyle w:val="Hyperlink"/>
            <w:noProof/>
            <w:webHidden/>
            <w:color w:val="auto"/>
            <w:u w:val="none"/>
          </w:rPr>
          <w:fldChar w:fldCharType="end"/>
        </w:r>
      </w:hyperlink>
    </w:p>
    <w:p w14:paraId="27559E7C"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7" w:anchor="_Toc232409281" w:history="1">
        <w:r>
          <w:rPr>
            <w:rStyle w:val="Hyperlink"/>
            <w:noProof/>
            <w:lang w:val="en-GB"/>
          </w:rPr>
          <w:t>3.4 Research Validation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_Toc232409281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20</w:t>
        </w:r>
        <w:r>
          <w:rPr>
            <w:rStyle w:val="Hyperlink"/>
            <w:noProof/>
            <w:webHidden/>
            <w:color w:val="auto"/>
            <w:u w:val="none"/>
          </w:rPr>
          <w:fldChar w:fldCharType="end"/>
        </w:r>
      </w:hyperlink>
    </w:p>
    <w:p w14:paraId="1AADBDE3"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8" w:anchor="_Toc232409282" w:history="1">
        <w:r>
          <w:rPr>
            <w:rStyle w:val="Hyperlink"/>
            <w:noProof/>
            <w:lang w:val="en-GB"/>
          </w:rPr>
          <w:t>3.5 Inclusion and Exclusion Criteria</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22</w:t>
        </w:r>
        <w:r>
          <w:rPr>
            <w:rStyle w:val="Hyperlink"/>
            <w:noProof/>
            <w:webHidden/>
            <w:color w:val="auto"/>
            <w:u w:val="none"/>
          </w:rPr>
          <w:fldChar w:fldCharType="end"/>
        </w:r>
      </w:hyperlink>
    </w:p>
    <w:p w14:paraId="165A61D8"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29" w:anchor="_Toc232409283" w:history="1">
        <w:r>
          <w:rPr>
            <w:rStyle w:val="Hyperlink"/>
            <w:noProof/>
            <w:lang w:val="en-GB"/>
          </w:rPr>
          <w:t>3.6 Analysing Research</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23</w:t>
        </w:r>
        <w:r>
          <w:rPr>
            <w:rStyle w:val="Hyperlink"/>
            <w:noProof/>
            <w:webHidden/>
            <w:color w:val="auto"/>
            <w:u w:val="none"/>
          </w:rPr>
          <w:fldChar w:fldCharType="end"/>
        </w:r>
      </w:hyperlink>
    </w:p>
    <w:p w14:paraId="24684DAC"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0" w:anchor="_Toc232409284" w:history="1">
        <w:r>
          <w:rPr>
            <w:rStyle w:val="Hyperlink"/>
            <w:noProof/>
            <w:lang w:val="en-GB"/>
          </w:rPr>
          <w:t>3.7 Ethical Considerations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24</w:t>
        </w:r>
        <w:r>
          <w:rPr>
            <w:rStyle w:val="Hyperlink"/>
            <w:noProof/>
            <w:webHidden/>
            <w:color w:val="auto"/>
            <w:u w:val="none"/>
          </w:rPr>
          <w:fldChar w:fldCharType="end"/>
        </w:r>
      </w:hyperlink>
    </w:p>
    <w:p w14:paraId="50788DC9"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1" w:anchor="_Toc232409285" w:history="1">
        <w:r>
          <w:rPr>
            <w:rStyle w:val="Hyperlink"/>
            <w:noProof/>
            <w:lang w:val="en-GB"/>
          </w:rPr>
          <w:t>3.8 Chapter Conclusion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24</w:t>
        </w:r>
        <w:r>
          <w:rPr>
            <w:rStyle w:val="Hyperlink"/>
            <w:noProof/>
            <w:webHidden/>
            <w:color w:val="auto"/>
            <w:u w:val="none"/>
          </w:rPr>
          <w:fldChar w:fldCharType="end"/>
        </w:r>
      </w:hyperlink>
    </w:p>
    <w:p w14:paraId="3BE42ABE" w14:textId="77777777" w:rsidR="00115D68" w:rsidRDefault="00115D68" w:rsidP="00115D68">
      <w:pPr>
        <w:pStyle w:val="TOC1"/>
        <w:tabs>
          <w:tab w:val="right" w:leader="dot" w:pos="9350"/>
        </w:tabs>
        <w:rPr>
          <w:rFonts w:asciiTheme="minorHAnsi" w:eastAsiaTheme="minorEastAsia" w:hAnsiTheme="minorHAnsi"/>
          <w:noProof/>
          <w:lang w:val="en-IN" w:eastAsia="en-IN"/>
        </w:rPr>
      </w:pPr>
      <w:hyperlink r:id="rId32" w:anchor="_Toc232409286" w:history="1">
        <w:r>
          <w:rPr>
            <w:rStyle w:val="Hyperlink"/>
            <w:rFonts w:cs="Arial"/>
            <w:noProof/>
            <w:lang w:val="en-GB"/>
          </w:rPr>
          <w:t>Chapter 4 – Findings and Discussion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26</w:t>
        </w:r>
        <w:r>
          <w:rPr>
            <w:rStyle w:val="Hyperlink"/>
            <w:noProof/>
            <w:webHidden/>
            <w:color w:val="auto"/>
            <w:u w:val="none"/>
          </w:rPr>
          <w:fldChar w:fldCharType="end"/>
        </w:r>
      </w:hyperlink>
    </w:p>
    <w:p w14:paraId="3B4882E1"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3" w:anchor="_Toc232409287" w:history="1">
        <w:r>
          <w:rPr>
            <w:rStyle w:val="Hyperlink"/>
            <w:noProof/>
            <w:lang w:val="en-GB"/>
          </w:rPr>
          <w:t>4.1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26</w:t>
        </w:r>
        <w:r>
          <w:rPr>
            <w:rStyle w:val="Hyperlink"/>
            <w:noProof/>
            <w:webHidden/>
            <w:color w:val="auto"/>
            <w:u w:val="none"/>
          </w:rPr>
          <w:fldChar w:fldCharType="end"/>
        </w:r>
      </w:hyperlink>
    </w:p>
    <w:p w14:paraId="67D1D2FE"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4" w:anchor="_Toc232409288" w:history="1">
        <w:r>
          <w:rPr>
            <w:rStyle w:val="Hyperlink"/>
            <w:noProof/>
            <w:lang w:val="en-GB"/>
          </w:rPr>
          <w:t>4.2 Thematic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26</w:t>
        </w:r>
        <w:r>
          <w:rPr>
            <w:rStyle w:val="Hyperlink"/>
            <w:noProof/>
            <w:webHidden/>
            <w:color w:val="auto"/>
            <w:u w:val="none"/>
          </w:rPr>
          <w:fldChar w:fldCharType="end"/>
        </w:r>
      </w:hyperlink>
    </w:p>
    <w:p w14:paraId="779851A2"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5" w:anchor="_Toc232409289" w:history="1">
        <w:r>
          <w:rPr>
            <w:rStyle w:val="Hyperlink"/>
            <w:noProof/>
            <w:lang w:val="en-GB"/>
          </w:rPr>
          <w:t>4.3 Theme 1 - Effectiveness of Emergency Clinical Training</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_Toc232409289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27</w:t>
        </w:r>
        <w:r>
          <w:rPr>
            <w:rStyle w:val="Hyperlink"/>
            <w:noProof/>
            <w:webHidden/>
            <w:color w:val="auto"/>
            <w:u w:val="none"/>
          </w:rPr>
          <w:fldChar w:fldCharType="end"/>
        </w:r>
      </w:hyperlink>
    </w:p>
    <w:p w14:paraId="29809B41"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6" w:anchor="_Toc232409290" w:history="1">
        <w:r>
          <w:rPr>
            <w:rStyle w:val="Hyperlink"/>
            <w:noProof/>
            <w:lang w:val="en-GB"/>
          </w:rPr>
          <w:t>4.4 Theme 2 - Workforce Flexibility and Role Adaptation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_Toc232409290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29</w:t>
        </w:r>
        <w:r>
          <w:rPr>
            <w:rStyle w:val="Hyperlink"/>
            <w:noProof/>
            <w:webHidden/>
            <w:color w:val="auto"/>
            <w:u w:val="none"/>
          </w:rPr>
          <w:fldChar w:fldCharType="end"/>
        </w:r>
      </w:hyperlink>
    </w:p>
    <w:p w14:paraId="45D0D991"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7" w:anchor="_Toc232409291" w:history="1">
        <w:r>
          <w:rPr>
            <w:rStyle w:val="Hyperlink"/>
            <w:noProof/>
            <w:lang w:val="en-GB"/>
          </w:rPr>
          <w:t>4.5 Theme 3 - Competency Development and Clinical Confidence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_Toc232409291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33</w:t>
        </w:r>
        <w:r>
          <w:rPr>
            <w:rStyle w:val="Hyperlink"/>
            <w:noProof/>
            <w:webHidden/>
            <w:color w:val="auto"/>
            <w:u w:val="none"/>
          </w:rPr>
          <w:fldChar w:fldCharType="end"/>
        </w:r>
      </w:hyperlink>
    </w:p>
    <w:p w14:paraId="7837580E"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8" w:anchor="_Toc232409292" w:history="1">
        <w:r>
          <w:rPr>
            <w:rStyle w:val="Hyperlink"/>
            <w:noProof/>
            <w:lang w:val="en-GB"/>
          </w:rPr>
          <w:t>4.6 Theme 4 - Barriers to Emergency Training Delivery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35</w:t>
        </w:r>
        <w:r>
          <w:rPr>
            <w:rStyle w:val="Hyperlink"/>
            <w:noProof/>
            <w:webHidden/>
            <w:color w:val="auto"/>
            <w:u w:val="none"/>
          </w:rPr>
          <w:fldChar w:fldCharType="end"/>
        </w:r>
      </w:hyperlink>
    </w:p>
    <w:p w14:paraId="7E39FCC1"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39" w:anchor="_Toc232409293" w:history="1">
        <w:r>
          <w:rPr>
            <w:rStyle w:val="Hyperlink"/>
            <w:noProof/>
            <w:lang w:val="en-GB"/>
          </w:rPr>
          <w:t>4.7 Theme 5 - Support Systems and Workforce Resilience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37</w:t>
        </w:r>
        <w:r>
          <w:rPr>
            <w:rStyle w:val="Hyperlink"/>
            <w:noProof/>
            <w:webHidden/>
            <w:color w:val="auto"/>
            <w:u w:val="none"/>
          </w:rPr>
          <w:fldChar w:fldCharType="end"/>
        </w:r>
      </w:hyperlink>
    </w:p>
    <w:p w14:paraId="11A27911"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40" w:anchor="_Toc232409294" w:history="1">
        <w:r>
          <w:rPr>
            <w:rStyle w:val="Hyperlink"/>
            <w:noProof/>
            <w:lang w:val="en-GB"/>
          </w:rPr>
          <w:t>4.8 Chapter Conclusion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39</w:t>
        </w:r>
        <w:r>
          <w:rPr>
            <w:rStyle w:val="Hyperlink"/>
            <w:noProof/>
            <w:webHidden/>
            <w:color w:val="auto"/>
            <w:u w:val="none"/>
          </w:rPr>
          <w:fldChar w:fldCharType="end"/>
        </w:r>
      </w:hyperlink>
    </w:p>
    <w:p w14:paraId="210B4BE2" w14:textId="77777777" w:rsidR="00115D68" w:rsidRDefault="00115D68" w:rsidP="00115D68">
      <w:pPr>
        <w:pStyle w:val="TOC1"/>
        <w:tabs>
          <w:tab w:val="right" w:leader="dot" w:pos="9350"/>
        </w:tabs>
        <w:rPr>
          <w:rFonts w:asciiTheme="minorHAnsi" w:eastAsiaTheme="minorEastAsia" w:hAnsiTheme="minorHAnsi"/>
          <w:noProof/>
          <w:lang w:val="en-IN" w:eastAsia="en-IN"/>
        </w:rPr>
      </w:pPr>
      <w:hyperlink r:id="rId41" w:anchor="_Toc232409295" w:history="1">
        <w:r>
          <w:rPr>
            <w:rStyle w:val="Hyperlink"/>
            <w:rFonts w:cs="Arial"/>
            <w:noProof/>
            <w:lang w:val="en-GB"/>
          </w:rPr>
          <w:t>Chapter 5 – Conclusion and Recommendations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41</w:t>
        </w:r>
        <w:r>
          <w:rPr>
            <w:rStyle w:val="Hyperlink"/>
            <w:noProof/>
            <w:webHidden/>
            <w:color w:val="auto"/>
            <w:u w:val="none"/>
          </w:rPr>
          <w:fldChar w:fldCharType="end"/>
        </w:r>
      </w:hyperlink>
    </w:p>
    <w:p w14:paraId="496AD440"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42" w:anchor="_Toc232409296" w:history="1">
        <w:r>
          <w:rPr>
            <w:rStyle w:val="Hyperlink"/>
            <w:noProof/>
            <w:lang w:val="en-GB"/>
          </w:rPr>
          <w:t>5.1 Overall Conclusion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41</w:t>
        </w:r>
        <w:r>
          <w:rPr>
            <w:rStyle w:val="Hyperlink"/>
            <w:noProof/>
            <w:webHidden/>
            <w:color w:val="auto"/>
            <w:u w:val="none"/>
          </w:rPr>
          <w:fldChar w:fldCharType="end"/>
        </w:r>
      </w:hyperlink>
    </w:p>
    <w:p w14:paraId="225D691A"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43" w:anchor="_Toc232409297" w:history="1">
        <w:r>
          <w:rPr>
            <w:rStyle w:val="Hyperlink"/>
            <w:noProof/>
            <w:lang w:val="en-GB"/>
          </w:rPr>
          <w:t>5.2 Recommendations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42</w:t>
        </w:r>
        <w:r>
          <w:rPr>
            <w:rStyle w:val="Hyperlink"/>
            <w:noProof/>
            <w:webHidden/>
            <w:color w:val="auto"/>
            <w:u w:val="none"/>
          </w:rPr>
          <w:fldChar w:fldCharType="end"/>
        </w:r>
      </w:hyperlink>
    </w:p>
    <w:p w14:paraId="7495D9B7" w14:textId="77777777" w:rsidR="00115D68" w:rsidRDefault="00115D68" w:rsidP="00115D68">
      <w:pPr>
        <w:pStyle w:val="TOC3"/>
        <w:tabs>
          <w:tab w:val="right" w:leader="dot" w:pos="9350"/>
        </w:tabs>
        <w:rPr>
          <w:rFonts w:asciiTheme="minorHAnsi" w:eastAsiaTheme="minorEastAsia" w:hAnsiTheme="minorHAnsi"/>
          <w:noProof/>
          <w:lang w:val="en-IN" w:eastAsia="en-IN"/>
        </w:rPr>
      </w:pPr>
      <w:hyperlink r:id="rId44" w:anchor="_Toc232409298" w:history="1">
        <w:r>
          <w:rPr>
            <w:rStyle w:val="Hyperlink"/>
            <w:rFonts w:cs="Arial"/>
            <w:noProof/>
            <w:lang w:val="en-GB"/>
          </w:rPr>
          <w:t>5.2.1 Recommendation 1: Strengthening Workforce Preparedness through Targeted Training and Skill Development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42</w:t>
        </w:r>
        <w:r>
          <w:rPr>
            <w:rStyle w:val="Hyperlink"/>
            <w:noProof/>
            <w:webHidden/>
            <w:color w:val="auto"/>
            <w:u w:val="none"/>
          </w:rPr>
          <w:fldChar w:fldCharType="end"/>
        </w:r>
      </w:hyperlink>
    </w:p>
    <w:p w14:paraId="33CE486D" w14:textId="77777777" w:rsidR="00115D68" w:rsidRDefault="00115D68" w:rsidP="00115D68">
      <w:pPr>
        <w:pStyle w:val="TOC3"/>
        <w:tabs>
          <w:tab w:val="right" w:leader="dot" w:pos="9350"/>
        </w:tabs>
        <w:rPr>
          <w:rFonts w:asciiTheme="minorHAnsi" w:eastAsiaTheme="minorEastAsia" w:hAnsiTheme="minorHAnsi"/>
          <w:noProof/>
          <w:lang w:val="en-IN" w:eastAsia="en-IN"/>
        </w:rPr>
      </w:pPr>
      <w:hyperlink r:id="rId45" w:anchor="_Toc232409299" w:history="1">
        <w:r>
          <w:rPr>
            <w:rStyle w:val="Hyperlink"/>
            <w:rFonts w:cs="Arial"/>
            <w:noProof/>
            <w:lang w:val="en-GB"/>
          </w:rPr>
          <w:t>5.2.2 Recommendation 2: Enhancing Workforce Flexibility to Support Adaptive and Resilient Care Delivery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_Toc232409299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43</w:t>
        </w:r>
        <w:r>
          <w:rPr>
            <w:rStyle w:val="Hyperlink"/>
            <w:noProof/>
            <w:webHidden/>
            <w:color w:val="auto"/>
            <w:u w:val="none"/>
          </w:rPr>
          <w:fldChar w:fldCharType="end"/>
        </w:r>
      </w:hyperlink>
    </w:p>
    <w:p w14:paraId="0BBD5CAF" w14:textId="77777777" w:rsidR="00115D68" w:rsidRDefault="00115D68" w:rsidP="00115D68">
      <w:pPr>
        <w:pStyle w:val="TOC3"/>
        <w:tabs>
          <w:tab w:val="right" w:leader="dot" w:pos="9350"/>
        </w:tabs>
        <w:rPr>
          <w:rFonts w:asciiTheme="minorHAnsi" w:eastAsiaTheme="minorEastAsia" w:hAnsiTheme="minorHAnsi"/>
          <w:noProof/>
          <w:lang w:val="en-IN" w:eastAsia="en-IN"/>
        </w:rPr>
      </w:pPr>
      <w:hyperlink r:id="rId46" w:anchor="_Toc232409300" w:history="1">
        <w:r>
          <w:rPr>
            <w:rStyle w:val="Hyperlink"/>
            <w:rFonts w:cs="Arial"/>
            <w:noProof/>
            <w:lang w:val="en-GB"/>
          </w:rPr>
          <w:t>5.2.3 Recommendation 3: Aligning Policy Implementation with Frontline Practice to Improve Service Outcomes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_Toc232409300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43</w:t>
        </w:r>
        <w:r>
          <w:rPr>
            <w:rStyle w:val="Hyperlink"/>
            <w:noProof/>
            <w:webHidden/>
            <w:color w:val="auto"/>
            <w:u w:val="none"/>
          </w:rPr>
          <w:fldChar w:fldCharType="end"/>
        </w:r>
      </w:hyperlink>
    </w:p>
    <w:p w14:paraId="7A996C4E" w14:textId="77777777" w:rsidR="00115D68" w:rsidRDefault="00115D68" w:rsidP="00115D68">
      <w:pPr>
        <w:pStyle w:val="TOC1"/>
        <w:tabs>
          <w:tab w:val="right" w:leader="dot" w:pos="9350"/>
        </w:tabs>
        <w:rPr>
          <w:rFonts w:asciiTheme="minorHAnsi" w:eastAsiaTheme="minorEastAsia" w:hAnsiTheme="minorHAnsi"/>
          <w:noProof/>
          <w:lang w:val="en-IN" w:eastAsia="en-IN"/>
        </w:rPr>
      </w:pPr>
      <w:hyperlink r:id="rId47" w:anchor="_Toc232409301" w:history="1">
        <w:r>
          <w:rPr>
            <w:rStyle w:val="Hyperlink"/>
            <w:noProof/>
            <w:lang w:val="en-GB"/>
          </w:rPr>
          <w:t>References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_Toc232409301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45</w:t>
        </w:r>
        <w:r>
          <w:rPr>
            <w:rStyle w:val="Hyperlink"/>
            <w:noProof/>
            <w:webHidden/>
            <w:color w:val="auto"/>
            <w:u w:val="none"/>
          </w:rPr>
          <w:fldChar w:fldCharType="end"/>
        </w:r>
      </w:hyperlink>
    </w:p>
    <w:p w14:paraId="6ADCD828" w14:textId="77777777" w:rsidR="00115D68" w:rsidRDefault="00115D68" w:rsidP="00115D68">
      <w:pPr>
        <w:pStyle w:val="TOC1"/>
        <w:tabs>
          <w:tab w:val="right" w:leader="dot" w:pos="9350"/>
        </w:tabs>
        <w:rPr>
          <w:rFonts w:asciiTheme="minorHAnsi" w:eastAsiaTheme="minorEastAsia" w:hAnsiTheme="minorHAnsi"/>
          <w:noProof/>
          <w:lang w:val="en-IN" w:eastAsia="en-IN"/>
        </w:rPr>
      </w:pPr>
      <w:hyperlink r:id="rId48" w:anchor="_Toc232409302" w:history="1">
        <w:r>
          <w:rPr>
            <w:rStyle w:val="Hyperlink"/>
            <w:noProof/>
            <w:lang w:val="en-GB"/>
          </w:rPr>
          <w:t>Appendices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_Toc232409302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59</w:t>
        </w:r>
        <w:r>
          <w:rPr>
            <w:rStyle w:val="Hyperlink"/>
            <w:noProof/>
            <w:webHidden/>
            <w:color w:val="auto"/>
            <w:u w:val="none"/>
          </w:rPr>
          <w:fldChar w:fldCharType="end"/>
        </w:r>
      </w:hyperlink>
    </w:p>
    <w:p w14:paraId="355D5F0F"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49" w:anchor="_Toc232409303" w:history="1">
        <w:r>
          <w:rPr>
            <w:rStyle w:val="Hyperlink"/>
            <w:noProof/>
            <w:lang w:val="en-GB"/>
          </w:rPr>
          <w:t>Appendix 1: Search Process Table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_Toc232409303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59</w:t>
        </w:r>
        <w:r>
          <w:rPr>
            <w:rStyle w:val="Hyperlink"/>
            <w:noProof/>
            <w:webHidden/>
            <w:color w:val="auto"/>
            <w:u w:val="none"/>
          </w:rPr>
          <w:fldChar w:fldCharType="end"/>
        </w:r>
      </w:hyperlink>
    </w:p>
    <w:p w14:paraId="5A1484E9"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50" w:anchor="_Toc232409304" w:history="1">
        <w:r>
          <w:rPr>
            <w:rStyle w:val="Hyperlink"/>
            <w:noProof/>
            <w:lang w:val="en-GB"/>
          </w:rPr>
          <w:t xml:space="preserve">Appendix 2: </w:t>
        </w:r>
        <w:r>
          <w:rPr>
            <w:rStyle w:val="Hyperlink"/>
            <w:noProof/>
          </w:rPr>
          <w:t>Independent Project Results Summary Table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_Toc232409304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60</w:t>
        </w:r>
        <w:r>
          <w:rPr>
            <w:rStyle w:val="Hyperlink"/>
            <w:noProof/>
            <w:webHidden/>
            <w:color w:val="auto"/>
            <w:u w:val="none"/>
          </w:rPr>
          <w:fldChar w:fldCharType="end"/>
        </w:r>
      </w:hyperlink>
    </w:p>
    <w:p w14:paraId="603BBCE7" w14:textId="77777777" w:rsidR="00115D68" w:rsidRDefault="00115D68" w:rsidP="00115D68">
      <w:pPr>
        <w:pStyle w:val="TOC2"/>
        <w:tabs>
          <w:tab w:val="right" w:leader="dot" w:pos="9350"/>
        </w:tabs>
        <w:rPr>
          <w:rFonts w:asciiTheme="minorHAnsi" w:eastAsiaTheme="minorEastAsia" w:hAnsiTheme="minorHAnsi"/>
          <w:noProof/>
          <w:lang w:val="en-IN" w:eastAsia="en-IN"/>
        </w:rPr>
      </w:pPr>
      <w:hyperlink r:id="rId51" w:anchor="_Toc232409305" w:history="1">
        <w:r>
          <w:rPr>
            <w:rStyle w:val="Hyperlink"/>
            <w:noProof/>
            <w:lang w:val="en-GB"/>
          </w:rPr>
          <w:t xml:space="preserve">Appendix 3: </w:t>
        </w:r>
        <w:r>
          <w:rPr>
            <w:rStyle w:val="Hyperlink"/>
            <w:noProof/>
          </w:rPr>
          <w:t>Independent Project Source Tracking Table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_Toc232409305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62</w:t>
        </w:r>
        <w:r>
          <w:rPr>
            <w:rStyle w:val="Hyperlink"/>
            <w:noProof/>
            <w:webHidden/>
            <w:color w:val="auto"/>
            <w:u w:val="none"/>
          </w:rPr>
          <w:fldChar w:fldCharType="end"/>
        </w:r>
      </w:hyperlink>
    </w:p>
    <w:p w14:paraId="3EF52184" w14:textId="6ECAD716" w:rsidR="00804B94" w:rsidRDefault="00115D68" w:rsidP="00115D68">
      <w:r>
        <w:rPr>
          <w:rFonts w:cs="Arial"/>
          <w:bCs/>
          <w:noProof/>
        </w:rPr>
        <w:fldChar w:fldCharType="end"/>
      </w:r>
    </w:p>
    <w:p w14:paraId="52F0D83D" w14:textId="77777777" w:rsidR="00804B94" w:rsidRDefault="00804B94"/>
    <w:p w14:paraId="4DF07CEB" w14:textId="16F8C25D" w:rsidR="00804B94" w:rsidRDefault="00804B94"/>
    <w:p w14:paraId="61CFD6DF" w14:textId="157B800B" w:rsidR="00804B94" w:rsidRDefault="00804B94"/>
    <w:p w14:paraId="417D68A4" w14:textId="17CED2E4" w:rsidR="00804B94" w:rsidRDefault="00804B94"/>
    <w:p w14:paraId="201F102A" w14:textId="08E2451F" w:rsidR="00804B94" w:rsidRDefault="00804B94"/>
    <w:p w14:paraId="7A82B1A5" w14:textId="77777777" w:rsidR="008908AF" w:rsidRDefault="008908AF"/>
    <w:p w14:paraId="07586FBB" w14:textId="77777777" w:rsidR="008908AF" w:rsidRDefault="008908AF"/>
    <w:p w14:paraId="612C6762" w14:textId="77777777" w:rsidR="00804B94" w:rsidRDefault="00804B94"/>
    <w:p w14:paraId="6DFA5DF2" w14:textId="77777777" w:rsidR="006A09B8" w:rsidRDefault="006A09B8"/>
    <w:tbl>
      <w:tblPr>
        <w:tblW w:w="0" w:type="auto"/>
        <w:tblCellMar>
          <w:top w:w="15" w:type="dxa"/>
          <w:left w:w="15" w:type="dxa"/>
          <w:bottom w:w="15" w:type="dxa"/>
          <w:right w:w="15" w:type="dxa"/>
        </w:tblCellMar>
        <w:tblLook w:val="04A0" w:firstRow="1" w:lastRow="0" w:firstColumn="1" w:lastColumn="0" w:noHBand="0" w:noVBand="1"/>
      </w:tblPr>
      <w:tblGrid>
        <w:gridCol w:w="3905"/>
        <w:gridCol w:w="5111"/>
      </w:tblGrid>
      <w:tr w:rsidR="00D01D54" w:rsidRPr="00D01D54" w14:paraId="01FAA5F2" w14:textId="77777777">
        <w:trPr>
          <w:trHeight w:val="597"/>
        </w:trPr>
        <w:tc>
          <w:tcPr>
            <w:tcW w:w="0" w:type="auto"/>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14:paraId="07D498E8"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lang w:eastAsia="en-GB"/>
                <w14:ligatures w14:val="none"/>
              </w:rPr>
              <w:t>Examining the Effect of COVID-19 Emergency Clinical Training on Staff Competency Levels within the UK Health Care Industry</w:t>
            </w:r>
          </w:p>
        </w:tc>
      </w:tr>
      <w:tr w:rsidR="00D01D54" w:rsidRPr="00D01D54" w14:paraId="7B1FA120" w14:textId="77777777">
        <w:trPr>
          <w:trHeight w:val="7325"/>
        </w:trPr>
        <w:tc>
          <w:tcPr>
            <w:tcW w:w="0" w:type="auto"/>
            <w:tcBorders>
              <w:top w:val="single" w:sz="4" w:space="0" w:color="000000"/>
              <w:left w:val="single" w:sz="4" w:space="0" w:color="000000"/>
              <w:bottom w:val="single" w:sz="4" w:space="0" w:color="000000"/>
              <w:right w:val="single" w:sz="4" w:space="0" w:color="000000"/>
            </w:tcBorders>
            <w:shd w:val="clear" w:color="auto" w:fill="F7CAAC"/>
            <w:tcMar>
              <w:top w:w="0" w:type="dxa"/>
              <w:left w:w="108" w:type="dxa"/>
              <w:bottom w:w="0" w:type="dxa"/>
              <w:right w:w="108" w:type="dxa"/>
            </w:tcMar>
            <w:hideMark/>
          </w:tcPr>
          <w:p w14:paraId="07BCE818"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01</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 xml:space="preserve">Introduction and Research Aim </w:t>
            </w:r>
            <w:r w:rsidRPr="00D01D54">
              <w:rPr>
                <w:rFonts w:eastAsia="Times New Roman" w:cs="Times New Roman"/>
                <w:b/>
                <w:bCs/>
                <w:color w:val="000000"/>
                <w:kern w:val="0"/>
                <w:lang w:eastAsia="en-GB"/>
                <w14:ligatures w14:val="none"/>
              </w:rPr>
              <w:tab/>
            </w:r>
          </w:p>
          <w:p w14:paraId="75209684"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lang w:eastAsia="en-GB"/>
                <w14:ligatures w14:val="none"/>
              </w:rPr>
              <w:t>Introduction </w:t>
            </w:r>
          </w:p>
          <w:p w14:paraId="7E3B46D1"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In this poster, the methodological approach employed for conducting the study will be discussed, which will include the research purpose, overall qualitative research design, research strategy employed for searching, data selection process, thematic analysis, data validation, and other important considerations.</w:t>
            </w:r>
          </w:p>
          <w:p w14:paraId="4318C12D"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lang w:eastAsia="en-GB"/>
                <w14:ligatures w14:val="none"/>
              </w:rPr>
              <w:t>Research Aim</w:t>
            </w:r>
          </w:p>
          <w:p w14:paraId="27B7C1ED"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The research study aims to examine the effect of COVID-19 emergency clinical training on healthcare staff competency levels within the UK healthcare industry.</w:t>
            </w:r>
          </w:p>
        </w:tc>
        <w:tc>
          <w:tcPr>
            <w:tcW w:w="0" w:type="auto"/>
            <w:tcBorders>
              <w:top w:val="single" w:sz="4" w:space="0" w:color="000000"/>
              <w:left w:val="single" w:sz="4" w:space="0" w:color="000000"/>
              <w:bottom w:val="single" w:sz="4" w:space="0" w:color="000000"/>
              <w:right w:val="single" w:sz="4" w:space="0" w:color="000000"/>
            </w:tcBorders>
            <w:shd w:val="clear" w:color="auto" w:fill="FFE598"/>
            <w:tcMar>
              <w:top w:w="0" w:type="dxa"/>
              <w:left w:w="108" w:type="dxa"/>
              <w:bottom w:w="0" w:type="dxa"/>
              <w:right w:w="108" w:type="dxa"/>
            </w:tcMar>
            <w:hideMark/>
          </w:tcPr>
          <w:p w14:paraId="4F976E20"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 xml:space="preserve">02 </w:t>
            </w:r>
            <w:r w:rsidRPr="00D01D54">
              <w:rPr>
                <w:rFonts w:eastAsia="Times New Roman" w:cs="Times New Roman"/>
                <w:b/>
                <w:bCs/>
                <w:color w:val="000000"/>
                <w:kern w:val="0"/>
                <w:lang w:eastAsia="en-GB"/>
                <w14:ligatures w14:val="none"/>
              </w:rPr>
              <w:t>Search Strategy</w:t>
            </w:r>
            <w:r w:rsidRPr="00D01D54">
              <w:rPr>
                <w:rFonts w:eastAsia="Times New Roman" w:cs="Times New Roman"/>
                <w:color w:val="000000"/>
                <w:kern w:val="0"/>
                <w:lang w:eastAsia="en-GB"/>
                <w14:ligatures w14:val="none"/>
              </w:rPr>
              <w:t> </w:t>
            </w:r>
          </w:p>
          <w:p w14:paraId="7F6890F8"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The term search strategy refers to an approach of searching for secondary data. The research process for the proposed study will involve a designated set of keywords, Boolean logic, and academic databases, which will be relied upon to yield a body of credible literature on the emergency clinical training for COVID-19, as well as staff competency, within the U.K (Khurshid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2022). Include keywords such as </w:t>
            </w:r>
            <w:r w:rsidRPr="00D01D54">
              <w:rPr>
                <w:rFonts w:ascii="Arial" w:eastAsia="Times New Roman" w:hAnsi="Arial" w:cs="Arial"/>
                <w:b/>
                <w:bCs/>
                <w:color w:val="000000"/>
                <w:kern w:val="0"/>
                <w:lang w:eastAsia="en-GB"/>
                <w14:ligatures w14:val="none"/>
              </w:rPr>
              <w:t>“COVID-19,” “clinical training,” “staff competency,”</w:t>
            </w:r>
            <w:r w:rsidRPr="00D01D54">
              <w:rPr>
                <w:rFonts w:ascii="Arial" w:eastAsia="Times New Roman" w:hAnsi="Arial" w:cs="Arial"/>
                <w:color w:val="000000"/>
                <w:kern w:val="0"/>
                <w:lang w:eastAsia="en-GB"/>
                <w14:ligatures w14:val="none"/>
              </w:rPr>
              <w:t xml:space="preserve"> using Boolean operators </w:t>
            </w:r>
            <w:r w:rsidRPr="00D01D54">
              <w:rPr>
                <w:rFonts w:ascii="Arial" w:eastAsia="Times New Roman" w:hAnsi="Arial" w:cs="Arial"/>
                <w:b/>
                <w:bCs/>
                <w:color w:val="000000"/>
                <w:kern w:val="0"/>
                <w:lang w:eastAsia="en-GB"/>
                <w14:ligatures w14:val="none"/>
              </w:rPr>
              <w:t>AND, OR, NOT</w:t>
            </w:r>
            <w:r w:rsidRPr="00D01D54">
              <w:rPr>
                <w:rFonts w:ascii="Arial" w:eastAsia="Times New Roman" w:hAnsi="Arial" w:cs="Arial"/>
                <w:color w:val="000000"/>
                <w:kern w:val="0"/>
                <w:lang w:eastAsia="en-GB"/>
                <w14:ligatures w14:val="none"/>
              </w:rPr>
              <w:t xml:space="preserve"> to improve search transparency and reproducibility.</w:t>
            </w:r>
          </w:p>
          <w:p w14:paraId="698E8801"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352"/>
              <w:gridCol w:w="3533"/>
            </w:tblGrid>
            <w:tr w:rsidR="00D01D54" w:rsidRPr="00D01D54" w14:paraId="4A3F27F9" w14:textId="77777777">
              <w:tc>
                <w:tcPr>
                  <w:tcW w:w="0" w:type="auto"/>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hideMark/>
                </w:tcPr>
                <w:p w14:paraId="1C048FC4"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sz w:val="20"/>
                      <w:szCs w:val="20"/>
                      <w:lang w:eastAsia="en-GB"/>
                      <w14:ligatures w14:val="none"/>
                    </w:rPr>
                    <w:t>Search Element</w:t>
                  </w:r>
                </w:p>
              </w:tc>
              <w:tc>
                <w:tcPr>
                  <w:tcW w:w="0" w:type="auto"/>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hideMark/>
                </w:tcPr>
                <w:p w14:paraId="760C2047"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sz w:val="20"/>
                      <w:szCs w:val="20"/>
                      <w:lang w:eastAsia="en-GB"/>
                      <w14:ligatures w14:val="none"/>
                    </w:rPr>
                    <w:t>Details</w:t>
                  </w:r>
                </w:p>
              </w:tc>
            </w:tr>
            <w:tr w:rsidR="00D01D54" w:rsidRPr="00D01D54" w14:paraId="527F05A3"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73ED4FC0" w14:textId="77777777" w:rsidR="00D01D54" w:rsidRPr="00D01D54" w:rsidRDefault="00D01D54" w:rsidP="00D01D54">
                  <w:pPr>
                    <w:spacing w:after="22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Databases</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72195FD9"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Google Scholar, PubMed, UWTSD Online Library.</w:t>
                  </w:r>
                </w:p>
              </w:tc>
            </w:tr>
            <w:tr w:rsidR="00D01D54" w:rsidRPr="00D01D54" w14:paraId="4116CF54"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6E081727" w14:textId="77777777" w:rsidR="00D01D54" w:rsidRPr="00D01D54" w:rsidRDefault="00D01D54" w:rsidP="00D01D54">
                  <w:pPr>
                    <w:spacing w:after="22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Keywords</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476D244F"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COVID-19, emergency clinical training, health care professionals, competency, NHS, workforce resilience.</w:t>
                  </w:r>
                </w:p>
              </w:tc>
            </w:tr>
            <w:tr w:rsidR="00D01D54" w:rsidRPr="00D01D54" w14:paraId="35D5FF7F"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231CA12F"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Boolean Operators</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1C604F7C"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AND, OR, NOT</w:t>
                  </w:r>
                </w:p>
              </w:tc>
            </w:tr>
            <w:tr w:rsidR="00D01D54" w:rsidRPr="00D01D54" w14:paraId="561A701D"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6DB76E7F"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Search String Example</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3116E34B"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"Covid-19" AND ("Emergency clinical training") AND "competency".</w:t>
                  </w:r>
                </w:p>
              </w:tc>
            </w:tr>
            <w:tr w:rsidR="00D01D54" w:rsidRPr="00D01D54" w14:paraId="4097E0EC"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4F4BE765"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Inclusion Criteria</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2DF8E5E2"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Peer-reviewed studies from the UK; English language research articles published between 2016 and 2026; articles available as full texts (Thomson, 2024).</w:t>
                  </w:r>
                </w:p>
              </w:tc>
            </w:tr>
            <w:tr w:rsidR="00D01D54" w:rsidRPr="00D01D54" w14:paraId="30DE8A9D"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1D9CA510"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Exclusion Criteria</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1D751CCC"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All other sources not from the UK; articles that are not peer-reviewed; articles containing opinions only; all sources published before 2016.</w:t>
                  </w:r>
                </w:p>
              </w:tc>
            </w:tr>
          </w:tbl>
          <w:p w14:paraId="64786DF8"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color w:val="000000"/>
                <w:kern w:val="0"/>
                <w:lang w:eastAsia="en-GB"/>
                <w14:ligatures w14:val="none"/>
              </w:rPr>
              <w:tab/>
            </w:r>
          </w:p>
        </w:tc>
      </w:tr>
    </w:tbl>
    <w:p w14:paraId="5BF55021" w14:textId="77777777" w:rsidR="006A09B8" w:rsidRDefault="006A09B8"/>
    <w:p w14:paraId="15E9B4C0" w14:textId="77777777" w:rsidR="006A09B8" w:rsidRDefault="006A09B8"/>
    <w:p w14:paraId="2B06112D" w14:textId="77777777" w:rsidR="006A09B8" w:rsidRDefault="006A09B8"/>
    <w:p w14:paraId="4832B537" w14:textId="77777777" w:rsidR="006A09B8" w:rsidRDefault="006A09B8"/>
    <w:p w14:paraId="407F61A1" w14:textId="77777777" w:rsidR="006A09B8" w:rsidRDefault="006A09B8"/>
    <w:p w14:paraId="0307DA66" w14:textId="77777777" w:rsidR="006A09B8" w:rsidRDefault="006A09B8"/>
    <w:tbl>
      <w:tblPr>
        <w:tblW w:w="0" w:type="auto"/>
        <w:tblCellMar>
          <w:top w:w="15" w:type="dxa"/>
          <w:left w:w="15" w:type="dxa"/>
          <w:bottom w:w="15" w:type="dxa"/>
          <w:right w:w="15" w:type="dxa"/>
        </w:tblCellMar>
        <w:tblLook w:val="04A0" w:firstRow="1" w:lastRow="0" w:firstColumn="1" w:lastColumn="0" w:noHBand="0" w:noVBand="1"/>
      </w:tblPr>
      <w:tblGrid>
        <w:gridCol w:w="4299"/>
        <w:gridCol w:w="4717"/>
      </w:tblGrid>
      <w:tr w:rsidR="00D01D54" w:rsidRPr="00D01D54" w14:paraId="44E983B6" w14:textId="77777777">
        <w:trPr>
          <w:trHeight w:val="7010"/>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hideMark/>
          </w:tcPr>
          <w:p w14:paraId="65EA098B"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lastRenderedPageBreak/>
              <w:t>03</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Searching for Information</w:t>
            </w:r>
            <w:r w:rsidRPr="00D01D54">
              <w:rPr>
                <w:rFonts w:eastAsia="Times New Roman" w:cs="Times New Roman"/>
                <w:color w:val="000000"/>
                <w:kern w:val="0"/>
                <w:lang w:eastAsia="en-GB"/>
                <w14:ligatures w14:val="none"/>
              </w:rPr>
              <w:t> </w:t>
            </w:r>
          </w:p>
          <w:p w14:paraId="5E7D1367"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Search using various academic databases such as Google Scholar, PubMed, and NHS publications (Heath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2022). Refine the keywords and search each abstract </w:t>
            </w:r>
            <w:proofErr w:type="gramStart"/>
            <w:r w:rsidRPr="00D01D54">
              <w:rPr>
                <w:rFonts w:ascii="Arial" w:eastAsia="Times New Roman" w:hAnsi="Arial" w:cs="Arial"/>
                <w:color w:val="000000"/>
                <w:kern w:val="0"/>
                <w:lang w:eastAsia="en-GB"/>
                <w14:ligatures w14:val="none"/>
              </w:rPr>
              <w:t>in regard to</w:t>
            </w:r>
            <w:proofErr w:type="gramEnd"/>
            <w:r w:rsidRPr="00D01D54">
              <w:rPr>
                <w:rFonts w:ascii="Arial" w:eastAsia="Times New Roman" w:hAnsi="Arial" w:cs="Arial"/>
                <w:color w:val="000000"/>
                <w:kern w:val="0"/>
                <w:lang w:eastAsia="en-GB"/>
                <w14:ligatures w14:val="none"/>
              </w:rPr>
              <w:t xml:space="preserve"> relevance and reliability </w:t>
            </w:r>
            <w:proofErr w:type="gramStart"/>
            <w:r w:rsidRPr="00D01D54">
              <w:rPr>
                <w:rFonts w:ascii="Arial" w:eastAsia="Times New Roman" w:hAnsi="Arial" w:cs="Arial"/>
                <w:color w:val="000000"/>
                <w:kern w:val="0"/>
                <w:lang w:eastAsia="en-GB"/>
                <w14:ligatures w14:val="none"/>
              </w:rPr>
              <w:t>with regard to</w:t>
            </w:r>
            <w:proofErr w:type="gramEnd"/>
            <w:r w:rsidRPr="00D01D54">
              <w:rPr>
                <w:rFonts w:ascii="Arial" w:eastAsia="Times New Roman" w:hAnsi="Arial" w:cs="Arial"/>
                <w:color w:val="000000"/>
                <w:kern w:val="0"/>
                <w:lang w:eastAsia="en-GB"/>
                <w14:ligatures w14:val="none"/>
              </w:rPr>
              <w:t xml:space="preserve"> the research aim and objectives. Source selection criteria, peer-reviewed status, methodological rigour, and focus on the UK to select the appropriate sources. Google Scholar, PubMed and NHS provide excellent evidence-based sources that directly answer the research question.</w:t>
            </w:r>
            <w:r w:rsidRPr="00D01D54">
              <w:rPr>
                <w:rFonts w:ascii="Times New Roman" w:eastAsia="Times New Roman" w:hAnsi="Times New Roman" w:cs="Times New Roman"/>
                <w:noProof/>
                <w:kern w:val="0"/>
                <w:sz w:val="24"/>
                <w:szCs w:val="24"/>
                <w:lang w:eastAsia="en-GB"/>
                <w14:ligatures w14:val="none"/>
              </w:rPr>
              <w:drawing>
                <wp:inline distT="0" distB="0" distL="0" distR="0" wp14:anchorId="35089F9F" wp14:editId="26E06AE8">
                  <wp:extent cx="2042160" cy="1303020"/>
                  <wp:effectExtent l="0" t="0" r="0" b="0"/>
                  <wp:docPr id="1089597202" name="Picture 13" descr="How to Use Google Scholar for Academic Research | Lifeha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to Use Google Scholar for Academic Research | Lifehacker"/>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042160" cy="1303020"/>
                          </a:xfrm>
                          <a:prstGeom prst="rect">
                            <a:avLst/>
                          </a:prstGeom>
                          <a:noFill/>
                          <a:ln>
                            <a:noFill/>
                          </a:ln>
                        </pic:spPr>
                      </pic:pic>
                    </a:graphicData>
                  </a:graphic>
                </wp:inline>
              </w:drawing>
            </w:r>
          </w:p>
          <w:p w14:paraId="7F5E448F"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noProof/>
                <w:kern w:val="0"/>
                <w:sz w:val="24"/>
                <w:szCs w:val="24"/>
                <w:lang w:eastAsia="en-GB"/>
                <w14:ligatures w14:val="none"/>
              </w:rPr>
              <w:drawing>
                <wp:inline distT="0" distB="0" distL="0" distR="0" wp14:anchorId="0A721F73" wp14:editId="43E67754">
                  <wp:extent cx="2446020" cy="1303020"/>
                  <wp:effectExtent l="0" t="0" r="0" b="0"/>
                  <wp:docPr id="9" name="Picture 12" descr="MeSH - PubMed Ba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eSH - PubMed Basics"/>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446020" cy="1303020"/>
                          </a:xfrm>
                          <a:prstGeom prst="rect">
                            <a:avLst/>
                          </a:prstGeom>
                          <a:noFill/>
                          <a:ln>
                            <a:noFill/>
                          </a:ln>
                        </pic:spPr>
                      </pic:pic>
                    </a:graphicData>
                  </a:graphic>
                </wp:inline>
              </w:drawing>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792299"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04</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Picture / Graph / Visual Aid / Statistics</w:t>
            </w:r>
            <w:r w:rsidRPr="00D01D54">
              <w:rPr>
                <w:rFonts w:eastAsia="Times New Roman" w:cs="Times New Roman"/>
                <w:color w:val="000000"/>
                <w:kern w:val="0"/>
                <w:lang w:eastAsia="en-GB"/>
                <w14:ligatures w14:val="none"/>
              </w:rPr>
              <w:t> </w:t>
            </w:r>
            <w:r w:rsidRPr="00D01D54">
              <w:rPr>
                <w:rFonts w:ascii="Times New Roman" w:eastAsia="Times New Roman" w:hAnsi="Times New Roman" w:cs="Times New Roman"/>
                <w:noProof/>
                <w:kern w:val="0"/>
                <w:sz w:val="24"/>
                <w:szCs w:val="24"/>
                <w:lang w:eastAsia="en-GB"/>
                <w14:ligatures w14:val="none"/>
              </w:rPr>
              <w:drawing>
                <wp:inline distT="0" distB="0" distL="0" distR="0" wp14:anchorId="7CCDEF32" wp14:editId="035E4262">
                  <wp:extent cx="2080260" cy="1402080"/>
                  <wp:effectExtent l="0" t="0" r="0" b="7620"/>
                  <wp:docPr id="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080260" cy="1402080"/>
                          </a:xfrm>
                          <a:prstGeom prst="rect">
                            <a:avLst/>
                          </a:prstGeom>
                          <a:noFill/>
                          <a:ln>
                            <a:noFill/>
                          </a:ln>
                        </pic:spPr>
                      </pic:pic>
                    </a:graphicData>
                  </a:graphic>
                </wp:inline>
              </w:drawing>
            </w:r>
            <w:r w:rsidRPr="00D01D54">
              <w:rPr>
                <w:rFonts w:ascii="Times New Roman" w:eastAsia="Times New Roman" w:hAnsi="Times New Roman" w:cs="Times New Roman"/>
                <w:noProof/>
                <w:kern w:val="0"/>
                <w:sz w:val="24"/>
                <w:szCs w:val="24"/>
                <w:lang w:eastAsia="en-GB"/>
                <w14:ligatures w14:val="none"/>
              </w:rPr>
              <w:drawing>
                <wp:inline distT="0" distB="0" distL="0" distR="0" wp14:anchorId="52256EC2" wp14:editId="53CA96E6">
                  <wp:extent cx="2537460" cy="1562100"/>
                  <wp:effectExtent l="0" t="0" r="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537460" cy="1562100"/>
                          </a:xfrm>
                          <a:prstGeom prst="rect">
                            <a:avLst/>
                          </a:prstGeom>
                          <a:noFill/>
                          <a:ln>
                            <a:noFill/>
                          </a:ln>
                        </pic:spPr>
                      </pic:pic>
                    </a:graphicData>
                  </a:graphic>
                </wp:inline>
              </w:drawing>
            </w:r>
            <w:r w:rsidRPr="00D01D54">
              <w:rPr>
                <w:rFonts w:ascii="Times New Roman" w:eastAsia="Times New Roman" w:hAnsi="Times New Roman" w:cs="Times New Roman"/>
                <w:noProof/>
                <w:kern w:val="0"/>
                <w:sz w:val="24"/>
                <w:szCs w:val="24"/>
                <w:lang w:eastAsia="en-GB"/>
                <w14:ligatures w14:val="none"/>
              </w:rPr>
              <w:drawing>
                <wp:inline distT="0" distB="0" distL="0" distR="0" wp14:anchorId="69B803C5" wp14:editId="17091DD8">
                  <wp:extent cx="2545080" cy="1706880"/>
                  <wp:effectExtent l="0" t="0" r="7620" b="7620"/>
                  <wp:docPr id="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545080" cy="1706880"/>
                          </a:xfrm>
                          <a:prstGeom prst="rect">
                            <a:avLst/>
                          </a:prstGeom>
                          <a:noFill/>
                          <a:ln>
                            <a:noFill/>
                          </a:ln>
                        </pic:spPr>
                      </pic:pic>
                    </a:graphicData>
                  </a:graphic>
                </wp:inline>
              </w:drawing>
            </w:r>
          </w:p>
          <w:p w14:paraId="68314323"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noProof/>
                <w:kern w:val="0"/>
                <w:sz w:val="24"/>
                <w:szCs w:val="24"/>
                <w:lang w:eastAsia="en-GB"/>
                <w14:ligatures w14:val="none"/>
              </w:rPr>
              <w:drawing>
                <wp:inline distT="0" distB="0" distL="0" distR="0" wp14:anchorId="620EEE92" wp14:editId="58F0D44F">
                  <wp:extent cx="2567940" cy="1744980"/>
                  <wp:effectExtent l="0" t="0" r="3810" b="7620"/>
                  <wp:docPr id="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567940" cy="1744980"/>
                          </a:xfrm>
                          <a:prstGeom prst="rect">
                            <a:avLst/>
                          </a:prstGeom>
                          <a:noFill/>
                          <a:ln>
                            <a:noFill/>
                          </a:ln>
                        </pic:spPr>
                      </pic:pic>
                    </a:graphicData>
                  </a:graphic>
                </wp:inline>
              </w:drawing>
            </w:r>
          </w:p>
        </w:tc>
      </w:tr>
      <w:tr w:rsidR="00D01D54" w:rsidRPr="00D01D54" w14:paraId="6EFBDA5E" w14:textId="77777777">
        <w:trPr>
          <w:trHeight w:val="2150"/>
        </w:trPr>
        <w:tc>
          <w:tcPr>
            <w:tcW w:w="0" w:type="auto"/>
            <w:gridSpan w:val="2"/>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hideMark/>
          </w:tcPr>
          <w:p w14:paraId="4D6EA978"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05</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Research Validation and Analysis</w:t>
            </w:r>
          </w:p>
          <w:p w14:paraId="29683DF5"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In performing secondary research, validation means that the sources of information used are credible, reliable, and relevant. Preference will be given to peer-reviewed journals and authoritative UK healthcare reports (Tringale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2022). However, the use of secondary data curtails one's control over the quality of data. Secondary research analysis is done through a systematic review of the literature by using thematic analysis </w:t>
            </w:r>
            <w:proofErr w:type="gramStart"/>
            <w:r w:rsidRPr="00D01D54">
              <w:rPr>
                <w:rFonts w:ascii="Arial" w:eastAsia="Times New Roman" w:hAnsi="Arial" w:cs="Arial"/>
                <w:color w:val="000000"/>
                <w:kern w:val="0"/>
                <w:lang w:eastAsia="en-GB"/>
                <w14:ligatures w14:val="none"/>
              </w:rPr>
              <w:t>in order to</w:t>
            </w:r>
            <w:proofErr w:type="gramEnd"/>
            <w:r w:rsidRPr="00D01D54">
              <w:rPr>
                <w:rFonts w:ascii="Arial" w:eastAsia="Times New Roman" w:hAnsi="Arial" w:cs="Arial"/>
                <w:color w:val="000000"/>
                <w:kern w:val="0"/>
                <w:lang w:eastAsia="en-GB"/>
                <w14:ligatures w14:val="none"/>
              </w:rPr>
              <w:t xml:space="preserve"> identify recurring patterns about training effectiveness, competency development, and workforce challenges that can be used for presenting findings in Chapter 4. Assessment of Literature Quality will be made through the Source Tracking Table and CRAAP evaluation. The codes will then be organised in patterns that will be developed into themes.</w:t>
            </w:r>
          </w:p>
          <w:p w14:paraId="1F1D9FEC"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p>
          <w:p w14:paraId="4E8CD1E3"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eastAsia="Times New Roman" w:cs="Times New Roman"/>
                <w:color w:val="000000"/>
                <w:kern w:val="0"/>
                <w:lang w:eastAsia="en-GB"/>
                <w14:ligatures w14:val="none"/>
              </w:rPr>
              <w:t>               </w:t>
            </w:r>
          </w:p>
          <w:p w14:paraId="0B5CD14D" w14:textId="77777777" w:rsidR="00D01D54" w:rsidRPr="00D01D54" w:rsidRDefault="00D01D54" w:rsidP="00D01D54">
            <w:pPr>
              <w:spacing w:after="240" w:line="240" w:lineRule="auto"/>
              <w:jc w:val="left"/>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noProof/>
                <w:kern w:val="0"/>
                <w:sz w:val="24"/>
                <w:szCs w:val="24"/>
                <w:lang w:eastAsia="en-GB"/>
                <w14:ligatures w14:val="none"/>
              </w:rPr>
              <w:drawing>
                <wp:inline distT="0" distB="0" distL="0" distR="0" wp14:anchorId="37B3CCEC" wp14:editId="07C95513">
                  <wp:extent cx="5257800" cy="1264920"/>
                  <wp:effectExtent l="0" t="0" r="0"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57800" cy="1264920"/>
                          </a:xfrm>
                          <a:prstGeom prst="rect">
                            <a:avLst/>
                          </a:prstGeom>
                          <a:noFill/>
                          <a:ln>
                            <a:noFill/>
                          </a:ln>
                        </pic:spPr>
                      </pic:pic>
                    </a:graphicData>
                  </a:graphic>
                </wp:inline>
              </w:drawing>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p>
          <w:p w14:paraId="02D636AA"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eastAsia="Times New Roman" w:cs="Times New Roman"/>
                <w:color w:val="000000"/>
                <w:kern w:val="0"/>
                <w:lang w:eastAsia="en-GB"/>
                <w14:ligatures w14:val="none"/>
              </w:rPr>
              <w:t>(Source: Author)</w:t>
            </w:r>
          </w:p>
        </w:tc>
      </w:tr>
      <w:tr w:rsidR="00D01D54" w:rsidRPr="00D01D54" w14:paraId="17CBB58C" w14:textId="77777777">
        <w:trPr>
          <w:trHeight w:val="699"/>
        </w:trPr>
        <w:tc>
          <w:tcPr>
            <w:tcW w:w="0" w:type="auto"/>
            <w:gridSpan w:val="2"/>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hideMark/>
          </w:tcPr>
          <w:p w14:paraId="4EF53459"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sz w:val="40"/>
                <w:szCs w:val="40"/>
                <w:lang w:eastAsia="en-GB"/>
                <w14:ligatures w14:val="none"/>
              </w:rPr>
              <w:lastRenderedPageBreak/>
              <w:t xml:space="preserve">06 </w:t>
            </w:r>
            <w:r w:rsidRPr="00D01D54">
              <w:rPr>
                <w:rFonts w:ascii="Arial" w:eastAsia="Times New Roman" w:hAnsi="Arial" w:cs="Arial"/>
                <w:b/>
                <w:bCs/>
                <w:color w:val="000000"/>
                <w:kern w:val="0"/>
                <w:lang w:eastAsia="en-GB"/>
                <w14:ligatures w14:val="none"/>
              </w:rPr>
              <w:t>Analysing research</w:t>
            </w:r>
          </w:p>
          <w:p w14:paraId="2FE60FFA"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The systematic review of secondary data sources for research purposes entailed the identification of repeating themes, patterns, and keywords associated with the topic of "COVID-19 Emergency Clinical Training and Staff Competency". The results obtained were then coded and sorted out to develop themes </w:t>
            </w:r>
            <w:r w:rsidRPr="00D01D54">
              <w:rPr>
                <w:rFonts w:ascii="Century Schoolbook" w:eastAsia="Times New Roman" w:hAnsi="Century Schoolbook" w:cs="Times New Roman"/>
                <w:color w:val="000000"/>
                <w:kern w:val="0"/>
                <w:lang w:eastAsia="en-GB"/>
                <w14:ligatures w14:val="none"/>
              </w:rPr>
              <w:t>(</w:t>
            </w:r>
            <w:r w:rsidRPr="00D01D54">
              <w:rPr>
                <w:rFonts w:ascii="Arial" w:eastAsia="Times New Roman" w:hAnsi="Arial" w:cs="Arial"/>
                <w:color w:val="000000"/>
                <w:kern w:val="0"/>
                <w:lang w:eastAsia="en-GB"/>
                <w14:ligatures w14:val="none"/>
              </w:rPr>
              <w:t xml:space="preserve">Riazi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2023). This process ensured systematic interpretation, enhanced analytical consistency, strengthened evidence synthesis, and improved the validity and transparency of the research findings.</w:t>
            </w:r>
          </w:p>
          <w:p w14:paraId="27FFB4E6"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p>
        </w:tc>
      </w:tr>
      <w:tr w:rsidR="00D01D54" w:rsidRPr="00D01D54" w14:paraId="6CE1FF36" w14:textId="77777777">
        <w:trPr>
          <w:trHeight w:val="1856"/>
        </w:trPr>
        <w:tc>
          <w:tcPr>
            <w:tcW w:w="0" w:type="auto"/>
            <w:tcBorders>
              <w:top w:val="single" w:sz="4" w:space="0" w:color="000000"/>
              <w:left w:val="single" w:sz="4" w:space="0" w:color="000000"/>
              <w:bottom w:val="single" w:sz="4" w:space="0" w:color="000000"/>
              <w:right w:val="single" w:sz="4" w:space="0" w:color="000000"/>
            </w:tcBorders>
            <w:shd w:val="clear" w:color="auto" w:fill="C8C8C8"/>
            <w:tcMar>
              <w:top w:w="0" w:type="dxa"/>
              <w:left w:w="108" w:type="dxa"/>
              <w:bottom w:w="0" w:type="dxa"/>
              <w:right w:w="108" w:type="dxa"/>
            </w:tcMar>
            <w:hideMark/>
          </w:tcPr>
          <w:p w14:paraId="7D00751A"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07</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Inclusion Criteria</w:t>
            </w:r>
            <w:r w:rsidRPr="00D01D54">
              <w:rPr>
                <w:rFonts w:eastAsia="Times New Roman" w:cs="Times New Roman"/>
                <w:color w:val="000000"/>
                <w:kern w:val="0"/>
                <w:lang w:eastAsia="en-GB"/>
                <w14:ligatures w14:val="none"/>
              </w:rPr>
              <w:t> </w:t>
            </w:r>
          </w:p>
          <w:p w14:paraId="15995DF5"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Secondary sources that have been published in the past ten years will also be included in the study, ensuring that they are relevant to today's situations (Al-Ansi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2023). </w:t>
            </w:r>
            <w:proofErr w:type="gramStart"/>
            <w:r w:rsidRPr="00D01D54">
              <w:rPr>
                <w:rFonts w:ascii="Arial" w:eastAsia="Times New Roman" w:hAnsi="Arial" w:cs="Arial"/>
                <w:color w:val="000000"/>
                <w:kern w:val="0"/>
                <w:lang w:eastAsia="en-GB"/>
                <w14:ligatures w14:val="none"/>
              </w:rPr>
              <w:t>In order to</w:t>
            </w:r>
            <w:proofErr w:type="gramEnd"/>
            <w:r w:rsidRPr="00D01D54">
              <w:rPr>
                <w:rFonts w:ascii="Arial" w:eastAsia="Times New Roman" w:hAnsi="Arial" w:cs="Arial"/>
                <w:color w:val="000000"/>
                <w:kern w:val="0"/>
                <w:lang w:eastAsia="en-GB"/>
                <w14:ligatures w14:val="none"/>
              </w:rPr>
              <w:t xml:space="preserve"> ensure the relevance of the sources to the context of the study, sources will be drawn strictly from the UK healthcare literature. The sources will be journal articles, government publications, and NHS publications, and they must be completely available online.</w:t>
            </w:r>
          </w:p>
        </w:tc>
        <w:tc>
          <w:tcPr>
            <w:tcW w:w="0" w:type="auto"/>
            <w:tcBorders>
              <w:top w:val="single" w:sz="4" w:space="0" w:color="000000"/>
              <w:left w:val="single" w:sz="4" w:space="0" w:color="000000"/>
              <w:bottom w:val="single" w:sz="4" w:space="0" w:color="000000"/>
              <w:right w:val="single" w:sz="4" w:space="0" w:color="000000"/>
            </w:tcBorders>
            <w:shd w:val="clear" w:color="auto" w:fill="FFCCCC"/>
            <w:tcMar>
              <w:top w:w="0" w:type="dxa"/>
              <w:left w:w="108" w:type="dxa"/>
              <w:bottom w:w="0" w:type="dxa"/>
              <w:right w:w="108" w:type="dxa"/>
            </w:tcMar>
            <w:hideMark/>
          </w:tcPr>
          <w:p w14:paraId="37B64F0E"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08</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Exclusion Criteria</w:t>
            </w:r>
            <w:r w:rsidRPr="00D01D54">
              <w:rPr>
                <w:rFonts w:eastAsia="Times New Roman" w:cs="Times New Roman"/>
                <w:color w:val="000000"/>
                <w:kern w:val="0"/>
                <w:lang w:eastAsia="en-GB"/>
                <w14:ligatures w14:val="none"/>
              </w:rPr>
              <w:t> </w:t>
            </w:r>
          </w:p>
          <w:p w14:paraId="680397C3"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Those published more than ten years ago would be excluded to avoid using outdated sources. Literature published outside the UK will be excluded to ensure maximum contextual relevance (Anderson and Lemken, 2022). In addition to this, non-peer-reviewed publications, opinion-based writings, or those not fully accessible online would be excluded. Also, non-scientific studies or those not closely related to emergency clinical training.</w:t>
            </w:r>
          </w:p>
        </w:tc>
      </w:tr>
    </w:tbl>
    <w:p w14:paraId="6D03FDC5" w14:textId="77777777" w:rsidR="006A09B8" w:rsidRDefault="006A09B8"/>
    <w:p w14:paraId="14FABC1D" w14:textId="77777777" w:rsidR="006A09B8" w:rsidRDefault="006A09B8"/>
    <w:p w14:paraId="53A74621" w14:textId="77777777" w:rsidR="006A09B8" w:rsidRDefault="006A09B8"/>
    <w:p w14:paraId="7CE2FF03" w14:textId="77777777" w:rsidR="006A09B8" w:rsidRDefault="006A09B8"/>
    <w:p w14:paraId="5070B0B0" w14:textId="77777777" w:rsidR="006A09B8" w:rsidRDefault="006A09B8"/>
    <w:p w14:paraId="743F34FD" w14:textId="77777777" w:rsidR="006A09B8" w:rsidRDefault="006A09B8"/>
    <w:tbl>
      <w:tblPr>
        <w:tblW w:w="10490" w:type="dxa"/>
        <w:tblInd w:w="-714" w:type="dxa"/>
        <w:tblCellMar>
          <w:top w:w="15" w:type="dxa"/>
          <w:left w:w="15" w:type="dxa"/>
          <w:bottom w:w="15" w:type="dxa"/>
          <w:right w:w="15" w:type="dxa"/>
        </w:tblCellMar>
        <w:tblLook w:val="04A0" w:firstRow="1" w:lastRow="0" w:firstColumn="1" w:lastColumn="0" w:noHBand="0" w:noVBand="1"/>
      </w:tblPr>
      <w:tblGrid>
        <w:gridCol w:w="154"/>
        <w:gridCol w:w="5176"/>
        <w:gridCol w:w="5128"/>
        <w:gridCol w:w="140"/>
      </w:tblGrid>
      <w:tr w:rsidR="00D01D54" w:rsidRPr="00D01D54" w14:paraId="1C56C532" w14:textId="77777777" w:rsidTr="00D01D54">
        <w:trPr>
          <w:gridBefore w:val="1"/>
          <w:gridAfter w:val="1"/>
          <w:wBefore w:w="714" w:type="dxa"/>
          <w:wAfter w:w="760" w:type="dxa"/>
          <w:trHeight w:val="597"/>
        </w:trPr>
        <w:tc>
          <w:tcPr>
            <w:tcW w:w="0" w:type="auto"/>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14:paraId="21F0576D"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lang w:eastAsia="en-GB"/>
                <w14:ligatures w14:val="none"/>
              </w:rPr>
              <w:lastRenderedPageBreak/>
              <w:t>Examining the Effect of COVID-19 Emergency Clinical Training on Staff Competency Levels within the UK Health Care Industry</w:t>
            </w:r>
          </w:p>
        </w:tc>
      </w:tr>
      <w:tr w:rsidR="00D01D54" w:rsidRPr="00D01D54" w14:paraId="17E0C1C8" w14:textId="77777777" w:rsidTr="00D01D54">
        <w:trPr>
          <w:gridBefore w:val="1"/>
          <w:gridAfter w:val="1"/>
          <w:wBefore w:w="714" w:type="dxa"/>
          <w:wAfter w:w="760" w:type="dxa"/>
          <w:trHeight w:val="7325"/>
        </w:trPr>
        <w:tc>
          <w:tcPr>
            <w:tcW w:w="0" w:type="auto"/>
            <w:tcBorders>
              <w:top w:val="single" w:sz="4" w:space="0" w:color="000000"/>
              <w:left w:val="single" w:sz="4" w:space="0" w:color="000000"/>
              <w:bottom w:val="single" w:sz="4" w:space="0" w:color="000000"/>
              <w:right w:val="single" w:sz="4" w:space="0" w:color="000000"/>
            </w:tcBorders>
            <w:shd w:val="clear" w:color="auto" w:fill="F7CAAC"/>
            <w:tcMar>
              <w:top w:w="0" w:type="dxa"/>
              <w:left w:w="108" w:type="dxa"/>
              <w:bottom w:w="0" w:type="dxa"/>
              <w:right w:w="108" w:type="dxa"/>
            </w:tcMar>
            <w:hideMark/>
          </w:tcPr>
          <w:p w14:paraId="47D7C569"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01</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 xml:space="preserve">Introduction and Research Aim </w:t>
            </w:r>
            <w:r w:rsidRPr="00D01D54">
              <w:rPr>
                <w:rFonts w:eastAsia="Times New Roman" w:cs="Times New Roman"/>
                <w:b/>
                <w:bCs/>
                <w:color w:val="000000"/>
                <w:kern w:val="0"/>
                <w:lang w:eastAsia="en-GB"/>
                <w14:ligatures w14:val="none"/>
              </w:rPr>
              <w:tab/>
            </w:r>
          </w:p>
          <w:p w14:paraId="3BBD3A77"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lang w:eastAsia="en-GB"/>
                <w14:ligatures w14:val="none"/>
              </w:rPr>
              <w:t>Introduction </w:t>
            </w:r>
          </w:p>
          <w:p w14:paraId="6578C198"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In this poster, the methodological approach employed for conducting the study will be discussed, which will include the research purpose, overall qualitative research design, research strategy employed for searching, data selection process, thematic analysis, data validation, and other important considerations.</w:t>
            </w:r>
          </w:p>
          <w:p w14:paraId="64A7C04E"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lang w:eastAsia="en-GB"/>
                <w14:ligatures w14:val="none"/>
              </w:rPr>
              <w:t>Research Aim</w:t>
            </w:r>
          </w:p>
          <w:p w14:paraId="1289533F"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The research study aims to examine the effect of COVID-19 emergency clinical training on healthcare staff competency levels within the UK healthcare industry.</w:t>
            </w:r>
          </w:p>
        </w:tc>
        <w:tc>
          <w:tcPr>
            <w:tcW w:w="0" w:type="auto"/>
            <w:tcBorders>
              <w:top w:val="single" w:sz="4" w:space="0" w:color="000000"/>
              <w:left w:val="single" w:sz="4" w:space="0" w:color="000000"/>
              <w:bottom w:val="single" w:sz="4" w:space="0" w:color="000000"/>
              <w:right w:val="single" w:sz="4" w:space="0" w:color="000000"/>
            </w:tcBorders>
            <w:shd w:val="clear" w:color="auto" w:fill="FFE598"/>
            <w:tcMar>
              <w:top w:w="0" w:type="dxa"/>
              <w:left w:w="108" w:type="dxa"/>
              <w:bottom w:w="0" w:type="dxa"/>
              <w:right w:w="108" w:type="dxa"/>
            </w:tcMar>
            <w:hideMark/>
          </w:tcPr>
          <w:p w14:paraId="394B425F"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 xml:space="preserve">02 </w:t>
            </w:r>
            <w:r w:rsidRPr="00D01D54">
              <w:rPr>
                <w:rFonts w:eastAsia="Times New Roman" w:cs="Times New Roman"/>
                <w:b/>
                <w:bCs/>
                <w:color w:val="000000"/>
                <w:kern w:val="0"/>
                <w:lang w:eastAsia="en-GB"/>
                <w14:ligatures w14:val="none"/>
              </w:rPr>
              <w:t>Search Strategy</w:t>
            </w:r>
            <w:r w:rsidRPr="00D01D54">
              <w:rPr>
                <w:rFonts w:eastAsia="Times New Roman" w:cs="Times New Roman"/>
                <w:color w:val="000000"/>
                <w:kern w:val="0"/>
                <w:lang w:eastAsia="en-GB"/>
                <w14:ligatures w14:val="none"/>
              </w:rPr>
              <w:t> </w:t>
            </w:r>
          </w:p>
          <w:p w14:paraId="173E0FFB"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The term search strategy refers to an approach of searching for secondary data. The research process for the proposed study will involve a designated set of keywords, Boolean logic, and academic databases, which will be relied upon to yield a body of credible literature on the emergency clinical training for COVID-19, as well as staff competency, within the U.K (Khurshid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2022). Include keywords such as </w:t>
            </w:r>
            <w:r w:rsidRPr="00D01D54">
              <w:rPr>
                <w:rFonts w:ascii="Arial" w:eastAsia="Times New Roman" w:hAnsi="Arial" w:cs="Arial"/>
                <w:b/>
                <w:bCs/>
                <w:color w:val="000000"/>
                <w:kern w:val="0"/>
                <w:lang w:eastAsia="en-GB"/>
                <w14:ligatures w14:val="none"/>
              </w:rPr>
              <w:t>“COVID-19,” “clinical training,” “staff competency,”</w:t>
            </w:r>
            <w:r w:rsidRPr="00D01D54">
              <w:rPr>
                <w:rFonts w:ascii="Arial" w:eastAsia="Times New Roman" w:hAnsi="Arial" w:cs="Arial"/>
                <w:color w:val="000000"/>
                <w:kern w:val="0"/>
                <w:lang w:eastAsia="en-GB"/>
                <w14:ligatures w14:val="none"/>
              </w:rPr>
              <w:t xml:space="preserve"> using Boolean operators </w:t>
            </w:r>
            <w:r w:rsidRPr="00D01D54">
              <w:rPr>
                <w:rFonts w:ascii="Arial" w:eastAsia="Times New Roman" w:hAnsi="Arial" w:cs="Arial"/>
                <w:b/>
                <w:bCs/>
                <w:color w:val="000000"/>
                <w:kern w:val="0"/>
                <w:lang w:eastAsia="en-GB"/>
                <w14:ligatures w14:val="none"/>
              </w:rPr>
              <w:t>AND, OR, NOT</w:t>
            </w:r>
            <w:r w:rsidRPr="00D01D54">
              <w:rPr>
                <w:rFonts w:ascii="Arial" w:eastAsia="Times New Roman" w:hAnsi="Arial" w:cs="Arial"/>
                <w:color w:val="000000"/>
                <w:kern w:val="0"/>
                <w:lang w:eastAsia="en-GB"/>
                <w14:ligatures w14:val="none"/>
              </w:rPr>
              <w:t xml:space="preserve"> to improve search transparency and reproducibility.</w:t>
            </w:r>
          </w:p>
          <w:p w14:paraId="42F7BF04"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354"/>
              <w:gridCol w:w="3548"/>
            </w:tblGrid>
            <w:tr w:rsidR="00D01D54" w:rsidRPr="00D01D54" w14:paraId="19AFA955" w14:textId="77777777">
              <w:tc>
                <w:tcPr>
                  <w:tcW w:w="0" w:type="auto"/>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hideMark/>
                </w:tcPr>
                <w:p w14:paraId="3567C416"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sz w:val="20"/>
                      <w:szCs w:val="20"/>
                      <w:lang w:eastAsia="en-GB"/>
                      <w14:ligatures w14:val="none"/>
                    </w:rPr>
                    <w:t>Search Element</w:t>
                  </w:r>
                </w:p>
              </w:tc>
              <w:tc>
                <w:tcPr>
                  <w:tcW w:w="0" w:type="auto"/>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hideMark/>
                </w:tcPr>
                <w:p w14:paraId="68DA4C58"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sz w:val="20"/>
                      <w:szCs w:val="20"/>
                      <w:lang w:eastAsia="en-GB"/>
                      <w14:ligatures w14:val="none"/>
                    </w:rPr>
                    <w:t>Details</w:t>
                  </w:r>
                </w:p>
              </w:tc>
            </w:tr>
            <w:tr w:rsidR="00D01D54" w:rsidRPr="00D01D54" w14:paraId="08C4EA2E"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02FFE1CC" w14:textId="77777777" w:rsidR="00D01D54" w:rsidRPr="00D01D54" w:rsidRDefault="00D01D54" w:rsidP="00D01D54">
                  <w:pPr>
                    <w:spacing w:after="22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Databases</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2D860044"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Google Scholar, PubMed, UWTSD Online Library.</w:t>
                  </w:r>
                </w:p>
              </w:tc>
            </w:tr>
            <w:tr w:rsidR="00D01D54" w:rsidRPr="00D01D54" w14:paraId="547DAD27"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0558970B" w14:textId="77777777" w:rsidR="00D01D54" w:rsidRPr="00D01D54" w:rsidRDefault="00D01D54" w:rsidP="00D01D54">
                  <w:pPr>
                    <w:spacing w:after="22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Keywords</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32A73A8B"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COVID-19, emergency clinical training, health care professionals, competency, NHS, workforce resilience.</w:t>
                  </w:r>
                </w:p>
              </w:tc>
            </w:tr>
            <w:tr w:rsidR="00D01D54" w:rsidRPr="00D01D54" w14:paraId="7D76F971"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74689605"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Boolean Operators</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6B502A63"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AND, OR, NOT</w:t>
                  </w:r>
                </w:p>
              </w:tc>
            </w:tr>
            <w:tr w:rsidR="00D01D54" w:rsidRPr="00D01D54" w14:paraId="69E42311"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584C7064"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Search String Example</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07808E6A"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"Covid-19" AND ("Emergency clinical training") AND "competency".</w:t>
                  </w:r>
                </w:p>
              </w:tc>
            </w:tr>
            <w:tr w:rsidR="00D01D54" w:rsidRPr="00D01D54" w14:paraId="3239AF8B"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7022239B"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Inclusion Criteria</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68BCE8BE"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Peer-reviewed studies from the UK; English language research articles published between 2016 and 2026; articles available as full texts (Thomson, 2024).</w:t>
                  </w:r>
                </w:p>
              </w:tc>
            </w:tr>
            <w:tr w:rsidR="00D01D54" w:rsidRPr="00D01D54" w14:paraId="60B761E1" w14:textId="77777777">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6A103E43"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Exclusion Criteria</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0C317738"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sz w:val="20"/>
                      <w:szCs w:val="20"/>
                      <w:lang w:eastAsia="en-GB"/>
                      <w14:ligatures w14:val="none"/>
                    </w:rPr>
                    <w:t>All other sources not from the UK; articles that are not peer-reviewed; articles containing opinions only; all sources published before 2016.</w:t>
                  </w:r>
                </w:p>
              </w:tc>
            </w:tr>
          </w:tbl>
          <w:p w14:paraId="7632D9F7"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color w:val="000000"/>
                <w:kern w:val="0"/>
                <w:lang w:eastAsia="en-GB"/>
                <w14:ligatures w14:val="none"/>
              </w:rPr>
              <w:tab/>
            </w:r>
          </w:p>
        </w:tc>
      </w:tr>
      <w:tr w:rsidR="00D01D54" w:rsidRPr="00D01D54" w14:paraId="483C6790" w14:textId="77777777" w:rsidTr="00D01D54">
        <w:trPr>
          <w:gridBefore w:val="1"/>
          <w:gridAfter w:val="1"/>
          <w:wBefore w:w="714" w:type="dxa"/>
          <w:wAfter w:w="760" w:type="dxa"/>
          <w:trHeight w:val="7010"/>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hideMark/>
          </w:tcPr>
          <w:p w14:paraId="2476E29C"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lastRenderedPageBreak/>
              <w:t>03</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Searching for Information</w:t>
            </w:r>
            <w:r w:rsidRPr="00D01D54">
              <w:rPr>
                <w:rFonts w:eastAsia="Times New Roman" w:cs="Times New Roman"/>
                <w:color w:val="000000"/>
                <w:kern w:val="0"/>
                <w:lang w:eastAsia="en-GB"/>
                <w14:ligatures w14:val="none"/>
              </w:rPr>
              <w:t> </w:t>
            </w:r>
          </w:p>
          <w:p w14:paraId="7FE0430D"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Search using various academic databases such as Google Scholar, PubMed, and NHS publications (Heath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2022). Refine the keywords and search each abstract </w:t>
            </w:r>
            <w:proofErr w:type="gramStart"/>
            <w:r w:rsidRPr="00D01D54">
              <w:rPr>
                <w:rFonts w:ascii="Arial" w:eastAsia="Times New Roman" w:hAnsi="Arial" w:cs="Arial"/>
                <w:color w:val="000000"/>
                <w:kern w:val="0"/>
                <w:lang w:eastAsia="en-GB"/>
                <w14:ligatures w14:val="none"/>
              </w:rPr>
              <w:t>in regard to</w:t>
            </w:r>
            <w:proofErr w:type="gramEnd"/>
            <w:r w:rsidRPr="00D01D54">
              <w:rPr>
                <w:rFonts w:ascii="Arial" w:eastAsia="Times New Roman" w:hAnsi="Arial" w:cs="Arial"/>
                <w:color w:val="000000"/>
                <w:kern w:val="0"/>
                <w:lang w:eastAsia="en-GB"/>
                <w14:ligatures w14:val="none"/>
              </w:rPr>
              <w:t xml:space="preserve"> relevance and reliability </w:t>
            </w:r>
            <w:proofErr w:type="gramStart"/>
            <w:r w:rsidRPr="00D01D54">
              <w:rPr>
                <w:rFonts w:ascii="Arial" w:eastAsia="Times New Roman" w:hAnsi="Arial" w:cs="Arial"/>
                <w:color w:val="000000"/>
                <w:kern w:val="0"/>
                <w:lang w:eastAsia="en-GB"/>
                <w14:ligatures w14:val="none"/>
              </w:rPr>
              <w:t>with regard to</w:t>
            </w:r>
            <w:proofErr w:type="gramEnd"/>
            <w:r w:rsidRPr="00D01D54">
              <w:rPr>
                <w:rFonts w:ascii="Arial" w:eastAsia="Times New Roman" w:hAnsi="Arial" w:cs="Arial"/>
                <w:color w:val="000000"/>
                <w:kern w:val="0"/>
                <w:lang w:eastAsia="en-GB"/>
                <w14:ligatures w14:val="none"/>
              </w:rPr>
              <w:t xml:space="preserve"> the research aim and objectives. Source selection criteria, peer-reviewed status, methodological rigour, and focus on the UK to select the appropriate sources. Google Scholar, PubMed and NHS provide excellent evidence-based sources that directly answer the research question.</w:t>
            </w:r>
            <w:r w:rsidRPr="00D01D54">
              <w:rPr>
                <w:rFonts w:ascii="Times New Roman" w:eastAsia="Times New Roman" w:hAnsi="Times New Roman" w:cs="Times New Roman"/>
                <w:noProof/>
                <w:kern w:val="0"/>
                <w:sz w:val="24"/>
                <w:szCs w:val="24"/>
                <w:lang w:eastAsia="en-GB"/>
                <w14:ligatures w14:val="none"/>
              </w:rPr>
              <w:drawing>
                <wp:inline distT="0" distB="0" distL="0" distR="0" wp14:anchorId="2F26129F" wp14:editId="62A52731">
                  <wp:extent cx="2042160" cy="1303020"/>
                  <wp:effectExtent l="0" t="0" r="0" b="0"/>
                  <wp:docPr id="22" name="Picture 27" descr="How to Use Google Scholar for Academic Research | Lifeha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w to Use Google Scholar for Academic Research | Lifehacker"/>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042160" cy="1303020"/>
                          </a:xfrm>
                          <a:prstGeom prst="rect">
                            <a:avLst/>
                          </a:prstGeom>
                          <a:noFill/>
                          <a:ln>
                            <a:noFill/>
                          </a:ln>
                        </pic:spPr>
                      </pic:pic>
                    </a:graphicData>
                  </a:graphic>
                </wp:inline>
              </w:drawing>
            </w:r>
          </w:p>
          <w:p w14:paraId="59793565"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noProof/>
                <w:kern w:val="0"/>
                <w:sz w:val="24"/>
                <w:szCs w:val="24"/>
                <w:lang w:eastAsia="en-GB"/>
                <w14:ligatures w14:val="none"/>
              </w:rPr>
              <w:drawing>
                <wp:inline distT="0" distB="0" distL="0" distR="0" wp14:anchorId="74DD5CF0" wp14:editId="6B633B8F">
                  <wp:extent cx="2446020" cy="1303020"/>
                  <wp:effectExtent l="0" t="0" r="0" b="0"/>
                  <wp:docPr id="23" name="Picture 26" descr="MeSH - PubMed Ba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eSH - PubMed Basics"/>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446020" cy="1303020"/>
                          </a:xfrm>
                          <a:prstGeom prst="rect">
                            <a:avLst/>
                          </a:prstGeom>
                          <a:noFill/>
                          <a:ln>
                            <a:noFill/>
                          </a:ln>
                        </pic:spPr>
                      </pic:pic>
                    </a:graphicData>
                  </a:graphic>
                </wp:inline>
              </w:drawing>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023E48"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04</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Picture / Graph / Visual Aid / Statistics</w:t>
            </w:r>
            <w:r w:rsidRPr="00D01D54">
              <w:rPr>
                <w:rFonts w:eastAsia="Times New Roman" w:cs="Times New Roman"/>
                <w:color w:val="000000"/>
                <w:kern w:val="0"/>
                <w:lang w:eastAsia="en-GB"/>
                <w14:ligatures w14:val="none"/>
              </w:rPr>
              <w:t> </w:t>
            </w:r>
            <w:r w:rsidRPr="00D01D54">
              <w:rPr>
                <w:rFonts w:ascii="Times New Roman" w:eastAsia="Times New Roman" w:hAnsi="Times New Roman" w:cs="Times New Roman"/>
                <w:noProof/>
                <w:kern w:val="0"/>
                <w:sz w:val="24"/>
                <w:szCs w:val="24"/>
                <w:lang w:eastAsia="en-GB"/>
                <w14:ligatures w14:val="none"/>
              </w:rPr>
              <w:drawing>
                <wp:inline distT="0" distB="0" distL="0" distR="0" wp14:anchorId="107D055B" wp14:editId="27432B6F">
                  <wp:extent cx="2080260" cy="1402080"/>
                  <wp:effectExtent l="0" t="0" r="0" b="7620"/>
                  <wp:docPr id="2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080260" cy="1402080"/>
                          </a:xfrm>
                          <a:prstGeom prst="rect">
                            <a:avLst/>
                          </a:prstGeom>
                          <a:noFill/>
                          <a:ln>
                            <a:noFill/>
                          </a:ln>
                        </pic:spPr>
                      </pic:pic>
                    </a:graphicData>
                  </a:graphic>
                </wp:inline>
              </w:drawing>
            </w:r>
            <w:r w:rsidRPr="00D01D54">
              <w:rPr>
                <w:rFonts w:ascii="Times New Roman" w:eastAsia="Times New Roman" w:hAnsi="Times New Roman" w:cs="Times New Roman"/>
                <w:noProof/>
                <w:kern w:val="0"/>
                <w:sz w:val="24"/>
                <w:szCs w:val="24"/>
                <w:lang w:eastAsia="en-GB"/>
                <w14:ligatures w14:val="none"/>
              </w:rPr>
              <w:drawing>
                <wp:inline distT="0" distB="0" distL="0" distR="0" wp14:anchorId="56E5FDB7" wp14:editId="4123D758">
                  <wp:extent cx="2537460" cy="1562100"/>
                  <wp:effectExtent l="0" t="0" r="0" b="0"/>
                  <wp:docPr id="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537460" cy="1562100"/>
                          </a:xfrm>
                          <a:prstGeom prst="rect">
                            <a:avLst/>
                          </a:prstGeom>
                          <a:noFill/>
                          <a:ln>
                            <a:noFill/>
                          </a:ln>
                        </pic:spPr>
                      </pic:pic>
                    </a:graphicData>
                  </a:graphic>
                </wp:inline>
              </w:drawing>
            </w:r>
            <w:r w:rsidRPr="00D01D54">
              <w:rPr>
                <w:rFonts w:ascii="Times New Roman" w:eastAsia="Times New Roman" w:hAnsi="Times New Roman" w:cs="Times New Roman"/>
                <w:noProof/>
                <w:kern w:val="0"/>
                <w:sz w:val="24"/>
                <w:szCs w:val="24"/>
                <w:lang w:eastAsia="en-GB"/>
                <w14:ligatures w14:val="none"/>
              </w:rPr>
              <w:drawing>
                <wp:inline distT="0" distB="0" distL="0" distR="0" wp14:anchorId="3ECB53D2" wp14:editId="20D90865">
                  <wp:extent cx="2400300" cy="1706880"/>
                  <wp:effectExtent l="0" t="0" r="0" b="7620"/>
                  <wp:docPr id="2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400300" cy="1706880"/>
                          </a:xfrm>
                          <a:prstGeom prst="rect">
                            <a:avLst/>
                          </a:prstGeom>
                          <a:noFill/>
                          <a:ln>
                            <a:noFill/>
                          </a:ln>
                        </pic:spPr>
                      </pic:pic>
                    </a:graphicData>
                  </a:graphic>
                </wp:inline>
              </w:drawing>
            </w:r>
          </w:p>
          <w:p w14:paraId="631C1AC8"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noProof/>
                <w:kern w:val="0"/>
                <w:sz w:val="24"/>
                <w:szCs w:val="24"/>
                <w:lang w:eastAsia="en-GB"/>
                <w14:ligatures w14:val="none"/>
              </w:rPr>
              <w:drawing>
                <wp:inline distT="0" distB="0" distL="0" distR="0" wp14:anchorId="6473C1F8" wp14:editId="2ADB2D04">
                  <wp:extent cx="2186940" cy="1744980"/>
                  <wp:effectExtent l="0" t="0" r="3810" b="7620"/>
                  <wp:docPr id="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186940" cy="1744980"/>
                          </a:xfrm>
                          <a:prstGeom prst="rect">
                            <a:avLst/>
                          </a:prstGeom>
                          <a:noFill/>
                          <a:ln>
                            <a:noFill/>
                          </a:ln>
                        </pic:spPr>
                      </pic:pic>
                    </a:graphicData>
                  </a:graphic>
                </wp:inline>
              </w:drawing>
            </w:r>
          </w:p>
        </w:tc>
      </w:tr>
      <w:tr w:rsidR="00D01D54" w:rsidRPr="00D01D54" w14:paraId="2F2D1CD6" w14:textId="77777777" w:rsidTr="00D01D54">
        <w:trPr>
          <w:gridBefore w:val="1"/>
          <w:gridAfter w:val="1"/>
          <w:wBefore w:w="714" w:type="dxa"/>
          <w:wAfter w:w="760" w:type="dxa"/>
          <w:trHeight w:val="2150"/>
        </w:trPr>
        <w:tc>
          <w:tcPr>
            <w:tcW w:w="0" w:type="auto"/>
            <w:gridSpan w:val="2"/>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hideMark/>
          </w:tcPr>
          <w:p w14:paraId="505DD149"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05</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Research Validation and Analysis</w:t>
            </w:r>
          </w:p>
          <w:p w14:paraId="3A32AC6B"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In performing secondary research, validation means that the sources of information used are credible, reliable, and relevant. Preference will be given to peer-reviewed journals and authoritative UK healthcare reports (Tringale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2022). However, the use of secondary data curtails one's control over the quality of data. Secondary research analysis is done through a systematic review of the literature by using thematic analysis </w:t>
            </w:r>
            <w:proofErr w:type="gramStart"/>
            <w:r w:rsidRPr="00D01D54">
              <w:rPr>
                <w:rFonts w:ascii="Arial" w:eastAsia="Times New Roman" w:hAnsi="Arial" w:cs="Arial"/>
                <w:color w:val="000000"/>
                <w:kern w:val="0"/>
                <w:lang w:eastAsia="en-GB"/>
                <w14:ligatures w14:val="none"/>
              </w:rPr>
              <w:t>in order to</w:t>
            </w:r>
            <w:proofErr w:type="gramEnd"/>
            <w:r w:rsidRPr="00D01D54">
              <w:rPr>
                <w:rFonts w:ascii="Arial" w:eastAsia="Times New Roman" w:hAnsi="Arial" w:cs="Arial"/>
                <w:color w:val="000000"/>
                <w:kern w:val="0"/>
                <w:lang w:eastAsia="en-GB"/>
                <w14:ligatures w14:val="none"/>
              </w:rPr>
              <w:t xml:space="preserve"> identify recurring patterns about training effectiveness, competency development, and workforce challenges that can be used for presenting findings in Chapter 4. Assessment of Literature Quality will be made through the Source Tracking Table and CRAAP evaluation. The codes will then be organised in patterns that will be developed into themes.</w:t>
            </w:r>
          </w:p>
          <w:p w14:paraId="450D68FA"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p>
          <w:p w14:paraId="2E810C13"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eastAsia="Times New Roman" w:cs="Times New Roman"/>
                <w:color w:val="000000"/>
                <w:kern w:val="0"/>
                <w:lang w:eastAsia="en-GB"/>
                <w14:ligatures w14:val="none"/>
              </w:rPr>
              <w:lastRenderedPageBreak/>
              <w:t>               </w:t>
            </w:r>
          </w:p>
          <w:p w14:paraId="27B8F2CC" w14:textId="77777777" w:rsidR="00D01D54" w:rsidRPr="00D01D54" w:rsidRDefault="00D01D54" w:rsidP="00D01D54">
            <w:pPr>
              <w:spacing w:after="240" w:line="240" w:lineRule="auto"/>
              <w:jc w:val="left"/>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noProof/>
                <w:kern w:val="0"/>
                <w:sz w:val="24"/>
                <w:szCs w:val="24"/>
                <w:lang w:eastAsia="en-GB"/>
                <w14:ligatures w14:val="none"/>
              </w:rPr>
              <w:drawing>
                <wp:inline distT="0" distB="0" distL="0" distR="0" wp14:anchorId="4054D2A5" wp14:editId="1121E713">
                  <wp:extent cx="5257800" cy="1264920"/>
                  <wp:effectExtent l="0" t="0" r="0" b="0"/>
                  <wp:docPr id="2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57800" cy="1264920"/>
                          </a:xfrm>
                          <a:prstGeom prst="rect">
                            <a:avLst/>
                          </a:prstGeom>
                          <a:noFill/>
                          <a:ln>
                            <a:noFill/>
                          </a:ln>
                        </pic:spPr>
                      </pic:pic>
                    </a:graphicData>
                  </a:graphic>
                </wp:inline>
              </w:drawing>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r w:rsidRPr="00D01D54">
              <w:rPr>
                <w:rFonts w:ascii="Times New Roman" w:eastAsia="Times New Roman" w:hAnsi="Times New Roman" w:cs="Times New Roman"/>
                <w:kern w:val="0"/>
                <w:sz w:val="24"/>
                <w:szCs w:val="24"/>
                <w:lang w:eastAsia="en-GB"/>
                <w14:ligatures w14:val="none"/>
              </w:rPr>
              <w:br/>
            </w:r>
          </w:p>
          <w:p w14:paraId="7D4730EE"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eastAsia="Times New Roman" w:cs="Times New Roman"/>
                <w:color w:val="000000"/>
                <w:kern w:val="0"/>
                <w:lang w:eastAsia="en-GB"/>
                <w14:ligatures w14:val="none"/>
              </w:rPr>
              <w:t>(Source: Author)</w:t>
            </w:r>
          </w:p>
        </w:tc>
      </w:tr>
      <w:tr w:rsidR="00D01D54" w:rsidRPr="00D01D54" w14:paraId="245F9EEE" w14:textId="77777777" w:rsidTr="00D01D54">
        <w:trPr>
          <w:gridBefore w:val="1"/>
          <w:gridAfter w:val="1"/>
          <w:wBefore w:w="714" w:type="dxa"/>
          <w:wAfter w:w="760" w:type="dxa"/>
          <w:trHeight w:val="699"/>
        </w:trPr>
        <w:tc>
          <w:tcPr>
            <w:tcW w:w="0" w:type="auto"/>
            <w:gridSpan w:val="2"/>
            <w:tcBorders>
              <w:top w:val="single" w:sz="4" w:space="0" w:color="000000"/>
              <w:left w:val="single" w:sz="4" w:space="0" w:color="000000"/>
              <w:bottom w:val="single" w:sz="4" w:space="0" w:color="000000"/>
              <w:right w:val="single" w:sz="4" w:space="0" w:color="000000"/>
            </w:tcBorders>
            <w:shd w:val="clear" w:color="auto" w:fill="9CC2E5"/>
            <w:tcMar>
              <w:top w:w="0" w:type="dxa"/>
              <w:left w:w="108" w:type="dxa"/>
              <w:bottom w:w="0" w:type="dxa"/>
              <w:right w:w="108" w:type="dxa"/>
            </w:tcMar>
            <w:hideMark/>
          </w:tcPr>
          <w:p w14:paraId="70B819AD"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b/>
                <w:bCs/>
                <w:color w:val="000000"/>
                <w:kern w:val="0"/>
                <w:sz w:val="40"/>
                <w:szCs w:val="40"/>
                <w:lang w:eastAsia="en-GB"/>
                <w14:ligatures w14:val="none"/>
              </w:rPr>
              <w:lastRenderedPageBreak/>
              <w:t xml:space="preserve">06 </w:t>
            </w:r>
            <w:r w:rsidRPr="00D01D54">
              <w:rPr>
                <w:rFonts w:ascii="Arial" w:eastAsia="Times New Roman" w:hAnsi="Arial" w:cs="Arial"/>
                <w:b/>
                <w:bCs/>
                <w:color w:val="000000"/>
                <w:kern w:val="0"/>
                <w:lang w:eastAsia="en-GB"/>
                <w14:ligatures w14:val="none"/>
              </w:rPr>
              <w:t>Analysing research</w:t>
            </w:r>
          </w:p>
          <w:p w14:paraId="61BDFD2E"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The systematic review of secondary data sources for research purposes entailed the identification of repeating themes, patterns, and keywords associated with the topic of "COVID-19 Emergency Clinical Training and Staff Competency". The results obtained were then coded and sorted out to develop themes </w:t>
            </w:r>
            <w:r w:rsidRPr="00D01D54">
              <w:rPr>
                <w:rFonts w:ascii="Century Schoolbook" w:eastAsia="Times New Roman" w:hAnsi="Century Schoolbook" w:cs="Times New Roman"/>
                <w:color w:val="000000"/>
                <w:kern w:val="0"/>
                <w:lang w:eastAsia="en-GB"/>
                <w14:ligatures w14:val="none"/>
              </w:rPr>
              <w:t>(</w:t>
            </w:r>
            <w:r w:rsidRPr="00D01D54">
              <w:rPr>
                <w:rFonts w:ascii="Arial" w:eastAsia="Times New Roman" w:hAnsi="Arial" w:cs="Arial"/>
                <w:color w:val="000000"/>
                <w:kern w:val="0"/>
                <w:lang w:eastAsia="en-GB"/>
                <w14:ligatures w14:val="none"/>
              </w:rPr>
              <w:t xml:space="preserve">Riazi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2023). This process ensured systematic interpretation, enhanced analytical consistency, strengthened evidence synthesis, and improved the validity and transparency of the research findings.</w:t>
            </w:r>
          </w:p>
          <w:p w14:paraId="50A6A6F3"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p>
        </w:tc>
      </w:tr>
      <w:tr w:rsidR="00D01D54" w:rsidRPr="00D01D54" w14:paraId="03D6F3C9" w14:textId="77777777" w:rsidTr="00D01D54">
        <w:trPr>
          <w:gridBefore w:val="1"/>
          <w:gridAfter w:val="1"/>
          <w:wBefore w:w="714" w:type="dxa"/>
          <w:wAfter w:w="760" w:type="dxa"/>
          <w:trHeight w:val="1856"/>
        </w:trPr>
        <w:tc>
          <w:tcPr>
            <w:tcW w:w="0" w:type="auto"/>
            <w:tcBorders>
              <w:top w:val="single" w:sz="4" w:space="0" w:color="000000"/>
              <w:left w:val="single" w:sz="4" w:space="0" w:color="000000"/>
              <w:bottom w:val="single" w:sz="4" w:space="0" w:color="000000"/>
              <w:right w:val="single" w:sz="4" w:space="0" w:color="000000"/>
            </w:tcBorders>
            <w:shd w:val="clear" w:color="auto" w:fill="C8C8C8"/>
            <w:tcMar>
              <w:top w:w="0" w:type="dxa"/>
              <w:left w:w="108" w:type="dxa"/>
              <w:bottom w:w="0" w:type="dxa"/>
              <w:right w:w="108" w:type="dxa"/>
            </w:tcMar>
            <w:hideMark/>
          </w:tcPr>
          <w:p w14:paraId="0360E476"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07</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Inclusion Criteria</w:t>
            </w:r>
            <w:r w:rsidRPr="00D01D54">
              <w:rPr>
                <w:rFonts w:eastAsia="Times New Roman" w:cs="Times New Roman"/>
                <w:color w:val="000000"/>
                <w:kern w:val="0"/>
                <w:lang w:eastAsia="en-GB"/>
                <w14:ligatures w14:val="none"/>
              </w:rPr>
              <w:t> </w:t>
            </w:r>
          </w:p>
          <w:p w14:paraId="372927BC"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 xml:space="preserve">Secondary sources that have been published in the past ten years will also be included in the study, ensuring that they are relevant to today's situations (Al-Ansi </w:t>
            </w:r>
            <w:r w:rsidRPr="00D01D54">
              <w:rPr>
                <w:rFonts w:ascii="Arial" w:eastAsia="Times New Roman" w:hAnsi="Arial" w:cs="Arial"/>
                <w:i/>
                <w:iCs/>
                <w:color w:val="000000"/>
                <w:kern w:val="0"/>
                <w:lang w:eastAsia="en-GB"/>
                <w14:ligatures w14:val="none"/>
              </w:rPr>
              <w:t>et al.</w:t>
            </w:r>
            <w:r w:rsidRPr="00D01D54">
              <w:rPr>
                <w:rFonts w:ascii="Arial" w:eastAsia="Times New Roman" w:hAnsi="Arial" w:cs="Arial"/>
                <w:color w:val="000000"/>
                <w:kern w:val="0"/>
                <w:lang w:eastAsia="en-GB"/>
                <w14:ligatures w14:val="none"/>
              </w:rPr>
              <w:t xml:space="preserve">, 2023). </w:t>
            </w:r>
            <w:proofErr w:type="gramStart"/>
            <w:r w:rsidRPr="00D01D54">
              <w:rPr>
                <w:rFonts w:ascii="Arial" w:eastAsia="Times New Roman" w:hAnsi="Arial" w:cs="Arial"/>
                <w:color w:val="000000"/>
                <w:kern w:val="0"/>
                <w:lang w:eastAsia="en-GB"/>
                <w14:ligatures w14:val="none"/>
              </w:rPr>
              <w:t>In order to</w:t>
            </w:r>
            <w:proofErr w:type="gramEnd"/>
            <w:r w:rsidRPr="00D01D54">
              <w:rPr>
                <w:rFonts w:ascii="Arial" w:eastAsia="Times New Roman" w:hAnsi="Arial" w:cs="Arial"/>
                <w:color w:val="000000"/>
                <w:kern w:val="0"/>
                <w:lang w:eastAsia="en-GB"/>
                <w14:ligatures w14:val="none"/>
              </w:rPr>
              <w:t xml:space="preserve"> ensure the relevance of the sources to the context of the study, sources will be drawn strictly from the UK healthcare literature. The sources will be journal articles, government publications, and NHS publications, and they must be completely available online.</w:t>
            </w:r>
          </w:p>
        </w:tc>
        <w:tc>
          <w:tcPr>
            <w:tcW w:w="0" w:type="auto"/>
            <w:tcBorders>
              <w:top w:val="single" w:sz="4" w:space="0" w:color="000000"/>
              <w:left w:val="single" w:sz="4" w:space="0" w:color="000000"/>
              <w:bottom w:val="single" w:sz="4" w:space="0" w:color="000000"/>
              <w:right w:val="single" w:sz="4" w:space="0" w:color="000000"/>
            </w:tcBorders>
            <w:shd w:val="clear" w:color="auto" w:fill="FFCCCC"/>
            <w:tcMar>
              <w:top w:w="0" w:type="dxa"/>
              <w:left w:w="108" w:type="dxa"/>
              <w:bottom w:w="0" w:type="dxa"/>
              <w:right w:w="108" w:type="dxa"/>
            </w:tcMar>
            <w:hideMark/>
          </w:tcPr>
          <w:p w14:paraId="40E618DC" w14:textId="77777777" w:rsidR="00D01D54" w:rsidRPr="00D01D54" w:rsidRDefault="00D01D54" w:rsidP="00D01D54">
            <w:pPr>
              <w:spacing w:after="0" w:line="240" w:lineRule="auto"/>
              <w:jc w:val="left"/>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t>08</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Exclusion Criteria</w:t>
            </w:r>
            <w:r w:rsidRPr="00D01D54">
              <w:rPr>
                <w:rFonts w:eastAsia="Times New Roman" w:cs="Times New Roman"/>
                <w:color w:val="000000"/>
                <w:kern w:val="0"/>
                <w:lang w:eastAsia="en-GB"/>
                <w14:ligatures w14:val="none"/>
              </w:rPr>
              <w:t> </w:t>
            </w:r>
          </w:p>
          <w:p w14:paraId="5654874A"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Arial" w:eastAsia="Times New Roman" w:hAnsi="Arial" w:cs="Arial"/>
                <w:color w:val="000000"/>
                <w:kern w:val="0"/>
                <w:lang w:eastAsia="en-GB"/>
                <w14:ligatures w14:val="none"/>
              </w:rPr>
              <w:t>Those published more than ten years ago would be excluded to avoid using outdated sources. Literature published outside the UK will be excluded to ensure maximum contextual relevance (Anderson and Lemken, 2022). In addition to this, non-peer-reviewed publications, opinion-based writings, or those not fully accessible online would be excluded. Also, non-scientific studies or those not closely related to emergency clinical training.</w:t>
            </w:r>
          </w:p>
        </w:tc>
      </w:tr>
      <w:tr w:rsidR="00D01D54" w:rsidRPr="00D01D54" w14:paraId="25EA78B9" w14:textId="77777777" w:rsidTr="00D01D54">
        <w:trPr>
          <w:trHeight w:val="13315"/>
        </w:trPr>
        <w:tc>
          <w:tcPr>
            <w:tcW w:w="10490" w:type="dxa"/>
            <w:gridSpan w:val="4"/>
            <w:tcBorders>
              <w:top w:val="single" w:sz="4" w:space="0" w:color="000000"/>
              <w:left w:val="single" w:sz="4" w:space="0" w:color="000000"/>
              <w:bottom w:val="single" w:sz="4" w:space="0" w:color="000000"/>
              <w:right w:val="single" w:sz="4" w:space="0" w:color="000000"/>
            </w:tcBorders>
            <w:shd w:val="clear" w:color="auto" w:fill="BDD6EE"/>
            <w:tcMar>
              <w:top w:w="0" w:type="dxa"/>
              <w:left w:w="108" w:type="dxa"/>
              <w:bottom w:w="0" w:type="dxa"/>
              <w:right w:w="108" w:type="dxa"/>
            </w:tcMar>
            <w:hideMark/>
          </w:tcPr>
          <w:p w14:paraId="68530796" w14:textId="77777777" w:rsidR="00D01D54" w:rsidRPr="00D01D54" w:rsidRDefault="00D01D54" w:rsidP="00D01D54">
            <w:pPr>
              <w:spacing w:after="0" w:line="240" w:lineRule="auto"/>
              <w:jc w:val="center"/>
              <w:rPr>
                <w:rFonts w:ascii="Times New Roman" w:eastAsia="Times New Roman" w:hAnsi="Times New Roman" w:cs="Times New Roman"/>
                <w:kern w:val="0"/>
                <w:sz w:val="24"/>
                <w:szCs w:val="24"/>
                <w:lang w:eastAsia="en-GB"/>
                <w14:ligatures w14:val="none"/>
              </w:rPr>
            </w:pPr>
            <w:r w:rsidRPr="00D01D54">
              <w:rPr>
                <w:rFonts w:eastAsia="Times New Roman" w:cs="Times New Roman"/>
                <w:b/>
                <w:bCs/>
                <w:color w:val="000000"/>
                <w:kern w:val="0"/>
                <w:sz w:val="40"/>
                <w:szCs w:val="40"/>
                <w:lang w:eastAsia="en-GB"/>
                <w14:ligatures w14:val="none"/>
              </w:rPr>
              <w:lastRenderedPageBreak/>
              <w:t>09</w:t>
            </w:r>
            <w:r w:rsidRPr="00D01D54">
              <w:rPr>
                <w:rFonts w:eastAsia="Times New Roman" w:cs="Times New Roman"/>
                <w:color w:val="000000"/>
                <w:kern w:val="0"/>
                <w:lang w:eastAsia="en-GB"/>
                <w14:ligatures w14:val="none"/>
              </w:rPr>
              <w:t xml:space="preserve"> </w:t>
            </w:r>
            <w:r w:rsidRPr="00D01D54">
              <w:rPr>
                <w:rFonts w:eastAsia="Times New Roman" w:cs="Times New Roman"/>
                <w:b/>
                <w:bCs/>
                <w:color w:val="000000"/>
                <w:kern w:val="0"/>
                <w:lang w:eastAsia="en-GB"/>
                <w14:ligatures w14:val="none"/>
              </w:rPr>
              <w:t>Ethical Considerations</w:t>
            </w:r>
          </w:p>
          <w:p w14:paraId="54769011" w14:textId="77777777" w:rsidR="00D01D54" w:rsidRDefault="00D01D54" w:rsidP="00D01D54">
            <w:pPr>
              <w:spacing w:after="0" w:line="240" w:lineRule="auto"/>
              <w:rPr>
                <w:rFonts w:ascii="Arial" w:eastAsia="Times New Roman" w:hAnsi="Arial" w:cs="Arial"/>
                <w:color w:val="000000"/>
                <w:kern w:val="0"/>
                <w:lang w:eastAsia="en-GB"/>
                <w14:ligatures w14:val="none"/>
              </w:rPr>
            </w:pPr>
            <w:r w:rsidRPr="00D01D54">
              <w:rPr>
                <w:rFonts w:ascii="Arial" w:eastAsia="Times New Roman" w:hAnsi="Arial" w:cs="Arial"/>
                <w:color w:val="000000"/>
                <w:kern w:val="0"/>
                <w:lang w:eastAsia="en-GB"/>
                <w14:ligatures w14:val="none"/>
              </w:rPr>
              <w:t>In the context of secondary research, ethics are defined as a fair and honest practice with respect to the use of previously collected information while following strict ethical, legal, and professional guidelines.</w:t>
            </w:r>
          </w:p>
          <w:p w14:paraId="026726AC" w14:textId="77777777" w:rsidR="00D01D54" w:rsidRDefault="00D01D54" w:rsidP="00D01D54">
            <w:pPr>
              <w:spacing w:after="0" w:line="240" w:lineRule="auto"/>
              <w:rPr>
                <w:rFonts w:ascii="Arial" w:eastAsia="Times New Roman" w:hAnsi="Arial" w:cs="Arial"/>
                <w:color w:val="000000"/>
                <w:kern w:val="0"/>
                <w:sz w:val="24"/>
                <w:szCs w:val="24"/>
                <w:lang w:eastAsia="en-GB"/>
                <w14:ligatures w14:val="none"/>
              </w:rPr>
            </w:pPr>
          </w:p>
          <w:p w14:paraId="11DEDD89" w14:textId="77777777" w:rsidR="00D01D54" w:rsidRDefault="00D01D54" w:rsidP="00D01D54">
            <w:pPr>
              <w:spacing w:after="0" w:line="240" w:lineRule="auto"/>
              <w:rPr>
                <w:rFonts w:ascii="Arial" w:eastAsia="Times New Roman" w:hAnsi="Arial" w:cs="Arial"/>
                <w:color w:val="000000"/>
                <w:kern w:val="0"/>
                <w:sz w:val="24"/>
                <w:szCs w:val="24"/>
                <w:lang w:eastAsia="en-GB"/>
                <w14:ligatures w14:val="none"/>
              </w:rPr>
            </w:pPr>
          </w:p>
          <w:p w14:paraId="7E333C34" w14:textId="47DB16D5"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anchor distT="0" distB="0" distL="114300" distR="114300" simplePos="0" relativeHeight="251659264" behindDoc="1" locked="0" layoutInCell="1" allowOverlap="1" wp14:anchorId="68704E01" wp14:editId="0C78901A">
                  <wp:simplePos x="0" y="0"/>
                  <wp:positionH relativeFrom="column">
                    <wp:posOffset>635</wp:posOffset>
                  </wp:positionH>
                  <wp:positionV relativeFrom="paragraph">
                    <wp:posOffset>2540</wp:posOffset>
                  </wp:positionV>
                  <wp:extent cx="6591300" cy="2133600"/>
                  <wp:effectExtent l="0" t="0" r="0" b="0"/>
                  <wp:wrapTight wrapText="bothSides">
                    <wp:wrapPolygon edited="0">
                      <wp:start x="0" y="0"/>
                      <wp:lineTo x="0" y="21407"/>
                      <wp:lineTo x="21538" y="21407"/>
                      <wp:lineTo x="21538" y="0"/>
                      <wp:lineTo x="0" y="0"/>
                    </wp:wrapPolygon>
                  </wp:wrapTight>
                  <wp:docPr id="20725035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03541" name="Picture 2072503541"/>
                          <pic:cNvPicPr/>
                        </pic:nvPicPr>
                        <pic:blipFill>
                          <a:blip r:embed="rId60">
                            <a:extLst>
                              <a:ext uri="{28A0092B-C50C-407E-A947-70E740481C1C}">
                                <a14:useLocalDpi xmlns:a14="http://schemas.microsoft.com/office/drawing/2010/main" val="0"/>
                              </a:ext>
                            </a:extLst>
                          </a:blip>
                          <a:stretch>
                            <a:fillRect/>
                          </a:stretch>
                        </pic:blipFill>
                        <pic:spPr>
                          <a:xfrm>
                            <a:off x="0" y="0"/>
                            <a:ext cx="6591300" cy="2133600"/>
                          </a:xfrm>
                          <a:prstGeom prst="rect">
                            <a:avLst/>
                          </a:prstGeom>
                        </pic:spPr>
                      </pic:pic>
                    </a:graphicData>
                  </a:graphic>
                </wp:anchor>
              </w:drawing>
            </w:r>
            <w:r>
              <w:rPr>
                <w:rFonts w:ascii="Times New Roman" w:eastAsia="Times New Roman" w:hAnsi="Times New Roman" w:cs="Times New Roman"/>
                <w:kern w:val="0"/>
                <w:sz w:val="24"/>
                <w:szCs w:val="24"/>
                <w:lang w:eastAsia="en-GB"/>
                <w14:ligatures w14:val="none"/>
              </w:rPr>
              <w:t xml:space="preserve">   </w:t>
            </w:r>
            <w:r w:rsidRPr="00D01D54">
              <w:rPr>
                <w:rFonts w:ascii="Times New Roman" w:eastAsia="Times New Roman" w:hAnsi="Times New Roman" w:cs="Times New Roman"/>
                <w:b/>
                <w:bCs/>
                <w:kern w:val="0"/>
                <w:sz w:val="24"/>
                <w:szCs w:val="24"/>
                <w:lang w:eastAsia="en-GB"/>
                <w14:ligatures w14:val="none"/>
              </w:rPr>
              <w:t>References</w:t>
            </w:r>
            <w:r>
              <w:rPr>
                <w:rFonts w:ascii="Times New Roman" w:eastAsia="Times New Roman" w:hAnsi="Times New Roman" w:cs="Times New Roman"/>
                <w:kern w:val="0"/>
                <w:sz w:val="24"/>
                <w:szCs w:val="24"/>
                <w:lang w:eastAsia="en-GB"/>
                <w14:ligatures w14:val="none"/>
              </w:rPr>
              <w:t>:</w:t>
            </w:r>
          </w:p>
          <w:p w14:paraId="0E998929" w14:textId="3385B0C4"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t>Al-Ansi, A.M., Jaboob, M., Garad, A. and Al-Ansi, A. (2023) ‘Analysing Augmented Reality (AR) and Virtual Reality (VR) Recent Development in Education’, Social Sciences &amp; Humanities Open, 8(1). Available at: https://doi.org/10.1016/j.ssaho.2023.100532.</w:t>
            </w:r>
          </w:p>
          <w:p w14:paraId="332F9D85"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t>Anderson, M.H. and Lemken, R.K. (2022) ‘Citation Context Analysis as a Method for Conducting Rigorous and Impactful Literature Reviews’, Organizational Research Methods, 26(1), p. 109442812096990. Available at: https://doi.org/10.1177/1094428120969905.</w:t>
            </w:r>
          </w:p>
          <w:p w14:paraId="44BAD6ED"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t>Heath, A., Levay, P. and Tuvey, D. (2022) ‘Literature Searching Methods or Guidance and Their Application to Public Health topics: a Narrative Review’, Health Information &amp; Libraries Journal, 39(1), pp. 6–21. Available at: https://doi.org/10.1111/hir.12414.</w:t>
            </w:r>
          </w:p>
          <w:p w14:paraId="4ED4133F"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t>Khurshid, Z., Tariq, R., Asiri, F.Y., Abid, K. and Zafar, M.S. (2022) ‘Literature search strategies in dental education and research’, Journal of Taibah University Medical Sciences, 16(6). Available at: https://doi.org/10.1016/j.jtumed.2021.05.012.</w:t>
            </w:r>
          </w:p>
          <w:p w14:paraId="38F326DD"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t xml:space="preserve">Riazi, A., </w:t>
            </w:r>
            <w:proofErr w:type="spellStart"/>
            <w:r w:rsidRPr="00D01D54">
              <w:rPr>
                <w:rFonts w:ascii="Times New Roman" w:eastAsia="Times New Roman" w:hAnsi="Times New Roman" w:cs="Times New Roman"/>
                <w:kern w:val="0"/>
                <w:sz w:val="24"/>
                <w:szCs w:val="24"/>
                <w:lang w:eastAsia="en-GB"/>
                <w14:ligatures w14:val="none"/>
              </w:rPr>
              <w:t>Ghanbar</w:t>
            </w:r>
            <w:proofErr w:type="spellEnd"/>
            <w:r w:rsidRPr="00D01D54">
              <w:rPr>
                <w:rFonts w:ascii="Times New Roman" w:eastAsia="Times New Roman" w:hAnsi="Times New Roman" w:cs="Times New Roman"/>
                <w:kern w:val="0"/>
                <w:sz w:val="24"/>
                <w:szCs w:val="24"/>
                <w:lang w:eastAsia="en-GB"/>
                <w14:ligatures w14:val="none"/>
              </w:rPr>
              <w:t>, H. and Rezvani, R. (2023) ‘Qualitative Data Coding and Analysis: A Systematic Review of the Papers Published in the Journal of Second Language Writing Iranian Journal of Language Teaching Research’, Iranian Journal of Language Teaching Research, 11(1), pp. 25–47. Available at: https://doi.org/10.30466/ijltr.2023.121271.</w:t>
            </w:r>
          </w:p>
          <w:p w14:paraId="6326B0FE" w14:textId="77777777" w:rsidR="00D01D54" w:rsidRPr="00D01D54" w:rsidRDefault="00D01D54" w:rsidP="00D01D54">
            <w:pPr>
              <w:spacing w:after="0" w:line="240" w:lineRule="auto"/>
              <w:rPr>
                <w:rFonts w:ascii="Times New Roman" w:eastAsia="Times New Roman" w:hAnsi="Times New Roman" w:cs="Times New Roman"/>
                <w:kern w:val="0"/>
                <w:sz w:val="24"/>
                <w:szCs w:val="24"/>
                <w:lang w:eastAsia="en-GB"/>
                <w14:ligatures w14:val="none"/>
              </w:rPr>
            </w:pPr>
            <w:r w:rsidRPr="00D01D54">
              <w:rPr>
                <w:rFonts w:ascii="Times New Roman" w:eastAsia="Times New Roman" w:hAnsi="Times New Roman" w:cs="Times New Roman"/>
                <w:kern w:val="0"/>
                <w:sz w:val="24"/>
                <w:szCs w:val="24"/>
                <w:lang w:eastAsia="en-GB"/>
                <w14:ligatures w14:val="none"/>
              </w:rPr>
              <w:t>Thomson, L. (2024) ‘Barriers and Enablers of Integrated Care in the UK: a Rapid Evidence Review of Review Articles and Grey Literature 2018–2022’, Frontiers in Public Health, 11(1). Available at: https://doi.org/10.3389/fpubh.2023.1286479.</w:t>
            </w:r>
          </w:p>
          <w:p w14:paraId="5456EDB7" w14:textId="5E60EFC4" w:rsidR="00D01D54" w:rsidRPr="00D01D54" w:rsidRDefault="00D01D54" w:rsidP="00D01D54">
            <w:pPr>
              <w:spacing w:after="0" w:line="240" w:lineRule="auto"/>
              <w:rPr>
                <w:rFonts w:ascii="Times New Roman" w:eastAsia="Times New Roman" w:hAnsi="Times New Roman" w:cs="Times New Roman"/>
                <w:kern w:val="0"/>
                <w:lang w:eastAsia="en-GB"/>
                <w14:ligatures w14:val="none"/>
              </w:rPr>
            </w:pPr>
            <w:r w:rsidRPr="00D01D54">
              <w:rPr>
                <w:rFonts w:ascii="Times New Roman" w:eastAsia="Times New Roman" w:hAnsi="Times New Roman" w:cs="Times New Roman"/>
                <w:kern w:val="0"/>
                <w:sz w:val="24"/>
                <w:szCs w:val="24"/>
                <w:lang w:eastAsia="en-GB"/>
                <w14:ligatures w14:val="none"/>
              </w:rPr>
              <w:t>Tringale, M., Stephen, G., Boylan, A.-M. and Heneghan, C. (2022) ‘Integrating Patient Values and Preferences in healthcare: a Systematic Review of Qualitative Evidence’, BMJ Open, 12(11), pp. 1–13. Available at: https://www.ncbi.nlm.nih.gov/pmc/articles/PMC9677014/.</w:t>
            </w:r>
          </w:p>
        </w:tc>
      </w:tr>
    </w:tbl>
    <w:p w14:paraId="37605A70" w14:textId="77777777" w:rsidR="00D01D54" w:rsidRDefault="00D01D54"/>
    <w:p w14:paraId="19EAA02E" w14:textId="77777777" w:rsidR="00D01D54" w:rsidRDefault="00D01D54"/>
    <w:p w14:paraId="66BE3F66" w14:textId="77777777" w:rsidR="00730C3C" w:rsidRDefault="00730C3C" w:rsidP="00730C3C">
      <w:pPr>
        <w:pStyle w:val="Heading1"/>
        <w:ind w:left="0"/>
      </w:pPr>
    </w:p>
    <w:p w14:paraId="58452D18" w14:textId="142C5CF3" w:rsidR="00730C3C" w:rsidRPr="00EF6341" w:rsidRDefault="00730C3C" w:rsidP="00EF6341">
      <w:pPr>
        <w:pStyle w:val="Heading1"/>
        <w:spacing w:line="360" w:lineRule="auto"/>
        <w:ind w:left="0"/>
        <w:rPr>
          <w:rFonts w:ascii="Aptos" w:hAnsi="Aptos"/>
          <w:b w:val="0"/>
        </w:rPr>
      </w:pPr>
      <w:r w:rsidRPr="00730C3C">
        <w:rPr>
          <w:rFonts w:ascii="Aptos" w:hAnsi="Aptos"/>
        </w:rPr>
        <w:t>CHAPTER 1: Introduction (1</w:t>
      </w:r>
      <w:r w:rsidR="00EF6341">
        <w:rPr>
          <w:rFonts w:ascii="Aptos" w:hAnsi="Aptos"/>
        </w:rPr>
        <w:t>,</w:t>
      </w:r>
      <w:r w:rsidRPr="00730C3C">
        <w:rPr>
          <w:rFonts w:ascii="Aptos" w:hAnsi="Aptos"/>
        </w:rPr>
        <w:t>000 words approx.)</w:t>
      </w:r>
    </w:p>
    <w:p w14:paraId="69941E5D" w14:textId="77777777" w:rsidR="00EF6341" w:rsidRPr="00EF6341" w:rsidRDefault="00EF6341" w:rsidP="00EF6341">
      <w:pPr>
        <w:pStyle w:val="BodyText"/>
        <w:spacing w:line="360" w:lineRule="auto"/>
        <w:rPr>
          <w:rFonts w:ascii="Aptos" w:hAnsi="Aptos"/>
        </w:rPr>
      </w:pPr>
    </w:p>
    <w:p w14:paraId="7EB24CC9" w14:textId="789B4900"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1.1 Introduction </w:t>
      </w:r>
    </w:p>
    <w:p w14:paraId="75F45691" w14:textId="77777777" w:rsidR="001F17CD" w:rsidRPr="001F17CD" w:rsidRDefault="00BD2909" w:rsidP="001F17CD">
      <w:pPr>
        <w:pStyle w:val="paragraph"/>
        <w:spacing w:after="0"/>
        <w:textAlignment w:val="baseline"/>
        <w:rPr>
          <w:rStyle w:val="eop"/>
          <w:rFonts w:ascii="Aptos" w:hAnsi="Aptos" w:cs="Arial"/>
          <w:sz w:val="22"/>
          <w:szCs w:val="22"/>
        </w:rPr>
      </w:pPr>
      <w:r w:rsidRPr="00BD2909">
        <w:rPr>
          <w:rStyle w:val="eop"/>
          <w:rFonts w:ascii="Aptos" w:hAnsi="Aptos" w:cs="Arial"/>
          <w:sz w:val="22"/>
          <w:szCs w:val="22"/>
        </w:rPr>
        <w:t> </w:t>
      </w:r>
      <w:r w:rsidR="001F17CD" w:rsidRPr="001F17CD">
        <w:rPr>
          <w:rStyle w:val="eop"/>
          <w:rFonts w:ascii="Aptos" w:hAnsi="Aptos" w:cs="Arial"/>
          <w:sz w:val="22"/>
          <w:szCs w:val="22"/>
        </w:rPr>
        <w:t>Overview of the Topic</w:t>
      </w:r>
    </w:p>
    <w:p w14:paraId="18072CD8" w14:textId="39A9E938" w:rsidR="00BD2909" w:rsidRDefault="001F17CD" w:rsidP="001F17CD">
      <w:pPr>
        <w:pStyle w:val="paragraph"/>
        <w:spacing w:before="0" w:beforeAutospacing="0" w:after="0" w:afterAutospacing="0" w:line="360" w:lineRule="auto"/>
        <w:textAlignment w:val="baseline"/>
        <w:rPr>
          <w:rStyle w:val="eop"/>
          <w:rFonts w:ascii="Aptos" w:hAnsi="Aptos" w:cs="Arial"/>
          <w:sz w:val="22"/>
          <w:szCs w:val="22"/>
        </w:rPr>
      </w:pPr>
      <w:r w:rsidRPr="001F17CD">
        <w:rPr>
          <w:rStyle w:val="eop"/>
          <w:rFonts w:ascii="Aptos" w:hAnsi="Aptos" w:cs="Arial"/>
          <w:sz w:val="22"/>
          <w:szCs w:val="22"/>
        </w:rPr>
        <w:t>The COVID-19 outbreak struck the UK healthcare system and demanded rapid mobilisation of the workforce, as well as emergency clinical training. Medical staff were also redeployed to new functions, in which, in most of the cases, there were hastily trained programmes to address the emergent service needs. Although these programmes were critical to the preservation of patient care, there were issues which were raised over competency in staff, patient safety, and confidence (Carrillo et al., 2024). There was a great need to have emergency clinical training as a mechanism of reinforcing workforce ability in the case of crisis situations. Thanks to the ability to understand its efficacy, the NHS still struggles against the problem of the labour shortage.</w:t>
      </w:r>
    </w:p>
    <w:p w14:paraId="266F5F21" w14:textId="77777777" w:rsidR="001F17CD" w:rsidRDefault="001F17CD" w:rsidP="001F17CD">
      <w:pPr>
        <w:pStyle w:val="paragraph"/>
        <w:spacing w:before="0" w:beforeAutospacing="0" w:after="0" w:afterAutospacing="0" w:line="360" w:lineRule="auto"/>
        <w:textAlignment w:val="baseline"/>
        <w:rPr>
          <w:rStyle w:val="eop"/>
          <w:rFonts w:ascii="Aptos" w:hAnsi="Aptos" w:cs="Arial"/>
          <w:sz w:val="22"/>
          <w:szCs w:val="22"/>
        </w:rPr>
      </w:pPr>
    </w:p>
    <w:p w14:paraId="5923D1AC" w14:textId="0C77166C" w:rsidR="001F17CD" w:rsidRDefault="001F17CD" w:rsidP="001F17CD">
      <w:pPr>
        <w:pStyle w:val="paragraph"/>
        <w:spacing w:before="0" w:beforeAutospacing="0" w:after="0" w:afterAutospacing="0" w:line="360" w:lineRule="auto"/>
        <w:textAlignment w:val="baseline"/>
        <w:rPr>
          <w:rStyle w:val="eop"/>
          <w:rFonts w:ascii="Aptos" w:hAnsi="Aptos" w:cs="Arial"/>
          <w:sz w:val="22"/>
          <w:szCs w:val="22"/>
        </w:rPr>
      </w:pPr>
      <w:r>
        <w:rPr>
          <w:rStyle w:val="eop"/>
          <w:rFonts w:ascii="Aptos" w:hAnsi="Aptos" w:cs="Arial"/>
          <w:noProof/>
          <w:sz w:val="22"/>
          <w:szCs w:val="22"/>
        </w:rPr>
        <w:drawing>
          <wp:inline distT="0" distB="0" distL="0" distR="0" wp14:anchorId="021EFBFB" wp14:editId="03166040">
            <wp:extent cx="4359275" cy="2121535"/>
            <wp:effectExtent l="0" t="0" r="3175" b="0"/>
            <wp:docPr id="1299758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359275" cy="2121535"/>
                    </a:xfrm>
                    <a:prstGeom prst="rect">
                      <a:avLst/>
                    </a:prstGeom>
                    <a:noFill/>
                  </pic:spPr>
                </pic:pic>
              </a:graphicData>
            </a:graphic>
          </wp:inline>
        </w:drawing>
      </w:r>
    </w:p>
    <w:p w14:paraId="1563CBC1" w14:textId="77777777" w:rsidR="001F17CD" w:rsidRDefault="001F17CD" w:rsidP="001F17CD">
      <w:pPr>
        <w:pStyle w:val="paragraph"/>
        <w:spacing w:before="0" w:beforeAutospacing="0" w:after="0" w:afterAutospacing="0" w:line="360" w:lineRule="auto"/>
        <w:textAlignment w:val="baseline"/>
        <w:rPr>
          <w:rStyle w:val="eop"/>
          <w:rFonts w:ascii="Aptos" w:hAnsi="Aptos" w:cs="Arial"/>
          <w:sz w:val="22"/>
          <w:szCs w:val="22"/>
        </w:rPr>
      </w:pPr>
    </w:p>
    <w:p w14:paraId="6F02DE08" w14:textId="77777777" w:rsidR="001F17CD" w:rsidRPr="001F17CD" w:rsidRDefault="001F17CD" w:rsidP="001F17CD">
      <w:pPr>
        <w:pStyle w:val="paragraph"/>
        <w:spacing w:after="0"/>
        <w:textAlignment w:val="baseline"/>
        <w:rPr>
          <w:rStyle w:val="eop"/>
          <w:rFonts w:ascii="Aptos" w:hAnsi="Aptos" w:cs="Arial"/>
          <w:b/>
          <w:bCs/>
          <w:sz w:val="22"/>
          <w:szCs w:val="22"/>
        </w:rPr>
      </w:pPr>
      <w:r w:rsidRPr="001F17CD">
        <w:rPr>
          <w:rStyle w:val="eop"/>
          <w:rFonts w:ascii="Aptos" w:hAnsi="Aptos" w:cs="Arial"/>
          <w:b/>
          <w:bCs/>
          <w:sz w:val="22"/>
          <w:szCs w:val="22"/>
        </w:rPr>
        <w:t>Figure 1.1: NHS staff shortages: Medical vs Nursing</w:t>
      </w:r>
    </w:p>
    <w:p w14:paraId="22D99692" w14:textId="5C0CD7C2" w:rsidR="001F17CD" w:rsidRDefault="001F17CD" w:rsidP="001F17CD">
      <w:pPr>
        <w:pStyle w:val="paragraph"/>
        <w:spacing w:before="0" w:beforeAutospacing="0" w:after="0" w:afterAutospacing="0" w:line="360" w:lineRule="auto"/>
        <w:textAlignment w:val="baseline"/>
        <w:rPr>
          <w:rStyle w:val="eop"/>
          <w:rFonts w:ascii="Aptos" w:hAnsi="Aptos" w:cs="Arial"/>
          <w:sz w:val="22"/>
          <w:szCs w:val="22"/>
        </w:rPr>
      </w:pPr>
      <w:r w:rsidRPr="001F17CD">
        <w:rPr>
          <w:rStyle w:val="eop"/>
          <w:rFonts w:ascii="Aptos" w:hAnsi="Aptos" w:cs="Arial"/>
          <w:sz w:val="22"/>
          <w:szCs w:val="22"/>
        </w:rPr>
        <w:t>(Source: Parliament.uk, 2022)</w:t>
      </w:r>
    </w:p>
    <w:p w14:paraId="5F281DB2" w14:textId="77777777" w:rsidR="001F17CD" w:rsidRDefault="001F17CD" w:rsidP="001F17CD">
      <w:pPr>
        <w:pStyle w:val="paragraph"/>
        <w:spacing w:before="0" w:beforeAutospacing="0" w:after="0" w:afterAutospacing="0" w:line="360" w:lineRule="auto"/>
        <w:textAlignment w:val="baseline"/>
        <w:rPr>
          <w:rStyle w:val="eop"/>
          <w:rFonts w:ascii="Aptos" w:hAnsi="Aptos" w:cs="Arial"/>
          <w:sz w:val="22"/>
          <w:szCs w:val="22"/>
        </w:rPr>
      </w:pPr>
    </w:p>
    <w:p w14:paraId="60A4036B" w14:textId="77777777" w:rsidR="001F17CD" w:rsidRDefault="001F17CD" w:rsidP="001F17CD">
      <w:pPr>
        <w:pStyle w:val="paragraph"/>
        <w:spacing w:after="0"/>
        <w:textAlignment w:val="baseline"/>
        <w:rPr>
          <w:rStyle w:val="eop"/>
          <w:rFonts w:ascii="Aptos" w:hAnsi="Aptos" w:cs="Arial"/>
          <w:b/>
          <w:bCs/>
          <w:sz w:val="22"/>
          <w:szCs w:val="22"/>
        </w:rPr>
      </w:pPr>
    </w:p>
    <w:p w14:paraId="7609806D" w14:textId="77777777" w:rsidR="001F17CD" w:rsidRDefault="001F17CD" w:rsidP="001F17CD">
      <w:pPr>
        <w:pStyle w:val="paragraph"/>
        <w:spacing w:after="0"/>
        <w:textAlignment w:val="baseline"/>
        <w:rPr>
          <w:rStyle w:val="eop"/>
          <w:rFonts w:ascii="Aptos" w:hAnsi="Aptos" w:cs="Arial"/>
          <w:b/>
          <w:bCs/>
          <w:sz w:val="22"/>
          <w:szCs w:val="22"/>
        </w:rPr>
      </w:pPr>
    </w:p>
    <w:p w14:paraId="0138C1B5" w14:textId="77777777" w:rsidR="001F17CD" w:rsidRDefault="001F17CD" w:rsidP="001F17CD">
      <w:pPr>
        <w:pStyle w:val="paragraph"/>
        <w:spacing w:after="0"/>
        <w:textAlignment w:val="baseline"/>
        <w:rPr>
          <w:rStyle w:val="eop"/>
          <w:rFonts w:ascii="Aptos" w:hAnsi="Aptos" w:cs="Arial"/>
          <w:b/>
          <w:bCs/>
          <w:sz w:val="22"/>
          <w:szCs w:val="22"/>
        </w:rPr>
      </w:pPr>
    </w:p>
    <w:p w14:paraId="5F193BF7" w14:textId="6590DB45" w:rsidR="001F17CD" w:rsidRPr="001F17CD" w:rsidRDefault="001F17CD" w:rsidP="001F17CD">
      <w:pPr>
        <w:pStyle w:val="paragraph"/>
        <w:spacing w:after="0"/>
        <w:textAlignment w:val="baseline"/>
        <w:rPr>
          <w:rStyle w:val="eop"/>
          <w:rFonts w:ascii="Aptos" w:hAnsi="Aptos" w:cs="Arial"/>
          <w:b/>
          <w:bCs/>
          <w:sz w:val="22"/>
          <w:szCs w:val="22"/>
        </w:rPr>
      </w:pPr>
      <w:r w:rsidRPr="001F17CD">
        <w:rPr>
          <w:rStyle w:val="eop"/>
          <w:rFonts w:ascii="Aptos" w:hAnsi="Aptos" w:cs="Arial"/>
          <w:b/>
          <w:bCs/>
          <w:sz w:val="22"/>
          <w:szCs w:val="22"/>
        </w:rPr>
        <w:t>Aim of the Dissertation</w:t>
      </w:r>
    </w:p>
    <w:p w14:paraId="4FA8FE1E" w14:textId="661E5BB4" w:rsidR="001F17CD" w:rsidRDefault="001F17CD" w:rsidP="001F17CD">
      <w:pPr>
        <w:pStyle w:val="paragraph"/>
        <w:spacing w:before="0" w:beforeAutospacing="0" w:after="0" w:afterAutospacing="0" w:line="360" w:lineRule="auto"/>
        <w:textAlignment w:val="baseline"/>
        <w:rPr>
          <w:rStyle w:val="eop"/>
          <w:rFonts w:ascii="Aptos" w:hAnsi="Aptos" w:cs="Arial"/>
          <w:sz w:val="22"/>
          <w:szCs w:val="22"/>
        </w:rPr>
      </w:pPr>
      <w:r w:rsidRPr="001F17CD">
        <w:rPr>
          <w:rStyle w:val="eop"/>
          <w:rFonts w:ascii="Aptos" w:hAnsi="Aptos" w:cs="Arial"/>
          <w:sz w:val="22"/>
          <w:szCs w:val="22"/>
        </w:rPr>
        <w:t>The overall aim of this dissertation is to evaluate the impact of emergency clinical training across the COVID-19 pandemic period on the level of competence of health personnel within the UK healthcare sector. The aim of this study was to assess the impact of emergency clinical training programs on overall clinical adequacy, knowledge acquisition, effectiveness, and professional readiness (Falk and Lindström, 2022). Through evaluation of the available secondary sources, the study will determine the advantages and issues related to emergency training provision. The dissertation is also aimed at offering evidence-based findings that can be used to create more efficient and sustainable emergency training models to help in sustaining the resilience and competency of the workforce in the upcoming healthcare emergencies.</w:t>
      </w:r>
    </w:p>
    <w:p w14:paraId="136EE008" w14:textId="77777777" w:rsidR="001F17CD" w:rsidRPr="00BD2909" w:rsidRDefault="001F17CD" w:rsidP="001F17CD">
      <w:pPr>
        <w:pStyle w:val="paragraph"/>
        <w:spacing w:before="0" w:beforeAutospacing="0" w:after="0" w:afterAutospacing="0" w:line="360" w:lineRule="auto"/>
        <w:textAlignment w:val="baseline"/>
        <w:rPr>
          <w:rFonts w:ascii="Aptos" w:hAnsi="Aptos" w:cs="Segoe UI"/>
          <w:sz w:val="16"/>
          <w:szCs w:val="16"/>
        </w:rPr>
      </w:pPr>
    </w:p>
    <w:p w14:paraId="66501BF4"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75D33897" w14:textId="77777777" w:rsidR="001F17CD" w:rsidRPr="001F17CD" w:rsidRDefault="00BD2909" w:rsidP="001F17CD">
      <w:pPr>
        <w:pStyle w:val="paragraph"/>
        <w:spacing w:after="0"/>
        <w:textAlignment w:val="baseline"/>
        <w:rPr>
          <w:rStyle w:val="eop"/>
          <w:rFonts w:ascii="Aptos" w:hAnsi="Aptos" w:cs="Arial"/>
          <w:b/>
          <w:bCs/>
          <w:sz w:val="22"/>
          <w:szCs w:val="22"/>
        </w:rPr>
      </w:pPr>
      <w:r w:rsidRPr="00BD2909">
        <w:rPr>
          <w:rStyle w:val="eop"/>
          <w:rFonts w:ascii="Aptos" w:hAnsi="Aptos" w:cs="Arial"/>
          <w:sz w:val="22"/>
          <w:szCs w:val="22"/>
        </w:rPr>
        <w:t>  </w:t>
      </w:r>
      <w:r w:rsidR="001F17CD" w:rsidRPr="001F17CD">
        <w:rPr>
          <w:rStyle w:val="eop"/>
          <w:rFonts w:ascii="Aptos" w:hAnsi="Aptos" w:cs="Arial"/>
          <w:b/>
          <w:bCs/>
          <w:sz w:val="22"/>
          <w:szCs w:val="22"/>
        </w:rPr>
        <w:t>Key Definitions</w:t>
      </w:r>
    </w:p>
    <w:p w14:paraId="432EFF80" w14:textId="77777777" w:rsidR="001F17CD" w:rsidRPr="001F17CD" w:rsidRDefault="001F17CD" w:rsidP="001F17CD">
      <w:pPr>
        <w:pStyle w:val="paragraph"/>
        <w:spacing w:after="0"/>
        <w:textAlignment w:val="baseline"/>
        <w:rPr>
          <w:rStyle w:val="eop"/>
          <w:rFonts w:ascii="Aptos" w:hAnsi="Aptos" w:cs="Arial"/>
          <w:sz w:val="22"/>
          <w:szCs w:val="22"/>
        </w:rPr>
      </w:pPr>
      <w:r w:rsidRPr="001F17CD">
        <w:rPr>
          <w:rStyle w:val="eop"/>
          <w:rFonts w:ascii="Aptos" w:hAnsi="Aptos" w:cs="Arial"/>
          <w:sz w:val="22"/>
          <w:szCs w:val="22"/>
        </w:rPr>
        <w:t>Emergency clinical training is a kind of training that is conducted in crisis situations to impart the much-needed clinical skills to the healthcare staff within a short period. Staff competency refers to the set of knowledge, skills, behaviours and professional judgement necessary to carry out clinical tasks in a safe and effective way. Secondary research will focus on examining the available published literature and not gathering primary data (Cheong et al., 2023). Thematic analysis is a qualitative technique that is utilised in discovering, examining, and reporting trends or themes in data. These are the keywords of this research because they define the methodology and explain how competency outcomes can be determined in the UK healthcare market.</w:t>
      </w:r>
    </w:p>
    <w:p w14:paraId="7D0CBB12" w14:textId="77777777" w:rsidR="001F17CD" w:rsidRPr="001F17CD" w:rsidRDefault="001F17CD" w:rsidP="001F17CD">
      <w:pPr>
        <w:pStyle w:val="paragraph"/>
        <w:spacing w:after="0"/>
        <w:textAlignment w:val="baseline"/>
        <w:rPr>
          <w:rStyle w:val="eop"/>
          <w:rFonts w:ascii="Aptos" w:hAnsi="Aptos" w:cs="Arial"/>
          <w:b/>
          <w:bCs/>
          <w:sz w:val="22"/>
          <w:szCs w:val="22"/>
        </w:rPr>
      </w:pPr>
      <w:r w:rsidRPr="001F17CD">
        <w:rPr>
          <w:rStyle w:val="eop"/>
          <w:rFonts w:ascii="Aptos" w:hAnsi="Aptos" w:cs="Arial"/>
          <w:b/>
          <w:bCs/>
          <w:sz w:val="22"/>
          <w:szCs w:val="22"/>
        </w:rPr>
        <w:t>Acronyms and Abbreviations</w:t>
      </w:r>
    </w:p>
    <w:p w14:paraId="4BC66D2F" w14:textId="6C719F1E" w:rsidR="00BD2909" w:rsidRPr="00BD2909" w:rsidRDefault="001F17CD" w:rsidP="001F17CD">
      <w:pPr>
        <w:pStyle w:val="paragraph"/>
        <w:spacing w:before="0" w:beforeAutospacing="0" w:after="0" w:afterAutospacing="0" w:line="360" w:lineRule="auto"/>
        <w:textAlignment w:val="baseline"/>
        <w:rPr>
          <w:rFonts w:ascii="Aptos" w:hAnsi="Aptos" w:cs="Segoe UI"/>
          <w:sz w:val="16"/>
          <w:szCs w:val="16"/>
        </w:rPr>
      </w:pPr>
      <w:r w:rsidRPr="001F17CD">
        <w:rPr>
          <w:rStyle w:val="eop"/>
          <w:rFonts w:ascii="Aptos" w:hAnsi="Aptos" w:cs="Arial"/>
          <w:sz w:val="22"/>
          <w:szCs w:val="22"/>
        </w:rPr>
        <w:t xml:space="preserve">Different acronyms are employed in this dissertation to make the work more concise and clearer. NHS is the National Health Service, which is the main service offering health care in the UK. COVID-19 is an acronym that means Coronavirus Disease 2019, an international pandemic that has affected health care delivery and training (Leung et al., 2022). The acronym PPE is used to denote Personal Protective Equipment, which is necessary to ensure the safety of the staff </w:t>
      </w:r>
      <w:proofErr w:type="gramStart"/>
      <w:r w:rsidRPr="001F17CD">
        <w:rPr>
          <w:rStyle w:val="eop"/>
          <w:rFonts w:ascii="Aptos" w:hAnsi="Aptos" w:cs="Arial"/>
          <w:sz w:val="22"/>
          <w:szCs w:val="22"/>
        </w:rPr>
        <w:t>in regard to</w:t>
      </w:r>
      <w:proofErr w:type="gramEnd"/>
      <w:r w:rsidRPr="001F17CD">
        <w:rPr>
          <w:rStyle w:val="eop"/>
          <w:rFonts w:ascii="Aptos" w:hAnsi="Aptos" w:cs="Arial"/>
          <w:sz w:val="22"/>
          <w:szCs w:val="22"/>
        </w:rPr>
        <w:t xml:space="preserve"> the pandemic. CPD is the Continuing Professional Development, which emphasises continual development of competency. HCPs refer to Healthcare Professionals, which include clinical personnel in facilities.</w:t>
      </w:r>
    </w:p>
    <w:p w14:paraId="073A0BED" w14:textId="77777777" w:rsidR="00115D68" w:rsidRDefault="00115D68" w:rsidP="00BD2909">
      <w:pPr>
        <w:pStyle w:val="paragraph"/>
        <w:spacing w:before="0" w:beforeAutospacing="0" w:after="0" w:afterAutospacing="0" w:line="360" w:lineRule="auto"/>
        <w:textAlignment w:val="baseline"/>
        <w:rPr>
          <w:rStyle w:val="normaltextrun"/>
          <w:rFonts w:ascii="Aptos" w:hAnsi="Aptos" w:cs="Arial"/>
          <w:color w:val="0F4761"/>
        </w:rPr>
      </w:pPr>
    </w:p>
    <w:p w14:paraId="614E6261" w14:textId="77777777" w:rsidR="00115D68" w:rsidRDefault="00115D68" w:rsidP="00BD2909">
      <w:pPr>
        <w:pStyle w:val="paragraph"/>
        <w:spacing w:before="0" w:beforeAutospacing="0" w:after="0" w:afterAutospacing="0" w:line="360" w:lineRule="auto"/>
        <w:textAlignment w:val="baseline"/>
        <w:rPr>
          <w:rStyle w:val="normaltextrun"/>
          <w:rFonts w:ascii="Aptos" w:hAnsi="Aptos" w:cs="Arial"/>
          <w:color w:val="0F4761"/>
        </w:rPr>
      </w:pPr>
    </w:p>
    <w:p w14:paraId="6C3444E9" w14:textId="77777777" w:rsidR="00115D68" w:rsidRDefault="00115D68" w:rsidP="00BD2909">
      <w:pPr>
        <w:pStyle w:val="paragraph"/>
        <w:spacing w:before="0" w:beforeAutospacing="0" w:after="0" w:afterAutospacing="0" w:line="360" w:lineRule="auto"/>
        <w:textAlignment w:val="baseline"/>
        <w:rPr>
          <w:rStyle w:val="normaltextrun"/>
          <w:rFonts w:ascii="Aptos" w:hAnsi="Aptos" w:cs="Arial"/>
          <w:color w:val="0F4761"/>
        </w:rPr>
      </w:pPr>
    </w:p>
    <w:p w14:paraId="5F3E4033" w14:textId="77777777" w:rsidR="00115D68" w:rsidRDefault="00115D68" w:rsidP="00BD2909">
      <w:pPr>
        <w:pStyle w:val="paragraph"/>
        <w:spacing w:before="0" w:beforeAutospacing="0" w:after="0" w:afterAutospacing="0" w:line="360" w:lineRule="auto"/>
        <w:textAlignment w:val="baseline"/>
        <w:rPr>
          <w:rStyle w:val="normaltextrun"/>
          <w:rFonts w:ascii="Aptos" w:hAnsi="Aptos" w:cs="Arial"/>
          <w:color w:val="0F4761"/>
        </w:rPr>
      </w:pPr>
    </w:p>
    <w:p w14:paraId="75552D90" w14:textId="7231C52F" w:rsidR="001F17CD" w:rsidRPr="00115D68" w:rsidRDefault="00BD2909" w:rsidP="00115D68">
      <w:pPr>
        <w:pStyle w:val="paragraph"/>
        <w:spacing w:before="0" w:beforeAutospacing="0" w:after="0" w:afterAutospacing="0" w:line="360" w:lineRule="auto"/>
        <w:textAlignment w:val="baseline"/>
        <w:rPr>
          <w:rStyle w:val="eop"/>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186A0F0D" w14:textId="2C55DEE8" w:rsidR="001F17CD" w:rsidRPr="001F17CD" w:rsidRDefault="00BD2909" w:rsidP="001F17CD">
      <w:pPr>
        <w:spacing w:before="240" w:after="0"/>
        <w:rPr>
          <w:rFonts w:ascii="Arial" w:eastAsia="Century Schoolbook" w:hAnsi="Arial" w:cs="Arial"/>
          <w:b/>
          <w:bCs/>
          <w:kern w:val="0"/>
          <w:sz w:val="24"/>
          <w:szCs w:val="24"/>
          <w:lang w:eastAsia="en-US"/>
          <w14:ligatures w14:val="none"/>
        </w:rPr>
      </w:pPr>
      <w:r w:rsidRPr="00BD2909">
        <w:rPr>
          <w:rStyle w:val="eop"/>
          <w:rFonts w:cs="Arial"/>
        </w:rPr>
        <w:t> </w:t>
      </w:r>
      <w:r w:rsidR="001F17CD" w:rsidRPr="001F17CD">
        <w:rPr>
          <w:rFonts w:ascii="Arial" w:eastAsia="Century Schoolbook" w:hAnsi="Arial" w:cs="Arial"/>
          <w:b/>
          <w:bCs/>
          <w:kern w:val="0"/>
          <w:sz w:val="24"/>
          <w:szCs w:val="24"/>
          <w:lang w:eastAsia="en-US"/>
          <w14:ligatures w14:val="none"/>
        </w:rPr>
        <w:t>Purpose of the Research</w:t>
      </w:r>
    </w:p>
    <w:p w14:paraId="37D02D94" w14:textId="77777777" w:rsidR="001F17CD" w:rsidRPr="001F17CD" w:rsidRDefault="001F17CD" w:rsidP="001F17CD">
      <w:pPr>
        <w:spacing w:before="240" w:after="0"/>
        <w:rPr>
          <w:rFonts w:ascii="Arial" w:eastAsia="Century Schoolbook" w:hAnsi="Arial" w:cs="Arial"/>
          <w:kern w:val="0"/>
          <w:lang w:eastAsia="en-US"/>
          <w14:ligatures w14:val="none"/>
        </w:rPr>
      </w:pPr>
      <w:r w:rsidRPr="001F17CD">
        <w:rPr>
          <w:rFonts w:ascii="Arial" w:eastAsia="Century Schoolbook" w:hAnsi="Arial" w:cs="Arial"/>
          <w:kern w:val="0"/>
          <w:lang w:eastAsia="en-US"/>
          <w14:ligatures w14:val="none"/>
        </w:rPr>
        <w:t xml:space="preserve">The study was selected </w:t>
      </w:r>
      <w:proofErr w:type="gramStart"/>
      <w:r w:rsidRPr="001F17CD">
        <w:rPr>
          <w:rFonts w:ascii="Arial" w:eastAsia="Century Schoolbook" w:hAnsi="Arial" w:cs="Arial"/>
          <w:kern w:val="0"/>
          <w:lang w:eastAsia="en-US"/>
          <w14:ligatures w14:val="none"/>
        </w:rPr>
        <w:t>based on the fact that</w:t>
      </w:r>
      <w:proofErr w:type="gramEnd"/>
      <w:r w:rsidRPr="001F17CD">
        <w:rPr>
          <w:rFonts w:ascii="Arial" w:eastAsia="Century Schoolbook" w:hAnsi="Arial" w:cs="Arial"/>
          <w:kern w:val="0"/>
          <w:lang w:eastAsia="en-US"/>
          <w14:ligatures w14:val="none"/>
        </w:rPr>
        <w:t xml:space="preserve"> COVID-19 brought about major changes in the clinical training practises of the UK healthcare system. Emergency clinical training was necessary to assist in the rapid reallocation of the workforce, but the effects of this on the competency of staff have not been fully investigated.</w:t>
      </w:r>
    </w:p>
    <w:p w14:paraId="48716806" w14:textId="77777777" w:rsidR="001F17CD" w:rsidRPr="001F17CD" w:rsidRDefault="001F17CD" w:rsidP="001F17CD">
      <w:pPr>
        <w:spacing w:before="240" w:after="0"/>
        <w:jc w:val="center"/>
        <w:rPr>
          <w:rFonts w:ascii="Arial" w:eastAsia="Century Schoolbook" w:hAnsi="Arial" w:cs="Arial"/>
          <w:kern w:val="0"/>
          <w:lang w:eastAsia="en-US"/>
          <w14:ligatures w14:val="none"/>
        </w:rPr>
      </w:pPr>
      <w:r w:rsidRPr="001F17CD">
        <w:rPr>
          <w:rFonts w:ascii="Arial" w:eastAsia="Century Schoolbook" w:hAnsi="Arial" w:cs="Times New Roman"/>
          <w:noProof/>
          <w:kern w:val="0"/>
          <w:lang w:val="en-US" w:eastAsia="en-US"/>
          <w14:ligatures w14:val="none"/>
        </w:rPr>
        <w:drawing>
          <wp:inline distT="0" distB="0" distL="0" distR="0" wp14:anchorId="4C29A24A" wp14:editId="7443CC4B">
            <wp:extent cx="4602480" cy="2316480"/>
            <wp:effectExtent l="19050" t="19050" r="26670" b="2667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602480" cy="2316480"/>
                    </a:xfrm>
                    <a:prstGeom prst="rect">
                      <a:avLst/>
                    </a:prstGeom>
                    <a:noFill/>
                    <a:ln w="9525" cmpd="sng">
                      <a:solidFill>
                        <a:srgbClr val="000000"/>
                      </a:solidFill>
                      <a:miter lim="800000"/>
                      <a:headEnd/>
                      <a:tailEnd/>
                    </a:ln>
                    <a:effectLst/>
                  </pic:spPr>
                </pic:pic>
              </a:graphicData>
            </a:graphic>
          </wp:inline>
        </w:drawing>
      </w:r>
    </w:p>
    <w:p w14:paraId="41B07F2D" w14:textId="77777777" w:rsidR="001F17CD" w:rsidRPr="001F17CD" w:rsidRDefault="001F17CD" w:rsidP="001F17CD">
      <w:pPr>
        <w:spacing w:before="240" w:after="0"/>
        <w:jc w:val="center"/>
        <w:rPr>
          <w:rFonts w:ascii="Arial" w:eastAsia="Century Schoolbook" w:hAnsi="Arial" w:cs="Arial"/>
          <w:b/>
          <w:bCs/>
          <w:kern w:val="0"/>
          <w:lang w:eastAsia="en-US"/>
          <w14:ligatures w14:val="none"/>
        </w:rPr>
      </w:pPr>
      <w:r w:rsidRPr="001F17CD">
        <w:rPr>
          <w:rFonts w:ascii="Arial" w:eastAsia="Century Schoolbook" w:hAnsi="Arial" w:cs="Arial"/>
          <w:b/>
          <w:bCs/>
          <w:kern w:val="0"/>
          <w:lang w:eastAsia="en-US"/>
          <w14:ligatures w14:val="none"/>
        </w:rPr>
        <w:t>Figure 1.2: Migrant HCWs role in emergency clinical setting during the Covid-19 and training necessity</w:t>
      </w:r>
    </w:p>
    <w:p w14:paraId="2B0BC8C0" w14:textId="77777777" w:rsidR="001F17CD" w:rsidRPr="001F17CD" w:rsidRDefault="001F17CD" w:rsidP="001F17CD">
      <w:pPr>
        <w:spacing w:before="240" w:after="0"/>
        <w:jc w:val="center"/>
        <w:rPr>
          <w:rFonts w:ascii="Arial" w:eastAsia="Century Schoolbook" w:hAnsi="Arial" w:cs="Arial"/>
          <w:kern w:val="0"/>
          <w:lang w:eastAsia="en-US"/>
          <w14:ligatures w14:val="none"/>
        </w:rPr>
      </w:pPr>
      <w:r w:rsidRPr="001F17CD">
        <w:rPr>
          <w:rFonts w:ascii="Arial" w:eastAsia="Century Schoolbook" w:hAnsi="Arial" w:cs="Arial"/>
          <w:kern w:val="0"/>
          <w:lang w:eastAsia="en-US"/>
          <w14:ligatures w14:val="none"/>
        </w:rPr>
        <w:t xml:space="preserve">(Source: </w:t>
      </w:r>
      <w:r w:rsidRPr="001F17CD">
        <w:rPr>
          <w:rFonts w:ascii="Arial" w:eastAsia="Century Schoolbook" w:hAnsi="Arial" w:cs="Times New Roman"/>
          <w:kern w:val="0"/>
          <w:lang w:val="en-IN" w:eastAsia="en-US"/>
          <w14:ligatures w14:val="none"/>
        </w:rPr>
        <w:t xml:space="preserve">Kuhlmann </w:t>
      </w:r>
      <w:r w:rsidRPr="001F17CD">
        <w:rPr>
          <w:rFonts w:ascii="Arial" w:eastAsia="Century Schoolbook" w:hAnsi="Arial" w:cs="Times New Roman"/>
          <w:i/>
          <w:iCs/>
          <w:kern w:val="0"/>
          <w:lang w:val="en-IN" w:eastAsia="en-US"/>
          <w14:ligatures w14:val="none"/>
        </w:rPr>
        <w:t>et al.,</w:t>
      </w:r>
      <w:r w:rsidRPr="001F17CD">
        <w:rPr>
          <w:rFonts w:ascii="Arial" w:eastAsia="Century Schoolbook" w:hAnsi="Arial" w:cs="Times New Roman"/>
          <w:kern w:val="0"/>
          <w:lang w:val="en-IN" w:eastAsia="en-US"/>
          <w14:ligatures w14:val="none"/>
        </w:rPr>
        <w:t xml:space="preserve"> 2023)</w:t>
      </w:r>
    </w:p>
    <w:p w14:paraId="7E213AB3" w14:textId="77777777" w:rsidR="001F17CD" w:rsidRPr="001F17CD" w:rsidRDefault="001F17CD" w:rsidP="001F17CD">
      <w:pPr>
        <w:spacing w:before="240" w:after="0"/>
        <w:rPr>
          <w:rFonts w:ascii="Arial" w:eastAsia="Century Schoolbook" w:hAnsi="Arial" w:cs="Arial"/>
          <w:kern w:val="0"/>
          <w:lang w:eastAsia="en-US"/>
          <w14:ligatures w14:val="none"/>
        </w:rPr>
      </w:pPr>
      <w:r w:rsidRPr="001F17CD">
        <w:rPr>
          <w:rFonts w:ascii="Arial" w:eastAsia="Century Schoolbook" w:hAnsi="Arial" w:cs="Arial"/>
          <w:kern w:val="0"/>
          <w:lang w:eastAsia="en-US"/>
          <w14:ligatures w14:val="none"/>
        </w:rPr>
        <w:t xml:space="preserve"> Available sources present the urgency and the magnitude of the pandemic training, but do not provide much assessment of its efficiency (Stark </w:t>
      </w:r>
      <w:r w:rsidRPr="001F17CD">
        <w:rPr>
          <w:rFonts w:ascii="Arial" w:eastAsia="Century Schoolbook" w:hAnsi="Arial" w:cs="Arial"/>
          <w:i/>
          <w:iCs/>
          <w:kern w:val="0"/>
          <w:lang w:eastAsia="en-US"/>
          <w14:ligatures w14:val="none"/>
        </w:rPr>
        <w:t>et al.</w:t>
      </w:r>
      <w:r w:rsidRPr="001F17CD">
        <w:rPr>
          <w:rFonts w:ascii="Arial" w:eastAsia="Century Schoolbook" w:hAnsi="Arial" w:cs="Arial"/>
          <w:kern w:val="0"/>
          <w:lang w:eastAsia="en-US"/>
          <w14:ligatures w14:val="none"/>
        </w:rPr>
        <w:t>, 2022). As workforce shortages continue to rise and more companies depend on increasingly flexible ways of staffing, competency is a highly pertinent issue of investigation. This study is a reaction to the contemporary discussion of the preparedness of the workforce, patient safety, and quality of training and provides an insight into the construction of more resilient and effective training strategies.</w:t>
      </w:r>
    </w:p>
    <w:p w14:paraId="5BD5D3C5" w14:textId="77777777" w:rsidR="001F17CD" w:rsidRPr="001F17CD" w:rsidRDefault="001F17CD" w:rsidP="001F17CD">
      <w:pPr>
        <w:spacing w:before="240" w:after="0"/>
        <w:rPr>
          <w:rFonts w:ascii="Arial" w:eastAsia="Century Schoolbook" w:hAnsi="Arial" w:cs="Arial"/>
          <w:b/>
          <w:bCs/>
          <w:kern w:val="0"/>
          <w:sz w:val="24"/>
          <w:szCs w:val="24"/>
          <w:lang w:eastAsia="en-US"/>
          <w14:ligatures w14:val="none"/>
        </w:rPr>
      </w:pPr>
      <w:r w:rsidRPr="001F17CD">
        <w:rPr>
          <w:rFonts w:ascii="Arial" w:eastAsia="Century Schoolbook" w:hAnsi="Arial" w:cs="Arial"/>
          <w:b/>
          <w:bCs/>
          <w:kern w:val="0"/>
          <w:sz w:val="24"/>
          <w:szCs w:val="24"/>
          <w:lang w:eastAsia="en-US"/>
          <w14:ligatures w14:val="none"/>
        </w:rPr>
        <w:t xml:space="preserve">Identified Problems and Research Gaps </w:t>
      </w:r>
    </w:p>
    <w:p w14:paraId="352A1864" w14:textId="77777777" w:rsidR="001F17CD" w:rsidRPr="001F17CD" w:rsidRDefault="001F17CD" w:rsidP="001F17CD">
      <w:pPr>
        <w:spacing w:before="240" w:after="0"/>
        <w:rPr>
          <w:rFonts w:ascii="Arial" w:eastAsia="Century Schoolbook" w:hAnsi="Arial" w:cs="Arial"/>
          <w:kern w:val="0"/>
          <w:lang w:eastAsia="en-US"/>
          <w14:ligatures w14:val="none"/>
        </w:rPr>
      </w:pPr>
      <w:r w:rsidRPr="001F17CD">
        <w:rPr>
          <w:rFonts w:ascii="Arial" w:eastAsia="Century Schoolbook" w:hAnsi="Arial" w:cs="Arial"/>
          <w:kern w:val="0"/>
          <w:lang w:eastAsia="en-US"/>
          <w14:ligatures w14:val="none"/>
        </w:rPr>
        <w:t xml:space="preserve">The existing literature appears to rely mostly on responses to the COVID-19 emergencies instead of critically analysing the consequences of emergency clinical training of staff competency. The literature on the UK-specific qualitative research examining the effects of </w:t>
      </w:r>
      <w:r w:rsidRPr="001F17CD">
        <w:rPr>
          <w:rFonts w:ascii="Arial" w:eastAsia="Century Schoolbook" w:hAnsi="Arial" w:cs="Arial"/>
          <w:kern w:val="0"/>
          <w:lang w:eastAsia="en-US"/>
          <w14:ligatures w14:val="none"/>
        </w:rPr>
        <w:lastRenderedPageBreak/>
        <w:t>accelerated training on clinical confidence, retention, and professional preparedness is scarce (Chapwanya, 2025). Also, the current research usually deals with the short-term management of crises, overlooking the future effects on the development of the workforce. The given dissertation fills those gaps by synthesising secondary qualitative evidence to determine common themes concerning competency outcomes. In such a way, the study helps to better recognise the effectiveness of training and educate the upcoming emergency preparedness in the UK healthcare sector.</w:t>
      </w:r>
    </w:p>
    <w:p w14:paraId="75E17D56" w14:textId="2AF676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p>
    <w:p w14:paraId="669241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29F4C0D9" w14:textId="77777777" w:rsidR="001F17CD" w:rsidRPr="001F17CD" w:rsidRDefault="00BD2909" w:rsidP="001F17CD">
      <w:pPr>
        <w:spacing w:before="240" w:after="0"/>
        <w:rPr>
          <w:rFonts w:ascii="Arial" w:eastAsia="Century Schoolbook" w:hAnsi="Arial" w:cs="Arial"/>
          <w:b/>
          <w:bCs/>
          <w:kern w:val="0"/>
          <w:lang w:eastAsia="en-US"/>
          <w14:ligatures w14:val="none"/>
        </w:rPr>
      </w:pPr>
      <w:r w:rsidRPr="00BD2909">
        <w:rPr>
          <w:rStyle w:val="eop"/>
          <w:rFonts w:cs="Arial"/>
        </w:rPr>
        <w:t> </w:t>
      </w:r>
      <w:r w:rsidR="001F17CD" w:rsidRPr="001F17CD">
        <w:rPr>
          <w:rFonts w:ascii="Arial" w:eastAsia="Century Schoolbook" w:hAnsi="Arial" w:cs="Arial"/>
          <w:b/>
          <w:bCs/>
          <w:kern w:val="0"/>
          <w:lang w:eastAsia="en-US"/>
          <w14:ligatures w14:val="none"/>
        </w:rPr>
        <w:t xml:space="preserve">Aim </w:t>
      </w:r>
    </w:p>
    <w:p w14:paraId="2D970EA3" w14:textId="77777777" w:rsidR="001F17CD" w:rsidRPr="001F17CD" w:rsidRDefault="001F17CD" w:rsidP="001F17CD">
      <w:pPr>
        <w:spacing w:before="240" w:after="0"/>
        <w:rPr>
          <w:rFonts w:ascii="Arial" w:eastAsia="Century Schoolbook" w:hAnsi="Arial" w:cs="Arial"/>
          <w:kern w:val="0"/>
          <w:lang w:eastAsia="en-US"/>
          <w14:ligatures w14:val="none"/>
        </w:rPr>
      </w:pPr>
      <w:r w:rsidRPr="001F17CD">
        <w:rPr>
          <w:rFonts w:ascii="Arial" w:eastAsia="Century Schoolbook" w:hAnsi="Arial" w:cs="Arial"/>
          <w:kern w:val="0"/>
          <w:lang w:eastAsia="en-US"/>
          <w14:ligatures w14:val="none"/>
        </w:rPr>
        <w:t>The research study aims to examine the effect of COVID-19 emergency clinical training on healthcare staff competency levels within the UK healthcare industry.</w:t>
      </w:r>
    </w:p>
    <w:p w14:paraId="171959D6" w14:textId="77777777" w:rsidR="001F17CD" w:rsidRPr="001F17CD" w:rsidRDefault="001F17CD" w:rsidP="001F17CD">
      <w:pPr>
        <w:spacing w:before="240" w:after="0"/>
        <w:rPr>
          <w:rFonts w:ascii="Arial" w:eastAsia="Century Schoolbook" w:hAnsi="Arial" w:cs="Arial"/>
          <w:kern w:val="0"/>
          <w:lang w:eastAsia="en-US"/>
          <w14:ligatures w14:val="none"/>
        </w:rPr>
      </w:pPr>
      <w:r w:rsidRPr="001F17CD">
        <w:rPr>
          <w:rFonts w:ascii="Arial" w:eastAsia="Century Schoolbook" w:hAnsi="Arial" w:cs="Arial"/>
          <w:kern w:val="0"/>
          <w:lang w:eastAsia="en-US"/>
          <w14:ligatures w14:val="none"/>
        </w:rPr>
        <w:t xml:space="preserve">The purpose of the research study is to assess the impact of COVID-19 emergency clinical training on levels of competency among healthcare staff in the healthcare sector of the UK through a profound analysis of existing literature and empirical evidence created and collected throughout the pandemic period. With such a study, it is possible to assess and explore the specific impact of emergency training initiatives on the level of knowledge, skills, and confidence, as well as competency levels, associated with healthcare staff. Moreover, it is possible to discern differences between competency levels and the specific professional roles and practices of the healthcare sector. </w:t>
      </w:r>
    </w:p>
    <w:p w14:paraId="42981952" w14:textId="77777777" w:rsidR="001F17CD" w:rsidRPr="001F17CD" w:rsidRDefault="001F17CD" w:rsidP="001F17CD">
      <w:pPr>
        <w:spacing w:before="240" w:after="0"/>
        <w:rPr>
          <w:rFonts w:ascii="Arial" w:eastAsia="Century Schoolbook" w:hAnsi="Arial" w:cs="Arial"/>
          <w:b/>
          <w:bCs/>
          <w:kern w:val="0"/>
          <w:lang w:eastAsia="en-US"/>
          <w14:ligatures w14:val="none"/>
        </w:rPr>
      </w:pPr>
      <w:r w:rsidRPr="001F17CD">
        <w:rPr>
          <w:rFonts w:ascii="Arial" w:eastAsia="Century Schoolbook" w:hAnsi="Arial" w:cs="Arial"/>
          <w:b/>
          <w:bCs/>
          <w:kern w:val="0"/>
          <w:lang w:eastAsia="en-US"/>
          <w14:ligatures w14:val="none"/>
        </w:rPr>
        <w:t>Objectives</w:t>
      </w:r>
    </w:p>
    <w:p w14:paraId="60102991" w14:textId="77777777" w:rsidR="001F17CD" w:rsidRPr="001F17CD" w:rsidRDefault="001F17CD">
      <w:pPr>
        <w:numPr>
          <w:ilvl w:val="0"/>
          <w:numId w:val="6"/>
        </w:numPr>
        <w:spacing w:before="240" w:after="0"/>
        <w:rPr>
          <w:rFonts w:ascii="Arial" w:eastAsia="Century Schoolbook" w:hAnsi="Arial" w:cs="Arial"/>
          <w:kern w:val="0"/>
          <w:lang w:eastAsia="en-US"/>
          <w14:ligatures w14:val="none"/>
        </w:rPr>
      </w:pPr>
      <w:r w:rsidRPr="001F17CD">
        <w:rPr>
          <w:rFonts w:ascii="Arial" w:eastAsia="Century Schoolbook" w:hAnsi="Arial" w:cs="Arial"/>
          <w:b/>
          <w:bCs/>
          <w:kern w:val="0"/>
          <w:lang w:eastAsia="en-US"/>
          <w14:ligatures w14:val="none"/>
        </w:rPr>
        <w:t>RQ1:</w:t>
      </w:r>
      <w:r w:rsidRPr="001F17CD">
        <w:rPr>
          <w:rFonts w:ascii="Arial" w:eastAsia="Century Schoolbook" w:hAnsi="Arial" w:cs="Arial"/>
          <w:kern w:val="0"/>
          <w:lang w:eastAsia="en-US"/>
          <w14:ligatures w14:val="none"/>
        </w:rPr>
        <w:t xml:space="preserve"> To examine existing literature and theoretical frameworks on COVID-19 emergency clinical training and staff competency within the UK health care industry.</w:t>
      </w:r>
    </w:p>
    <w:p w14:paraId="67178427" w14:textId="77777777" w:rsidR="001F17CD" w:rsidRPr="001F17CD" w:rsidRDefault="001F17CD">
      <w:pPr>
        <w:numPr>
          <w:ilvl w:val="0"/>
          <w:numId w:val="6"/>
        </w:numPr>
        <w:spacing w:before="240" w:after="0"/>
        <w:rPr>
          <w:rFonts w:ascii="Arial" w:eastAsia="Century Schoolbook" w:hAnsi="Arial" w:cs="Arial"/>
          <w:kern w:val="0"/>
          <w:lang w:eastAsia="en-US"/>
          <w14:ligatures w14:val="none"/>
        </w:rPr>
      </w:pPr>
      <w:r w:rsidRPr="001F17CD">
        <w:rPr>
          <w:rFonts w:ascii="Arial" w:eastAsia="Century Schoolbook" w:hAnsi="Arial" w:cs="Arial"/>
          <w:b/>
          <w:bCs/>
          <w:kern w:val="0"/>
          <w:lang w:eastAsia="en-US"/>
          <w14:ligatures w14:val="none"/>
        </w:rPr>
        <w:t xml:space="preserve">RQ2: </w:t>
      </w:r>
      <w:r w:rsidRPr="001F17CD">
        <w:rPr>
          <w:rFonts w:ascii="Arial" w:eastAsia="Century Schoolbook" w:hAnsi="Arial" w:cs="Arial"/>
          <w:kern w:val="0"/>
          <w:lang w:eastAsia="en-US"/>
          <w14:ligatures w14:val="none"/>
        </w:rPr>
        <w:t>To examine the interrelationship existing between COVID-19 emergency clinical training and healthcare staff competency levels within the UK healthcare industry.</w:t>
      </w:r>
    </w:p>
    <w:p w14:paraId="0C35BC44" w14:textId="77777777" w:rsidR="001F17CD" w:rsidRPr="001F17CD" w:rsidRDefault="001F17CD">
      <w:pPr>
        <w:numPr>
          <w:ilvl w:val="0"/>
          <w:numId w:val="6"/>
        </w:numPr>
        <w:spacing w:before="240" w:after="0"/>
        <w:rPr>
          <w:rFonts w:ascii="Arial" w:eastAsia="Century Schoolbook" w:hAnsi="Arial" w:cs="Arial"/>
          <w:kern w:val="0"/>
          <w:lang w:eastAsia="en-US"/>
          <w14:ligatures w14:val="none"/>
        </w:rPr>
      </w:pPr>
      <w:r w:rsidRPr="001F17CD">
        <w:rPr>
          <w:rFonts w:ascii="Arial" w:eastAsia="Century Schoolbook" w:hAnsi="Arial" w:cs="Arial"/>
          <w:b/>
          <w:bCs/>
          <w:kern w:val="0"/>
          <w:lang w:eastAsia="en-US"/>
          <w14:ligatures w14:val="none"/>
        </w:rPr>
        <w:t xml:space="preserve">RQ3: </w:t>
      </w:r>
      <w:r w:rsidRPr="001F17CD">
        <w:rPr>
          <w:rFonts w:ascii="Arial" w:eastAsia="Century Schoolbook" w:hAnsi="Arial" w:cs="Arial"/>
          <w:kern w:val="0"/>
          <w:lang w:eastAsia="en-US"/>
          <w14:ligatures w14:val="none"/>
        </w:rPr>
        <w:t>To define the challenges and benefits of COVID-19 emergency clinical training for healthcare staff within the UK healthcare industry.</w:t>
      </w:r>
    </w:p>
    <w:p w14:paraId="048425FE" w14:textId="77777777" w:rsidR="001F17CD" w:rsidRPr="001F17CD" w:rsidRDefault="001F17CD">
      <w:pPr>
        <w:numPr>
          <w:ilvl w:val="0"/>
          <w:numId w:val="6"/>
        </w:numPr>
        <w:spacing w:before="240" w:after="0"/>
        <w:rPr>
          <w:rFonts w:ascii="Arial" w:eastAsia="Century Schoolbook" w:hAnsi="Arial" w:cs="Arial"/>
          <w:kern w:val="0"/>
          <w:lang w:eastAsia="en-US"/>
          <w14:ligatures w14:val="none"/>
        </w:rPr>
      </w:pPr>
      <w:r w:rsidRPr="001F17CD">
        <w:rPr>
          <w:rFonts w:ascii="Arial" w:eastAsia="Century Schoolbook" w:hAnsi="Arial" w:cs="Arial"/>
          <w:b/>
          <w:bCs/>
          <w:kern w:val="0"/>
          <w:lang w:eastAsia="en-US"/>
          <w14:ligatures w14:val="none"/>
        </w:rPr>
        <w:t xml:space="preserve">RQ4: </w:t>
      </w:r>
      <w:r w:rsidRPr="001F17CD">
        <w:rPr>
          <w:rFonts w:ascii="Arial" w:eastAsia="Century Schoolbook" w:hAnsi="Arial" w:cs="Arial"/>
          <w:kern w:val="0"/>
          <w:lang w:eastAsia="en-US"/>
          <w14:ligatures w14:val="none"/>
        </w:rPr>
        <w:t>To propose strategies regarding the improvement of emergency clinical training to enhance staff competency within the UK health care industry.</w:t>
      </w:r>
    </w:p>
    <w:p w14:paraId="7FA3F3C5" w14:textId="5CB237F8"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53FBD35A" w14:textId="77777777" w:rsidR="001F17CD" w:rsidRDefault="001F17CD" w:rsidP="00BD2909">
      <w:pPr>
        <w:pStyle w:val="paragraph"/>
        <w:spacing w:before="0" w:beforeAutospacing="0" w:after="0" w:afterAutospacing="0" w:line="360" w:lineRule="auto"/>
        <w:textAlignment w:val="baseline"/>
        <w:rPr>
          <w:rStyle w:val="normaltextrun"/>
          <w:rFonts w:ascii="Aptos" w:hAnsi="Aptos" w:cs="Arial"/>
          <w:color w:val="0F4761"/>
        </w:rPr>
      </w:pPr>
    </w:p>
    <w:p w14:paraId="240D6CEB" w14:textId="77777777" w:rsidR="001F17CD" w:rsidRDefault="001F17CD" w:rsidP="00BD2909">
      <w:pPr>
        <w:pStyle w:val="paragraph"/>
        <w:spacing w:before="0" w:beforeAutospacing="0" w:after="0" w:afterAutospacing="0" w:line="360" w:lineRule="auto"/>
        <w:textAlignment w:val="baseline"/>
        <w:rPr>
          <w:rStyle w:val="normaltextrun"/>
          <w:rFonts w:ascii="Aptos" w:hAnsi="Aptos" w:cs="Arial"/>
          <w:color w:val="0F4761"/>
        </w:rPr>
      </w:pPr>
    </w:p>
    <w:p w14:paraId="6790B6B8" w14:textId="77777777" w:rsidR="001F17CD" w:rsidRDefault="001F17CD" w:rsidP="00BD2909">
      <w:pPr>
        <w:pStyle w:val="paragraph"/>
        <w:spacing w:before="0" w:beforeAutospacing="0" w:after="0" w:afterAutospacing="0" w:line="360" w:lineRule="auto"/>
        <w:textAlignment w:val="baseline"/>
        <w:rPr>
          <w:rStyle w:val="normaltextrun"/>
          <w:rFonts w:ascii="Aptos" w:hAnsi="Aptos" w:cs="Arial"/>
          <w:color w:val="0F4761"/>
        </w:rPr>
      </w:pPr>
    </w:p>
    <w:p w14:paraId="6F616D9D" w14:textId="77777777" w:rsidR="001F17CD" w:rsidRDefault="001F17CD" w:rsidP="00BD2909">
      <w:pPr>
        <w:pStyle w:val="paragraph"/>
        <w:spacing w:before="0" w:beforeAutospacing="0" w:after="0" w:afterAutospacing="0" w:line="360" w:lineRule="auto"/>
        <w:textAlignment w:val="baseline"/>
        <w:rPr>
          <w:rStyle w:val="normaltextrun"/>
          <w:rFonts w:ascii="Aptos" w:hAnsi="Aptos" w:cs="Arial"/>
          <w:color w:val="0F4761"/>
        </w:rPr>
      </w:pPr>
    </w:p>
    <w:p w14:paraId="4FCBBEC2" w14:textId="35BEAF8C"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4A886E55" w14:textId="5CA2AD03" w:rsidR="00730C3C" w:rsidRDefault="001F17CD">
      <w:r w:rsidRPr="001F17CD">
        <w:t>Chapter 1 presented the research context, explained the impact of COVID-19 emergency training, introduced concepts, and justified the study (Maddock et al., 2022). It also established the research aim and objectives, with particular emphasis on the significance of staff competency within the UK healthcare sector. Additionally, chapter 2 is expected to advance on such grounds by presenting information pertaining to emergency clinical training in its historical, theoretical, international, and UK context, thereby laying a foundation for subsequent methodological decisions as they relate to existing literature.</w:t>
      </w:r>
    </w:p>
    <w:p w14:paraId="115C9163" w14:textId="77777777" w:rsidR="00730C3C" w:rsidRDefault="00730C3C"/>
    <w:p w14:paraId="47D34B52" w14:textId="77777777" w:rsidR="00730C3C" w:rsidRDefault="00730C3C"/>
    <w:p w14:paraId="69C79371" w14:textId="77777777" w:rsidR="006A4515" w:rsidRDefault="006A4515"/>
    <w:p w14:paraId="1E1A58B1" w14:textId="77777777" w:rsidR="00804B94" w:rsidRDefault="00804B94"/>
    <w:p w14:paraId="33D4B98F" w14:textId="001A707A" w:rsidR="000D0641" w:rsidRPr="000D0641" w:rsidRDefault="000D0641" w:rsidP="000D0641">
      <w:pPr>
        <w:pStyle w:val="Heading1"/>
        <w:ind w:left="0"/>
        <w:rPr>
          <w:rFonts w:ascii="Aptos" w:hAnsi="Aptos"/>
        </w:rPr>
      </w:pPr>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3C455D9E" w14:textId="77777777" w:rsidR="001F17CD" w:rsidRDefault="001F17CD" w:rsidP="00F44833">
      <w:pPr>
        <w:pStyle w:val="paragraph"/>
        <w:spacing w:before="0" w:beforeAutospacing="0" w:after="0" w:afterAutospacing="0" w:line="360" w:lineRule="auto"/>
        <w:textAlignment w:val="baseline"/>
        <w:rPr>
          <w:rStyle w:val="normaltextrun"/>
          <w:rFonts w:ascii="Aptos" w:hAnsi="Aptos" w:cs="Arial"/>
          <w:color w:val="0F4761"/>
        </w:rPr>
      </w:pPr>
    </w:p>
    <w:p w14:paraId="4AFA8E92" w14:textId="77777777" w:rsidR="001F17CD" w:rsidRDefault="001F17CD" w:rsidP="00F44833">
      <w:pPr>
        <w:pStyle w:val="paragraph"/>
        <w:spacing w:before="0" w:beforeAutospacing="0" w:after="0" w:afterAutospacing="0" w:line="360" w:lineRule="auto"/>
        <w:textAlignment w:val="baseline"/>
        <w:rPr>
          <w:rStyle w:val="normaltextrun"/>
          <w:rFonts w:ascii="Aptos" w:hAnsi="Aptos" w:cs="Arial"/>
          <w:color w:val="0F4761"/>
        </w:rPr>
      </w:pPr>
    </w:p>
    <w:p w14:paraId="223734F5" w14:textId="093C4A3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63022044" w14:textId="77777777" w:rsidR="001F17CD" w:rsidRPr="001F17CD" w:rsidRDefault="00BD2909" w:rsidP="001F17CD">
      <w:pPr>
        <w:spacing w:before="240" w:after="0"/>
        <w:rPr>
          <w:rFonts w:ascii="Arial" w:eastAsia="Century Schoolbook" w:hAnsi="Arial" w:cs="Arial"/>
          <w:b/>
          <w:kern w:val="0"/>
          <w:sz w:val="24"/>
          <w:highlight w:val="white"/>
          <w:lang w:eastAsia="en-US"/>
          <w14:ligatures w14:val="none"/>
        </w:rPr>
      </w:pPr>
      <w:r w:rsidRPr="00F44833">
        <w:rPr>
          <w:rStyle w:val="eop"/>
          <w:rFonts w:eastAsia="Calibri Light" w:cs="Arial"/>
        </w:rPr>
        <w:t> </w:t>
      </w:r>
      <w:bookmarkStart w:id="0" w:name="_Toc221375993"/>
      <w:r w:rsidR="001F17CD" w:rsidRPr="001F17CD">
        <w:rPr>
          <w:rFonts w:ascii="Arial" w:eastAsia="Century Schoolbook" w:hAnsi="Arial" w:cs="Arial"/>
          <w:b/>
          <w:kern w:val="0"/>
          <w:sz w:val="24"/>
          <w:highlight w:val="white"/>
          <w:lang w:eastAsia="en-US"/>
          <w14:ligatures w14:val="none"/>
        </w:rPr>
        <w:t>Purpose of the chapter</w:t>
      </w:r>
      <w:bookmarkEnd w:id="0"/>
    </w:p>
    <w:p w14:paraId="639CB0FC" w14:textId="77777777" w:rsidR="001F17CD" w:rsidRPr="001F17CD" w:rsidRDefault="001F17CD" w:rsidP="001F17CD">
      <w:pPr>
        <w:spacing w:before="240" w:after="0"/>
        <w:rPr>
          <w:rFonts w:ascii="Arial" w:eastAsia="Times New Roman" w:hAnsi="Arial" w:cs="Arial"/>
          <w:kern w:val="0"/>
          <w:highlight w:val="white"/>
          <w:lang w:eastAsia="en-US"/>
          <w14:ligatures w14:val="none"/>
        </w:rPr>
      </w:pPr>
      <w:r w:rsidRPr="001F17CD">
        <w:rPr>
          <w:rFonts w:ascii="Arial" w:eastAsia="Times New Roman" w:hAnsi="Arial" w:cs="Arial"/>
          <w:kern w:val="0"/>
          <w:highlight w:val="white"/>
          <w:lang w:eastAsia="en-US"/>
          <w14:ligatures w14:val="none"/>
        </w:rPr>
        <w:t>The purpose of this chapter is to establish the background and context of the paper by illustrating the effects of the emergency clinical training on healthcare staff competency levels working in the Uk healthcare industry during the COVID-19 crisis. It provides the background of the historical, theoretical and contextual information which is needed to understand the significance of this study. When put in the broader perspective of how health care reacted to the pandemic, these factors will be outlined in the context of the chapter, presenting why the sudden interventions of training were necessary to sustain the service delivery and patient safety.</w:t>
      </w:r>
    </w:p>
    <w:p w14:paraId="0D3E9D0D" w14:textId="77777777" w:rsidR="001F17CD" w:rsidRPr="001F17CD" w:rsidRDefault="001F17CD" w:rsidP="001F17CD">
      <w:pPr>
        <w:spacing w:before="240" w:after="0"/>
        <w:rPr>
          <w:rFonts w:ascii="Arial" w:eastAsia="Times New Roman" w:hAnsi="Arial" w:cs="Arial"/>
          <w:kern w:val="0"/>
          <w:highlight w:val="white"/>
          <w:lang w:eastAsia="en-US"/>
          <w14:ligatures w14:val="none"/>
        </w:rPr>
      </w:pPr>
      <w:r w:rsidRPr="001F17CD">
        <w:rPr>
          <w:rFonts w:ascii="Arial" w:eastAsia="Times New Roman" w:hAnsi="Arial" w:cs="Arial"/>
          <w:kern w:val="0"/>
          <w:highlight w:val="white"/>
          <w:lang w:eastAsia="en-US"/>
          <w14:ligatures w14:val="none"/>
        </w:rPr>
        <w:t xml:space="preserve">The chapter will trace the history of emergency training practices during pandemics and highlight the issues in the UK health sector, the theory on which the competency development is grounded, and the realities of working in crises. Considerably, it preconditions the further </w:t>
      </w:r>
      <w:r w:rsidRPr="001F17CD">
        <w:rPr>
          <w:rFonts w:ascii="Arial" w:eastAsia="Times New Roman" w:hAnsi="Arial" w:cs="Arial"/>
          <w:kern w:val="0"/>
          <w:highlight w:val="white"/>
          <w:lang w:eastAsia="en-US"/>
          <w14:ligatures w14:val="none"/>
        </w:rPr>
        <w:lastRenderedPageBreak/>
        <w:t>analysis process by explaining the systemic influences that determined the preparedness of the staff and evaluating the effectiveness of the related interventions.</w:t>
      </w:r>
    </w:p>
    <w:p w14:paraId="1ADF7C27" w14:textId="361BA59C"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45F5083A" w14:textId="77777777" w:rsidR="001F17CD" w:rsidRPr="001F17CD" w:rsidRDefault="00BD2909" w:rsidP="001F17CD">
      <w:pPr>
        <w:spacing w:before="240" w:after="0"/>
        <w:rPr>
          <w:rFonts w:ascii="Arial" w:eastAsia="Century Schoolbook" w:hAnsi="Arial" w:cs="Arial"/>
          <w:b/>
          <w:kern w:val="0"/>
          <w:sz w:val="24"/>
          <w:highlight w:val="white"/>
          <w:lang w:eastAsia="en-US"/>
          <w14:ligatures w14:val="none"/>
        </w:rPr>
      </w:pPr>
      <w:r w:rsidRPr="00F44833">
        <w:rPr>
          <w:rStyle w:val="eop"/>
          <w:rFonts w:eastAsia="Calibri Light" w:cs="Arial"/>
        </w:rPr>
        <w:t> </w:t>
      </w:r>
      <w:bookmarkStart w:id="1" w:name="_Toc221375995"/>
      <w:r w:rsidR="001F17CD" w:rsidRPr="001F17CD">
        <w:rPr>
          <w:rFonts w:ascii="Arial" w:eastAsia="Century Schoolbook" w:hAnsi="Arial" w:cs="Arial"/>
          <w:b/>
          <w:kern w:val="0"/>
          <w:sz w:val="24"/>
          <w:highlight w:val="white"/>
          <w:lang w:eastAsia="en-US"/>
          <w14:ligatures w14:val="none"/>
        </w:rPr>
        <w:t>Development of the topic</w:t>
      </w:r>
      <w:bookmarkEnd w:id="1"/>
    </w:p>
    <w:p w14:paraId="64498411" w14:textId="77777777" w:rsidR="001F17CD" w:rsidRPr="001F17CD" w:rsidRDefault="001F17CD" w:rsidP="001F17CD">
      <w:pPr>
        <w:spacing w:before="240" w:after="0"/>
        <w:rPr>
          <w:rFonts w:ascii="Arial" w:eastAsia="Times New Roman" w:hAnsi="Arial" w:cs="Arial"/>
          <w:kern w:val="0"/>
          <w:highlight w:val="white"/>
          <w:lang w:eastAsia="en-US"/>
          <w14:ligatures w14:val="none"/>
        </w:rPr>
      </w:pPr>
      <w:r w:rsidRPr="001F17CD">
        <w:rPr>
          <w:rFonts w:ascii="Arial" w:eastAsia="Times New Roman" w:hAnsi="Arial" w:cs="Arial"/>
          <w:kern w:val="0"/>
          <w:highlight w:val="white"/>
          <w:lang w:eastAsia="en-US"/>
          <w14:ligatures w14:val="none"/>
        </w:rPr>
        <w:t xml:space="preserve">The history of emergency clinical training in the UK health care sector has its roots in the old traditions of workforce preparedness in case of a public health crisis. According to the evidence by Hartley </w:t>
      </w:r>
      <w:r w:rsidRPr="001F17CD">
        <w:rPr>
          <w:rFonts w:ascii="Arial" w:eastAsia="Times New Roman" w:hAnsi="Arial" w:cs="Arial"/>
          <w:i/>
          <w:iCs/>
          <w:kern w:val="0"/>
          <w:highlight w:val="white"/>
          <w:lang w:eastAsia="en-US"/>
          <w14:ligatures w14:val="none"/>
        </w:rPr>
        <w:t>et al.,</w:t>
      </w:r>
      <w:r w:rsidRPr="001F17CD">
        <w:rPr>
          <w:rFonts w:ascii="Arial" w:eastAsia="Times New Roman" w:hAnsi="Arial" w:cs="Arial"/>
          <w:kern w:val="0"/>
          <w:highlight w:val="white"/>
          <w:lang w:eastAsia="en-US"/>
          <w14:ligatures w14:val="none"/>
        </w:rPr>
        <w:t xml:space="preserve"> (2025) the NHS, in the past, depended on rapid upskilling and redeployment initiatives as an emergency response to impactful incidents, for example, influenza outbreaks and terrorist attacks. Nevertheless, the COVID-19 pandemic that started spreading in the UK at the beginning of March 2020 has been marked as an unprecedented challenge in history (NHS England, 2024). Based on the evidence by Rcog (2026), UK hospitals were overloaded with work pressure, and the staff started to be relocated across specialities. Apart from this, junior doctors and nurses started to be assigned to critical care units as well as respiratory units. This high demand for flexibility led to the emergence of emergency training programs that would provide the pertinent staff with appropriate competencies in infection control, ventilator handling, and other emergency care necessities.</w:t>
      </w:r>
    </w:p>
    <w:p w14:paraId="735C68B3" w14:textId="77777777" w:rsidR="001F17CD" w:rsidRPr="001F17CD" w:rsidRDefault="001F17CD" w:rsidP="001F17CD">
      <w:pPr>
        <w:spacing w:before="240" w:after="0"/>
        <w:jc w:val="center"/>
        <w:rPr>
          <w:rFonts w:ascii="Arial" w:eastAsia="Times New Roman" w:hAnsi="Arial" w:cs="Arial"/>
          <w:kern w:val="0"/>
          <w:highlight w:val="white"/>
          <w:lang w:eastAsia="en-US"/>
          <w14:ligatures w14:val="none"/>
        </w:rPr>
      </w:pPr>
      <w:r w:rsidRPr="001F17CD">
        <w:rPr>
          <w:rFonts w:ascii="Arial" w:eastAsia="Century Schoolbook" w:hAnsi="Arial" w:cs="Times New Roman"/>
          <w:noProof/>
          <w:kern w:val="0"/>
          <w:lang w:val="en-US" w:eastAsia="en-US"/>
          <w14:ligatures w14:val="none"/>
        </w:rPr>
        <w:drawing>
          <wp:inline distT="0" distB="0" distL="0" distR="0" wp14:anchorId="239214C7" wp14:editId="3633DFA6">
            <wp:extent cx="5250180" cy="2491740"/>
            <wp:effectExtent l="19050" t="19050" r="26670" b="2286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250180" cy="2491740"/>
                    </a:xfrm>
                    <a:prstGeom prst="rect">
                      <a:avLst/>
                    </a:prstGeom>
                    <a:noFill/>
                    <a:ln w="9525" cmpd="sng">
                      <a:solidFill>
                        <a:srgbClr val="000000"/>
                      </a:solidFill>
                      <a:miter lim="800000"/>
                      <a:headEnd/>
                      <a:tailEnd/>
                    </a:ln>
                    <a:effectLst/>
                  </pic:spPr>
                </pic:pic>
              </a:graphicData>
            </a:graphic>
          </wp:inline>
        </w:drawing>
      </w:r>
    </w:p>
    <w:p w14:paraId="3B2983C7" w14:textId="77777777" w:rsidR="001F17CD" w:rsidRPr="001F17CD" w:rsidRDefault="001F17CD" w:rsidP="001F17CD">
      <w:pPr>
        <w:spacing w:before="240" w:after="0"/>
        <w:jc w:val="center"/>
        <w:rPr>
          <w:rFonts w:ascii="Arial" w:eastAsia="Times New Roman" w:hAnsi="Arial" w:cs="Arial"/>
          <w:b/>
          <w:bCs/>
          <w:kern w:val="0"/>
          <w:highlight w:val="white"/>
          <w:lang w:eastAsia="en-US"/>
          <w14:ligatures w14:val="none"/>
        </w:rPr>
      </w:pPr>
      <w:r w:rsidRPr="001F17CD">
        <w:rPr>
          <w:rFonts w:ascii="Arial" w:eastAsia="Times New Roman" w:hAnsi="Arial" w:cs="Arial"/>
          <w:b/>
          <w:bCs/>
          <w:kern w:val="0"/>
          <w:highlight w:val="white"/>
          <w:lang w:eastAsia="en-US"/>
          <w14:ligatures w14:val="none"/>
        </w:rPr>
        <w:t>Figure 2.1: Training requirements met across gynaecological units for emergency care during the Covid-19</w:t>
      </w:r>
    </w:p>
    <w:p w14:paraId="42B140BC" w14:textId="77777777" w:rsidR="001F17CD" w:rsidRPr="001F17CD" w:rsidRDefault="001F17CD" w:rsidP="001F17CD">
      <w:pPr>
        <w:spacing w:before="240" w:after="0"/>
        <w:jc w:val="center"/>
        <w:rPr>
          <w:rFonts w:ascii="Arial" w:eastAsia="Times New Roman" w:hAnsi="Arial" w:cs="Arial"/>
          <w:kern w:val="0"/>
          <w:highlight w:val="white"/>
          <w:lang w:eastAsia="en-US"/>
          <w14:ligatures w14:val="none"/>
        </w:rPr>
      </w:pPr>
      <w:r w:rsidRPr="001F17CD">
        <w:rPr>
          <w:rFonts w:ascii="Arial" w:eastAsia="Times New Roman" w:hAnsi="Arial" w:cs="Arial"/>
          <w:kern w:val="0"/>
          <w:highlight w:val="white"/>
          <w:lang w:eastAsia="en-US"/>
          <w14:ligatures w14:val="none"/>
        </w:rPr>
        <w:t>(Source: Rcog, 2026)</w:t>
      </w:r>
    </w:p>
    <w:p w14:paraId="250D452A" w14:textId="77777777" w:rsidR="001F17CD" w:rsidRPr="001F17CD" w:rsidRDefault="001F17CD" w:rsidP="001F17CD">
      <w:pPr>
        <w:spacing w:before="240" w:after="0"/>
        <w:rPr>
          <w:rFonts w:ascii="Arial" w:eastAsia="Times New Roman" w:hAnsi="Arial" w:cs="Arial"/>
          <w:kern w:val="0"/>
          <w:highlight w:val="white"/>
          <w:lang w:eastAsia="en-US"/>
          <w14:ligatures w14:val="none"/>
        </w:rPr>
      </w:pPr>
      <w:r w:rsidRPr="001F17CD">
        <w:rPr>
          <w:rFonts w:ascii="Arial" w:eastAsia="Times New Roman" w:hAnsi="Arial" w:cs="Arial"/>
          <w:kern w:val="0"/>
          <w:highlight w:val="white"/>
          <w:lang w:eastAsia="en-US"/>
          <w14:ligatures w14:val="none"/>
        </w:rPr>
        <w:t xml:space="preserve">Upon understanding the history and origins, key milestones are introduced. These are the introduction of accelerated training modules by </w:t>
      </w:r>
      <w:r w:rsidRPr="001F17CD">
        <w:rPr>
          <w:rFonts w:ascii="Arial" w:eastAsia="Times New Roman" w:hAnsi="Arial" w:cs="Arial"/>
          <w:b/>
          <w:bCs/>
          <w:kern w:val="0"/>
          <w:highlight w:val="white"/>
          <w:lang w:eastAsia="en-US"/>
          <w14:ligatures w14:val="none"/>
        </w:rPr>
        <w:t>"Health Education England"</w:t>
      </w:r>
      <w:r w:rsidRPr="001F17CD">
        <w:rPr>
          <w:rFonts w:ascii="Arial" w:eastAsia="Times New Roman" w:hAnsi="Arial" w:cs="Arial"/>
          <w:kern w:val="0"/>
          <w:highlight w:val="white"/>
          <w:lang w:eastAsia="en-US"/>
          <w14:ligatures w14:val="none"/>
        </w:rPr>
        <w:t xml:space="preserve"> (HEE), the </w:t>
      </w:r>
      <w:r w:rsidRPr="001F17CD">
        <w:rPr>
          <w:rFonts w:ascii="Arial" w:eastAsia="Times New Roman" w:hAnsi="Arial" w:cs="Arial"/>
          <w:b/>
          <w:bCs/>
          <w:kern w:val="0"/>
          <w:highlight w:val="white"/>
          <w:lang w:eastAsia="en-US"/>
          <w14:ligatures w14:val="none"/>
        </w:rPr>
        <w:lastRenderedPageBreak/>
        <w:t>"General Medical Council"</w:t>
      </w:r>
      <w:r w:rsidRPr="001F17CD">
        <w:rPr>
          <w:rFonts w:ascii="Arial" w:eastAsia="Times New Roman" w:hAnsi="Arial" w:cs="Arial"/>
          <w:kern w:val="0"/>
          <w:highlight w:val="white"/>
          <w:lang w:eastAsia="en-US"/>
          <w14:ligatures w14:val="none"/>
        </w:rPr>
        <w:t xml:space="preserve"> (GMC), and professional organisations like the </w:t>
      </w:r>
      <w:r w:rsidRPr="001F17CD">
        <w:rPr>
          <w:rFonts w:ascii="Arial" w:eastAsia="Times New Roman" w:hAnsi="Arial" w:cs="Arial"/>
          <w:b/>
          <w:bCs/>
          <w:kern w:val="0"/>
          <w:highlight w:val="white"/>
          <w:lang w:eastAsia="en-US"/>
          <w14:ligatures w14:val="none"/>
        </w:rPr>
        <w:t>"Royal College of Nursing"</w:t>
      </w:r>
      <w:r w:rsidRPr="001F17CD">
        <w:rPr>
          <w:rFonts w:ascii="Arial" w:eastAsia="Times New Roman" w:hAnsi="Arial" w:cs="Arial"/>
          <w:kern w:val="0"/>
          <w:highlight w:val="white"/>
          <w:lang w:eastAsia="en-US"/>
          <w14:ligatures w14:val="none"/>
        </w:rPr>
        <w:t xml:space="preserve"> (RCN) (Rcog, 2026; GMC, 2021; GOV.UK, 2026). The work of these organisations was focused on staff coordination to ensure that redeployed staff could provide efficient assistance in the frontline care without risks to themselves. Skills gap among trainees was a significant implication of the surveys by the GMC, since most of them mentioned the burnout risks (Wise, 2022). Thus, emergency training should be structured to maintain the resilience of the workforce.</w:t>
      </w:r>
    </w:p>
    <w:p w14:paraId="48580062" w14:textId="09232012" w:rsidR="00BD2909" w:rsidRPr="00F44833" w:rsidRDefault="00BD2909" w:rsidP="001F17CD">
      <w:pPr>
        <w:pStyle w:val="paragraph"/>
        <w:spacing w:before="0" w:beforeAutospacing="0" w:after="0" w:afterAutospacing="0" w:line="360" w:lineRule="auto"/>
        <w:textAlignment w:val="baseline"/>
        <w:rPr>
          <w:rFonts w:ascii="Aptos" w:hAnsi="Aptos" w:cs="Arial"/>
          <w:sz w:val="22"/>
          <w:szCs w:val="22"/>
        </w:rPr>
      </w:pP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53A440C1"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5F1F4D4A"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413D14FB"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34BA7E64"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2AC08DD1"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7119B053"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4E8C0F60"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4108D340" w14:textId="77777777" w:rsidR="00816373" w:rsidRDefault="00816373" w:rsidP="00F44833">
      <w:pPr>
        <w:pStyle w:val="paragraph"/>
        <w:spacing w:before="0" w:beforeAutospacing="0" w:after="0" w:afterAutospacing="0" w:line="360" w:lineRule="auto"/>
        <w:textAlignment w:val="baseline"/>
        <w:rPr>
          <w:rStyle w:val="normaltextrun"/>
          <w:rFonts w:ascii="Aptos" w:hAnsi="Aptos" w:cs="Arial"/>
          <w:color w:val="0F4761"/>
        </w:rPr>
      </w:pPr>
    </w:p>
    <w:p w14:paraId="7CD6820C" w14:textId="6E36A29A"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67FCC252" w14:textId="77777777" w:rsidR="00175A37" w:rsidRPr="00175A37" w:rsidRDefault="00BD2909" w:rsidP="00175A37">
      <w:pPr>
        <w:spacing w:before="240" w:after="0"/>
        <w:rPr>
          <w:rFonts w:ascii="Arial" w:eastAsia="Century Schoolbook" w:hAnsi="Arial" w:cs="Arial"/>
          <w:b/>
          <w:kern w:val="0"/>
          <w:sz w:val="24"/>
          <w:highlight w:val="white"/>
          <w:lang w:eastAsia="en-US"/>
          <w14:ligatures w14:val="none"/>
        </w:rPr>
      </w:pPr>
      <w:r w:rsidRPr="00F44833">
        <w:rPr>
          <w:rStyle w:val="eop"/>
          <w:rFonts w:eastAsia="Calibri Light" w:cs="Arial"/>
        </w:rPr>
        <w:t> </w:t>
      </w:r>
      <w:bookmarkStart w:id="2" w:name="_Toc221375998"/>
      <w:r w:rsidR="00175A37" w:rsidRPr="00175A37">
        <w:rPr>
          <w:rFonts w:ascii="Arial" w:eastAsia="Century Schoolbook" w:hAnsi="Arial" w:cs="Arial"/>
          <w:b/>
          <w:kern w:val="0"/>
          <w:sz w:val="24"/>
          <w:highlight w:val="white"/>
          <w:lang w:eastAsia="en-US"/>
          <w14:ligatures w14:val="none"/>
        </w:rPr>
        <w:t>Key theories and concepts</w:t>
      </w:r>
      <w:bookmarkEnd w:id="2"/>
    </w:p>
    <w:p w14:paraId="66B7BAFF"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Some of the theories that can be utilised to study the context of emergency clinical training and staff competency during the COVID-19 pandemic include:</w:t>
      </w:r>
    </w:p>
    <w:p w14:paraId="318DC877" w14:textId="77777777" w:rsidR="00175A37" w:rsidRPr="00175A37" w:rsidRDefault="00175A37">
      <w:pPr>
        <w:numPr>
          <w:ilvl w:val="0"/>
          <w:numId w:val="7"/>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Competency-Based Training (CBT) -</w:t>
      </w:r>
      <w:r w:rsidRPr="00175A37">
        <w:rPr>
          <w:rFonts w:ascii="Arial" w:eastAsia="Times New Roman" w:hAnsi="Arial" w:cs="Arial"/>
          <w:kern w:val="0"/>
          <w:highlight w:val="white"/>
          <w:lang w:eastAsia="en-US"/>
          <w14:ligatures w14:val="none"/>
        </w:rPr>
        <w:t xml:space="preserve"> Drawing attention to the theory, Hussein (2024) emphasises quantifiable skills and knowledge that are needed to promote effective practice. CBT is relevant in the healthcare setting due to its proven effectiveness in enhancing proficiency in vital aspects, including infection control and patient safety.</w:t>
      </w:r>
    </w:p>
    <w:p w14:paraId="2750526D" w14:textId="77777777" w:rsidR="00175A37" w:rsidRPr="00175A37" w:rsidRDefault="00175A37">
      <w:pPr>
        <w:numPr>
          <w:ilvl w:val="0"/>
          <w:numId w:val="7"/>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 xml:space="preserve">Adult Learning Theory - </w:t>
      </w:r>
      <w:r w:rsidRPr="00175A37">
        <w:rPr>
          <w:rFonts w:ascii="Arial" w:eastAsia="Times New Roman" w:hAnsi="Arial" w:cs="Arial"/>
          <w:kern w:val="0"/>
          <w:highlight w:val="white"/>
          <w:lang w:eastAsia="en-US"/>
          <w14:ligatures w14:val="none"/>
        </w:rPr>
        <w:t xml:space="preserve">The focus is on self-directed learning, practice relevance, and problem-oriented approaches. Based on the evidence by Philpott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(2022) the COVID-19-based emergency training was strongly dependent on experiential and practical approaches aligned with professionals.</w:t>
      </w:r>
    </w:p>
    <w:p w14:paraId="4F76E73A" w14:textId="77777777" w:rsidR="00175A37" w:rsidRPr="00175A37" w:rsidRDefault="00175A37">
      <w:pPr>
        <w:numPr>
          <w:ilvl w:val="0"/>
          <w:numId w:val="7"/>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 xml:space="preserve">Resilience Theory - </w:t>
      </w:r>
      <w:r w:rsidRPr="00175A37">
        <w:rPr>
          <w:rFonts w:ascii="Arial" w:eastAsia="Times New Roman" w:hAnsi="Arial" w:cs="Arial"/>
          <w:kern w:val="0"/>
          <w:highlight w:val="white"/>
          <w:lang w:eastAsia="en-US"/>
          <w14:ligatures w14:val="none"/>
        </w:rPr>
        <w:t xml:space="preserve">Based on the evidence by Egan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(2024) the theory dwells on the ability of systems and individuals to respond to stress. In the context of </w:t>
      </w:r>
      <w:r w:rsidRPr="00175A37">
        <w:rPr>
          <w:rFonts w:ascii="Arial" w:eastAsia="Times New Roman" w:hAnsi="Arial" w:cs="Arial"/>
          <w:kern w:val="0"/>
          <w:highlight w:val="white"/>
          <w:lang w:eastAsia="en-US"/>
          <w14:ligatures w14:val="none"/>
        </w:rPr>
        <w:lastRenderedPageBreak/>
        <w:t>healthcare, it describes how emergency training aided the resilience of staff in stressful situations.</w:t>
      </w:r>
    </w:p>
    <w:p w14:paraId="1F918ECA" w14:textId="77777777" w:rsidR="00175A37" w:rsidRPr="00175A37" w:rsidRDefault="00175A37">
      <w:pPr>
        <w:numPr>
          <w:ilvl w:val="0"/>
          <w:numId w:val="7"/>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Realist Evaluation Framework -</w:t>
      </w:r>
      <w:r w:rsidRPr="00175A37">
        <w:rPr>
          <w:rFonts w:ascii="Arial" w:eastAsia="Times New Roman" w:hAnsi="Arial" w:cs="Arial"/>
          <w:kern w:val="0"/>
          <w:highlight w:val="white"/>
          <w:lang w:eastAsia="en-US"/>
          <w14:ligatures w14:val="none"/>
        </w:rPr>
        <w:t xml:space="preserve"> The theory assesses the issue of what works, who benefits and in what situations. As per the emphasis by Haynes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(2021) this theory is especially applicable in the determination of the variable effectiveness of COVID-19 training programs in various NHS settings.</w:t>
      </w:r>
    </w:p>
    <w:p w14:paraId="2E1F9262" w14:textId="77777777" w:rsidR="00175A37" w:rsidRPr="00175A37" w:rsidRDefault="00175A37" w:rsidP="00175A37">
      <w:pPr>
        <w:spacing w:before="240" w:after="0"/>
        <w:rPr>
          <w:rFonts w:ascii="Arial" w:eastAsia="Century Schoolbook" w:hAnsi="Arial" w:cs="Arial"/>
          <w:b/>
          <w:kern w:val="0"/>
          <w:sz w:val="24"/>
          <w:highlight w:val="white"/>
          <w:lang w:eastAsia="en-US"/>
          <w14:ligatures w14:val="none"/>
        </w:rPr>
      </w:pPr>
      <w:bookmarkStart w:id="3" w:name="_Toc221375999"/>
      <w:r w:rsidRPr="00175A37">
        <w:rPr>
          <w:rFonts w:ascii="Arial" w:eastAsia="Century Schoolbook" w:hAnsi="Arial" w:cs="Arial"/>
          <w:b/>
          <w:kern w:val="0"/>
          <w:sz w:val="24"/>
          <w:highlight w:val="white"/>
          <w:lang w:eastAsia="en-US"/>
          <w14:ligatures w14:val="none"/>
        </w:rPr>
        <w:t>Application of theories</w:t>
      </w:r>
      <w:bookmarkEnd w:id="3"/>
    </w:p>
    <w:p w14:paraId="0C3F7985"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A scoping review of global health worker training modifications in the COVID-19 situation observed that the CBT frameworks steered the rapid curriculum development to ensure that the staff were able to attain competency benchmarks in the face of reduced training timeframes (Malloch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2021). Precisely, the </w:t>
      </w:r>
      <w:r w:rsidRPr="00175A37">
        <w:rPr>
          <w:rFonts w:ascii="Arial" w:eastAsia="Times New Roman" w:hAnsi="Arial" w:cs="Arial"/>
          <w:b/>
          <w:bCs/>
          <w:kern w:val="0"/>
          <w:highlight w:val="white"/>
          <w:lang w:eastAsia="en-US"/>
          <w14:ligatures w14:val="none"/>
        </w:rPr>
        <w:t>"Education and Training Framework"</w:t>
      </w:r>
      <w:r w:rsidRPr="00175A37">
        <w:rPr>
          <w:rFonts w:ascii="Arial" w:eastAsia="Times New Roman" w:hAnsi="Arial" w:cs="Arial"/>
          <w:kern w:val="0"/>
          <w:highlight w:val="white"/>
          <w:lang w:eastAsia="en-US"/>
          <w14:ligatures w14:val="none"/>
        </w:rPr>
        <w:t xml:space="preserve"> established by NHS England prioritise the principles of "adult learning" to the forefront as it made training resources modular and easily accessible (Skillsforhealth, 2026). Thus, it enabled staff members to attain up-skilling faster in aspects like ventilator use and PPE.</w:t>
      </w:r>
    </w:p>
    <w:p w14:paraId="7A259477" w14:textId="77777777" w:rsidR="00175A37" w:rsidRPr="00175A37" w:rsidRDefault="00175A37" w:rsidP="00175A37">
      <w:pPr>
        <w:spacing w:before="240" w:after="0"/>
        <w:jc w:val="center"/>
        <w:rPr>
          <w:rFonts w:ascii="Arial" w:eastAsia="Times New Roman" w:hAnsi="Arial" w:cs="Arial"/>
          <w:kern w:val="0"/>
          <w:highlight w:val="white"/>
          <w:lang w:eastAsia="en-US"/>
          <w14:ligatures w14:val="none"/>
        </w:rPr>
      </w:pPr>
      <w:r w:rsidRPr="00175A37">
        <w:rPr>
          <w:rFonts w:ascii="Arial" w:eastAsia="Century Schoolbook" w:hAnsi="Arial" w:cs="Times New Roman"/>
          <w:noProof/>
          <w:kern w:val="0"/>
          <w:lang w:val="en-US" w:eastAsia="en-US"/>
          <w14:ligatures w14:val="none"/>
        </w:rPr>
        <w:drawing>
          <wp:inline distT="0" distB="0" distL="0" distR="0" wp14:anchorId="52B1BA56" wp14:editId="6E43246B">
            <wp:extent cx="2682240" cy="2484120"/>
            <wp:effectExtent l="19050" t="19050" r="22860" b="11430"/>
            <wp:docPr id="8" name="Picture 3" descr="ReSPECT Training Framework : NHS Gloucestershire IC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ECT Training Framework : NHS Gloucestershire ICB"/>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682240" cy="2484120"/>
                    </a:xfrm>
                    <a:prstGeom prst="rect">
                      <a:avLst/>
                    </a:prstGeom>
                    <a:noFill/>
                    <a:ln w="9525" cmpd="sng">
                      <a:solidFill>
                        <a:srgbClr val="000000"/>
                      </a:solidFill>
                      <a:miter lim="800000"/>
                      <a:headEnd/>
                      <a:tailEnd/>
                    </a:ln>
                    <a:effectLst/>
                  </pic:spPr>
                </pic:pic>
              </a:graphicData>
            </a:graphic>
          </wp:inline>
        </w:drawing>
      </w:r>
    </w:p>
    <w:p w14:paraId="0EBD9F6E" w14:textId="77777777" w:rsidR="00175A37" w:rsidRPr="00175A37" w:rsidRDefault="00175A37" w:rsidP="00175A37">
      <w:pPr>
        <w:spacing w:before="240" w:after="0"/>
        <w:jc w:val="center"/>
        <w:rPr>
          <w:rFonts w:ascii="Arial" w:eastAsia="Times New Roman" w:hAnsi="Arial" w:cs="Arial"/>
          <w:b/>
          <w:bCs/>
          <w:kern w:val="0"/>
          <w:highlight w:val="white"/>
          <w:lang w:eastAsia="en-US"/>
          <w14:ligatures w14:val="none"/>
        </w:rPr>
      </w:pPr>
      <w:r w:rsidRPr="00175A37">
        <w:rPr>
          <w:rFonts w:ascii="Arial" w:eastAsia="Times New Roman" w:hAnsi="Arial" w:cs="Arial"/>
          <w:b/>
          <w:bCs/>
          <w:kern w:val="0"/>
          <w:highlight w:val="white"/>
          <w:lang w:eastAsia="en-US"/>
          <w14:ligatures w14:val="none"/>
        </w:rPr>
        <w:t>Figure 2.3: Education and Training Framework by the NHS – RESPECT</w:t>
      </w:r>
    </w:p>
    <w:p w14:paraId="1B99FEBA" w14:textId="77777777" w:rsidR="00175A37" w:rsidRPr="00175A37" w:rsidRDefault="00175A37" w:rsidP="00175A37">
      <w:pPr>
        <w:spacing w:before="240" w:after="0"/>
        <w:jc w:val="center"/>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(Source: Skillsforhealth, 2026)</w:t>
      </w:r>
    </w:p>
    <w:p w14:paraId="7DCDEF25"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Realist evaluation studies, as empirically presented by Lefroy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(2023) showed that the effectiveness of training was not uniform across the board. For example, employees being redeployed into an intensive care setting gained more structured and simulation-based training than in online-based modules. A study by Boutros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(2023) on resilience theory revealed that, in addition to technical training, emergency training also enhanced </w:t>
      </w:r>
      <w:r w:rsidRPr="00175A37">
        <w:rPr>
          <w:rFonts w:ascii="Arial" w:eastAsia="Times New Roman" w:hAnsi="Arial" w:cs="Arial"/>
          <w:kern w:val="0"/>
          <w:highlight w:val="white"/>
          <w:lang w:eastAsia="en-US"/>
          <w14:ligatures w14:val="none"/>
        </w:rPr>
        <w:lastRenderedPageBreak/>
        <w:t>psychological preparedness, in terms of fear and confidence of those returning to work following deployment.</w:t>
      </w:r>
    </w:p>
    <w:p w14:paraId="605C6CE1" w14:textId="77777777" w:rsidR="00175A37" w:rsidRPr="00175A37" w:rsidRDefault="00175A37" w:rsidP="00175A37">
      <w:pPr>
        <w:spacing w:before="240" w:after="0"/>
        <w:rPr>
          <w:rFonts w:ascii="Arial" w:eastAsia="Century Schoolbook" w:hAnsi="Arial" w:cs="Arial"/>
          <w:b/>
          <w:kern w:val="0"/>
          <w:sz w:val="24"/>
          <w:highlight w:val="white"/>
          <w:lang w:eastAsia="en-US"/>
          <w14:ligatures w14:val="none"/>
        </w:rPr>
      </w:pPr>
      <w:bookmarkStart w:id="4" w:name="_Toc221376000"/>
      <w:r w:rsidRPr="00175A37">
        <w:rPr>
          <w:rFonts w:ascii="Arial" w:eastAsia="Century Schoolbook" w:hAnsi="Arial" w:cs="Arial"/>
          <w:b/>
          <w:kern w:val="0"/>
          <w:sz w:val="24"/>
          <w:highlight w:val="white"/>
          <w:lang w:eastAsia="en-US"/>
          <w14:ligatures w14:val="none"/>
        </w:rPr>
        <w:t>Critical evaluation</w:t>
      </w:r>
      <w:bookmarkEnd w:id="4"/>
    </w:p>
    <w:p w14:paraId="54C9D91E"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Although the theories present solid grounds, limitations still exist:</w:t>
      </w:r>
    </w:p>
    <w:p w14:paraId="5E9B2485" w14:textId="77777777" w:rsidR="00175A37" w:rsidRPr="00175A37" w:rsidRDefault="00175A37">
      <w:pPr>
        <w:numPr>
          <w:ilvl w:val="0"/>
          <w:numId w:val="8"/>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 xml:space="preserve">Competency-Based Training - </w:t>
      </w:r>
      <w:r w:rsidRPr="00175A37">
        <w:rPr>
          <w:rFonts w:ascii="Arial" w:eastAsia="Times New Roman" w:hAnsi="Arial" w:cs="Arial"/>
          <w:kern w:val="0"/>
          <w:highlight w:val="white"/>
          <w:lang w:eastAsia="en-US"/>
          <w14:ligatures w14:val="none"/>
        </w:rPr>
        <w:t>Its potential strengths are based on transparency and quantification (Hussein, 2024). However, critics argued that the theory has oversimplified complex clinical decision-making and dismissed the holistic care approach.</w:t>
      </w:r>
    </w:p>
    <w:p w14:paraId="00D4ED3E" w14:textId="77777777" w:rsidR="00175A37" w:rsidRPr="00175A37" w:rsidRDefault="00175A37">
      <w:pPr>
        <w:numPr>
          <w:ilvl w:val="0"/>
          <w:numId w:val="8"/>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Adult Learning Theory -</w:t>
      </w:r>
      <w:r w:rsidRPr="00175A37">
        <w:rPr>
          <w:rFonts w:ascii="Arial" w:eastAsia="Times New Roman" w:hAnsi="Arial" w:cs="Arial"/>
          <w:kern w:val="0"/>
          <w:highlight w:val="white"/>
          <w:lang w:eastAsia="en-US"/>
          <w14:ligatures w14:val="none"/>
        </w:rPr>
        <w:t xml:space="preserve"> It works well in the customisation of training according to the participants. Nevertheless, the theory focuses on self-motivation, which is insignificant to crisis fatigue.</w:t>
      </w:r>
    </w:p>
    <w:p w14:paraId="039E1EB9" w14:textId="77777777" w:rsidR="00175A37" w:rsidRPr="00175A37" w:rsidRDefault="00175A37">
      <w:pPr>
        <w:numPr>
          <w:ilvl w:val="0"/>
          <w:numId w:val="8"/>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 xml:space="preserve">Resilience Theory - </w:t>
      </w:r>
      <w:r w:rsidRPr="00175A37">
        <w:rPr>
          <w:rFonts w:ascii="Arial" w:eastAsia="Times New Roman" w:hAnsi="Arial" w:cs="Arial"/>
          <w:kern w:val="0"/>
          <w:highlight w:val="white"/>
          <w:lang w:eastAsia="en-US"/>
          <w14:ligatures w14:val="none"/>
        </w:rPr>
        <w:t>Not complex enough to be easily useful in training design, but nice to learn about the adaptation process since organisational culture shapes it as much as individual capacity.</w:t>
      </w:r>
    </w:p>
    <w:p w14:paraId="640D3F5A" w14:textId="77777777" w:rsidR="00175A37" w:rsidRPr="00175A37" w:rsidRDefault="00175A37">
      <w:pPr>
        <w:numPr>
          <w:ilvl w:val="0"/>
          <w:numId w:val="8"/>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 xml:space="preserve">Realist Evaluation - </w:t>
      </w:r>
      <w:r w:rsidRPr="00175A37">
        <w:rPr>
          <w:rFonts w:ascii="Arial" w:eastAsia="Times New Roman" w:hAnsi="Arial" w:cs="Arial"/>
          <w:kern w:val="0"/>
          <w:highlight w:val="white"/>
          <w:lang w:eastAsia="en-US"/>
          <w14:ligatures w14:val="none"/>
        </w:rPr>
        <w:t xml:space="preserve">As implied by Haynes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(2021) is effective in understanding the value of adaptations. However, it requires vast data collection that seems challenging to obtain during the pandemic.</w:t>
      </w:r>
    </w:p>
    <w:p w14:paraId="6B44421B"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Since the outbreak, controversies have remained persistent. There are still discussions on whether competency frameworks can be used as a sufficient means of capturing the relational and ethical aspects of care, and whether emergency training must focus on technical competence rather than enhanced professional growth. However, a combination of these theories enabled a powerful perspective in the study of the role of COVID-19 emergency training in the competency of the staff in the UK healthcare sector.</w:t>
      </w:r>
    </w:p>
    <w:p w14:paraId="1787DF7C" w14:textId="34A901AB"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4AEDC0D" w14:textId="77777777" w:rsidR="00175A37" w:rsidRPr="00175A37" w:rsidRDefault="00BD2909" w:rsidP="00175A37">
      <w:pPr>
        <w:spacing w:before="240" w:after="0"/>
        <w:rPr>
          <w:rFonts w:ascii="Arial" w:eastAsia="Century Schoolbook" w:hAnsi="Arial" w:cs="Arial"/>
          <w:b/>
          <w:kern w:val="0"/>
          <w:sz w:val="24"/>
          <w:highlight w:val="white"/>
          <w:lang w:eastAsia="en-US"/>
          <w14:ligatures w14:val="none"/>
        </w:rPr>
      </w:pPr>
      <w:r w:rsidRPr="00F44833">
        <w:rPr>
          <w:rStyle w:val="eop"/>
          <w:rFonts w:eastAsia="Calibri Light" w:cs="Arial"/>
        </w:rPr>
        <w:t> </w:t>
      </w:r>
      <w:bookmarkStart w:id="5" w:name="_Toc221376002"/>
      <w:r w:rsidR="00175A37" w:rsidRPr="00175A37">
        <w:rPr>
          <w:rFonts w:ascii="Arial" w:eastAsia="Century Schoolbook" w:hAnsi="Arial" w:cs="Arial"/>
          <w:b/>
          <w:kern w:val="0"/>
          <w:sz w:val="24"/>
          <w:highlight w:val="white"/>
          <w:lang w:eastAsia="en-US"/>
          <w14:ligatures w14:val="none"/>
        </w:rPr>
        <w:t>Global perspective</w:t>
      </w:r>
      <w:bookmarkEnd w:id="5"/>
    </w:p>
    <w:p w14:paraId="033CA60F"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Clinical training related to emergencies during COVID-19 has received global responses, where the healthcare system across countries has been adjusting to unpredictable demands (Filip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2022). As stated by Vera San Juan</w:t>
      </w:r>
      <w:r w:rsidRPr="00175A37">
        <w:rPr>
          <w:rFonts w:ascii="Arial" w:eastAsia="Times New Roman" w:hAnsi="Arial" w:cs="Arial"/>
          <w:i/>
          <w:iCs/>
          <w:kern w:val="0"/>
          <w:highlight w:val="white"/>
          <w:lang w:eastAsia="en-US"/>
          <w14:ligatures w14:val="none"/>
        </w:rPr>
        <w:t xml:space="preserve"> et al.,</w:t>
      </w:r>
      <w:r w:rsidRPr="00175A37">
        <w:rPr>
          <w:rFonts w:ascii="Arial" w:eastAsia="Times New Roman" w:hAnsi="Arial" w:cs="Arial"/>
          <w:kern w:val="0"/>
          <w:highlight w:val="white"/>
          <w:lang w:eastAsia="en-US"/>
          <w14:ligatures w14:val="none"/>
        </w:rPr>
        <w:t xml:space="preserve"> (2022) nations elaborated quick trainings to prepare staff for re-deployment across different care units for infection prevention, critical care, and ventilator application. Globally, organisations, like the </w:t>
      </w:r>
      <w:r w:rsidRPr="00175A37">
        <w:rPr>
          <w:rFonts w:ascii="Arial" w:eastAsia="Times New Roman" w:hAnsi="Arial" w:cs="Arial"/>
          <w:b/>
          <w:bCs/>
          <w:kern w:val="0"/>
          <w:highlight w:val="white"/>
          <w:lang w:eastAsia="en-US"/>
          <w14:ligatures w14:val="none"/>
        </w:rPr>
        <w:t>World Health Organisation</w:t>
      </w:r>
      <w:r w:rsidRPr="00175A37">
        <w:rPr>
          <w:rFonts w:ascii="Arial" w:eastAsia="Times New Roman" w:hAnsi="Arial" w:cs="Arial"/>
          <w:kern w:val="0"/>
          <w:highlight w:val="white"/>
          <w:lang w:eastAsia="en-US"/>
          <w14:ligatures w14:val="none"/>
        </w:rPr>
        <w:t xml:space="preserve"> </w:t>
      </w:r>
      <w:r w:rsidRPr="00175A37">
        <w:rPr>
          <w:rFonts w:ascii="Arial" w:eastAsia="Times New Roman" w:hAnsi="Arial" w:cs="Arial"/>
          <w:kern w:val="0"/>
          <w:highlight w:val="white"/>
          <w:lang w:eastAsia="en-US"/>
          <w14:ligatures w14:val="none"/>
        </w:rPr>
        <w:lastRenderedPageBreak/>
        <w:t>(WHO), provide guidelines to standardise the training methods focusing on the competency-based frameworks and digital learning resources (WHO, 2020). One major trend was the use of online modules, simulation training and cross-disciplinary redeployment, which were used to maintain workforce capacity.</w:t>
      </w:r>
    </w:p>
    <w:p w14:paraId="48BB3DED" w14:textId="77777777" w:rsidR="00175A37" w:rsidRPr="00175A37" w:rsidRDefault="00175A37" w:rsidP="00175A37">
      <w:pPr>
        <w:spacing w:before="240" w:after="0"/>
        <w:rPr>
          <w:rFonts w:ascii="Arial" w:eastAsia="Century Schoolbook" w:hAnsi="Arial" w:cs="Arial"/>
          <w:b/>
          <w:kern w:val="0"/>
          <w:sz w:val="24"/>
          <w:highlight w:val="white"/>
          <w:lang w:eastAsia="en-US"/>
          <w14:ligatures w14:val="none"/>
        </w:rPr>
      </w:pPr>
      <w:bookmarkStart w:id="6" w:name="_Toc221376003"/>
      <w:r w:rsidRPr="00175A37">
        <w:rPr>
          <w:rFonts w:ascii="Arial" w:eastAsia="Century Schoolbook" w:hAnsi="Arial" w:cs="Arial"/>
          <w:b/>
          <w:kern w:val="0"/>
          <w:sz w:val="24"/>
          <w:highlight w:val="white"/>
          <w:lang w:eastAsia="en-US"/>
          <w14:ligatures w14:val="none"/>
        </w:rPr>
        <w:t>Comparative analysis</w:t>
      </w:r>
      <w:bookmarkEnd w:id="6"/>
    </w:p>
    <w:p w14:paraId="52439AF2"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Varied strategies were implemented across different regions. Hospitals in the United States launched a fast simulation training program for nurses and physicians, using virtual reality, and simulating scenarios in an ICU (Seam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2020). Lamberti-Castronuovo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(2022) explained that emergency training in Italy, which underlines the respiratory management and triage guidelines, was one of the first European epicentres, backed up by the national health authorities. The UK focused on the modular online training using the Health Education England, whereas China counted on the centralised government-based training programs with the inclusion of the military medical experience (GOV.UK, 2026; Ma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2025). All these methods bring out the differences between decentralised and centralised training delivery modes.</w:t>
      </w:r>
    </w:p>
    <w:p w14:paraId="454517F6" w14:textId="77777777" w:rsidR="00816373" w:rsidRDefault="00816373" w:rsidP="00175A37">
      <w:pPr>
        <w:spacing w:before="240" w:after="0"/>
        <w:rPr>
          <w:rFonts w:ascii="Arial" w:eastAsia="Century Schoolbook" w:hAnsi="Arial" w:cs="Arial"/>
          <w:b/>
          <w:kern w:val="0"/>
          <w:sz w:val="24"/>
          <w:highlight w:val="white"/>
          <w:lang w:eastAsia="en-US"/>
          <w14:ligatures w14:val="none"/>
        </w:rPr>
      </w:pPr>
      <w:bookmarkStart w:id="7" w:name="_Toc221376004"/>
    </w:p>
    <w:p w14:paraId="069C0B56" w14:textId="0A9D07E8" w:rsidR="00175A37" w:rsidRPr="00175A37" w:rsidRDefault="00175A37" w:rsidP="00175A37">
      <w:pPr>
        <w:spacing w:before="240" w:after="0"/>
        <w:rPr>
          <w:rFonts w:ascii="Arial" w:eastAsia="Century Schoolbook" w:hAnsi="Arial" w:cs="Arial"/>
          <w:b/>
          <w:kern w:val="0"/>
          <w:sz w:val="24"/>
          <w:highlight w:val="white"/>
          <w:lang w:eastAsia="en-US"/>
          <w14:ligatures w14:val="none"/>
        </w:rPr>
      </w:pPr>
      <w:r w:rsidRPr="00175A37">
        <w:rPr>
          <w:rFonts w:ascii="Arial" w:eastAsia="Century Schoolbook" w:hAnsi="Arial" w:cs="Arial"/>
          <w:b/>
          <w:kern w:val="0"/>
          <w:sz w:val="24"/>
          <w:highlight w:val="white"/>
          <w:lang w:eastAsia="en-US"/>
          <w14:ligatures w14:val="none"/>
        </w:rPr>
        <w:t>Case studies</w:t>
      </w:r>
      <w:bookmarkEnd w:id="7"/>
    </w:p>
    <w:p w14:paraId="2B6B986B"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International partnerships came into operation with an attempt to exchange resources and best practices. According to the information by WHO (2021), WHO collaborated with universities and health ministries to introduce open-access training modules. This is because the </w:t>
      </w:r>
      <w:r w:rsidRPr="00175A37">
        <w:rPr>
          <w:rFonts w:ascii="Arial" w:eastAsia="Times New Roman" w:hAnsi="Arial" w:cs="Arial"/>
          <w:b/>
          <w:bCs/>
          <w:kern w:val="0"/>
          <w:highlight w:val="white"/>
          <w:lang w:eastAsia="en-US"/>
          <w14:ligatures w14:val="none"/>
        </w:rPr>
        <w:t>"International Council of Nurses"</w:t>
      </w:r>
      <w:r w:rsidRPr="00175A37">
        <w:rPr>
          <w:rFonts w:ascii="Arial" w:eastAsia="Times New Roman" w:hAnsi="Arial" w:cs="Arial"/>
          <w:kern w:val="0"/>
          <w:highlight w:val="white"/>
          <w:lang w:eastAsia="en-US"/>
          <w14:ligatures w14:val="none"/>
        </w:rPr>
        <w:t xml:space="preserve"> supported knowledge sharing across countries. Comparatively, the training needs were organised through the European Union, whereby the clinical standards were evenly </w:t>
      </w:r>
      <w:proofErr w:type="spellStart"/>
      <w:r w:rsidRPr="00175A37">
        <w:rPr>
          <w:rFonts w:ascii="Arial" w:eastAsia="Times New Roman" w:hAnsi="Arial" w:cs="Arial"/>
          <w:kern w:val="0"/>
          <w:highlight w:val="white"/>
          <w:lang w:eastAsia="en-US"/>
          <w14:ligatures w14:val="none"/>
        </w:rPr>
        <w:t>strategised</w:t>
      </w:r>
      <w:proofErr w:type="spellEnd"/>
      <w:r w:rsidRPr="00175A37">
        <w:rPr>
          <w:rFonts w:ascii="Arial" w:eastAsia="Times New Roman" w:hAnsi="Arial" w:cs="Arial"/>
          <w:kern w:val="0"/>
          <w:highlight w:val="white"/>
          <w:lang w:eastAsia="en-US"/>
          <w14:ligatures w14:val="none"/>
        </w:rPr>
        <w:t xml:space="preserve"> across member states. These campaigns enforced the significance of shared education in the event of a worldwide crisis like the Covid-19 pandemic.</w:t>
      </w:r>
    </w:p>
    <w:p w14:paraId="59C300DC" w14:textId="77777777" w:rsidR="00175A37" w:rsidRPr="00175A37" w:rsidRDefault="00175A37">
      <w:pPr>
        <w:numPr>
          <w:ilvl w:val="0"/>
          <w:numId w:val="9"/>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United States -</w:t>
      </w:r>
      <w:r w:rsidRPr="00175A37">
        <w:rPr>
          <w:rFonts w:ascii="Arial" w:eastAsia="Times New Roman" w:hAnsi="Arial" w:cs="Arial"/>
          <w:kern w:val="0"/>
          <w:highlight w:val="white"/>
          <w:lang w:eastAsia="en-US"/>
          <w14:ligatures w14:val="none"/>
        </w:rPr>
        <w:t xml:space="preserve"> The Johns Hopkins Hospital designed quick response training to redeployed employees, which links online training with simulation. As evidenced by Seam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(2020) successful approaches include virtual achievements in ICUs. However, critical challenges are unavoidable, including staff exhaustion and access to technology.</w:t>
      </w:r>
    </w:p>
    <w:p w14:paraId="2904D668" w14:textId="77777777" w:rsidR="00175A37" w:rsidRPr="00175A37" w:rsidRDefault="00175A37">
      <w:pPr>
        <w:numPr>
          <w:ilvl w:val="0"/>
          <w:numId w:val="9"/>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lastRenderedPageBreak/>
        <w:t xml:space="preserve">Italy </w:t>
      </w:r>
      <w:r w:rsidRPr="00175A37">
        <w:rPr>
          <w:rFonts w:ascii="Arial" w:eastAsia="Times New Roman" w:hAnsi="Arial" w:cs="Arial"/>
          <w:kern w:val="0"/>
          <w:highlight w:val="white"/>
          <w:lang w:eastAsia="en-US"/>
          <w14:ligatures w14:val="none"/>
        </w:rPr>
        <w:t>- Training programs aimed at breathing and PPE are of an emergency nature. Improved efficiency of triage was seen to be successful, although this was hampered by the insufficiency of trainers and equipment.</w:t>
      </w:r>
    </w:p>
    <w:p w14:paraId="39A22F7F" w14:textId="77777777" w:rsidR="00175A37" w:rsidRPr="00175A37" w:rsidRDefault="00175A37">
      <w:pPr>
        <w:numPr>
          <w:ilvl w:val="0"/>
          <w:numId w:val="9"/>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 xml:space="preserve">China </w:t>
      </w:r>
      <w:r w:rsidRPr="00175A37">
        <w:rPr>
          <w:rFonts w:ascii="Arial" w:eastAsia="Times New Roman" w:hAnsi="Arial" w:cs="Arial"/>
          <w:kern w:val="0"/>
          <w:highlight w:val="white"/>
          <w:lang w:eastAsia="en-US"/>
          <w14:ligatures w14:val="none"/>
        </w:rPr>
        <w:t xml:space="preserve">- Core training units, as demonstrated by Ma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(2025) are subjected to military medical teams, which guarantee standard procedures-based knowledge dissemination. Although it was working well at scaling training to a large scale, critics pointed out inflexibility in making local adaptations.</w:t>
      </w:r>
    </w:p>
    <w:p w14:paraId="1E04DB34" w14:textId="77777777" w:rsidR="00175A37" w:rsidRPr="00175A37" w:rsidRDefault="00175A37">
      <w:pPr>
        <w:numPr>
          <w:ilvl w:val="0"/>
          <w:numId w:val="9"/>
        </w:num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b/>
          <w:bCs/>
          <w:kern w:val="0"/>
          <w:highlight w:val="white"/>
          <w:lang w:eastAsia="en-US"/>
          <w14:ligatures w14:val="none"/>
        </w:rPr>
        <w:t xml:space="preserve">UK </w:t>
      </w:r>
      <w:r w:rsidRPr="00175A37">
        <w:rPr>
          <w:rFonts w:ascii="Arial" w:eastAsia="Times New Roman" w:hAnsi="Arial" w:cs="Arial"/>
          <w:kern w:val="0"/>
          <w:highlight w:val="white"/>
          <w:lang w:eastAsia="en-US"/>
          <w14:ligatures w14:val="none"/>
        </w:rPr>
        <w:t>- According to the study by the online training resources of the UK, Health Education England (HEE), and virtual training are accessible to a broad audience (GOV.UK, 2026). However, some employees explained that the virtual training modules lacked the richness of hands-on simulation.</w:t>
      </w:r>
    </w:p>
    <w:p w14:paraId="3B5A18FB" w14:textId="77777777" w:rsidR="00175A37" w:rsidRPr="00175A37" w:rsidRDefault="00175A37" w:rsidP="00175A37">
      <w:pPr>
        <w:spacing w:before="240" w:after="0"/>
        <w:outlineLvl w:val="1"/>
        <w:rPr>
          <w:rFonts w:ascii="Arial" w:eastAsia="Century Schoolbook" w:hAnsi="Arial" w:cs="Times New Roman"/>
          <w:b/>
          <w:spacing w:val="10"/>
          <w:kern w:val="0"/>
          <w:sz w:val="24"/>
          <w:highlight w:val="white"/>
          <w:lang w:eastAsia="en-US"/>
          <w14:ligatures w14:val="none"/>
        </w:rPr>
      </w:pPr>
      <w:bookmarkStart w:id="8" w:name="_Toc221376005"/>
      <w:bookmarkStart w:id="9" w:name="_Toc222234350"/>
      <w:bookmarkStart w:id="10" w:name="_Toc222235738"/>
      <w:bookmarkStart w:id="11" w:name="_Toc222909340"/>
      <w:r w:rsidRPr="00175A37">
        <w:rPr>
          <w:rFonts w:ascii="Arial" w:eastAsia="Century Schoolbook" w:hAnsi="Arial" w:cs="Times New Roman"/>
          <w:b/>
          <w:spacing w:val="10"/>
          <w:kern w:val="0"/>
          <w:sz w:val="24"/>
          <w:highlight w:val="white"/>
          <w:lang w:eastAsia="en-US"/>
          <w14:ligatures w14:val="none"/>
        </w:rPr>
        <w:t>2.5 National/Local UK Context</w:t>
      </w:r>
      <w:bookmarkEnd w:id="8"/>
      <w:bookmarkEnd w:id="9"/>
      <w:bookmarkEnd w:id="10"/>
      <w:bookmarkEnd w:id="11"/>
    </w:p>
    <w:p w14:paraId="0A7D2CC7" w14:textId="77777777" w:rsidR="00175A37" w:rsidRPr="00175A37" w:rsidRDefault="00175A37" w:rsidP="00175A37">
      <w:pPr>
        <w:spacing w:before="240" w:after="0"/>
        <w:rPr>
          <w:rFonts w:ascii="Arial" w:eastAsia="Century Schoolbook" w:hAnsi="Arial" w:cs="Arial"/>
          <w:b/>
          <w:kern w:val="0"/>
          <w:sz w:val="24"/>
          <w:highlight w:val="white"/>
          <w:lang w:eastAsia="en-US"/>
          <w14:ligatures w14:val="none"/>
        </w:rPr>
      </w:pPr>
      <w:bookmarkStart w:id="12" w:name="_Toc221376006"/>
      <w:r w:rsidRPr="00175A37">
        <w:rPr>
          <w:rFonts w:ascii="Arial" w:eastAsia="Century Schoolbook" w:hAnsi="Arial" w:cs="Arial"/>
          <w:b/>
          <w:kern w:val="0"/>
          <w:sz w:val="24"/>
          <w:highlight w:val="white"/>
          <w:lang w:eastAsia="en-US"/>
          <w14:ligatures w14:val="none"/>
        </w:rPr>
        <w:t>UK perspective</w:t>
      </w:r>
      <w:bookmarkEnd w:id="12"/>
    </w:p>
    <w:p w14:paraId="7F2B8EBA"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In the UK, emergency clinical training during the COVID-19 pandemic has been considered a vital tool in maintaining the health care delivery under extreme demand. Hartley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(2025) implied that under unpredictable demands at the NHS, continuous redeployment of staff is a critical step. Understandably, accelerated training programs based on infection control, critical care, and ventilator management were organised by the </w:t>
      </w:r>
      <w:r w:rsidRPr="00175A37">
        <w:rPr>
          <w:rFonts w:ascii="Arial" w:eastAsia="Times New Roman" w:hAnsi="Arial" w:cs="Arial"/>
          <w:b/>
          <w:bCs/>
          <w:kern w:val="0"/>
          <w:highlight w:val="white"/>
          <w:lang w:eastAsia="en-US"/>
          <w14:ligatures w14:val="none"/>
        </w:rPr>
        <w:t>Royal Colleges</w:t>
      </w:r>
      <w:r w:rsidRPr="00175A37">
        <w:rPr>
          <w:rFonts w:ascii="Arial" w:eastAsia="Times New Roman" w:hAnsi="Arial" w:cs="Arial"/>
          <w:kern w:val="0"/>
          <w:highlight w:val="white"/>
          <w:lang w:eastAsia="en-US"/>
          <w14:ligatures w14:val="none"/>
        </w:rPr>
        <w:t xml:space="preserve"> and </w:t>
      </w:r>
      <w:r w:rsidRPr="00175A37">
        <w:rPr>
          <w:rFonts w:ascii="Arial" w:eastAsia="Times New Roman" w:hAnsi="Arial" w:cs="Arial"/>
          <w:b/>
          <w:bCs/>
          <w:kern w:val="0"/>
          <w:highlight w:val="white"/>
          <w:lang w:eastAsia="en-US"/>
          <w14:ligatures w14:val="none"/>
        </w:rPr>
        <w:t xml:space="preserve">Health Education England </w:t>
      </w:r>
      <w:r w:rsidRPr="00175A37">
        <w:rPr>
          <w:rFonts w:ascii="Arial" w:eastAsia="Times New Roman" w:hAnsi="Arial" w:cs="Arial"/>
          <w:kern w:val="0"/>
          <w:highlight w:val="white"/>
          <w:lang w:eastAsia="en-US"/>
          <w14:ligatures w14:val="none"/>
        </w:rPr>
        <w:t xml:space="preserve">(HEE) (NHS 2022). Trends in the country are focused on </w:t>
      </w:r>
      <w:r w:rsidRPr="00175A37">
        <w:rPr>
          <w:rFonts w:ascii="Arial" w:eastAsia="Times New Roman" w:hAnsi="Arial" w:cs="Arial"/>
          <w:b/>
          <w:bCs/>
          <w:kern w:val="0"/>
          <w:highlight w:val="white"/>
          <w:lang w:eastAsia="en-US"/>
          <w14:ligatures w14:val="none"/>
        </w:rPr>
        <w:t>competency-based models</w:t>
      </w:r>
      <w:r w:rsidRPr="00175A37">
        <w:rPr>
          <w:rFonts w:ascii="Arial" w:eastAsia="Times New Roman" w:hAnsi="Arial" w:cs="Arial"/>
          <w:kern w:val="0"/>
          <w:highlight w:val="white"/>
          <w:lang w:eastAsia="en-US"/>
          <w14:ligatures w14:val="none"/>
        </w:rPr>
        <w:t xml:space="preserve"> and </w:t>
      </w:r>
      <w:r w:rsidRPr="00175A37">
        <w:rPr>
          <w:rFonts w:ascii="Arial" w:eastAsia="Times New Roman" w:hAnsi="Arial" w:cs="Arial"/>
          <w:b/>
          <w:bCs/>
          <w:kern w:val="0"/>
          <w:highlight w:val="white"/>
          <w:lang w:eastAsia="en-US"/>
          <w14:ligatures w14:val="none"/>
        </w:rPr>
        <w:t>online learning services</w:t>
      </w:r>
      <w:r w:rsidRPr="00175A37">
        <w:rPr>
          <w:rFonts w:ascii="Arial" w:eastAsia="Times New Roman" w:hAnsi="Arial" w:cs="Arial"/>
          <w:kern w:val="0"/>
          <w:highlight w:val="white"/>
          <w:lang w:eastAsia="en-US"/>
          <w14:ligatures w14:val="none"/>
        </w:rPr>
        <w:t xml:space="preserve">, as well as </w:t>
      </w:r>
      <w:r w:rsidRPr="00175A37">
        <w:rPr>
          <w:rFonts w:ascii="Arial" w:eastAsia="Times New Roman" w:hAnsi="Arial" w:cs="Arial"/>
          <w:b/>
          <w:bCs/>
          <w:kern w:val="0"/>
          <w:highlight w:val="white"/>
          <w:lang w:eastAsia="en-US"/>
          <w14:ligatures w14:val="none"/>
        </w:rPr>
        <w:t>modular training tools</w:t>
      </w:r>
      <w:r w:rsidRPr="00175A37">
        <w:rPr>
          <w:rFonts w:ascii="Arial" w:eastAsia="Times New Roman" w:hAnsi="Arial" w:cs="Arial"/>
          <w:kern w:val="0"/>
          <w:highlight w:val="white"/>
          <w:lang w:eastAsia="en-US"/>
          <w14:ligatures w14:val="none"/>
        </w:rPr>
        <w:t xml:space="preserve"> to make them available to diverse employees.</w:t>
      </w:r>
    </w:p>
    <w:p w14:paraId="450F7DDD" w14:textId="77777777" w:rsidR="00175A37" w:rsidRPr="00175A37" w:rsidRDefault="00175A37" w:rsidP="00175A37">
      <w:pPr>
        <w:spacing w:before="240" w:after="0"/>
        <w:rPr>
          <w:rFonts w:ascii="Arial" w:eastAsia="Century Schoolbook" w:hAnsi="Arial" w:cs="Arial"/>
          <w:b/>
          <w:kern w:val="0"/>
          <w:sz w:val="24"/>
          <w:highlight w:val="white"/>
          <w:lang w:eastAsia="en-US"/>
          <w14:ligatures w14:val="none"/>
        </w:rPr>
      </w:pPr>
      <w:bookmarkStart w:id="13" w:name="_Toc221376007"/>
      <w:r w:rsidRPr="00175A37">
        <w:rPr>
          <w:rFonts w:ascii="Arial" w:eastAsia="Century Schoolbook" w:hAnsi="Arial" w:cs="Arial"/>
          <w:b/>
          <w:kern w:val="0"/>
          <w:sz w:val="24"/>
          <w:highlight w:val="white"/>
          <w:lang w:eastAsia="en-US"/>
          <w14:ligatures w14:val="none"/>
        </w:rPr>
        <w:t>Policy and regulation</w:t>
      </w:r>
      <w:bookmarkEnd w:id="13"/>
    </w:p>
    <w:p w14:paraId="7E5C70B5"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The provision of emergency training has been influenced by national policies and regulations. Workforce responsibilities that are prioritised under the </w:t>
      </w:r>
      <w:r w:rsidRPr="00175A37">
        <w:rPr>
          <w:rFonts w:ascii="Arial" w:eastAsia="Times New Roman" w:hAnsi="Arial" w:cs="Arial"/>
          <w:b/>
          <w:bCs/>
          <w:kern w:val="0"/>
          <w:highlight w:val="white"/>
          <w:lang w:eastAsia="en-US"/>
          <w14:ligatures w14:val="none"/>
        </w:rPr>
        <w:t>Care Act 2014</w:t>
      </w:r>
      <w:r w:rsidRPr="00175A37">
        <w:rPr>
          <w:rFonts w:ascii="Arial" w:eastAsia="Times New Roman" w:hAnsi="Arial" w:cs="Arial"/>
          <w:kern w:val="0"/>
          <w:highlight w:val="white"/>
          <w:lang w:eastAsia="en-US"/>
          <w14:ligatures w14:val="none"/>
        </w:rPr>
        <w:t xml:space="preserve"> and </w:t>
      </w:r>
      <w:r w:rsidRPr="00175A37">
        <w:rPr>
          <w:rFonts w:ascii="Arial" w:eastAsia="Times New Roman" w:hAnsi="Arial" w:cs="Arial"/>
          <w:b/>
          <w:bCs/>
          <w:kern w:val="0"/>
          <w:highlight w:val="white"/>
          <w:lang w:eastAsia="en-US"/>
          <w14:ligatures w14:val="none"/>
        </w:rPr>
        <w:t>Health and Social Care Act 2012</w:t>
      </w:r>
      <w:r w:rsidRPr="00175A37">
        <w:rPr>
          <w:rFonts w:ascii="Arial" w:eastAsia="Times New Roman" w:hAnsi="Arial" w:cs="Arial"/>
          <w:kern w:val="0"/>
          <w:highlight w:val="white"/>
          <w:lang w:eastAsia="en-US"/>
          <w14:ligatures w14:val="none"/>
        </w:rPr>
        <w:t xml:space="preserve"> outlined a legal framework (GOV.UK, 2024; Legislation 2022). Accordingly, emergency directives, such as those issued by the </w:t>
      </w:r>
      <w:r w:rsidRPr="00175A37">
        <w:rPr>
          <w:rFonts w:ascii="Arial" w:eastAsia="Times New Roman" w:hAnsi="Arial" w:cs="Arial"/>
          <w:b/>
          <w:bCs/>
          <w:kern w:val="0"/>
          <w:highlight w:val="white"/>
          <w:lang w:eastAsia="en-US"/>
          <w14:ligatures w14:val="none"/>
        </w:rPr>
        <w:t>Department of Health and Social Care</w:t>
      </w:r>
      <w:r w:rsidRPr="00175A37">
        <w:rPr>
          <w:rFonts w:ascii="Arial" w:eastAsia="Times New Roman" w:hAnsi="Arial" w:cs="Arial"/>
          <w:kern w:val="0"/>
          <w:highlight w:val="white"/>
          <w:lang w:eastAsia="en-US"/>
          <w14:ligatures w14:val="none"/>
        </w:rPr>
        <w:t xml:space="preserve"> (DHSC) and </w:t>
      </w:r>
      <w:r w:rsidRPr="00175A37">
        <w:rPr>
          <w:rFonts w:ascii="Arial" w:eastAsia="Times New Roman" w:hAnsi="Arial" w:cs="Arial"/>
          <w:b/>
          <w:bCs/>
          <w:kern w:val="0"/>
          <w:highlight w:val="white"/>
          <w:lang w:eastAsia="en-US"/>
          <w14:ligatures w14:val="none"/>
        </w:rPr>
        <w:t>NHS England</w:t>
      </w:r>
      <w:r w:rsidRPr="00175A37">
        <w:rPr>
          <w:rFonts w:ascii="Arial" w:eastAsia="Times New Roman" w:hAnsi="Arial" w:cs="Arial"/>
          <w:kern w:val="0"/>
          <w:highlight w:val="white"/>
          <w:lang w:eastAsia="en-US"/>
          <w14:ligatures w14:val="none"/>
        </w:rPr>
        <w:t xml:space="preserve">, require swift upskilling (Accipio, 2026). The </w:t>
      </w:r>
      <w:r w:rsidRPr="00175A37">
        <w:rPr>
          <w:rFonts w:ascii="Arial" w:eastAsia="Times New Roman" w:hAnsi="Arial" w:cs="Arial"/>
          <w:b/>
          <w:bCs/>
          <w:kern w:val="0"/>
          <w:highlight w:val="white"/>
          <w:lang w:eastAsia="en-US"/>
          <w14:ligatures w14:val="none"/>
        </w:rPr>
        <w:t>General Medical Council</w:t>
      </w:r>
      <w:r w:rsidRPr="00175A37">
        <w:rPr>
          <w:rFonts w:ascii="Arial" w:eastAsia="Times New Roman" w:hAnsi="Arial" w:cs="Arial"/>
          <w:kern w:val="0"/>
          <w:highlight w:val="white"/>
          <w:lang w:eastAsia="en-US"/>
          <w14:ligatures w14:val="none"/>
        </w:rPr>
        <w:t xml:space="preserve"> (GMC) provided new temporary changes in training requirements, thus increasing flexibility in redeployment without compromising professional standards (GMC, 2021). These policies ensure that emergency training is consistent with regulatory expectations in terms of balancing urgency and accountability.</w:t>
      </w:r>
    </w:p>
    <w:p w14:paraId="3B5CBF66" w14:textId="77777777" w:rsidR="00175A37" w:rsidRPr="00175A37" w:rsidRDefault="00175A37" w:rsidP="00175A37">
      <w:pPr>
        <w:spacing w:before="240" w:after="0"/>
        <w:rPr>
          <w:rFonts w:ascii="Arial" w:eastAsia="Century Schoolbook" w:hAnsi="Arial" w:cs="Arial"/>
          <w:b/>
          <w:kern w:val="0"/>
          <w:sz w:val="24"/>
          <w:highlight w:val="white"/>
          <w:lang w:eastAsia="en-US"/>
          <w14:ligatures w14:val="none"/>
        </w:rPr>
      </w:pPr>
      <w:bookmarkStart w:id="14" w:name="_Toc221376008"/>
      <w:r w:rsidRPr="00175A37">
        <w:rPr>
          <w:rFonts w:ascii="Arial" w:eastAsia="Century Schoolbook" w:hAnsi="Arial" w:cs="Arial"/>
          <w:b/>
          <w:kern w:val="0"/>
          <w:sz w:val="24"/>
          <w:highlight w:val="white"/>
          <w:lang w:eastAsia="en-US"/>
          <w14:ligatures w14:val="none"/>
        </w:rPr>
        <w:lastRenderedPageBreak/>
        <w:t>Local context</w:t>
      </w:r>
      <w:bookmarkEnd w:id="14"/>
    </w:p>
    <w:p w14:paraId="70277867"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 xml:space="preserve">NHS Trusts introduced region-based initiatives at the local level. For instance, London hospitals focused on simulations in preparing staff for the job (Chelwest, 2022). Correspondingly, the rural Trusts were more dependent on online modules under resource limitations. Maddock </w:t>
      </w:r>
      <w:r w:rsidRPr="00175A37">
        <w:rPr>
          <w:rFonts w:ascii="Arial" w:eastAsia="Times New Roman" w:hAnsi="Arial" w:cs="Arial"/>
          <w:i/>
          <w:iCs/>
          <w:kern w:val="0"/>
          <w:highlight w:val="white"/>
          <w:lang w:eastAsia="en-US"/>
          <w14:ligatures w14:val="none"/>
        </w:rPr>
        <w:t>et al.,</w:t>
      </w:r>
      <w:r w:rsidRPr="00175A37">
        <w:rPr>
          <w:rFonts w:ascii="Arial" w:eastAsia="Times New Roman" w:hAnsi="Arial" w:cs="Arial"/>
          <w:kern w:val="0"/>
          <w:highlight w:val="white"/>
          <w:lang w:eastAsia="en-US"/>
          <w14:ligatures w14:val="none"/>
        </w:rPr>
        <w:t xml:space="preserve"> (2022) implied that regional disparities are encountered under demand differences, workforce availability, &amp; infrastructure. It also facilitated custom training through local partnerships with institutions of higher education and professional associations. This indicates that employees can meet the demands within local contexts.</w:t>
      </w:r>
    </w:p>
    <w:p w14:paraId="35430B25" w14:textId="77777777" w:rsidR="00175A37" w:rsidRPr="00175A37" w:rsidRDefault="00175A37" w:rsidP="00175A37">
      <w:pPr>
        <w:spacing w:before="240" w:after="0"/>
        <w:rPr>
          <w:rFonts w:ascii="Arial" w:eastAsia="Times New Roman" w:hAnsi="Arial" w:cs="Arial"/>
          <w:kern w:val="0"/>
          <w:highlight w:val="white"/>
          <w:lang w:eastAsia="en-US"/>
          <w14:ligatures w14:val="none"/>
        </w:rPr>
      </w:pPr>
      <w:r w:rsidRPr="00175A37">
        <w:rPr>
          <w:rFonts w:ascii="Arial" w:eastAsia="Times New Roman" w:hAnsi="Arial" w:cs="Arial"/>
          <w:kern w:val="0"/>
          <w:highlight w:val="white"/>
          <w:lang w:eastAsia="en-US"/>
          <w14:ligatures w14:val="none"/>
        </w:rPr>
        <w:t>The national and local response in the UK introduced a balance between the centralisation of policy and localisation of the response. At the same time, it ensured emergency clinical training as both nationally standardised and context sensitive.</w:t>
      </w:r>
    </w:p>
    <w:p w14:paraId="02B58706" w14:textId="680F4A81" w:rsidR="00BD2909" w:rsidRPr="00F44833" w:rsidRDefault="00BD2909" w:rsidP="00175A37">
      <w:pPr>
        <w:pStyle w:val="paragraph"/>
        <w:spacing w:before="0" w:beforeAutospacing="0" w:after="0" w:afterAutospacing="0" w:line="360" w:lineRule="auto"/>
        <w:textAlignment w:val="baseline"/>
        <w:rPr>
          <w:rFonts w:ascii="Aptos" w:hAnsi="Aptos" w:cs="Arial"/>
          <w:sz w:val="22"/>
          <w:szCs w:val="22"/>
        </w:rPr>
      </w:pP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71EFC26" w14:textId="77777777" w:rsidR="00F602D3" w:rsidRDefault="00F602D3" w:rsidP="00F44833">
      <w:pPr>
        <w:pStyle w:val="paragraph"/>
        <w:spacing w:before="0" w:beforeAutospacing="0" w:after="0" w:afterAutospacing="0" w:line="360" w:lineRule="auto"/>
        <w:textAlignment w:val="baseline"/>
        <w:rPr>
          <w:rStyle w:val="normaltextrun"/>
          <w:rFonts w:ascii="Aptos" w:hAnsi="Aptos" w:cs="Arial"/>
          <w:color w:val="0F4761"/>
        </w:rPr>
      </w:pPr>
    </w:p>
    <w:p w14:paraId="252731BC" w14:textId="77777777" w:rsidR="00F602D3" w:rsidRDefault="00F602D3" w:rsidP="00F44833">
      <w:pPr>
        <w:pStyle w:val="paragraph"/>
        <w:spacing w:before="0" w:beforeAutospacing="0" w:after="0" w:afterAutospacing="0" w:line="360" w:lineRule="auto"/>
        <w:textAlignment w:val="baseline"/>
        <w:rPr>
          <w:rStyle w:val="normaltextrun"/>
          <w:rFonts w:ascii="Aptos" w:hAnsi="Aptos" w:cs="Arial"/>
          <w:color w:val="0F4761"/>
        </w:rPr>
      </w:pPr>
    </w:p>
    <w:p w14:paraId="359CA7C1" w14:textId="77777777" w:rsidR="00F602D3" w:rsidRDefault="00F602D3" w:rsidP="00F44833">
      <w:pPr>
        <w:pStyle w:val="paragraph"/>
        <w:spacing w:before="0" w:beforeAutospacing="0" w:after="0" w:afterAutospacing="0" w:line="360" w:lineRule="auto"/>
        <w:textAlignment w:val="baseline"/>
        <w:rPr>
          <w:rStyle w:val="normaltextrun"/>
          <w:rFonts w:ascii="Aptos" w:hAnsi="Aptos" w:cs="Arial"/>
          <w:color w:val="0F4761"/>
        </w:rPr>
      </w:pPr>
    </w:p>
    <w:p w14:paraId="05D78774" w14:textId="77777777" w:rsidR="00F602D3" w:rsidRDefault="00F602D3" w:rsidP="00F44833">
      <w:pPr>
        <w:pStyle w:val="paragraph"/>
        <w:spacing w:before="0" w:beforeAutospacing="0" w:after="0" w:afterAutospacing="0" w:line="360" w:lineRule="auto"/>
        <w:textAlignment w:val="baseline"/>
        <w:rPr>
          <w:rStyle w:val="normaltextrun"/>
          <w:rFonts w:ascii="Aptos" w:hAnsi="Aptos" w:cs="Arial"/>
          <w:color w:val="0F4761"/>
        </w:rPr>
      </w:pPr>
    </w:p>
    <w:p w14:paraId="59E06166" w14:textId="77777777" w:rsidR="00F602D3" w:rsidRDefault="00F602D3" w:rsidP="00F44833">
      <w:pPr>
        <w:pStyle w:val="paragraph"/>
        <w:spacing w:before="0" w:beforeAutospacing="0" w:after="0" w:afterAutospacing="0" w:line="360" w:lineRule="auto"/>
        <w:textAlignment w:val="baseline"/>
        <w:rPr>
          <w:rStyle w:val="normaltextrun"/>
          <w:rFonts w:ascii="Aptos" w:hAnsi="Aptos" w:cs="Arial"/>
          <w:color w:val="0F4761"/>
        </w:rPr>
      </w:pPr>
    </w:p>
    <w:p w14:paraId="508BC363" w14:textId="38741F45"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4BC22105" w14:textId="77777777" w:rsidR="00175A37" w:rsidRDefault="00BD2909" w:rsidP="00175A37">
      <w:pPr>
        <w:pStyle w:val="paragraph"/>
        <w:spacing w:before="0" w:beforeAutospacing="0" w:after="0" w:afterAutospacing="0" w:line="360" w:lineRule="auto"/>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p>
    <w:p w14:paraId="6F086350" w14:textId="77712C6C" w:rsidR="00175A37" w:rsidRPr="00175A37" w:rsidRDefault="00175A37" w:rsidP="00175A37">
      <w:pPr>
        <w:pStyle w:val="paragraph"/>
        <w:spacing w:before="0" w:beforeAutospacing="0" w:after="0" w:afterAutospacing="0" w:line="360" w:lineRule="auto"/>
        <w:textAlignment w:val="baseline"/>
        <w:rPr>
          <w:rFonts w:ascii="Aptos" w:hAnsi="Aptos" w:cs="Segoe UI"/>
          <w:sz w:val="16"/>
          <w:szCs w:val="16"/>
        </w:rPr>
      </w:pPr>
      <w:r w:rsidRPr="00175A37">
        <w:rPr>
          <w:rFonts w:ascii="Arial" w:hAnsi="Arial" w:cs="Arial"/>
          <w:highlight w:val="white"/>
          <w:lang w:eastAsia="en-US"/>
        </w:rPr>
        <w:t>The chapter has presented the background in the context of studying the impact of COVID-19 emergency clinical training on the level of competency among the staff within the UK healthcare industry. The evidence has provided insights into the history of development of the emergency training, identified the main theoretical concepts like competency-based training and resilience theory, as well as discussed, the international practices showing both common issues and potential solutions (Thefederation.uk, 2026). The UK situation has been analysed through national policies, regulatory frameworks and local activities (GOV.UK, 2024; Legislation 2022). Further information evidenced centralised guidance, which has been redefined to suit the local demands.</w:t>
      </w:r>
    </w:p>
    <w:p w14:paraId="2FD6DCE3" w14:textId="77777777" w:rsidR="00175A37" w:rsidRPr="00175A37" w:rsidRDefault="00175A37" w:rsidP="00175A37">
      <w:pPr>
        <w:spacing w:before="240" w:after="0"/>
        <w:rPr>
          <w:rFonts w:ascii="Arial" w:eastAsia="Century Schoolbook" w:hAnsi="Arial" w:cs="Arial"/>
          <w:kern w:val="0"/>
          <w:lang w:eastAsia="en-US"/>
          <w14:ligatures w14:val="none"/>
        </w:rPr>
      </w:pPr>
      <w:r w:rsidRPr="00175A37">
        <w:rPr>
          <w:rFonts w:ascii="Arial" w:eastAsia="Times New Roman" w:hAnsi="Arial" w:cs="Arial"/>
          <w:kern w:val="0"/>
          <w:highlight w:val="white"/>
          <w:lang w:eastAsia="en-US"/>
          <w14:ligatures w14:val="none"/>
        </w:rPr>
        <w:t xml:space="preserve">Overall, these viewpoints lay a good groundwork for the research. The following chapter, Methodology, would expand on this background, providing the research design, data gathering procedures and methods of data analysis. Contextual information herein would be </w:t>
      </w:r>
      <w:r w:rsidRPr="00175A37">
        <w:rPr>
          <w:rFonts w:ascii="Arial" w:eastAsia="Times New Roman" w:hAnsi="Arial" w:cs="Arial"/>
          <w:kern w:val="0"/>
          <w:highlight w:val="white"/>
          <w:lang w:eastAsia="en-US"/>
          <w14:ligatures w14:val="none"/>
        </w:rPr>
        <w:lastRenderedPageBreak/>
        <w:t>used to make methodological decisions that identify the theoretical rigour and practical relevance gathered from the study.</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65"/>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5C2EC55E" w14:textId="77777777" w:rsidR="00B7073C" w:rsidRPr="00292A36" w:rsidRDefault="00B7073C" w:rsidP="00B7073C"/>
    <w:p w14:paraId="5A7AB555" w14:textId="20B51453" w:rsidR="003A66FD" w:rsidRDefault="00292A36" w:rsidP="00E40B0D">
      <w:pPr>
        <w:pStyle w:val="Heading2"/>
      </w:pPr>
      <w:r w:rsidRPr="0021364B">
        <w:t>3.</w:t>
      </w:r>
      <w:r w:rsidR="005D7A1E">
        <w:t>1</w:t>
      </w:r>
      <w:r w:rsidRPr="0021364B">
        <w:t xml:space="preserve"> –</w:t>
      </w:r>
      <w:r w:rsidR="0021364B">
        <w:t xml:space="preserve"> </w:t>
      </w:r>
      <w:r w:rsidRPr="0021364B">
        <w:t xml:space="preserve">Introduction </w:t>
      </w:r>
    </w:p>
    <w:p w14:paraId="38AFBA7F" w14:textId="0A58F9B4" w:rsidR="00F602D3" w:rsidRPr="00F602D3" w:rsidRDefault="00F602D3" w:rsidP="00F602D3">
      <w:r w:rsidRPr="00F602D3">
        <w:t>In this chapter, there is an explanation of how the research was carried out using the desk-based study approach, i.e., using secondary literature sources. It is a more detailed version of the academic methodology poster that the author created, justifying the whole process.</w:t>
      </w:r>
    </w:p>
    <w:p w14:paraId="6521A89B" w14:textId="5D265704" w:rsidR="005B3EDE" w:rsidRDefault="005B3EDE" w:rsidP="005B3EDE">
      <w:pPr>
        <w:pStyle w:val="NormalWeb"/>
        <w:spacing w:line="360" w:lineRule="auto"/>
        <w:rPr>
          <w:rStyle w:val="Strong"/>
          <w:rFonts w:ascii="Aptos" w:eastAsia="Calibri Light" w:hAnsi="Aptos"/>
          <w:sz w:val="22"/>
          <w:szCs w:val="22"/>
        </w:rPr>
      </w:pPr>
      <w:r w:rsidRPr="005B3EDE">
        <w:rPr>
          <w:rStyle w:val="Strong"/>
          <w:rFonts w:ascii="Aptos" w:eastAsia="Calibri Light" w:hAnsi="Aptos"/>
          <w:sz w:val="22"/>
          <w:szCs w:val="22"/>
        </w:rPr>
        <w:t>Connection to the Dissertation:</w:t>
      </w:r>
    </w:p>
    <w:p w14:paraId="498197FC" w14:textId="02701B09" w:rsidR="00F602D3" w:rsidRPr="005B3EDE" w:rsidRDefault="00F602D3" w:rsidP="005B3EDE">
      <w:pPr>
        <w:pStyle w:val="NormalWeb"/>
        <w:spacing w:line="360" w:lineRule="auto"/>
        <w:rPr>
          <w:rFonts w:ascii="Aptos" w:hAnsi="Aptos"/>
          <w:sz w:val="22"/>
          <w:szCs w:val="22"/>
        </w:rPr>
      </w:pPr>
      <w:r w:rsidRPr="00F602D3">
        <w:rPr>
          <w:rFonts w:ascii="Aptos" w:hAnsi="Aptos"/>
          <w:sz w:val="22"/>
          <w:szCs w:val="22"/>
        </w:rPr>
        <w:t>The research methods discussed in this chapter are crucial in identifying and selecting relevant literature for analysis; these research methods have a direct impact on the thematic analysis presented in Chapter 4 of this research work.</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7430D03E" w14:textId="77777777" w:rsidR="00F602D3" w:rsidRPr="00F602D3" w:rsidRDefault="00B7073C" w:rsidP="00F602D3">
      <w:pPr>
        <w:spacing w:before="240" w:after="0"/>
        <w:rPr>
          <w:rFonts w:ascii="Arial" w:eastAsia="Century Schoolbook" w:hAnsi="Arial" w:cs="Arial"/>
          <w:b/>
          <w:bCs/>
          <w:kern w:val="0"/>
          <w:sz w:val="24"/>
          <w:szCs w:val="24"/>
          <w:lang w:eastAsia="en-US"/>
          <w14:ligatures w14:val="none"/>
        </w:rPr>
      </w:pPr>
      <w:r>
        <w:br/>
      </w:r>
      <w:r w:rsidR="00F602D3" w:rsidRPr="00F602D3">
        <w:rPr>
          <w:rFonts w:ascii="Arial" w:eastAsia="Century Schoolbook" w:hAnsi="Arial" w:cs="Arial"/>
          <w:b/>
          <w:bCs/>
          <w:kern w:val="0"/>
          <w:sz w:val="24"/>
          <w:szCs w:val="24"/>
          <w:lang w:eastAsia="en-US"/>
          <w14:ligatures w14:val="none"/>
        </w:rPr>
        <w:t>Developing Keywords</w:t>
      </w:r>
    </w:p>
    <w:p w14:paraId="0FB1BDF5"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COVID-19</w:t>
      </w:r>
    </w:p>
    <w:p w14:paraId="30D114FB"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Pandemic</w:t>
      </w:r>
    </w:p>
    <w:p w14:paraId="601EA4C4"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Emergency</w:t>
      </w:r>
    </w:p>
    <w:p w14:paraId="12A3ED44"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Training</w:t>
      </w:r>
    </w:p>
    <w:p w14:paraId="35D1F90F"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Clinical</w:t>
      </w:r>
    </w:p>
    <w:p w14:paraId="534C867F"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Healthcare</w:t>
      </w:r>
    </w:p>
    <w:p w14:paraId="39D08C01"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Workforce</w:t>
      </w:r>
    </w:p>
    <w:p w14:paraId="1097E25A"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Staff</w:t>
      </w:r>
    </w:p>
    <w:p w14:paraId="2DD33DF6"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Competency</w:t>
      </w:r>
    </w:p>
    <w:p w14:paraId="1BFCC0BD"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Skills</w:t>
      </w:r>
    </w:p>
    <w:p w14:paraId="4A7AD93E"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NHS</w:t>
      </w:r>
    </w:p>
    <w:p w14:paraId="65ECFD68"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lastRenderedPageBreak/>
        <w:t>Redeployment</w:t>
      </w:r>
    </w:p>
    <w:p w14:paraId="4FC26F79"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Preparedness</w:t>
      </w:r>
    </w:p>
    <w:p w14:paraId="713B55FD"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Capacity</w:t>
      </w:r>
    </w:p>
    <w:p w14:paraId="0C5EAD5F" w14:textId="77777777" w:rsidR="00F602D3" w:rsidRPr="00F602D3" w:rsidRDefault="00F602D3">
      <w:pPr>
        <w:numPr>
          <w:ilvl w:val="0"/>
          <w:numId w:val="10"/>
        </w:num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Resilience</w:t>
      </w:r>
    </w:p>
    <w:p w14:paraId="2DDB94F0" w14:textId="272DBCB3" w:rsidR="005B3EDE" w:rsidRDefault="005B3EDE" w:rsidP="00F602D3"/>
    <w:p w14:paraId="69CD54F1" w14:textId="77777777" w:rsidR="00F602D3" w:rsidRDefault="00F602D3" w:rsidP="00F602D3"/>
    <w:p w14:paraId="5209A15F" w14:textId="77777777" w:rsidR="00F602D3" w:rsidRPr="00F602D3" w:rsidRDefault="00F602D3" w:rsidP="00F602D3">
      <w:pPr>
        <w:spacing w:before="240" w:after="0"/>
        <w:rPr>
          <w:rFonts w:ascii="Arial" w:eastAsia="Century Schoolbook" w:hAnsi="Arial" w:cs="Arial"/>
          <w:b/>
          <w:bCs/>
          <w:i/>
          <w:iCs/>
          <w:kern w:val="0"/>
          <w:lang w:eastAsia="en-US"/>
          <w14:ligatures w14:val="none"/>
        </w:rPr>
      </w:pPr>
      <w:r w:rsidRPr="00F602D3">
        <w:rPr>
          <w:rFonts w:ascii="Arial" w:eastAsia="Century Schoolbook" w:hAnsi="Arial" w:cs="Arial"/>
          <w:b/>
          <w:bCs/>
          <w:i/>
          <w:iCs/>
          <w:kern w:val="0"/>
          <w:lang w:eastAsia="en-US"/>
          <w14:ligatures w14:val="none"/>
        </w:rPr>
        <w:t>Technical and professional synonyms</w:t>
      </w:r>
    </w:p>
    <w:p w14:paraId="6D9387D0" w14:textId="77777777" w:rsidR="00F602D3" w:rsidRDefault="00F602D3" w:rsidP="00F602D3"/>
    <w:p w14:paraId="438DBBFA" w14:textId="755A910D" w:rsidR="00F602D3" w:rsidRDefault="00F602D3" w:rsidP="00F602D3">
      <w:r w:rsidRPr="00F602D3">
        <w:rPr>
          <w:rFonts w:ascii="Arial" w:eastAsia="Century Schoolbook" w:hAnsi="Arial" w:cs="Arial"/>
          <w:b/>
          <w:bCs/>
          <w:noProof/>
          <w:kern w:val="0"/>
          <w:lang w:val="en-IN" w:eastAsia="en-IN"/>
          <w14:ligatures w14:val="none"/>
        </w:rPr>
        <w:drawing>
          <wp:inline distT="114300" distB="114300" distL="114300" distR="114300" wp14:anchorId="2E7B968F" wp14:editId="564BC916">
            <wp:extent cx="5379720" cy="2583180"/>
            <wp:effectExtent l="19050" t="19050" r="11430" b="26670"/>
            <wp:docPr id="3744397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6"/>
                    <a:srcRect/>
                    <a:stretch>
                      <a:fillRect/>
                    </a:stretch>
                  </pic:blipFill>
                  <pic:spPr>
                    <a:xfrm>
                      <a:off x="0" y="0"/>
                      <a:ext cx="5425958" cy="2605382"/>
                    </a:xfrm>
                    <a:prstGeom prst="rect">
                      <a:avLst/>
                    </a:prstGeom>
                    <a:ln>
                      <a:solidFill>
                        <a:sysClr val="windowText" lastClr="000000"/>
                      </a:solidFill>
                    </a:ln>
                  </pic:spPr>
                </pic:pic>
              </a:graphicData>
            </a:graphic>
          </wp:inline>
        </w:drawing>
      </w:r>
    </w:p>
    <w:p w14:paraId="7BC6100D" w14:textId="51783475" w:rsidR="00F602D3" w:rsidRDefault="00F602D3" w:rsidP="00F602D3">
      <w:pPr>
        <w:jc w:val="center"/>
      </w:pPr>
      <w:r w:rsidRPr="00F602D3">
        <w:rPr>
          <w:noProof/>
        </w:rPr>
        <w:drawing>
          <wp:inline distT="0" distB="0" distL="0" distR="0" wp14:anchorId="1C5A6184" wp14:editId="3DF0945B">
            <wp:extent cx="5731510" cy="609600"/>
            <wp:effectExtent l="0" t="0" r="0" b="0"/>
            <wp:docPr id="4486483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609600"/>
                    </a:xfrm>
                    <a:prstGeom prst="rect">
                      <a:avLst/>
                    </a:prstGeom>
                    <a:noFill/>
                    <a:ln>
                      <a:noFill/>
                    </a:ln>
                  </pic:spPr>
                </pic:pic>
              </a:graphicData>
            </a:graphic>
          </wp:inline>
        </w:drawing>
      </w:r>
    </w:p>
    <w:p w14:paraId="7FCE7090" w14:textId="77777777" w:rsidR="00F602D3" w:rsidRPr="005B3EDE" w:rsidRDefault="00F602D3" w:rsidP="00F602D3"/>
    <w:p w14:paraId="56F6FF0C" w14:textId="77777777" w:rsidR="00F602D3" w:rsidRDefault="00F602D3" w:rsidP="00B575E2">
      <w:pPr>
        <w:rPr>
          <w:rFonts w:hAnsi="Symbol" w:hint="eastAsia"/>
        </w:rPr>
      </w:pPr>
    </w:p>
    <w:p w14:paraId="018380F3" w14:textId="77777777" w:rsidR="00F602D3" w:rsidRDefault="00F602D3" w:rsidP="00B575E2">
      <w:pPr>
        <w:rPr>
          <w:rFonts w:hAnsi="Symbol" w:hint="eastAsia"/>
        </w:rPr>
      </w:pPr>
    </w:p>
    <w:p w14:paraId="0D1A1AC3" w14:textId="77777777" w:rsidR="00F602D3" w:rsidRDefault="00F602D3" w:rsidP="00B575E2">
      <w:pPr>
        <w:rPr>
          <w:rFonts w:hAnsi="Symbol" w:hint="eastAsia"/>
        </w:rPr>
      </w:pPr>
    </w:p>
    <w:p w14:paraId="28C27761" w14:textId="77777777" w:rsidR="00F602D3" w:rsidRDefault="00F602D3" w:rsidP="00B575E2">
      <w:pPr>
        <w:rPr>
          <w:rFonts w:hAnsi="Symbol" w:hint="eastAsia"/>
        </w:rPr>
      </w:pPr>
    </w:p>
    <w:p w14:paraId="5B1D920A" w14:textId="77777777" w:rsidR="00F602D3" w:rsidRDefault="00F602D3" w:rsidP="00B575E2">
      <w:pPr>
        <w:rPr>
          <w:rFonts w:hAnsi="Symbol" w:hint="eastAsia"/>
        </w:rPr>
      </w:pPr>
    </w:p>
    <w:p w14:paraId="5E02C553" w14:textId="77777777" w:rsidR="00F602D3" w:rsidRDefault="00F602D3" w:rsidP="00B575E2">
      <w:pPr>
        <w:rPr>
          <w:rFonts w:hAnsi="Symbol" w:hint="eastAsia"/>
        </w:rPr>
      </w:pPr>
    </w:p>
    <w:p w14:paraId="5BED73AF" w14:textId="2B58F166" w:rsidR="005B3EDE" w:rsidRDefault="00B575E2" w:rsidP="00B575E2">
      <w:pPr>
        <w:rPr>
          <w:b/>
          <w:bCs/>
        </w:rPr>
      </w:pPr>
      <w:r w:rsidRPr="005B3EDE">
        <w:rPr>
          <w:rFonts w:hAnsi="Symbol"/>
        </w:rPr>
        <w:lastRenderedPageBreak/>
        <w:t></w:t>
      </w:r>
      <w:r w:rsidR="005B3EDE" w:rsidRPr="005B3EDE">
        <w:t xml:space="preserve"> </w:t>
      </w:r>
      <w:r w:rsidR="005B3EDE" w:rsidRPr="005B3EDE">
        <w:rPr>
          <w:b/>
          <w:bCs/>
        </w:rPr>
        <w:t>Boolean Operators:</w:t>
      </w:r>
    </w:p>
    <w:tbl>
      <w:tblPr>
        <w:tblW w:w="973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4462"/>
        <w:gridCol w:w="2268"/>
      </w:tblGrid>
      <w:tr w:rsidR="00F602D3" w:rsidRPr="00F602D3" w14:paraId="38C82CAF" w14:textId="77777777" w:rsidTr="0032418C">
        <w:tc>
          <w:tcPr>
            <w:tcW w:w="3009" w:type="dxa"/>
            <w:tcMar>
              <w:top w:w="100" w:type="dxa"/>
              <w:left w:w="100" w:type="dxa"/>
              <w:bottom w:w="100" w:type="dxa"/>
              <w:right w:w="100" w:type="dxa"/>
            </w:tcMar>
          </w:tcPr>
          <w:p w14:paraId="45B33770" w14:textId="77777777" w:rsidR="00F602D3" w:rsidRPr="00F602D3" w:rsidRDefault="00F602D3" w:rsidP="00F602D3">
            <w:pPr>
              <w:widowControl w:val="0"/>
              <w:pBdr>
                <w:top w:val="nil"/>
                <w:left w:val="nil"/>
                <w:bottom w:val="nil"/>
                <w:right w:val="nil"/>
                <w:between w:val="nil"/>
              </w:pBdr>
              <w:spacing w:before="240" w:after="0"/>
              <w:rPr>
                <w:rFonts w:ascii="Arial" w:eastAsia="Century Schoolbook" w:hAnsi="Arial" w:cs="Arial"/>
                <w:b/>
                <w:bCs/>
                <w:kern w:val="0"/>
                <w:lang w:eastAsia="en-US"/>
                <w14:ligatures w14:val="none"/>
              </w:rPr>
            </w:pPr>
            <w:r w:rsidRPr="00F602D3">
              <w:rPr>
                <w:rFonts w:ascii="Arial" w:eastAsia="Century Schoolbook" w:hAnsi="Arial" w:cs="Arial"/>
                <w:b/>
                <w:bCs/>
                <w:kern w:val="0"/>
                <w:lang w:eastAsia="en-US"/>
                <w14:ligatures w14:val="none"/>
              </w:rPr>
              <w:t>Boolean Operator</w:t>
            </w:r>
          </w:p>
        </w:tc>
        <w:tc>
          <w:tcPr>
            <w:tcW w:w="4462" w:type="dxa"/>
            <w:tcMar>
              <w:top w:w="100" w:type="dxa"/>
              <w:left w:w="100" w:type="dxa"/>
              <w:bottom w:w="100" w:type="dxa"/>
              <w:right w:w="100" w:type="dxa"/>
            </w:tcMar>
          </w:tcPr>
          <w:p w14:paraId="07629F07" w14:textId="77777777" w:rsidR="00F602D3" w:rsidRPr="00F602D3" w:rsidRDefault="00F602D3" w:rsidP="00F602D3">
            <w:pPr>
              <w:widowControl w:val="0"/>
              <w:pBdr>
                <w:top w:val="nil"/>
                <w:left w:val="nil"/>
                <w:bottom w:val="nil"/>
                <w:right w:val="nil"/>
                <w:between w:val="nil"/>
              </w:pBdr>
              <w:spacing w:before="240" w:after="0"/>
              <w:rPr>
                <w:rFonts w:ascii="Arial" w:eastAsia="Century Schoolbook" w:hAnsi="Arial" w:cs="Arial"/>
                <w:b/>
                <w:bCs/>
                <w:kern w:val="0"/>
                <w:lang w:eastAsia="en-US"/>
                <w14:ligatures w14:val="none"/>
              </w:rPr>
            </w:pPr>
            <w:r w:rsidRPr="00F602D3">
              <w:rPr>
                <w:rFonts w:ascii="Arial" w:eastAsia="Century Schoolbook" w:hAnsi="Arial" w:cs="Arial"/>
                <w:b/>
                <w:bCs/>
                <w:kern w:val="0"/>
                <w:lang w:eastAsia="en-US"/>
                <w14:ligatures w14:val="none"/>
              </w:rPr>
              <w:t>Purpose in Search Strategy</w:t>
            </w:r>
          </w:p>
        </w:tc>
        <w:tc>
          <w:tcPr>
            <w:tcW w:w="2268" w:type="dxa"/>
            <w:tcMar>
              <w:top w:w="100" w:type="dxa"/>
              <w:left w:w="100" w:type="dxa"/>
              <w:bottom w:w="100" w:type="dxa"/>
              <w:right w:w="100" w:type="dxa"/>
            </w:tcMar>
          </w:tcPr>
          <w:p w14:paraId="6D7B9320" w14:textId="77777777" w:rsidR="00F602D3" w:rsidRPr="00F602D3" w:rsidRDefault="00F602D3" w:rsidP="00F602D3">
            <w:pPr>
              <w:widowControl w:val="0"/>
              <w:pBdr>
                <w:top w:val="nil"/>
                <w:left w:val="nil"/>
                <w:bottom w:val="nil"/>
                <w:right w:val="nil"/>
                <w:between w:val="nil"/>
              </w:pBdr>
              <w:spacing w:before="240" w:after="0"/>
              <w:rPr>
                <w:rFonts w:ascii="Arial" w:eastAsia="Century Schoolbook" w:hAnsi="Arial" w:cs="Arial"/>
                <w:b/>
                <w:bCs/>
                <w:kern w:val="0"/>
                <w:lang w:eastAsia="en-US"/>
                <w14:ligatures w14:val="none"/>
              </w:rPr>
            </w:pPr>
            <w:r w:rsidRPr="00F602D3">
              <w:rPr>
                <w:rFonts w:ascii="Arial" w:eastAsia="Century Schoolbook" w:hAnsi="Arial" w:cs="Arial"/>
                <w:b/>
                <w:bCs/>
                <w:kern w:val="0"/>
                <w:lang w:eastAsia="en-US"/>
                <w14:ligatures w14:val="none"/>
              </w:rPr>
              <w:t>Example Application</w:t>
            </w:r>
          </w:p>
        </w:tc>
      </w:tr>
      <w:tr w:rsidR="00F602D3" w:rsidRPr="00F602D3" w14:paraId="10806DCD" w14:textId="77777777" w:rsidTr="0032418C">
        <w:tc>
          <w:tcPr>
            <w:tcW w:w="3009" w:type="dxa"/>
            <w:tcMar>
              <w:top w:w="100" w:type="dxa"/>
              <w:left w:w="100" w:type="dxa"/>
              <w:bottom w:w="100" w:type="dxa"/>
              <w:right w:w="100" w:type="dxa"/>
            </w:tcMar>
          </w:tcPr>
          <w:p w14:paraId="72670B5D" w14:textId="77777777" w:rsidR="00F602D3" w:rsidRPr="00F602D3" w:rsidRDefault="00F602D3" w:rsidP="00F602D3">
            <w:pPr>
              <w:widowControl w:val="0"/>
              <w:pBdr>
                <w:top w:val="nil"/>
                <w:left w:val="nil"/>
                <w:bottom w:val="nil"/>
                <w:right w:val="nil"/>
                <w:between w:val="nil"/>
              </w:pBdr>
              <w:spacing w:before="240" w:after="0"/>
              <w:rPr>
                <w:rFonts w:ascii="Arial" w:eastAsia="Century Schoolbook" w:hAnsi="Arial" w:cs="Arial"/>
                <w:b/>
                <w:bCs/>
                <w:kern w:val="0"/>
                <w:lang w:eastAsia="en-US"/>
                <w14:ligatures w14:val="none"/>
              </w:rPr>
            </w:pPr>
            <w:r w:rsidRPr="00F602D3">
              <w:rPr>
                <w:rFonts w:ascii="Arial" w:eastAsia="Century Schoolbook" w:hAnsi="Arial" w:cs="Arial"/>
                <w:b/>
                <w:bCs/>
                <w:kern w:val="0"/>
                <w:lang w:eastAsia="en-US"/>
                <w14:ligatures w14:val="none"/>
              </w:rPr>
              <w:t>AND</w:t>
            </w:r>
          </w:p>
        </w:tc>
        <w:tc>
          <w:tcPr>
            <w:tcW w:w="4462" w:type="dxa"/>
            <w:tcMar>
              <w:top w:w="100" w:type="dxa"/>
              <w:left w:w="100" w:type="dxa"/>
              <w:bottom w:w="100" w:type="dxa"/>
              <w:right w:w="100" w:type="dxa"/>
            </w:tcMar>
          </w:tcPr>
          <w:p w14:paraId="762BEE29" w14:textId="77777777" w:rsidR="00F602D3" w:rsidRPr="00F602D3" w:rsidRDefault="00F602D3" w:rsidP="00F602D3">
            <w:p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Used to merge key concepts and narrow search outcomes to highly relevant studies.</w:t>
            </w:r>
          </w:p>
        </w:tc>
        <w:tc>
          <w:tcPr>
            <w:tcW w:w="2268" w:type="dxa"/>
            <w:tcMar>
              <w:top w:w="100" w:type="dxa"/>
              <w:left w:w="100" w:type="dxa"/>
              <w:bottom w:w="100" w:type="dxa"/>
              <w:right w:w="100" w:type="dxa"/>
            </w:tcMar>
          </w:tcPr>
          <w:p w14:paraId="0E5C9302" w14:textId="77777777" w:rsidR="00F602D3" w:rsidRPr="00F602D3" w:rsidRDefault="00F602D3" w:rsidP="00F602D3">
            <w:p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COVID-19 AND emergency clinical training</w:t>
            </w:r>
          </w:p>
        </w:tc>
      </w:tr>
      <w:tr w:rsidR="00F602D3" w:rsidRPr="00F602D3" w14:paraId="2C84C6EB" w14:textId="77777777" w:rsidTr="0032418C">
        <w:tc>
          <w:tcPr>
            <w:tcW w:w="3009" w:type="dxa"/>
            <w:tcMar>
              <w:top w:w="100" w:type="dxa"/>
              <w:left w:w="100" w:type="dxa"/>
              <w:bottom w:w="100" w:type="dxa"/>
              <w:right w:w="100" w:type="dxa"/>
            </w:tcMar>
          </w:tcPr>
          <w:p w14:paraId="2A00FC2F" w14:textId="77777777" w:rsidR="00F602D3" w:rsidRPr="00F602D3" w:rsidRDefault="00F602D3" w:rsidP="00F602D3">
            <w:pPr>
              <w:widowControl w:val="0"/>
              <w:pBdr>
                <w:top w:val="nil"/>
                <w:left w:val="nil"/>
                <w:bottom w:val="nil"/>
                <w:right w:val="nil"/>
                <w:between w:val="nil"/>
              </w:pBdr>
              <w:spacing w:before="240" w:after="0"/>
              <w:rPr>
                <w:rFonts w:ascii="Arial" w:eastAsia="Century Schoolbook" w:hAnsi="Arial" w:cs="Arial"/>
                <w:b/>
                <w:bCs/>
                <w:kern w:val="0"/>
                <w:lang w:eastAsia="en-US"/>
                <w14:ligatures w14:val="none"/>
              </w:rPr>
            </w:pPr>
            <w:r w:rsidRPr="00F602D3">
              <w:rPr>
                <w:rFonts w:ascii="Arial" w:eastAsia="Century Schoolbook" w:hAnsi="Arial" w:cs="Arial"/>
                <w:b/>
                <w:bCs/>
                <w:kern w:val="0"/>
                <w:lang w:eastAsia="en-US"/>
                <w14:ligatures w14:val="none"/>
              </w:rPr>
              <w:t>OR</w:t>
            </w:r>
          </w:p>
        </w:tc>
        <w:tc>
          <w:tcPr>
            <w:tcW w:w="4462" w:type="dxa"/>
            <w:tcMar>
              <w:top w:w="100" w:type="dxa"/>
              <w:left w:w="100" w:type="dxa"/>
              <w:bottom w:w="100" w:type="dxa"/>
              <w:right w:w="100" w:type="dxa"/>
            </w:tcMar>
          </w:tcPr>
          <w:p w14:paraId="02D75F16" w14:textId="77777777" w:rsidR="00F602D3" w:rsidRPr="00F602D3" w:rsidRDefault="00F602D3" w:rsidP="00F602D3">
            <w:p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Used to expand searches by including alternative or synonymous terms.</w:t>
            </w:r>
          </w:p>
        </w:tc>
        <w:tc>
          <w:tcPr>
            <w:tcW w:w="2268" w:type="dxa"/>
            <w:tcMar>
              <w:top w:w="100" w:type="dxa"/>
              <w:left w:w="100" w:type="dxa"/>
              <w:bottom w:w="100" w:type="dxa"/>
              <w:right w:w="100" w:type="dxa"/>
            </w:tcMar>
          </w:tcPr>
          <w:p w14:paraId="1B677176" w14:textId="77777777" w:rsidR="00F602D3" w:rsidRPr="00F602D3" w:rsidRDefault="00F602D3" w:rsidP="00F602D3">
            <w:p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Competency OR clinical skills</w:t>
            </w:r>
          </w:p>
          <w:p w14:paraId="6A78849F" w14:textId="77777777" w:rsidR="00F602D3" w:rsidRPr="00F602D3" w:rsidRDefault="00F602D3" w:rsidP="00F602D3">
            <w:pPr>
              <w:spacing w:before="240" w:after="0"/>
              <w:rPr>
                <w:rFonts w:ascii="Arial" w:eastAsia="Century Schoolbook" w:hAnsi="Arial" w:cs="Arial"/>
                <w:kern w:val="0"/>
                <w:lang w:eastAsia="en-US"/>
                <w14:ligatures w14:val="none"/>
              </w:rPr>
            </w:pPr>
          </w:p>
        </w:tc>
      </w:tr>
      <w:tr w:rsidR="00F602D3" w:rsidRPr="00F602D3" w14:paraId="2AC7090E" w14:textId="77777777" w:rsidTr="0032418C">
        <w:tc>
          <w:tcPr>
            <w:tcW w:w="3009" w:type="dxa"/>
            <w:tcMar>
              <w:top w:w="100" w:type="dxa"/>
              <w:left w:w="100" w:type="dxa"/>
              <w:bottom w:w="100" w:type="dxa"/>
              <w:right w:w="100" w:type="dxa"/>
            </w:tcMar>
          </w:tcPr>
          <w:p w14:paraId="7CCFE236" w14:textId="77777777" w:rsidR="00F602D3" w:rsidRPr="00F602D3" w:rsidRDefault="00F602D3" w:rsidP="00F602D3">
            <w:pPr>
              <w:widowControl w:val="0"/>
              <w:pBdr>
                <w:top w:val="nil"/>
                <w:left w:val="nil"/>
                <w:bottom w:val="nil"/>
                <w:right w:val="nil"/>
                <w:between w:val="nil"/>
              </w:pBdr>
              <w:spacing w:before="240" w:after="0"/>
              <w:rPr>
                <w:rFonts w:ascii="Arial" w:eastAsia="Century Schoolbook" w:hAnsi="Arial" w:cs="Arial"/>
                <w:b/>
                <w:bCs/>
                <w:kern w:val="0"/>
                <w:lang w:eastAsia="en-US"/>
                <w14:ligatures w14:val="none"/>
              </w:rPr>
            </w:pPr>
            <w:r w:rsidRPr="00F602D3">
              <w:rPr>
                <w:rFonts w:ascii="Arial" w:eastAsia="Century Schoolbook" w:hAnsi="Arial" w:cs="Arial"/>
                <w:b/>
                <w:bCs/>
                <w:kern w:val="0"/>
                <w:lang w:eastAsia="en-US"/>
                <w14:ligatures w14:val="none"/>
              </w:rPr>
              <w:t>NOT</w:t>
            </w:r>
          </w:p>
        </w:tc>
        <w:tc>
          <w:tcPr>
            <w:tcW w:w="4462" w:type="dxa"/>
            <w:tcMar>
              <w:top w:w="100" w:type="dxa"/>
              <w:left w:w="100" w:type="dxa"/>
              <w:bottom w:w="100" w:type="dxa"/>
              <w:right w:w="100" w:type="dxa"/>
            </w:tcMar>
          </w:tcPr>
          <w:p w14:paraId="4E261E56" w14:textId="77777777" w:rsidR="00F602D3" w:rsidRPr="00F602D3" w:rsidRDefault="00F602D3" w:rsidP="00F602D3">
            <w:p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Excludes irrelevant subjects. Refines search focus.</w:t>
            </w:r>
          </w:p>
        </w:tc>
        <w:tc>
          <w:tcPr>
            <w:tcW w:w="2268" w:type="dxa"/>
            <w:tcMar>
              <w:top w:w="100" w:type="dxa"/>
              <w:left w:w="100" w:type="dxa"/>
              <w:bottom w:w="100" w:type="dxa"/>
              <w:right w:w="100" w:type="dxa"/>
            </w:tcMar>
          </w:tcPr>
          <w:p w14:paraId="2766B8AA" w14:textId="77777777" w:rsidR="00F602D3" w:rsidRPr="00F602D3" w:rsidRDefault="00F602D3" w:rsidP="00F602D3">
            <w:p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Training NOT student</w:t>
            </w:r>
          </w:p>
        </w:tc>
      </w:tr>
    </w:tbl>
    <w:p w14:paraId="7D1AA59B" w14:textId="77777777" w:rsidR="00F602D3" w:rsidRDefault="00F602D3" w:rsidP="00B575E2">
      <w:pPr>
        <w:rPr>
          <w:b/>
          <w:bCs/>
        </w:rPr>
      </w:pPr>
    </w:p>
    <w:p w14:paraId="59122D5E" w14:textId="77777777" w:rsidR="00F602D3" w:rsidRPr="005B3EDE" w:rsidRDefault="00F602D3" w:rsidP="00B575E2"/>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4A5B2249" w14:textId="77777777" w:rsidR="00F602D3" w:rsidRPr="00EF2814" w:rsidRDefault="00F602D3" w:rsidP="00F602D3">
      <w:pPr>
        <w:spacing w:before="240" w:after="0"/>
        <w:rPr>
          <w:rFonts w:cs="Arial"/>
        </w:rPr>
      </w:pPr>
      <w:r w:rsidRPr="00EF2814">
        <w:rPr>
          <w:rFonts w:cs="Arial"/>
        </w:rPr>
        <w:t>A search strategy was developed for a structured search comprising concepts, keywords and Boolean search operators (Munasinghe and Ranasinghe, 2023). A search log was used for recording the search strategy to improve transparency and replicability for identifying potential secondary literature.</w:t>
      </w:r>
    </w:p>
    <w:p w14:paraId="0293381E" w14:textId="77777777" w:rsidR="00D13A82" w:rsidRPr="00D13A82" w:rsidRDefault="00D13A82" w:rsidP="00D13A82"/>
    <w:p w14:paraId="57AFDE7A" w14:textId="77777777" w:rsidR="00B575E2" w:rsidRDefault="00292A36">
      <w:pPr>
        <w:pStyle w:val="Heading2"/>
        <w:numPr>
          <w:ilvl w:val="1"/>
          <w:numId w:val="4"/>
        </w:numPr>
        <w:jc w:val="left"/>
      </w:pPr>
      <w:r w:rsidRPr="0021364B">
        <w:t>– Searching for Information (</w:t>
      </w:r>
      <w:r w:rsidR="006F4AB2">
        <w:t>200</w:t>
      </w:r>
      <w:r w:rsidRPr="0021364B">
        <w:t xml:space="preserve"> words approx.)</w:t>
      </w:r>
    </w:p>
    <w:p w14:paraId="3564415E" w14:textId="77777777" w:rsidR="00F602D3" w:rsidRPr="00EF2814" w:rsidRDefault="00F602D3" w:rsidP="00F602D3">
      <w:pPr>
        <w:spacing w:before="240" w:after="0"/>
        <w:rPr>
          <w:rFonts w:cs="Arial"/>
          <w:b/>
          <w:bCs/>
        </w:rPr>
      </w:pPr>
      <w:r w:rsidRPr="00EF2814">
        <w:rPr>
          <w:rFonts w:cs="Arial"/>
          <w:b/>
          <w:bCs/>
        </w:rPr>
        <w:t>Databases and Platforms</w:t>
      </w:r>
    </w:p>
    <w:p w14:paraId="622C8831" w14:textId="77777777" w:rsidR="00F602D3" w:rsidRPr="00EF2814" w:rsidRDefault="00F602D3" w:rsidP="00F602D3">
      <w:pPr>
        <w:spacing w:before="240" w:after="0"/>
        <w:rPr>
          <w:rFonts w:cs="Arial"/>
          <w:b/>
          <w:bCs/>
        </w:rPr>
      </w:pPr>
      <w:r w:rsidRPr="00EF2814">
        <w:rPr>
          <w:rFonts w:cs="Arial"/>
        </w:rPr>
        <w:t xml:space="preserve">Sources were obtained from the use of Google Scholar, PubMed, and the UWTSD library online (Pisano </w:t>
      </w:r>
      <w:r w:rsidRPr="00EF2814">
        <w:rPr>
          <w:rFonts w:cs="Arial"/>
          <w:i/>
          <w:iCs/>
        </w:rPr>
        <w:t>et al.</w:t>
      </w:r>
      <w:r w:rsidRPr="00EF2814">
        <w:rPr>
          <w:rFonts w:cs="Arial"/>
        </w:rPr>
        <w:t>, 2023). These websites were selected for the most relevant reasons that included the availability of peer-reviewed journals, UK healthcare research articles, and reliable policy documents.</w:t>
      </w:r>
    </w:p>
    <w:p w14:paraId="0028C11C" w14:textId="77777777" w:rsidR="00F602D3" w:rsidRDefault="00F602D3" w:rsidP="00B575E2">
      <w:pPr>
        <w:rPr>
          <w:rFonts w:hAnsi="Symbol" w:hint="eastAsia"/>
        </w:rPr>
      </w:pPr>
    </w:p>
    <w:p w14:paraId="25DAC1F7" w14:textId="77777777" w:rsidR="00F602D3" w:rsidRDefault="00F602D3" w:rsidP="00B575E2">
      <w:pPr>
        <w:rPr>
          <w:rFonts w:hAnsi="Symbol" w:hint="eastAsia"/>
        </w:rPr>
      </w:pPr>
    </w:p>
    <w:p w14:paraId="237E70AD" w14:textId="570E093A" w:rsidR="00B575E2" w:rsidRDefault="00B575E2" w:rsidP="00B575E2">
      <w:pPr>
        <w:rPr>
          <w:b/>
          <w:bCs/>
        </w:rPr>
      </w:pPr>
      <w:r w:rsidRPr="005B3EDE">
        <w:rPr>
          <w:rFonts w:hAnsi="Symbol"/>
        </w:rPr>
        <w:t></w:t>
      </w:r>
      <w:r w:rsidRPr="00B575E2">
        <w:t xml:space="preserve">  </w:t>
      </w:r>
      <w:r w:rsidR="00F602D3">
        <w:t xml:space="preserve"> </w:t>
      </w:r>
      <w:r w:rsidRPr="00B575E2">
        <w:rPr>
          <w:b/>
          <w:bCs/>
        </w:rPr>
        <w:t>Using Filters:</w:t>
      </w:r>
    </w:p>
    <w:p w14:paraId="42F39920" w14:textId="6E6FEE18" w:rsidR="00F602D3" w:rsidRPr="00B575E2" w:rsidRDefault="00F602D3" w:rsidP="00B575E2">
      <w:r w:rsidRPr="00F602D3">
        <w:t>Various filters have been applied in refining the literature, and they included publication dates within the last ten years, as well as UK-oriented research and peer-reviewed articles.</w:t>
      </w:r>
    </w:p>
    <w:p w14:paraId="7B614B9D" w14:textId="5084CF4F" w:rsidR="00B575E2" w:rsidRPr="00B575E2" w:rsidRDefault="00B575E2" w:rsidP="00B575E2">
      <w:r w:rsidRPr="005B3EDE">
        <w:rPr>
          <w:rFonts w:hAnsi="Symbol"/>
        </w:rPr>
        <w:t></w:t>
      </w:r>
      <w:r w:rsidRPr="00B575E2">
        <w:t xml:space="preserve">  </w:t>
      </w:r>
      <w:r w:rsidR="00F602D3">
        <w:t xml:space="preserve"> </w:t>
      </w:r>
      <w:r w:rsidRPr="00B575E2">
        <w:rPr>
          <w:b/>
          <w:bCs/>
        </w:rPr>
        <w:t>Search Process:</w:t>
      </w:r>
    </w:p>
    <w:p w14:paraId="5538D386" w14:textId="77777777" w:rsidR="00F602D3" w:rsidRPr="00F602D3" w:rsidRDefault="00F602D3" w:rsidP="00F602D3">
      <w:pPr>
        <w:spacing w:before="240" w:after="0"/>
        <w:rPr>
          <w:rFonts w:ascii="Arial" w:eastAsia="Century Schoolbook" w:hAnsi="Arial" w:cs="Arial"/>
          <w:kern w:val="0"/>
          <w:lang w:eastAsia="en-US"/>
          <w14:ligatures w14:val="none"/>
        </w:rPr>
      </w:pPr>
      <w:r w:rsidRPr="00F602D3">
        <w:rPr>
          <w:rFonts w:ascii="Arial" w:eastAsia="Century Schoolbook" w:hAnsi="Arial" w:cs="Arial"/>
          <w:kern w:val="0"/>
          <w:lang w:eastAsia="en-US"/>
          <w14:ligatures w14:val="none"/>
        </w:rPr>
        <w:t xml:space="preserve">Refinement of search processes was facilitated through the alteration of keywords, the use of alternative synonyms, and the adjustment of Boolean search combinations (Badami </w:t>
      </w:r>
      <w:r w:rsidRPr="00F602D3">
        <w:rPr>
          <w:rFonts w:ascii="Arial" w:eastAsia="Century Schoolbook" w:hAnsi="Arial" w:cs="Arial"/>
          <w:i/>
          <w:iCs/>
          <w:kern w:val="0"/>
          <w:lang w:eastAsia="en-US"/>
          <w14:ligatures w14:val="none"/>
        </w:rPr>
        <w:t>et al.,</w:t>
      </w:r>
      <w:r w:rsidRPr="00F602D3">
        <w:rPr>
          <w:rFonts w:ascii="Arial" w:eastAsia="Century Schoolbook" w:hAnsi="Arial" w:cs="Arial"/>
          <w:kern w:val="0"/>
          <w:lang w:eastAsia="en-US"/>
          <w14:ligatures w14:val="none"/>
        </w:rPr>
        <w:t xml:space="preserve"> 2023). Furthermore, a table was used for tracking sources, which helped record search processes and databases used, as well as findings of significance. </w:t>
      </w:r>
      <w:r w:rsidRPr="00F602D3">
        <w:rPr>
          <w:rFonts w:ascii="Arial" w:eastAsia="Times New Roman" w:hAnsi="Arial" w:cs="Arial"/>
          <w:b/>
          <w:bCs/>
          <w:i/>
          <w:iCs/>
          <w:color w:val="222222"/>
          <w:kern w:val="0"/>
          <w:sz w:val="24"/>
          <w:szCs w:val="24"/>
          <w:lang w:eastAsia="en-US"/>
          <w14:ligatures w14:val="none"/>
        </w:rPr>
        <w:t>[Referred to Appendix 1]</w:t>
      </w:r>
    </w:p>
    <w:p w14:paraId="6F09D47B" w14:textId="77777777" w:rsidR="00B575E2" w:rsidRPr="00F84C23" w:rsidRDefault="00B575E2" w:rsidP="00B575E2">
      <w:pPr>
        <w:ind w:left="720"/>
      </w:pPr>
    </w:p>
    <w:p w14:paraId="0BEB0164" w14:textId="51A12096" w:rsidR="00E325CF" w:rsidRDefault="00292A36">
      <w:pPr>
        <w:pStyle w:val="Heading2"/>
        <w:numPr>
          <w:ilvl w:val="1"/>
          <w:numId w:val="4"/>
        </w:numPr>
        <w:jc w:val="left"/>
      </w:pPr>
      <w:r w:rsidRPr="0021364B">
        <w:t>– Research Validation (</w:t>
      </w:r>
      <w:r w:rsidR="00F67C87">
        <w:t>1</w:t>
      </w:r>
      <w:r w:rsidR="001C3AF6">
        <w:t>5</w:t>
      </w:r>
      <w:r w:rsidRPr="0021364B">
        <w:t xml:space="preserve">0 words approx.) </w:t>
      </w:r>
      <w:r w:rsidR="00E325CF">
        <w:br/>
      </w:r>
    </w:p>
    <w:p w14:paraId="42F4700C" w14:textId="1211F05B" w:rsidR="00B575E2" w:rsidRDefault="00B575E2" w:rsidP="00B575E2">
      <w:pPr>
        <w:rPr>
          <w:b/>
          <w:bCs/>
        </w:rPr>
      </w:pPr>
      <w:r w:rsidRPr="005B3EDE">
        <w:rPr>
          <w:rFonts w:hAnsi="Symbol"/>
        </w:rPr>
        <w:t></w:t>
      </w:r>
      <w:r w:rsidRPr="00B575E2">
        <w:t xml:space="preserve">  </w:t>
      </w:r>
      <w:r w:rsidR="00F602D3">
        <w:t xml:space="preserve"> </w:t>
      </w:r>
      <w:r w:rsidRPr="00B575E2">
        <w:rPr>
          <w:b/>
          <w:bCs/>
        </w:rPr>
        <w:t>Skimming Techniques:</w:t>
      </w:r>
    </w:p>
    <w:p w14:paraId="2B039DBB" w14:textId="23B1A535" w:rsidR="00F602D3" w:rsidRPr="00B575E2" w:rsidRDefault="00820746" w:rsidP="00B575E2">
      <w:r w:rsidRPr="00820746">
        <w:t>Skimming techniques were employed to assess the relevance of articles by title, abstract, introduction, and conclusion to make an early exclusion of unsuitable sources while including literature that was compatible with the research aim.</w:t>
      </w:r>
    </w:p>
    <w:p w14:paraId="34089B50" w14:textId="711BA0D1" w:rsidR="00B575E2" w:rsidRDefault="00B575E2" w:rsidP="00B575E2">
      <w:pPr>
        <w:rPr>
          <w:b/>
          <w:bCs/>
        </w:rPr>
      </w:pPr>
      <w:r w:rsidRPr="005B3EDE">
        <w:rPr>
          <w:rFonts w:hAnsi="Symbol"/>
        </w:rPr>
        <w:t></w:t>
      </w:r>
      <w:r w:rsidRPr="00B575E2">
        <w:t xml:space="preserve">  </w:t>
      </w:r>
      <w:r w:rsidR="00820746">
        <w:t xml:space="preserve"> </w:t>
      </w:r>
      <w:r w:rsidRPr="00B575E2">
        <w:rPr>
          <w:b/>
          <w:bCs/>
        </w:rPr>
        <w:t>CRAAP Test Application:</w:t>
      </w:r>
    </w:p>
    <w:tbl>
      <w:tblPr>
        <w:tblW w:w="9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98"/>
      </w:tblGrid>
      <w:tr w:rsidR="00820746" w:rsidRPr="00820746" w14:paraId="697F7417" w14:textId="77777777" w:rsidTr="0032418C">
        <w:trPr>
          <w:trHeight w:val="1130"/>
        </w:trPr>
        <w:tc>
          <w:tcPr>
            <w:tcW w:w="9598" w:type="dxa"/>
            <w:tcMar>
              <w:top w:w="100" w:type="dxa"/>
              <w:left w:w="100" w:type="dxa"/>
              <w:bottom w:w="100" w:type="dxa"/>
              <w:right w:w="100" w:type="dxa"/>
            </w:tcMar>
          </w:tcPr>
          <w:p w14:paraId="2BDD7287" w14:textId="77777777" w:rsidR="00820746" w:rsidRPr="00820746" w:rsidRDefault="00820746" w:rsidP="00820746">
            <w:pPr>
              <w:widowControl w:val="0"/>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1. </w:t>
            </w:r>
            <w:r w:rsidRPr="00820746">
              <w:rPr>
                <w:rFonts w:ascii="Arial" w:eastAsia="Century Schoolbook" w:hAnsi="Arial" w:cs="Arial"/>
                <w:kern w:val="0"/>
                <w:lang w:eastAsia="en-US"/>
                <w14:ligatures w14:val="none"/>
              </w:rPr>
              <w:t xml:space="preserve">Goniewicz, M., </w:t>
            </w:r>
            <w:proofErr w:type="spellStart"/>
            <w:r w:rsidRPr="00820746">
              <w:rPr>
                <w:rFonts w:ascii="Arial" w:eastAsia="Century Schoolbook" w:hAnsi="Arial" w:cs="Arial"/>
                <w:kern w:val="0"/>
                <w:lang w:eastAsia="en-US"/>
                <w14:ligatures w14:val="none"/>
              </w:rPr>
              <w:t>Włoszczak-Szubzda</w:t>
            </w:r>
            <w:proofErr w:type="spellEnd"/>
            <w:r w:rsidRPr="00820746">
              <w:rPr>
                <w:rFonts w:ascii="Arial" w:eastAsia="Century Schoolbook" w:hAnsi="Arial" w:cs="Arial"/>
                <w:kern w:val="0"/>
                <w:lang w:eastAsia="en-US"/>
                <w14:ligatures w14:val="none"/>
              </w:rPr>
              <w:t>, A., Al-</w:t>
            </w:r>
            <w:proofErr w:type="spellStart"/>
            <w:r w:rsidRPr="00820746">
              <w:rPr>
                <w:rFonts w:ascii="Arial" w:eastAsia="Century Schoolbook" w:hAnsi="Arial" w:cs="Arial"/>
                <w:kern w:val="0"/>
                <w:lang w:eastAsia="en-US"/>
                <w14:ligatures w14:val="none"/>
              </w:rPr>
              <w:t>Wathinani</w:t>
            </w:r>
            <w:proofErr w:type="spellEnd"/>
            <w:r w:rsidRPr="00820746">
              <w:rPr>
                <w:rFonts w:ascii="Arial" w:eastAsia="Century Schoolbook" w:hAnsi="Arial" w:cs="Arial"/>
                <w:kern w:val="0"/>
                <w:lang w:eastAsia="en-US"/>
                <w14:ligatures w14:val="none"/>
              </w:rPr>
              <w:t xml:space="preserve">, A.M. and Goniewicz, K. (2023) ‘Resilience in Emergency Medicine during COVID-19: Evaluating Staff Expectations and Preparedness’, </w:t>
            </w:r>
            <w:r w:rsidRPr="00820746">
              <w:rPr>
                <w:rFonts w:ascii="Arial" w:eastAsia="Century Schoolbook" w:hAnsi="Arial" w:cs="Arial"/>
                <w:i/>
                <w:iCs/>
                <w:kern w:val="0"/>
                <w:lang w:eastAsia="en-US"/>
                <w14:ligatures w14:val="none"/>
              </w:rPr>
              <w:t>Journal of Personalized Medicine</w:t>
            </w:r>
            <w:r w:rsidRPr="00820746">
              <w:rPr>
                <w:rFonts w:ascii="Arial" w:eastAsia="Century Schoolbook" w:hAnsi="Arial" w:cs="Arial"/>
                <w:kern w:val="0"/>
                <w:lang w:eastAsia="en-US"/>
                <w14:ligatures w14:val="none"/>
              </w:rPr>
              <w:t>, 13(11), pp. 15-45. Available at: https://doi.org/10.3390/jpm13111545.</w:t>
            </w:r>
          </w:p>
        </w:tc>
      </w:tr>
      <w:tr w:rsidR="00820746" w:rsidRPr="00820746" w14:paraId="589E7610" w14:textId="77777777" w:rsidTr="0032418C">
        <w:trPr>
          <w:trHeight w:val="382"/>
        </w:trPr>
        <w:tc>
          <w:tcPr>
            <w:tcW w:w="9598" w:type="dxa"/>
            <w:tcMar>
              <w:top w:w="100" w:type="dxa"/>
              <w:left w:w="100" w:type="dxa"/>
              <w:bottom w:w="100" w:type="dxa"/>
              <w:right w:w="100" w:type="dxa"/>
            </w:tcMar>
          </w:tcPr>
          <w:p w14:paraId="59958865"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Currency:</w:t>
            </w:r>
            <w:r w:rsidRPr="00820746">
              <w:rPr>
                <w:rFonts w:ascii="Arial" w:eastAsia="Century Schoolbook" w:hAnsi="Arial" w:cs="Arial"/>
                <w:kern w:val="0"/>
                <w:lang w:eastAsia="en-US"/>
                <w14:ligatures w14:val="none"/>
              </w:rPr>
              <w:t xml:space="preserve"> Recently published in the post-pandemic era.</w:t>
            </w:r>
          </w:p>
        </w:tc>
      </w:tr>
      <w:tr w:rsidR="00820746" w:rsidRPr="00820746" w14:paraId="503EAE12" w14:textId="77777777" w:rsidTr="0032418C">
        <w:trPr>
          <w:trHeight w:val="382"/>
        </w:trPr>
        <w:tc>
          <w:tcPr>
            <w:tcW w:w="9598" w:type="dxa"/>
            <w:tcMar>
              <w:top w:w="100" w:type="dxa"/>
              <w:left w:w="100" w:type="dxa"/>
              <w:bottom w:w="100" w:type="dxa"/>
              <w:right w:w="100" w:type="dxa"/>
            </w:tcMar>
          </w:tcPr>
          <w:p w14:paraId="522428D1"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Relevance:</w:t>
            </w:r>
            <w:r w:rsidRPr="00820746">
              <w:rPr>
                <w:rFonts w:ascii="Arial" w:eastAsia="Century Schoolbook" w:hAnsi="Arial" w:cs="Arial"/>
                <w:kern w:val="0"/>
                <w:lang w:eastAsia="en-US"/>
                <w14:ligatures w14:val="none"/>
              </w:rPr>
              <w:t xml:space="preserve"> Resilience and preparedness in emergency medicine.</w:t>
            </w:r>
          </w:p>
        </w:tc>
      </w:tr>
      <w:tr w:rsidR="00820746" w:rsidRPr="00820746" w14:paraId="581BF613" w14:textId="77777777" w:rsidTr="0032418C">
        <w:trPr>
          <w:trHeight w:val="450"/>
        </w:trPr>
        <w:tc>
          <w:tcPr>
            <w:tcW w:w="9598" w:type="dxa"/>
            <w:tcMar>
              <w:top w:w="100" w:type="dxa"/>
              <w:left w:w="100" w:type="dxa"/>
              <w:bottom w:w="100" w:type="dxa"/>
              <w:right w:w="100" w:type="dxa"/>
            </w:tcMar>
          </w:tcPr>
          <w:p w14:paraId="0FA8C1B5"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Authors: </w:t>
            </w:r>
            <w:r w:rsidRPr="00820746">
              <w:rPr>
                <w:rFonts w:ascii="Arial" w:eastAsia="Century Schoolbook" w:hAnsi="Arial" w:cs="Arial"/>
                <w:kern w:val="0"/>
                <w:lang w:eastAsia="en-US"/>
                <w14:ligatures w14:val="none"/>
              </w:rPr>
              <w:t>Well-established international researchers.</w:t>
            </w:r>
          </w:p>
        </w:tc>
      </w:tr>
      <w:tr w:rsidR="00820746" w:rsidRPr="00820746" w14:paraId="2098FDAC" w14:textId="77777777" w:rsidTr="0032418C">
        <w:trPr>
          <w:trHeight w:val="450"/>
        </w:trPr>
        <w:tc>
          <w:tcPr>
            <w:tcW w:w="9598" w:type="dxa"/>
            <w:tcMar>
              <w:top w:w="100" w:type="dxa"/>
              <w:left w:w="100" w:type="dxa"/>
              <w:bottom w:w="100" w:type="dxa"/>
              <w:right w:w="100" w:type="dxa"/>
            </w:tcMar>
          </w:tcPr>
          <w:p w14:paraId="43BC0F05"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Accuracy:</w:t>
            </w:r>
            <w:r w:rsidRPr="00820746">
              <w:rPr>
                <w:rFonts w:ascii="Arial" w:eastAsia="Century Schoolbook" w:hAnsi="Arial" w:cs="Arial"/>
                <w:kern w:val="0"/>
                <w:lang w:eastAsia="en-US"/>
                <w14:ligatures w14:val="none"/>
              </w:rPr>
              <w:t xml:space="preserve"> Peer-reviewed empirical study.</w:t>
            </w:r>
          </w:p>
        </w:tc>
      </w:tr>
      <w:tr w:rsidR="00820746" w:rsidRPr="00820746" w14:paraId="7EACCAA5" w14:textId="77777777" w:rsidTr="0032418C">
        <w:trPr>
          <w:trHeight w:val="382"/>
        </w:trPr>
        <w:tc>
          <w:tcPr>
            <w:tcW w:w="9598" w:type="dxa"/>
            <w:tcMar>
              <w:top w:w="100" w:type="dxa"/>
              <w:left w:w="100" w:type="dxa"/>
              <w:bottom w:w="100" w:type="dxa"/>
              <w:right w:w="100" w:type="dxa"/>
            </w:tcMar>
          </w:tcPr>
          <w:p w14:paraId="28487492"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Purpose:</w:t>
            </w:r>
            <w:r w:rsidRPr="00820746">
              <w:rPr>
                <w:rFonts w:ascii="Arial" w:eastAsia="Century Schoolbook" w:hAnsi="Arial" w:cs="Arial"/>
                <w:kern w:val="0"/>
                <w:lang w:eastAsia="en-US"/>
                <w14:ligatures w14:val="none"/>
              </w:rPr>
              <w:t xml:space="preserve"> Assess the expectations and competency of the staff in view of COVID-19.</w:t>
            </w:r>
          </w:p>
        </w:tc>
      </w:tr>
    </w:tbl>
    <w:p w14:paraId="45E71254" w14:textId="77777777" w:rsidR="00820746" w:rsidRPr="00820746" w:rsidRDefault="00820746" w:rsidP="00820746">
      <w:pPr>
        <w:spacing w:before="240" w:after="0"/>
        <w:rPr>
          <w:rFonts w:ascii="Arial" w:eastAsia="Century Schoolbook" w:hAnsi="Arial" w:cs="Arial"/>
          <w:kern w:val="0"/>
          <w:lang w:eastAsia="en-US"/>
          <w14:ligatures w14:val="none"/>
        </w:rPr>
      </w:pPr>
    </w:p>
    <w:tbl>
      <w:tblPr>
        <w:tblW w:w="95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59"/>
      </w:tblGrid>
      <w:tr w:rsidR="00820746" w:rsidRPr="00820746" w14:paraId="22A3C740" w14:textId="77777777" w:rsidTr="0032418C">
        <w:trPr>
          <w:trHeight w:val="785"/>
        </w:trPr>
        <w:tc>
          <w:tcPr>
            <w:tcW w:w="9559" w:type="dxa"/>
            <w:tcMar>
              <w:top w:w="100" w:type="dxa"/>
              <w:left w:w="100" w:type="dxa"/>
              <w:bottom w:w="100" w:type="dxa"/>
              <w:right w:w="100" w:type="dxa"/>
            </w:tcMar>
          </w:tcPr>
          <w:p w14:paraId="4CB6FA0E" w14:textId="77777777" w:rsidR="00820746" w:rsidRPr="00820746" w:rsidRDefault="00820746" w:rsidP="00820746">
            <w:pPr>
              <w:widowControl w:val="0"/>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2.</w:t>
            </w:r>
            <w:r w:rsidRPr="00820746">
              <w:rPr>
                <w:rFonts w:ascii="Arial" w:eastAsia="Century Schoolbook" w:hAnsi="Arial" w:cs="Arial"/>
                <w:kern w:val="0"/>
                <w:lang w:eastAsia="en-US"/>
                <w14:ligatures w14:val="none"/>
              </w:rPr>
              <w:t xml:space="preserve"> Pearse, C. and Scott, S. (2023) ‘A Review of Clinical Laboratory Education, Training and Progression: Historical Challenges, the Impact of COVID-19 and Future Considerations’, </w:t>
            </w:r>
            <w:r w:rsidRPr="00820746">
              <w:rPr>
                <w:rFonts w:ascii="Arial" w:eastAsia="Century Schoolbook" w:hAnsi="Arial" w:cs="Arial"/>
                <w:i/>
                <w:iCs/>
                <w:kern w:val="0"/>
                <w:lang w:eastAsia="en-US"/>
                <w14:ligatures w14:val="none"/>
              </w:rPr>
              <w:t>British Journal of Biomedical Science</w:t>
            </w:r>
            <w:r w:rsidRPr="00820746">
              <w:rPr>
                <w:rFonts w:ascii="Arial" w:eastAsia="Century Schoolbook" w:hAnsi="Arial" w:cs="Arial"/>
                <w:kern w:val="0"/>
                <w:lang w:eastAsia="en-US"/>
                <w14:ligatures w14:val="none"/>
              </w:rPr>
              <w:t>, 80. pp. 102-150. Available at: https://doi.org/10.3389/bjbs.2023.11266.</w:t>
            </w:r>
          </w:p>
        </w:tc>
      </w:tr>
      <w:tr w:rsidR="00820746" w:rsidRPr="00820746" w14:paraId="5926F691" w14:textId="77777777" w:rsidTr="0032418C">
        <w:trPr>
          <w:trHeight w:val="384"/>
        </w:trPr>
        <w:tc>
          <w:tcPr>
            <w:tcW w:w="9559" w:type="dxa"/>
            <w:tcMar>
              <w:top w:w="100" w:type="dxa"/>
              <w:left w:w="100" w:type="dxa"/>
              <w:bottom w:w="100" w:type="dxa"/>
              <w:right w:w="100" w:type="dxa"/>
            </w:tcMar>
          </w:tcPr>
          <w:p w14:paraId="001FA5C4"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Currency:</w:t>
            </w:r>
            <w:r w:rsidRPr="00820746">
              <w:rPr>
                <w:rFonts w:ascii="Arial" w:eastAsia="Century Schoolbook" w:hAnsi="Arial" w:cs="Arial"/>
                <w:kern w:val="0"/>
                <w:lang w:eastAsia="en-US"/>
                <w14:ligatures w14:val="none"/>
              </w:rPr>
              <w:t xml:space="preserve"> Current COVID-19-related study.</w:t>
            </w:r>
          </w:p>
        </w:tc>
      </w:tr>
      <w:tr w:rsidR="00820746" w:rsidRPr="00820746" w14:paraId="65DD9202" w14:textId="77777777" w:rsidTr="0032418C">
        <w:trPr>
          <w:trHeight w:val="367"/>
        </w:trPr>
        <w:tc>
          <w:tcPr>
            <w:tcW w:w="9559" w:type="dxa"/>
            <w:tcMar>
              <w:top w:w="100" w:type="dxa"/>
              <w:left w:w="100" w:type="dxa"/>
              <w:bottom w:w="100" w:type="dxa"/>
              <w:right w:w="100" w:type="dxa"/>
            </w:tcMar>
          </w:tcPr>
          <w:p w14:paraId="46CDF284"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Relevance:</w:t>
            </w:r>
            <w:r w:rsidRPr="00820746">
              <w:rPr>
                <w:rFonts w:ascii="Arial" w:eastAsia="Century Schoolbook" w:hAnsi="Arial" w:cs="Arial"/>
                <w:kern w:val="0"/>
                <w:lang w:eastAsia="en-US"/>
                <w14:ligatures w14:val="none"/>
              </w:rPr>
              <w:t xml:space="preserve"> Clinical education and training effects.</w:t>
            </w:r>
          </w:p>
        </w:tc>
      </w:tr>
      <w:tr w:rsidR="00820746" w:rsidRPr="00820746" w14:paraId="6545832F" w14:textId="77777777" w:rsidTr="0032418C">
        <w:trPr>
          <w:trHeight w:val="384"/>
        </w:trPr>
        <w:tc>
          <w:tcPr>
            <w:tcW w:w="9559" w:type="dxa"/>
            <w:tcMar>
              <w:top w:w="100" w:type="dxa"/>
              <w:left w:w="100" w:type="dxa"/>
              <w:bottom w:w="100" w:type="dxa"/>
              <w:right w:w="100" w:type="dxa"/>
            </w:tcMar>
          </w:tcPr>
          <w:p w14:paraId="003751B0"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Authority: </w:t>
            </w:r>
            <w:r w:rsidRPr="00820746">
              <w:rPr>
                <w:rFonts w:ascii="Arial" w:eastAsia="Century Schoolbook" w:hAnsi="Arial" w:cs="Arial"/>
                <w:kern w:val="0"/>
                <w:lang w:eastAsia="en-US"/>
                <w14:ligatures w14:val="none"/>
              </w:rPr>
              <w:t>UK biomedical science professionals.</w:t>
            </w:r>
          </w:p>
        </w:tc>
      </w:tr>
      <w:tr w:rsidR="00820746" w:rsidRPr="00820746" w14:paraId="7A77FE70" w14:textId="77777777" w:rsidTr="0032418C">
        <w:trPr>
          <w:trHeight w:val="384"/>
        </w:trPr>
        <w:tc>
          <w:tcPr>
            <w:tcW w:w="9559" w:type="dxa"/>
            <w:tcMar>
              <w:top w:w="100" w:type="dxa"/>
              <w:left w:w="100" w:type="dxa"/>
              <w:bottom w:w="100" w:type="dxa"/>
              <w:right w:w="100" w:type="dxa"/>
            </w:tcMar>
          </w:tcPr>
          <w:p w14:paraId="36C68F66"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Accuracy:</w:t>
            </w:r>
            <w:r w:rsidRPr="00820746">
              <w:rPr>
                <w:rFonts w:ascii="Arial" w:eastAsia="Century Schoolbook" w:hAnsi="Arial" w:cs="Arial"/>
                <w:kern w:val="0"/>
                <w:lang w:eastAsia="en-US"/>
                <w14:ligatures w14:val="none"/>
              </w:rPr>
              <w:t xml:space="preserve"> Peer-reviewed narrative review.</w:t>
            </w:r>
          </w:p>
        </w:tc>
      </w:tr>
      <w:tr w:rsidR="00820746" w:rsidRPr="00820746" w14:paraId="210B56F9" w14:textId="77777777" w:rsidTr="0032418C">
        <w:trPr>
          <w:trHeight w:val="384"/>
        </w:trPr>
        <w:tc>
          <w:tcPr>
            <w:tcW w:w="9559" w:type="dxa"/>
            <w:tcMar>
              <w:top w:w="100" w:type="dxa"/>
              <w:left w:w="100" w:type="dxa"/>
              <w:bottom w:w="100" w:type="dxa"/>
              <w:right w:w="100" w:type="dxa"/>
            </w:tcMar>
          </w:tcPr>
          <w:p w14:paraId="68690C57"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Purpose: </w:t>
            </w:r>
            <w:r w:rsidRPr="00820746">
              <w:rPr>
                <w:rFonts w:ascii="Arial" w:eastAsia="Century Schoolbook" w:hAnsi="Arial" w:cs="Arial"/>
                <w:kern w:val="0"/>
                <w:lang w:eastAsia="en-US"/>
                <w14:ligatures w14:val="none"/>
              </w:rPr>
              <w:t>Discuss training challenges and future workforce development.</w:t>
            </w:r>
          </w:p>
        </w:tc>
      </w:tr>
    </w:tbl>
    <w:p w14:paraId="4B14617A" w14:textId="77777777" w:rsidR="00820746" w:rsidRPr="00820746" w:rsidRDefault="00820746" w:rsidP="00820746">
      <w:pPr>
        <w:spacing w:before="240" w:after="0"/>
        <w:rPr>
          <w:rFonts w:ascii="Arial" w:eastAsia="Century Schoolbook" w:hAnsi="Arial" w:cs="Arial"/>
          <w:kern w:val="0"/>
          <w:lang w:eastAsia="en-US"/>
          <w14:ligatures w14:val="none"/>
        </w:rPr>
      </w:pPr>
    </w:p>
    <w:tbl>
      <w:tblPr>
        <w:tblW w:w="95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91"/>
      </w:tblGrid>
      <w:tr w:rsidR="00820746" w:rsidRPr="00820746" w14:paraId="7386E87E" w14:textId="77777777" w:rsidTr="0032418C">
        <w:trPr>
          <w:trHeight w:val="1555"/>
        </w:trPr>
        <w:tc>
          <w:tcPr>
            <w:tcW w:w="9591" w:type="dxa"/>
            <w:tcMar>
              <w:top w:w="100" w:type="dxa"/>
              <w:left w:w="100" w:type="dxa"/>
              <w:bottom w:w="100" w:type="dxa"/>
              <w:right w:w="100" w:type="dxa"/>
            </w:tcMar>
          </w:tcPr>
          <w:p w14:paraId="67EC690C" w14:textId="77777777" w:rsidR="00820746" w:rsidRPr="00820746" w:rsidRDefault="00820746" w:rsidP="00820746">
            <w:pPr>
              <w:widowControl w:val="0"/>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3.</w:t>
            </w:r>
            <w:r w:rsidRPr="00820746">
              <w:rPr>
                <w:rFonts w:ascii="Arial" w:eastAsia="Century Schoolbook" w:hAnsi="Arial" w:cs="Arial"/>
                <w:kern w:val="0"/>
                <w:lang w:eastAsia="en-US"/>
                <w14:ligatures w14:val="none"/>
              </w:rPr>
              <w:t xml:space="preserve"> Faulkner-Gurstein, R., Wyatt, D., Cowan, H., Hare, N., Harris, C. and Wolfe, C. (2022) ‘The organization and impacts of clinical research delivery workforce redeployment during the COVID-19 pandemic: a qualitative case study of one research-intensive acute hospital trust’, </w:t>
            </w:r>
            <w:r w:rsidRPr="00820746">
              <w:rPr>
                <w:rFonts w:ascii="Arial" w:eastAsia="Century Schoolbook" w:hAnsi="Arial" w:cs="Arial"/>
                <w:i/>
                <w:iCs/>
                <w:kern w:val="0"/>
                <w:lang w:eastAsia="en-US"/>
                <w14:ligatures w14:val="none"/>
              </w:rPr>
              <w:t>Health Research Policy and Systems</w:t>
            </w:r>
            <w:r w:rsidRPr="00820746">
              <w:rPr>
                <w:rFonts w:ascii="Arial" w:eastAsia="Century Schoolbook" w:hAnsi="Arial" w:cs="Arial"/>
                <w:kern w:val="0"/>
                <w:lang w:eastAsia="en-US"/>
                <w14:ligatures w14:val="none"/>
              </w:rPr>
              <w:t>, 20(1). pp. 60-70. Available at: https://doi.org/10.1186/s12961-022-00876-5.</w:t>
            </w:r>
          </w:p>
        </w:tc>
      </w:tr>
      <w:tr w:rsidR="00820746" w:rsidRPr="00820746" w14:paraId="16477A3E" w14:textId="77777777" w:rsidTr="0032418C">
        <w:trPr>
          <w:trHeight w:val="392"/>
        </w:trPr>
        <w:tc>
          <w:tcPr>
            <w:tcW w:w="9591" w:type="dxa"/>
            <w:tcMar>
              <w:top w:w="100" w:type="dxa"/>
              <w:left w:w="100" w:type="dxa"/>
              <w:bottom w:w="100" w:type="dxa"/>
              <w:right w:w="100" w:type="dxa"/>
            </w:tcMar>
          </w:tcPr>
          <w:p w14:paraId="199222A3"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Currency:</w:t>
            </w:r>
            <w:r w:rsidRPr="00820746">
              <w:rPr>
                <w:rFonts w:ascii="Arial" w:eastAsia="Century Schoolbook" w:hAnsi="Arial" w:cs="Arial"/>
                <w:kern w:val="0"/>
                <w:lang w:eastAsia="en-US"/>
                <w14:ligatures w14:val="none"/>
              </w:rPr>
              <w:t xml:space="preserve"> Published during the later phase of the pandemic.</w:t>
            </w:r>
          </w:p>
        </w:tc>
      </w:tr>
      <w:tr w:rsidR="00820746" w:rsidRPr="00820746" w14:paraId="02F11382" w14:textId="77777777" w:rsidTr="0032418C">
        <w:trPr>
          <w:trHeight w:val="374"/>
        </w:trPr>
        <w:tc>
          <w:tcPr>
            <w:tcW w:w="9591" w:type="dxa"/>
            <w:tcMar>
              <w:top w:w="100" w:type="dxa"/>
              <w:left w:w="100" w:type="dxa"/>
              <w:bottom w:w="100" w:type="dxa"/>
              <w:right w:w="100" w:type="dxa"/>
            </w:tcMar>
          </w:tcPr>
          <w:p w14:paraId="4F296ABF"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Relevance:</w:t>
            </w:r>
            <w:r w:rsidRPr="00820746">
              <w:rPr>
                <w:rFonts w:ascii="Arial" w:eastAsia="Century Schoolbook" w:hAnsi="Arial" w:cs="Arial"/>
                <w:kern w:val="0"/>
                <w:lang w:eastAsia="en-US"/>
                <w14:ligatures w14:val="none"/>
              </w:rPr>
              <w:t xml:space="preserve"> workforce redeployment and competency implications.</w:t>
            </w:r>
          </w:p>
        </w:tc>
      </w:tr>
      <w:tr w:rsidR="00820746" w:rsidRPr="00820746" w14:paraId="31E7A3FE" w14:textId="77777777" w:rsidTr="0032418C">
        <w:trPr>
          <w:trHeight w:val="392"/>
        </w:trPr>
        <w:tc>
          <w:tcPr>
            <w:tcW w:w="9591" w:type="dxa"/>
            <w:tcMar>
              <w:top w:w="100" w:type="dxa"/>
              <w:left w:w="100" w:type="dxa"/>
              <w:bottom w:w="100" w:type="dxa"/>
              <w:right w:w="100" w:type="dxa"/>
            </w:tcMar>
          </w:tcPr>
          <w:p w14:paraId="758607D6"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Authority:</w:t>
            </w:r>
            <w:r w:rsidRPr="00820746">
              <w:rPr>
                <w:rFonts w:ascii="Arial" w:eastAsia="Century Schoolbook" w:hAnsi="Arial" w:cs="Arial"/>
                <w:kern w:val="0"/>
                <w:lang w:eastAsia="en-US"/>
                <w14:ligatures w14:val="none"/>
              </w:rPr>
              <w:t xml:space="preserve"> UK healthcare researchers.</w:t>
            </w:r>
          </w:p>
        </w:tc>
      </w:tr>
      <w:tr w:rsidR="00820746" w:rsidRPr="00820746" w14:paraId="5768CAE6" w14:textId="77777777" w:rsidTr="0032418C">
        <w:trPr>
          <w:trHeight w:val="392"/>
        </w:trPr>
        <w:tc>
          <w:tcPr>
            <w:tcW w:w="9591" w:type="dxa"/>
            <w:tcMar>
              <w:top w:w="100" w:type="dxa"/>
              <w:left w:w="100" w:type="dxa"/>
              <w:bottom w:w="100" w:type="dxa"/>
              <w:right w:w="100" w:type="dxa"/>
            </w:tcMar>
          </w:tcPr>
          <w:p w14:paraId="1E8B0C6F"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Accuracy:</w:t>
            </w:r>
            <w:r w:rsidRPr="00820746">
              <w:rPr>
                <w:rFonts w:ascii="Arial" w:eastAsia="Century Schoolbook" w:hAnsi="Arial" w:cs="Arial"/>
                <w:kern w:val="0"/>
                <w:lang w:eastAsia="en-US"/>
                <w14:ligatures w14:val="none"/>
              </w:rPr>
              <w:t xml:space="preserve"> A qualitative case study.</w:t>
            </w:r>
          </w:p>
        </w:tc>
      </w:tr>
      <w:tr w:rsidR="00820746" w:rsidRPr="00820746" w14:paraId="39641134" w14:textId="77777777" w:rsidTr="0032418C">
        <w:trPr>
          <w:trHeight w:val="392"/>
        </w:trPr>
        <w:tc>
          <w:tcPr>
            <w:tcW w:w="9591" w:type="dxa"/>
            <w:tcMar>
              <w:top w:w="100" w:type="dxa"/>
              <w:left w:w="100" w:type="dxa"/>
              <w:bottom w:w="100" w:type="dxa"/>
              <w:right w:w="100" w:type="dxa"/>
            </w:tcMar>
          </w:tcPr>
          <w:p w14:paraId="6A3CCBD1"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Purpose: </w:t>
            </w:r>
            <w:r w:rsidRPr="00820746">
              <w:rPr>
                <w:rFonts w:ascii="Arial" w:eastAsia="Century Schoolbook" w:hAnsi="Arial" w:cs="Arial"/>
                <w:kern w:val="0"/>
                <w:lang w:eastAsia="en-US"/>
                <w14:ligatures w14:val="none"/>
              </w:rPr>
              <w:t>Analyse the impact of redeployment on organisations.</w:t>
            </w:r>
          </w:p>
        </w:tc>
      </w:tr>
    </w:tbl>
    <w:p w14:paraId="4EF4D088" w14:textId="77777777" w:rsidR="00820746" w:rsidRPr="00820746" w:rsidRDefault="00820746" w:rsidP="00820746">
      <w:pPr>
        <w:spacing w:before="240" w:after="0"/>
        <w:rPr>
          <w:rFonts w:ascii="Arial" w:eastAsia="Century Schoolbook" w:hAnsi="Arial" w:cs="Arial"/>
          <w:kern w:val="0"/>
          <w:lang w:eastAsia="en-US"/>
          <w14:ligatures w14:val="none"/>
        </w:rPr>
      </w:pPr>
    </w:p>
    <w:tbl>
      <w:tblPr>
        <w:tblW w:w="97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75"/>
      </w:tblGrid>
      <w:tr w:rsidR="00820746" w:rsidRPr="00820746" w14:paraId="5002A972" w14:textId="77777777" w:rsidTr="0032418C">
        <w:trPr>
          <w:trHeight w:val="1440"/>
        </w:trPr>
        <w:tc>
          <w:tcPr>
            <w:tcW w:w="9775" w:type="dxa"/>
            <w:tcMar>
              <w:top w:w="100" w:type="dxa"/>
              <w:left w:w="100" w:type="dxa"/>
              <w:bottom w:w="100" w:type="dxa"/>
              <w:right w:w="100" w:type="dxa"/>
            </w:tcMar>
          </w:tcPr>
          <w:p w14:paraId="20F0C6AD" w14:textId="77777777" w:rsidR="00820746" w:rsidRPr="00820746" w:rsidRDefault="00820746" w:rsidP="00820746">
            <w:pPr>
              <w:widowControl w:val="0"/>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4.</w:t>
            </w:r>
            <w:r w:rsidRPr="00820746">
              <w:rPr>
                <w:rFonts w:ascii="Arial" w:eastAsia="Century Schoolbook" w:hAnsi="Arial" w:cs="Arial"/>
                <w:kern w:val="0"/>
                <w:lang w:eastAsia="en-US"/>
                <w14:ligatures w14:val="none"/>
              </w:rPr>
              <w:t xml:space="preserve"> Boutros, P., Kassem, N., Nieder, J., Jaramillo, C., von Petersdorff, J., Walsh, F.J., </w:t>
            </w:r>
            <w:proofErr w:type="spellStart"/>
            <w:r w:rsidRPr="00820746">
              <w:rPr>
                <w:rFonts w:ascii="Arial" w:eastAsia="Century Schoolbook" w:hAnsi="Arial" w:cs="Arial"/>
                <w:kern w:val="0"/>
                <w:lang w:eastAsia="en-US"/>
                <w14:ligatures w14:val="none"/>
              </w:rPr>
              <w:t>Bärnighausen</w:t>
            </w:r>
            <w:proofErr w:type="spellEnd"/>
            <w:r w:rsidRPr="00820746">
              <w:rPr>
                <w:rFonts w:ascii="Arial" w:eastAsia="Century Schoolbook" w:hAnsi="Arial" w:cs="Arial"/>
                <w:kern w:val="0"/>
                <w:lang w:eastAsia="en-US"/>
                <w14:ligatures w14:val="none"/>
              </w:rPr>
              <w:t xml:space="preserve">, T. and </w:t>
            </w:r>
            <w:proofErr w:type="spellStart"/>
            <w:r w:rsidRPr="00820746">
              <w:rPr>
                <w:rFonts w:ascii="Arial" w:eastAsia="Century Schoolbook" w:hAnsi="Arial" w:cs="Arial"/>
                <w:kern w:val="0"/>
                <w:lang w:eastAsia="en-US"/>
                <w14:ligatures w14:val="none"/>
              </w:rPr>
              <w:t>Barteit</w:t>
            </w:r>
            <w:proofErr w:type="spellEnd"/>
            <w:r w:rsidRPr="00820746">
              <w:rPr>
                <w:rFonts w:ascii="Arial" w:eastAsia="Century Schoolbook" w:hAnsi="Arial" w:cs="Arial"/>
                <w:kern w:val="0"/>
                <w:lang w:eastAsia="en-US"/>
                <w14:ligatures w14:val="none"/>
              </w:rPr>
              <w:t xml:space="preserve">, S. (2023) ‘Education and Training Adaptations for Health Workers during the COVID-19 Pandemic: A Scoping Review of Lessons Learned and Innovations’, </w:t>
            </w:r>
            <w:r w:rsidRPr="00820746">
              <w:rPr>
                <w:rFonts w:ascii="Arial" w:eastAsia="Century Schoolbook" w:hAnsi="Arial" w:cs="Arial"/>
                <w:i/>
                <w:iCs/>
                <w:kern w:val="0"/>
                <w:lang w:eastAsia="en-US"/>
                <w14:ligatures w14:val="none"/>
              </w:rPr>
              <w:t>Healthcare</w:t>
            </w:r>
            <w:r w:rsidRPr="00820746">
              <w:rPr>
                <w:rFonts w:ascii="Arial" w:eastAsia="Century Schoolbook" w:hAnsi="Arial" w:cs="Arial"/>
                <w:kern w:val="0"/>
                <w:lang w:eastAsia="en-US"/>
                <w14:ligatures w14:val="none"/>
              </w:rPr>
              <w:t>, 11(21), pp. 50-55. Available at: https://doi.org/10.3390/healthcare11212902.</w:t>
            </w:r>
          </w:p>
        </w:tc>
      </w:tr>
      <w:tr w:rsidR="00820746" w:rsidRPr="00820746" w14:paraId="49684F76" w14:textId="77777777" w:rsidTr="0032418C">
        <w:trPr>
          <w:trHeight w:val="403"/>
        </w:trPr>
        <w:tc>
          <w:tcPr>
            <w:tcW w:w="9775" w:type="dxa"/>
            <w:tcMar>
              <w:top w:w="100" w:type="dxa"/>
              <w:left w:w="100" w:type="dxa"/>
              <w:bottom w:w="100" w:type="dxa"/>
              <w:right w:w="100" w:type="dxa"/>
            </w:tcMar>
          </w:tcPr>
          <w:p w14:paraId="112B6903"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Currency:</w:t>
            </w:r>
            <w:r w:rsidRPr="00820746">
              <w:rPr>
                <w:rFonts w:ascii="Arial" w:eastAsia="Century Schoolbook" w:hAnsi="Arial" w:cs="Arial"/>
                <w:kern w:val="0"/>
                <w:lang w:eastAsia="en-US"/>
                <w14:ligatures w14:val="none"/>
              </w:rPr>
              <w:t xml:space="preserve"> An update of the COVID-19 situation around the world to date.</w:t>
            </w:r>
          </w:p>
        </w:tc>
      </w:tr>
      <w:tr w:rsidR="00820746" w:rsidRPr="00820746" w14:paraId="14FE710A" w14:textId="77777777" w:rsidTr="0032418C">
        <w:trPr>
          <w:trHeight w:val="359"/>
        </w:trPr>
        <w:tc>
          <w:tcPr>
            <w:tcW w:w="9775" w:type="dxa"/>
            <w:tcMar>
              <w:top w:w="100" w:type="dxa"/>
              <w:left w:w="100" w:type="dxa"/>
              <w:bottom w:w="100" w:type="dxa"/>
              <w:right w:w="100" w:type="dxa"/>
            </w:tcMar>
          </w:tcPr>
          <w:p w14:paraId="41BD449F"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lastRenderedPageBreak/>
              <w:t xml:space="preserve">Relevance: </w:t>
            </w:r>
            <w:r w:rsidRPr="00820746">
              <w:rPr>
                <w:rFonts w:ascii="Arial" w:eastAsia="Century Schoolbook" w:hAnsi="Arial" w:cs="Arial"/>
                <w:kern w:val="0"/>
                <w:lang w:eastAsia="en-US"/>
                <w14:ligatures w14:val="none"/>
              </w:rPr>
              <w:t>Training adaptations for health workers.</w:t>
            </w:r>
          </w:p>
        </w:tc>
      </w:tr>
      <w:tr w:rsidR="00820746" w:rsidRPr="00820746" w14:paraId="302D1644" w14:textId="77777777" w:rsidTr="0032418C">
        <w:trPr>
          <w:trHeight w:val="187"/>
        </w:trPr>
        <w:tc>
          <w:tcPr>
            <w:tcW w:w="9775" w:type="dxa"/>
            <w:tcMar>
              <w:top w:w="100" w:type="dxa"/>
              <w:left w:w="100" w:type="dxa"/>
              <w:bottom w:w="100" w:type="dxa"/>
              <w:right w:w="100" w:type="dxa"/>
            </w:tcMar>
          </w:tcPr>
          <w:p w14:paraId="004347FB"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Authority: </w:t>
            </w:r>
            <w:r w:rsidRPr="00820746">
              <w:rPr>
                <w:rFonts w:ascii="Arial" w:eastAsia="Century Schoolbook" w:hAnsi="Arial" w:cs="Arial"/>
                <w:kern w:val="0"/>
                <w:lang w:eastAsia="en-US"/>
                <w14:ligatures w14:val="none"/>
              </w:rPr>
              <w:t>Multidisciplinary international authors.</w:t>
            </w:r>
          </w:p>
        </w:tc>
      </w:tr>
      <w:tr w:rsidR="00820746" w:rsidRPr="00820746" w14:paraId="62F44FD2" w14:textId="77777777" w:rsidTr="0032418C">
        <w:trPr>
          <w:trHeight w:val="327"/>
        </w:trPr>
        <w:tc>
          <w:tcPr>
            <w:tcW w:w="9775" w:type="dxa"/>
            <w:tcMar>
              <w:top w:w="100" w:type="dxa"/>
              <w:left w:w="100" w:type="dxa"/>
              <w:bottom w:w="100" w:type="dxa"/>
              <w:right w:w="100" w:type="dxa"/>
            </w:tcMar>
          </w:tcPr>
          <w:p w14:paraId="4CBBFD61"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Accuracy: </w:t>
            </w:r>
            <w:r w:rsidRPr="00820746">
              <w:rPr>
                <w:rFonts w:ascii="Arial" w:eastAsia="Century Schoolbook" w:hAnsi="Arial" w:cs="Arial"/>
                <w:kern w:val="0"/>
                <w:lang w:eastAsia="en-US"/>
                <w14:ligatures w14:val="none"/>
              </w:rPr>
              <w:t>Scoping review of scholarly peer-reviewed articles.</w:t>
            </w:r>
          </w:p>
        </w:tc>
      </w:tr>
      <w:tr w:rsidR="00820746" w:rsidRPr="00820746" w14:paraId="147BBB1D" w14:textId="77777777" w:rsidTr="0032418C">
        <w:trPr>
          <w:trHeight w:val="283"/>
        </w:trPr>
        <w:tc>
          <w:tcPr>
            <w:tcW w:w="9775" w:type="dxa"/>
            <w:tcMar>
              <w:top w:w="100" w:type="dxa"/>
              <w:left w:w="100" w:type="dxa"/>
              <w:bottom w:w="100" w:type="dxa"/>
              <w:right w:w="100" w:type="dxa"/>
            </w:tcMar>
          </w:tcPr>
          <w:p w14:paraId="51A72678"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Purpose:</w:t>
            </w:r>
            <w:r w:rsidRPr="00820746">
              <w:rPr>
                <w:rFonts w:ascii="Arial" w:eastAsia="Century Schoolbook" w:hAnsi="Arial" w:cs="Arial"/>
                <w:kern w:val="0"/>
                <w:lang w:eastAsia="en-US"/>
                <w14:ligatures w14:val="none"/>
              </w:rPr>
              <w:t xml:space="preserve"> Identify innovations and lessons for emergency training.</w:t>
            </w:r>
          </w:p>
        </w:tc>
      </w:tr>
    </w:tbl>
    <w:p w14:paraId="69C60220" w14:textId="77777777" w:rsidR="00820746" w:rsidRPr="00820746" w:rsidRDefault="00820746" w:rsidP="00820746">
      <w:pPr>
        <w:spacing w:before="240" w:after="0"/>
        <w:rPr>
          <w:rFonts w:ascii="Arial" w:eastAsia="Century Schoolbook" w:hAnsi="Arial" w:cs="Arial"/>
          <w:kern w:val="0"/>
          <w:lang w:eastAsia="en-US"/>
          <w14:ligatures w14:val="none"/>
        </w:rPr>
      </w:pPr>
    </w:p>
    <w:tbl>
      <w:tblPr>
        <w:tblW w:w="97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63"/>
      </w:tblGrid>
      <w:tr w:rsidR="00820746" w:rsidRPr="00820746" w14:paraId="4EF624D7" w14:textId="77777777" w:rsidTr="0032418C">
        <w:trPr>
          <w:trHeight w:val="1015"/>
        </w:trPr>
        <w:tc>
          <w:tcPr>
            <w:tcW w:w="9763" w:type="dxa"/>
            <w:tcMar>
              <w:top w:w="100" w:type="dxa"/>
              <w:left w:w="100" w:type="dxa"/>
              <w:bottom w:w="100" w:type="dxa"/>
              <w:right w:w="100" w:type="dxa"/>
            </w:tcMar>
          </w:tcPr>
          <w:p w14:paraId="6C4C8779" w14:textId="77777777" w:rsidR="00820746" w:rsidRPr="00820746" w:rsidRDefault="00820746" w:rsidP="00820746">
            <w:pPr>
              <w:widowControl w:val="0"/>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5. </w:t>
            </w:r>
            <w:r w:rsidRPr="00820746">
              <w:rPr>
                <w:rFonts w:ascii="Arial" w:eastAsia="Century Schoolbook" w:hAnsi="Arial" w:cs="Arial"/>
                <w:kern w:val="0"/>
                <w:lang w:eastAsia="en-US"/>
                <w14:ligatures w14:val="none"/>
              </w:rPr>
              <w:t>Martin, P., Tian, E., Kumar, S. and Lizarondo, L. (2022) ‘A rapid review of the impact of COVID</w:t>
            </w:r>
            <w:r w:rsidRPr="00820746">
              <w:rPr>
                <w:rFonts w:ascii="Cambria Math" w:eastAsia="Century Schoolbook" w:hAnsi="Cambria Math" w:cs="Cambria Math"/>
                <w:kern w:val="0"/>
                <w:lang w:eastAsia="en-US"/>
                <w14:ligatures w14:val="none"/>
              </w:rPr>
              <w:t>‐</w:t>
            </w:r>
            <w:r w:rsidRPr="00820746">
              <w:rPr>
                <w:rFonts w:ascii="Arial" w:eastAsia="Century Schoolbook" w:hAnsi="Arial" w:cs="Arial"/>
                <w:kern w:val="0"/>
                <w:lang w:eastAsia="en-US"/>
                <w14:ligatures w14:val="none"/>
              </w:rPr>
              <w:t>19 on clinical supervision practices of healthcare workers and students in healthcare settings’, Journal of Advanced Nursing, 78(11), pp. 3531–3539. Available at: https://doi.org/10.1111/jan.15360.</w:t>
            </w:r>
          </w:p>
        </w:tc>
      </w:tr>
      <w:tr w:rsidR="00820746" w:rsidRPr="00820746" w14:paraId="42845D34" w14:textId="77777777" w:rsidTr="0032418C">
        <w:trPr>
          <w:trHeight w:val="323"/>
        </w:trPr>
        <w:tc>
          <w:tcPr>
            <w:tcW w:w="9763" w:type="dxa"/>
            <w:tcMar>
              <w:top w:w="100" w:type="dxa"/>
              <w:left w:w="100" w:type="dxa"/>
              <w:bottom w:w="100" w:type="dxa"/>
              <w:right w:w="100" w:type="dxa"/>
            </w:tcMar>
          </w:tcPr>
          <w:p w14:paraId="53F03DEC"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Currency: </w:t>
            </w:r>
            <w:r w:rsidRPr="00820746">
              <w:rPr>
                <w:rFonts w:ascii="Arial" w:eastAsia="Century Schoolbook" w:hAnsi="Arial" w:cs="Arial"/>
                <w:kern w:val="0"/>
                <w:lang w:eastAsia="en-US"/>
                <w14:ligatures w14:val="none"/>
              </w:rPr>
              <w:t>Pandemic-era publication.</w:t>
            </w:r>
          </w:p>
        </w:tc>
      </w:tr>
      <w:tr w:rsidR="00820746" w:rsidRPr="00820746" w14:paraId="555D4A36" w14:textId="77777777" w:rsidTr="0032418C">
        <w:trPr>
          <w:trHeight w:val="338"/>
        </w:trPr>
        <w:tc>
          <w:tcPr>
            <w:tcW w:w="9763" w:type="dxa"/>
            <w:tcMar>
              <w:top w:w="100" w:type="dxa"/>
              <w:left w:w="100" w:type="dxa"/>
              <w:bottom w:w="100" w:type="dxa"/>
              <w:right w:w="100" w:type="dxa"/>
            </w:tcMar>
          </w:tcPr>
          <w:p w14:paraId="6AF85EE4"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Relevance</w:t>
            </w:r>
            <w:r w:rsidRPr="00820746">
              <w:rPr>
                <w:rFonts w:ascii="Arial" w:eastAsia="Century Schoolbook" w:hAnsi="Arial" w:cs="Arial"/>
                <w:kern w:val="0"/>
                <w:lang w:eastAsia="en-US"/>
                <w14:ligatures w14:val="none"/>
              </w:rPr>
              <w:t xml:space="preserve"> to clinical supervision and competence support.</w:t>
            </w:r>
          </w:p>
        </w:tc>
      </w:tr>
      <w:tr w:rsidR="00820746" w:rsidRPr="00820746" w14:paraId="2ADC701B" w14:textId="77777777" w:rsidTr="0032418C">
        <w:trPr>
          <w:trHeight w:val="338"/>
        </w:trPr>
        <w:tc>
          <w:tcPr>
            <w:tcW w:w="9763" w:type="dxa"/>
            <w:tcMar>
              <w:top w:w="100" w:type="dxa"/>
              <w:left w:w="100" w:type="dxa"/>
              <w:bottom w:w="100" w:type="dxa"/>
              <w:right w:w="100" w:type="dxa"/>
            </w:tcMar>
          </w:tcPr>
          <w:p w14:paraId="76F4DD58"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Authority: </w:t>
            </w:r>
            <w:r w:rsidRPr="00820746">
              <w:rPr>
                <w:rFonts w:ascii="Arial" w:eastAsia="Century Schoolbook" w:hAnsi="Arial" w:cs="Arial"/>
                <w:kern w:val="0"/>
                <w:lang w:eastAsia="en-US"/>
                <w14:ligatures w14:val="none"/>
              </w:rPr>
              <w:t>Person: Researchers in nursing and health manpower.</w:t>
            </w:r>
          </w:p>
        </w:tc>
      </w:tr>
      <w:tr w:rsidR="00820746" w:rsidRPr="00820746" w14:paraId="66F6DF64" w14:textId="77777777" w:rsidTr="0032418C">
        <w:trPr>
          <w:trHeight w:val="338"/>
        </w:trPr>
        <w:tc>
          <w:tcPr>
            <w:tcW w:w="9763" w:type="dxa"/>
            <w:tcMar>
              <w:top w:w="100" w:type="dxa"/>
              <w:left w:w="100" w:type="dxa"/>
              <w:bottom w:w="100" w:type="dxa"/>
              <w:right w:w="100" w:type="dxa"/>
            </w:tcMar>
          </w:tcPr>
          <w:p w14:paraId="65C58E74"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Accuracy: </w:t>
            </w:r>
            <w:r w:rsidRPr="00820746">
              <w:rPr>
                <w:rFonts w:ascii="Arial" w:eastAsia="Century Schoolbook" w:hAnsi="Arial" w:cs="Arial"/>
                <w:kern w:val="0"/>
                <w:lang w:eastAsia="en-US"/>
                <w14:ligatures w14:val="none"/>
              </w:rPr>
              <w:t>Rapid review methodology.</w:t>
            </w:r>
          </w:p>
        </w:tc>
      </w:tr>
      <w:tr w:rsidR="00820746" w:rsidRPr="00820746" w14:paraId="1326C461" w14:textId="77777777" w:rsidTr="0032418C">
        <w:trPr>
          <w:trHeight w:val="338"/>
        </w:trPr>
        <w:tc>
          <w:tcPr>
            <w:tcW w:w="9763" w:type="dxa"/>
            <w:tcMar>
              <w:top w:w="100" w:type="dxa"/>
              <w:left w:w="100" w:type="dxa"/>
              <w:bottom w:w="100" w:type="dxa"/>
              <w:right w:w="100" w:type="dxa"/>
            </w:tcMar>
          </w:tcPr>
          <w:p w14:paraId="27E4E4B5" w14:textId="77777777" w:rsidR="00820746" w:rsidRPr="00820746" w:rsidRDefault="00820746" w:rsidP="00820746">
            <w:pPr>
              <w:spacing w:after="0"/>
              <w:rPr>
                <w:rFonts w:ascii="Arial" w:eastAsia="Century Schoolbook" w:hAnsi="Arial" w:cs="Arial"/>
                <w:kern w:val="0"/>
                <w:lang w:eastAsia="en-US"/>
                <w14:ligatures w14:val="none"/>
              </w:rPr>
            </w:pPr>
            <w:r w:rsidRPr="00820746">
              <w:rPr>
                <w:rFonts w:ascii="Arial" w:eastAsia="Century Schoolbook" w:hAnsi="Arial" w:cs="Arial"/>
                <w:b/>
                <w:bCs/>
                <w:kern w:val="0"/>
                <w:lang w:eastAsia="en-US"/>
                <w14:ligatures w14:val="none"/>
              </w:rPr>
              <w:t xml:space="preserve">Purpose: </w:t>
            </w:r>
            <w:r w:rsidRPr="00820746">
              <w:rPr>
                <w:rFonts w:ascii="Arial" w:eastAsia="Century Schoolbook" w:hAnsi="Arial" w:cs="Arial"/>
                <w:kern w:val="0"/>
                <w:lang w:eastAsia="en-US"/>
                <w14:ligatures w14:val="none"/>
              </w:rPr>
              <w:t>Assess changes in supervision impacting workforce capability.</w:t>
            </w:r>
          </w:p>
        </w:tc>
      </w:tr>
    </w:tbl>
    <w:p w14:paraId="5F811FC2" w14:textId="77777777" w:rsidR="00820746" w:rsidRPr="00B575E2" w:rsidRDefault="00820746" w:rsidP="00B575E2"/>
    <w:p w14:paraId="7605EE09" w14:textId="19EDAA71" w:rsidR="00B575E2" w:rsidRPr="00B575E2" w:rsidRDefault="00B575E2" w:rsidP="00B575E2">
      <w:r w:rsidRPr="005B3EDE">
        <w:rPr>
          <w:rFonts w:hAnsi="Symbol"/>
        </w:rPr>
        <w:t></w:t>
      </w:r>
      <w:r w:rsidRPr="00B575E2">
        <w:t xml:space="preserve">  </w:t>
      </w:r>
      <w:r w:rsidR="00820746">
        <w:t xml:space="preserve"> </w:t>
      </w:r>
      <w:r w:rsidRPr="00B575E2">
        <w:rPr>
          <w:b/>
          <w:bCs/>
        </w:rPr>
        <w:t>Decision-Making:</w:t>
      </w:r>
    </w:p>
    <w:p w14:paraId="1C1CD00C" w14:textId="61B1E735" w:rsidR="00B575E2" w:rsidRPr="00B575E2" w:rsidRDefault="00820746" w:rsidP="00B575E2">
      <w:r w:rsidRPr="00820746">
        <w:t>Sources included in this review were those that were peer-reviewed and focused on the UK, published within a decade (Ellis et al., 2023). Relevance was confirmed by assessing alignment with COVID-19 emergency training and healthcare staff competency outcomes.</w:t>
      </w:r>
    </w:p>
    <w:p w14:paraId="6F8D4D80" w14:textId="5ECC9072" w:rsidR="00820746" w:rsidRPr="00820746" w:rsidRDefault="00292A36">
      <w:pPr>
        <w:pStyle w:val="Heading2"/>
        <w:numPr>
          <w:ilvl w:val="1"/>
          <w:numId w:val="4"/>
        </w:numPr>
        <w:jc w:val="left"/>
      </w:pPr>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p>
    <w:p w14:paraId="05B918A3"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Inclusion Criteria</w:t>
      </w:r>
    </w:p>
    <w:p w14:paraId="28F2D865"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Research data included relevant peer-reviewed journal articles and some of the most authoritative reports issued within the last decade. Only those UK-based studies focusing on COVID-19 emergency clinical training, healthcare workforce development, and staff competency were selected, on the condition that full texts would be accessible online.</w:t>
      </w:r>
    </w:p>
    <w:p w14:paraId="35B92693" w14:textId="77777777" w:rsidR="00820746" w:rsidRDefault="00820746" w:rsidP="00820746">
      <w:pPr>
        <w:spacing w:before="240" w:after="0"/>
        <w:rPr>
          <w:rFonts w:ascii="Arial" w:eastAsia="Century Schoolbook" w:hAnsi="Arial" w:cs="Arial"/>
          <w:b/>
          <w:bCs/>
          <w:kern w:val="0"/>
          <w:lang w:eastAsia="en-US"/>
          <w14:ligatures w14:val="none"/>
        </w:rPr>
      </w:pPr>
    </w:p>
    <w:p w14:paraId="4F4163CC" w14:textId="2A3105D3"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lastRenderedPageBreak/>
        <w:t>Exclusion Criteria</w:t>
      </w:r>
    </w:p>
    <w:p w14:paraId="1A9E620D"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 xml:space="preserve">The search tapped into peer-reviewed journal articles and authoritative reports published within the last decade (Hanusch and </w:t>
      </w:r>
      <w:proofErr w:type="spellStart"/>
      <w:r w:rsidRPr="00820746">
        <w:rPr>
          <w:rFonts w:ascii="Arial" w:eastAsia="Century Schoolbook" w:hAnsi="Arial" w:cs="Arial"/>
          <w:kern w:val="0"/>
          <w:lang w:eastAsia="en-US"/>
          <w14:ligatures w14:val="none"/>
        </w:rPr>
        <w:t>Löhmann</w:t>
      </w:r>
      <w:proofErr w:type="spellEnd"/>
      <w:r w:rsidRPr="00820746">
        <w:rPr>
          <w:rFonts w:ascii="Arial" w:eastAsia="Century Schoolbook" w:hAnsi="Arial" w:cs="Arial"/>
          <w:kern w:val="0"/>
          <w:lang w:eastAsia="en-US"/>
          <w14:ligatures w14:val="none"/>
        </w:rPr>
        <w:t>, 2022). Articles from the UK that focused on COVID-19 emergency clinical training and developing the healthcare workforce/staff competency were selected, provided that full texts were available online.</w:t>
      </w:r>
    </w:p>
    <w:p w14:paraId="0E7E3997" w14:textId="1B09B4B7" w:rsidR="0021364B" w:rsidRDefault="0021364B" w:rsidP="00820746">
      <w:pPr>
        <w:pStyle w:val="Heading2"/>
        <w:jc w:val="left"/>
      </w:pPr>
    </w:p>
    <w:p w14:paraId="6D764C27" w14:textId="342E9E05" w:rsidR="00B575E2" w:rsidRDefault="00C17A49" w:rsidP="00B575E2">
      <w:pPr>
        <w:rPr>
          <w:b/>
          <w:bCs/>
        </w:rPr>
      </w:pPr>
      <w:r w:rsidRPr="005B3EDE">
        <w:rPr>
          <w:rFonts w:hAnsi="Symbol"/>
        </w:rPr>
        <w:t></w:t>
      </w:r>
      <w:r w:rsidR="00B575E2" w:rsidRPr="00B575E2">
        <w:t xml:space="preserve">  </w:t>
      </w:r>
      <w:r w:rsidR="00820746">
        <w:t xml:space="preserve"> </w:t>
      </w:r>
      <w:r w:rsidR="00B575E2" w:rsidRPr="00B575E2">
        <w:rPr>
          <w:b/>
          <w:bCs/>
        </w:rPr>
        <w:t>Justification:</w:t>
      </w:r>
    </w:p>
    <w:p w14:paraId="4B366BB0"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The sources excluded were opinion blogs, non-academic publications, and studies published over a decade ago. Literature conducted outside the UK, articles not written in English, and sources lacking relevance to emergency training or staff competency were also excluded.</w:t>
      </w:r>
    </w:p>
    <w:p w14:paraId="3722F69D" w14:textId="77777777" w:rsidR="00820746" w:rsidRPr="00B575E2" w:rsidRDefault="00820746" w:rsidP="00B575E2"/>
    <w:p w14:paraId="01A5598C" w14:textId="365A9B4C" w:rsidR="0021364B" w:rsidRDefault="00292A36">
      <w:pPr>
        <w:pStyle w:val="Heading2"/>
        <w:numPr>
          <w:ilvl w:val="1"/>
          <w:numId w:val="4"/>
        </w:numPr>
        <w:jc w:val="left"/>
      </w:pPr>
      <w:r w:rsidRPr="001C3AF6">
        <w:t>– Analysing Research (</w:t>
      </w:r>
      <w:r w:rsidR="00F67C87">
        <w:t>1</w:t>
      </w:r>
      <w:r w:rsidRPr="001C3AF6">
        <w:t xml:space="preserve">50 words approx.) </w:t>
      </w:r>
    </w:p>
    <w:p w14:paraId="2527B73C" w14:textId="77777777" w:rsidR="00B01396" w:rsidRDefault="00B01396" w:rsidP="00B01396"/>
    <w:p w14:paraId="34FB5D26"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Thematic Coding Approach</w:t>
      </w:r>
    </w:p>
    <w:tbl>
      <w:tblPr>
        <w:tblW w:w="9739"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3786"/>
        <w:gridCol w:w="3402"/>
        <w:gridCol w:w="2551"/>
      </w:tblGrid>
      <w:tr w:rsidR="00820746" w:rsidRPr="00820746" w14:paraId="6CC0C6BF" w14:textId="77777777" w:rsidTr="0032418C">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A314D3A"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Article Focus</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06C7C6B"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Repeated Keywords</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CEDE040"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Initial Codes</w:t>
            </w:r>
          </w:p>
        </w:tc>
      </w:tr>
      <w:tr w:rsidR="00820746" w:rsidRPr="00820746" w14:paraId="418B2A8E" w14:textId="77777777" w:rsidTr="0032418C">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9582E0"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Emergency training delivery</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4CA9E06"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Rapid training, crisis response</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C1D0D11"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Accelerated training</w:t>
            </w:r>
          </w:p>
        </w:tc>
      </w:tr>
      <w:tr w:rsidR="00820746" w:rsidRPr="00820746" w14:paraId="5BA4CBCA" w14:textId="77777777" w:rsidTr="0032418C">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EC5A36"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Workforce redeployment</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04D8E2E"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Role change, flexibility</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A5435E8"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Role adaptation</w:t>
            </w:r>
          </w:p>
        </w:tc>
      </w:tr>
      <w:tr w:rsidR="00820746" w:rsidRPr="00820746" w14:paraId="74FAE2F4" w14:textId="77777777" w:rsidTr="0032418C">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2ADB4C"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Competency outcomes</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32BE76B"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Skills, confidence</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659FAE4"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Competency development</w:t>
            </w:r>
          </w:p>
        </w:tc>
      </w:tr>
    </w:tbl>
    <w:p w14:paraId="57E19AA8" w14:textId="77777777" w:rsidR="00820746" w:rsidRPr="00820746" w:rsidRDefault="00820746" w:rsidP="00820746">
      <w:pPr>
        <w:spacing w:before="240" w:after="0"/>
        <w:rPr>
          <w:rFonts w:ascii="Arial" w:eastAsia="Century Schoolbook" w:hAnsi="Arial" w:cs="Arial"/>
          <w:b/>
          <w:bCs/>
          <w:kern w:val="0"/>
          <w:lang w:eastAsia="en-US"/>
          <w14:ligatures w14:val="none"/>
        </w:rPr>
      </w:pPr>
    </w:p>
    <w:p w14:paraId="04F70E27"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 xml:space="preserve">Thematic coding was done through a close review of every selected article to identify repeated keywords, ideas, and issues regarding emergency clinical training and competency of staff (Khazaei </w:t>
      </w:r>
      <w:r w:rsidRPr="00820746">
        <w:rPr>
          <w:rFonts w:ascii="Arial" w:eastAsia="Century Schoolbook" w:hAnsi="Arial" w:cs="Arial"/>
          <w:i/>
          <w:iCs/>
          <w:kern w:val="0"/>
          <w:lang w:eastAsia="en-US"/>
          <w14:ligatures w14:val="none"/>
        </w:rPr>
        <w:t>et al.</w:t>
      </w:r>
      <w:r w:rsidRPr="00820746">
        <w:rPr>
          <w:rFonts w:ascii="Arial" w:eastAsia="Century Schoolbook" w:hAnsi="Arial" w:cs="Arial"/>
          <w:kern w:val="0"/>
          <w:lang w:eastAsia="en-US"/>
          <w14:ligatures w14:val="none"/>
        </w:rPr>
        <w:t>, 2024). Such repetitions were labelled as initial codes to support systematic qualitative analysis.</w:t>
      </w:r>
    </w:p>
    <w:p w14:paraId="5AA99F3C" w14:textId="77777777" w:rsidR="00820746" w:rsidRDefault="00820746" w:rsidP="00B01396"/>
    <w:p w14:paraId="60306286" w14:textId="77777777" w:rsidR="00820746" w:rsidRDefault="00820746" w:rsidP="00C17A49">
      <w:pPr>
        <w:rPr>
          <w:rFonts w:hAnsi="Symbol" w:hint="eastAsia"/>
        </w:rPr>
      </w:pPr>
    </w:p>
    <w:p w14:paraId="3ABB8EB3" w14:textId="77777777" w:rsidR="00820746" w:rsidRDefault="00820746" w:rsidP="00C17A49">
      <w:pPr>
        <w:rPr>
          <w:rFonts w:hAnsi="Symbol" w:hint="eastAsia"/>
        </w:rPr>
      </w:pPr>
    </w:p>
    <w:p w14:paraId="5055D6DF" w14:textId="485E2BDD" w:rsidR="00C17A49" w:rsidRDefault="00C17A49" w:rsidP="00C17A49">
      <w:pPr>
        <w:rPr>
          <w:b/>
          <w:bCs/>
        </w:rPr>
      </w:pPr>
      <w:r w:rsidRPr="005B3EDE">
        <w:rPr>
          <w:rFonts w:hAnsi="Symbol"/>
        </w:rPr>
        <w:lastRenderedPageBreak/>
        <w:t></w:t>
      </w:r>
      <w:r w:rsidRPr="00B575E2">
        <w:t xml:space="preserve"> </w:t>
      </w:r>
      <w:r w:rsidRPr="00C17A49">
        <w:t xml:space="preserve"> </w:t>
      </w:r>
      <w:r w:rsidR="00820746">
        <w:t xml:space="preserve"> </w:t>
      </w:r>
      <w:r w:rsidRPr="00C17A49">
        <w:rPr>
          <w:b/>
          <w:bCs/>
        </w:rPr>
        <w:t>Developing Themes:</w:t>
      </w:r>
    </w:p>
    <w:tbl>
      <w:tblPr>
        <w:tblW w:w="9739"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2938"/>
        <w:gridCol w:w="3568"/>
        <w:gridCol w:w="3233"/>
      </w:tblGrid>
      <w:tr w:rsidR="00820746" w:rsidRPr="00820746" w14:paraId="1E3ECA80" w14:textId="77777777" w:rsidTr="0032418C">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86CAF2"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Obtain from Qualitative</w:t>
            </w:r>
          </w:p>
          <w:p w14:paraId="472488AB"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Data</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F9BF165"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Developing Codes</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C889165"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Generating Themes</w:t>
            </w:r>
          </w:p>
        </w:tc>
      </w:tr>
      <w:tr w:rsidR="00820746" w:rsidRPr="00820746" w14:paraId="2470E94B" w14:textId="77777777" w:rsidTr="0032418C">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9EB5F3F"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Rapid training models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5B1F06C"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Accelerated training</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6610E5E"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Emergency training effectiveness</w:t>
            </w:r>
          </w:p>
        </w:tc>
      </w:tr>
      <w:tr w:rsidR="00820746" w:rsidRPr="00820746" w14:paraId="6580C6EC" w14:textId="77777777" w:rsidTr="0032418C">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B29E1E"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Redeployment experiences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1689D65"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Role adaptation</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56B03E2"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Workforce flexibility</w:t>
            </w:r>
          </w:p>
        </w:tc>
      </w:tr>
      <w:tr w:rsidR="00820746" w:rsidRPr="00820746" w14:paraId="7B2633F7" w14:textId="77777777" w:rsidTr="0032418C">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5C3310"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Skill and confidence changes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41FB2CC"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Competency development</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F1B089C"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Staff preparedness</w:t>
            </w:r>
          </w:p>
        </w:tc>
      </w:tr>
    </w:tbl>
    <w:p w14:paraId="03A48F22" w14:textId="77777777" w:rsidR="00820746" w:rsidRPr="00820746" w:rsidRDefault="00820746" w:rsidP="00820746">
      <w:pPr>
        <w:spacing w:before="240" w:after="0"/>
        <w:rPr>
          <w:rFonts w:ascii="Arial" w:eastAsia="Century Schoolbook" w:hAnsi="Arial" w:cs="Arial"/>
          <w:b/>
          <w:bCs/>
          <w:kern w:val="0"/>
          <w:lang w:eastAsia="en-US"/>
          <w14:ligatures w14:val="none"/>
        </w:rPr>
      </w:pPr>
    </w:p>
    <w:p w14:paraId="5B13BD54"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Closely related codes were grouped to form higher-level themes. The themes represented the shared meaning across the studies and addressed the research objectives directly and competency-focused outcomes.</w:t>
      </w:r>
    </w:p>
    <w:p w14:paraId="3A65F6BF" w14:textId="77777777" w:rsidR="00820746" w:rsidRPr="00C17A49" w:rsidRDefault="00820746" w:rsidP="00C17A49"/>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4E6D3D27" w14:textId="77777777" w:rsidR="00820746" w:rsidRPr="00820746"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 xml:space="preserve">The development of the codes and themes was completed systematically using tables, spreadsheets, and colour coding (Rosen </w:t>
      </w:r>
      <w:r w:rsidRPr="00820746">
        <w:rPr>
          <w:rFonts w:ascii="Arial" w:eastAsia="Century Schoolbook" w:hAnsi="Arial" w:cs="Arial"/>
          <w:i/>
          <w:iCs/>
          <w:kern w:val="0"/>
          <w:lang w:eastAsia="en-US"/>
          <w14:ligatures w14:val="none"/>
        </w:rPr>
        <w:t>et al.</w:t>
      </w:r>
      <w:r w:rsidRPr="00820746">
        <w:rPr>
          <w:rFonts w:ascii="Arial" w:eastAsia="Century Schoolbook" w:hAnsi="Arial" w:cs="Arial"/>
          <w:kern w:val="0"/>
          <w:lang w:eastAsia="en-US"/>
          <w14:ligatures w14:val="none"/>
        </w:rPr>
        <w:t>, 2023). This structured approach facilitated the clear tracking of analytical decisions that support transparency and ensure that themes can easily be transferred into the Chapter 4 findings.</w:t>
      </w:r>
    </w:p>
    <w:p w14:paraId="701C686E" w14:textId="77777777" w:rsidR="00C17A49" w:rsidRPr="00B01396" w:rsidRDefault="00C17A49" w:rsidP="00B01396"/>
    <w:p w14:paraId="34D844F4" w14:textId="200AE3C1" w:rsidR="00B01396" w:rsidRDefault="00292A36">
      <w:pPr>
        <w:pStyle w:val="Heading2"/>
        <w:numPr>
          <w:ilvl w:val="1"/>
          <w:numId w:val="4"/>
        </w:numPr>
      </w:pPr>
      <w:r w:rsidRPr="001C3AF6">
        <w:t>– Ethical Considerations (</w:t>
      </w:r>
      <w:r w:rsidR="00F67C87">
        <w:t>1</w:t>
      </w:r>
      <w:r w:rsidRPr="001C3AF6">
        <w:t xml:space="preserve">00 words approx.) </w:t>
      </w:r>
    </w:p>
    <w:p w14:paraId="14623E3C" w14:textId="77777777" w:rsidR="00820746" w:rsidRDefault="00820746" w:rsidP="00820746"/>
    <w:p w14:paraId="61D25B05"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t>Secondary Research Ethics</w:t>
      </w:r>
    </w:p>
    <w:p w14:paraId="073EA88D" w14:textId="25D8FFFF" w:rsidR="00C17A49" w:rsidRDefault="00820746" w:rsidP="00820746">
      <w:pPr>
        <w:spacing w:before="240" w:after="0"/>
        <w:rPr>
          <w:rFonts w:ascii="Arial" w:eastAsia="Century Schoolbook" w:hAnsi="Arial" w:cs="Arial"/>
          <w:kern w:val="0"/>
          <w:lang w:eastAsia="en-US"/>
          <w14:ligatures w14:val="none"/>
        </w:rPr>
      </w:pPr>
      <w:r w:rsidRPr="00820746">
        <w:rPr>
          <w:rFonts w:ascii="Arial" w:eastAsia="Century Schoolbook" w:hAnsi="Arial" w:cs="Arial"/>
          <w:kern w:val="0"/>
          <w:lang w:eastAsia="en-US"/>
          <w14:ligatures w14:val="none"/>
        </w:rPr>
        <w:t>The study is, therefore, purely based on secondary data; no fresh data collection has been carried out. Ethical use of literature available, respectful treatment in its interpretation, and norms of academic research were the aspects of ethical responsibility to which attention was given.</w:t>
      </w:r>
    </w:p>
    <w:p w14:paraId="563A8B81"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b/>
          <w:bCs/>
          <w:kern w:val="0"/>
          <w:lang w:eastAsia="en-US"/>
          <w14:ligatures w14:val="none"/>
        </w:rPr>
        <w:lastRenderedPageBreak/>
        <w:t>Academic Integrity</w:t>
      </w:r>
    </w:p>
    <w:p w14:paraId="1F06C17C" w14:textId="77777777" w:rsidR="00820746" w:rsidRPr="00820746" w:rsidRDefault="00820746" w:rsidP="00820746">
      <w:pPr>
        <w:spacing w:before="240" w:after="0"/>
        <w:rPr>
          <w:rFonts w:ascii="Arial" w:eastAsia="Century Schoolbook" w:hAnsi="Arial" w:cs="Arial"/>
          <w:b/>
          <w:bCs/>
          <w:kern w:val="0"/>
          <w:lang w:eastAsia="en-US"/>
          <w14:ligatures w14:val="none"/>
        </w:rPr>
      </w:pPr>
      <w:r w:rsidRPr="00820746">
        <w:rPr>
          <w:rFonts w:ascii="Arial" w:eastAsia="Century Schoolbook" w:hAnsi="Arial" w:cs="Arial"/>
          <w:kern w:val="0"/>
          <w:lang w:eastAsia="en-US"/>
          <w14:ligatures w14:val="none"/>
        </w:rPr>
        <w:t>This work will ensure academic integrity through proper citation of sources according to the Harvard referencing system, paraphrasing accurately without plagiarising or misrepresenting ideas, so the findings and interpretations from other authors are faithfully presented (Mattar, 2022).</w:t>
      </w:r>
    </w:p>
    <w:p w14:paraId="3B7E9A36" w14:textId="77777777" w:rsidR="00820746" w:rsidRPr="00820746" w:rsidRDefault="00820746" w:rsidP="00820746">
      <w:pPr>
        <w:spacing w:before="240" w:after="0"/>
        <w:rPr>
          <w:rFonts w:ascii="Arial" w:eastAsia="Century Schoolbook" w:hAnsi="Arial" w:cs="Arial"/>
          <w:kern w:val="0"/>
          <w:lang w:eastAsia="en-US"/>
          <w14:ligatures w14:val="none"/>
        </w:rPr>
      </w:pPr>
    </w:p>
    <w:p w14:paraId="0B6D27B9" w14:textId="7B2F2A13" w:rsidR="00C17A49" w:rsidRPr="00C17A49" w:rsidRDefault="00C17A49" w:rsidP="00C17A49">
      <w:r w:rsidRPr="005B3EDE">
        <w:rPr>
          <w:rFonts w:hAnsi="Symbol"/>
        </w:rPr>
        <w:t></w:t>
      </w:r>
      <w:r w:rsidRPr="00C17A49">
        <w:t xml:space="preserve">  </w:t>
      </w:r>
      <w:r w:rsidR="00AC7BA4">
        <w:t xml:space="preserve"> </w:t>
      </w:r>
      <w:r w:rsidRPr="00C17A49">
        <w:rPr>
          <w:b/>
          <w:bCs/>
        </w:rPr>
        <w:t>Transparency and Credibility:</w:t>
      </w:r>
    </w:p>
    <w:p w14:paraId="5B6E0227" w14:textId="77777777" w:rsidR="00AC7BA4" w:rsidRPr="00AC7BA4" w:rsidRDefault="00AC7BA4" w:rsidP="00AC7BA4">
      <w:pPr>
        <w:spacing w:before="240" w:after="0"/>
        <w:rPr>
          <w:rFonts w:ascii="Arial" w:eastAsia="Century Schoolbook" w:hAnsi="Arial" w:cs="Arial"/>
          <w:b/>
          <w:bCs/>
          <w:kern w:val="0"/>
          <w:lang w:eastAsia="en-US"/>
          <w14:ligatures w14:val="none"/>
        </w:rPr>
      </w:pPr>
      <w:r w:rsidRPr="00AC7BA4">
        <w:rPr>
          <w:rFonts w:ascii="Arial" w:eastAsia="Century Schoolbook" w:hAnsi="Arial" w:cs="Arial"/>
          <w:kern w:val="0"/>
          <w:lang w:eastAsia="en-US"/>
          <w14:ligatures w14:val="none"/>
        </w:rPr>
        <w:t>Fair selection of literature, critical comparison, and presentation of evidence ensured transparency in ways that strengthened credibility to support trustworthy analysis related to the delivery of emergency clinical training and staff competency outcomes.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Default="00C17A49" w:rsidP="00C17A49">
      <w:pPr>
        <w:rPr>
          <w:b/>
          <w:bCs/>
        </w:rPr>
      </w:pPr>
      <w:r w:rsidRPr="005B3EDE">
        <w:rPr>
          <w:rFonts w:hAnsi="Symbol"/>
        </w:rPr>
        <w:t></w:t>
      </w:r>
      <w:r w:rsidRPr="00C17A49">
        <w:t xml:space="preserve">   </w:t>
      </w:r>
      <w:r w:rsidRPr="00C17A49">
        <w:rPr>
          <w:b/>
          <w:bCs/>
        </w:rPr>
        <w:t>Summary:</w:t>
      </w:r>
    </w:p>
    <w:p w14:paraId="541F5DB5" w14:textId="77777777" w:rsidR="00AC7BA4" w:rsidRPr="00AC7BA4" w:rsidRDefault="00AC7BA4" w:rsidP="00AC7BA4">
      <w:r w:rsidRPr="00AC7BA4">
        <w:t>The chapter elaborated on the systematic search strategy and source selection and validation processes, the thematic coding approach adopted to identify, evaluate, and analyse credible literature relevant to COVID-19 emergency clinical training. Chapter 4 will then outline the findings of the thematic analysis, setting out results into key themes that have a direct relevance to the research question on staff competency outcomes within UK healthcare.</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0CEE1689" w14:textId="55B489DC" w:rsidR="007959C1" w:rsidRDefault="001C3AF6" w:rsidP="007959C1">
      <w:pPr>
        <w:pStyle w:val="Heading2"/>
      </w:pPr>
      <w:r w:rsidRPr="00636D9A">
        <w:t>4.1 –</w:t>
      </w:r>
      <w:r w:rsidR="00636D9A" w:rsidRPr="00636D9A">
        <w:t xml:space="preserve"> </w:t>
      </w:r>
      <w:r w:rsidRPr="00636D9A">
        <w:t>Introduction (100 word approx.)</w:t>
      </w:r>
    </w:p>
    <w:p w14:paraId="7B6D738E" w14:textId="0A19AA52" w:rsidR="002865F5" w:rsidRDefault="007959C1" w:rsidP="00636D9A">
      <w:r w:rsidRPr="007959C1">
        <w:t>In this chapter, the writer will comment on how the research will be done through desk-based secondary literature research. It will elaborate on the academic methodology poster by giving a comprehensive description of the steps used to conduct search, collection, validation, and analysis of data. In the chapter, the demonstration of how the relevant literature will be identified, evaluated, and analysed to respond to the aim of the research will be described. This chapter, by recording all methodological procedures, will illustrate the rigour and transparency of the research process and be used to form a basis for the heuristic findings of the research in Chapter 4.</w:t>
      </w:r>
    </w:p>
    <w:p w14:paraId="49AC5888" w14:textId="47E4F54C" w:rsidR="001C3AF6" w:rsidRDefault="001C3AF6" w:rsidP="003B1E32">
      <w:pPr>
        <w:pStyle w:val="Heading2"/>
      </w:pPr>
      <w:r w:rsidRPr="00636D9A">
        <w:lastRenderedPageBreak/>
        <w:t>4.2 – Thematic Analysis (</w:t>
      </w:r>
      <w:r w:rsidR="00312A5A">
        <w:t>2</w:t>
      </w:r>
      <w:r w:rsidRPr="00636D9A">
        <w:t xml:space="preserve">00 word approx.) </w:t>
      </w:r>
    </w:p>
    <w:p w14:paraId="370DE534" w14:textId="77777777" w:rsidR="007959C1" w:rsidRPr="007959C1" w:rsidRDefault="007959C1" w:rsidP="007959C1">
      <w:pPr>
        <w:spacing w:before="200" w:after="220"/>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Thematic analysis is a qualitative approach that is applied to identify, analyse and report common patterns or themes within a dataset. According to the information by Clarke and Braun (2020), it can be described as a flexible method, which allows the researcher to arrange and describe data in a detailed manner, besides interpreting different issues of the research topic. Thematic analysis is applicable in the context of secondary studies, as published literature can be synthesised to outline the similarities and differences among the studies. Thus, a structured meaning of how the COVID-19 emergency clinical training affects staff competency can be achieved.</w:t>
      </w:r>
    </w:p>
    <w:p w14:paraId="4D8FF21D" w14:textId="77777777" w:rsidR="007959C1" w:rsidRPr="007959C1" w:rsidRDefault="007959C1" w:rsidP="007959C1"/>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10718076" w14:textId="17CF9852" w:rsidR="007959C1" w:rsidRPr="007959C1" w:rsidRDefault="007959C1" w:rsidP="007959C1">
      <w:pPr>
        <w:spacing w:before="200" w:after="220"/>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 xml:space="preserve">In this dissertation, the secondary sources that were identified in Chapter 3 were analysed using thematic analysis. The literature was screened using a coding framework to identify common themes, including </w:t>
      </w:r>
      <w:r w:rsidRPr="007959C1">
        <w:rPr>
          <w:rFonts w:ascii="Arial" w:eastAsia="Times New Roman" w:hAnsi="Arial" w:cs="Arial"/>
          <w:b/>
          <w:bCs/>
          <w:kern w:val="0"/>
          <w:lang w:eastAsia="en-US"/>
          <w14:ligatures w14:val="none"/>
        </w:rPr>
        <w:t>"training effectiveness"</w:t>
      </w:r>
      <w:r w:rsidRPr="007959C1">
        <w:rPr>
          <w:rFonts w:ascii="Arial" w:eastAsia="Times New Roman" w:hAnsi="Arial" w:cs="Arial"/>
          <w:kern w:val="0"/>
          <w:lang w:eastAsia="en-US"/>
          <w14:ligatures w14:val="none"/>
        </w:rPr>
        <w:t>,</w:t>
      </w:r>
      <w:r>
        <w:rPr>
          <w:rFonts w:ascii="Arial" w:eastAsia="Times New Roman" w:hAnsi="Arial" w:cs="Arial"/>
          <w:kern w:val="0"/>
          <w:lang w:eastAsia="en-US"/>
          <w14:ligatures w14:val="none"/>
        </w:rPr>
        <w:t xml:space="preserve"> </w:t>
      </w:r>
      <w:r w:rsidRPr="007959C1">
        <w:rPr>
          <w:rFonts w:ascii="Arial" w:eastAsia="Times New Roman" w:hAnsi="Arial" w:cs="Arial"/>
          <w:b/>
          <w:bCs/>
          <w:kern w:val="0"/>
          <w:lang w:eastAsia="en-US"/>
          <w14:ligatures w14:val="none"/>
        </w:rPr>
        <w:t>"workforce adaptability"</w:t>
      </w:r>
      <w:r w:rsidRPr="007959C1">
        <w:rPr>
          <w:rFonts w:ascii="Arial" w:eastAsia="Times New Roman" w:hAnsi="Arial" w:cs="Arial"/>
          <w:kern w:val="0"/>
          <w:lang w:eastAsia="en-US"/>
          <w14:ligatures w14:val="none"/>
        </w:rPr>
        <w:t xml:space="preserve">, </w:t>
      </w:r>
      <w:r w:rsidRPr="007959C1">
        <w:rPr>
          <w:rFonts w:ascii="Arial" w:eastAsia="Times New Roman" w:hAnsi="Arial" w:cs="Arial"/>
          <w:b/>
          <w:bCs/>
          <w:kern w:val="0"/>
          <w:lang w:eastAsia="en-US"/>
          <w14:ligatures w14:val="none"/>
        </w:rPr>
        <w:t>"competency development"</w:t>
      </w:r>
      <w:r w:rsidRPr="007959C1">
        <w:rPr>
          <w:rFonts w:ascii="Arial" w:eastAsia="Times New Roman" w:hAnsi="Arial" w:cs="Arial"/>
          <w:kern w:val="0"/>
          <w:lang w:eastAsia="en-US"/>
          <w14:ligatures w14:val="none"/>
        </w:rPr>
        <w:t xml:space="preserve">, </w:t>
      </w:r>
      <w:r w:rsidRPr="007959C1">
        <w:rPr>
          <w:rFonts w:ascii="Arial" w:eastAsia="Times New Roman" w:hAnsi="Arial" w:cs="Arial"/>
          <w:b/>
          <w:bCs/>
          <w:kern w:val="0"/>
          <w:lang w:eastAsia="en-US"/>
          <w14:ligatures w14:val="none"/>
        </w:rPr>
        <w:t>"barriers to delivery"</w:t>
      </w:r>
      <w:r w:rsidRPr="007959C1">
        <w:rPr>
          <w:rFonts w:ascii="Arial" w:eastAsia="Times New Roman" w:hAnsi="Arial" w:cs="Arial"/>
          <w:kern w:val="0"/>
          <w:lang w:eastAsia="en-US"/>
          <w14:ligatures w14:val="none"/>
        </w:rPr>
        <w:t xml:space="preserve"> and </w:t>
      </w:r>
      <w:r w:rsidRPr="007959C1">
        <w:rPr>
          <w:rFonts w:ascii="Arial" w:eastAsia="Times New Roman" w:hAnsi="Arial" w:cs="Arial"/>
          <w:b/>
          <w:bCs/>
          <w:kern w:val="0"/>
          <w:lang w:eastAsia="en-US"/>
          <w14:ligatures w14:val="none"/>
        </w:rPr>
        <w:t>"resilience".</w:t>
      </w:r>
      <w:r w:rsidRPr="007959C1">
        <w:rPr>
          <w:rFonts w:ascii="Arial" w:eastAsia="Times New Roman" w:hAnsi="Arial" w:cs="Arial"/>
          <w:kern w:val="0"/>
          <w:lang w:eastAsia="en-US"/>
          <w14:ligatures w14:val="none"/>
        </w:rPr>
        <w:t xml:space="preserve"> These codes were further arranged into larger themes that directly answer the research question. The process has been integrated into a coding/results table to maintain transparency &amp; consistency in terms of developing themes.</w:t>
      </w:r>
    </w:p>
    <w:p w14:paraId="6D59F2E6" w14:textId="77777777" w:rsidR="007959C1" w:rsidRDefault="007959C1" w:rsidP="007959C1">
      <w:pPr>
        <w:spacing w:before="200" w:after="220"/>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Indicating the generated codes, the following themes have been established:</w:t>
      </w:r>
    </w:p>
    <w:tbl>
      <w:tblPr>
        <w:tblW w:w="7245" w:type="dxa"/>
        <w:tblInd w:w="6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5460"/>
      </w:tblGrid>
      <w:tr w:rsidR="007959C1" w:rsidRPr="007959C1" w14:paraId="23985F93" w14:textId="77777777" w:rsidTr="0032418C">
        <w:tc>
          <w:tcPr>
            <w:tcW w:w="1785" w:type="dxa"/>
            <w:tcMar>
              <w:top w:w="100" w:type="dxa"/>
              <w:left w:w="100" w:type="dxa"/>
              <w:bottom w:w="100" w:type="dxa"/>
              <w:right w:w="100" w:type="dxa"/>
            </w:tcMar>
          </w:tcPr>
          <w:p w14:paraId="1715A67F" w14:textId="77777777" w:rsidR="007959C1" w:rsidRPr="007959C1" w:rsidRDefault="007959C1" w:rsidP="007959C1">
            <w:pPr>
              <w:widowControl w:val="0"/>
              <w:spacing w:after="0"/>
              <w:jc w:val="center"/>
              <w:rPr>
                <w:rFonts w:ascii="Arial" w:eastAsia="Times New Roman" w:hAnsi="Arial" w:cs="Arial"/>
                <w:b/>
                <w:bCs/>
                <w:kern w:val="0"/>
                <w:lang w:eastAsia="en-US"/>
                <w14:ligatures w14:val="none"/>
              </w:rPr>
            </w:pPr>
            <w:r w:rsidRPr="007959C1">
              <w:rPr>
                <w:rFonts w:ascii="Arial" w:eastAsia="Times New Roman" w:hAnsi="Arial" w:cs="Arial"/>
                <w:b/>
                <w:bCs/>
                <w:kern w:val="0"/>
                <w:lang w:eastAsia="en-US"/>
                <w14:ligatures w14:val="none"/>
              </w:rPr>
              <w:t>Theme 1</w:t>
            </w:r>
          </w:p>
        </w:tc>
        <w:tc>
          <w:tcPr>
            <w:tcW w:w="5460" w:type="dxa"/>
            <w:tcMar>
              <w:top w:w="100" w:type="dxa"/>
              <w:left w:w="100" w:type="dxa"/>
              <w:bottom w:w="100" w:type="dxa"/>
              <w:right w:w="100" w:type="dxa"/>
            </w:tcMar>
          </w:tcPr>
          <w:p w14:paraId="34A11B12" w14:textId="77777777" w:rsidR="007959C1" w:rsidRPr="007959C1" w:rsidRDefault="007959C1" w:rsidP="007959C1">
            <w:pPr>
              <w:widowControl w:val="0"/>
              <w:spacing w:after="0"/>
              <w:jc w:val="center"/>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Effectiveness of Emergency Clinical Training</w:t>
            </w:r>
          </w:p>
        </w:tc>
      </w:tr>
      <w:tr w:rsidR="007959C1" w:rsidRPr="007959C1" w14:paraId="252F57DA" w14:textId="77777777" w:rsidTr="0032418C">
        <w:tc>
          <w:tcPr>
            <w:tcW w:w="1785" w:type="dxa"/>
            <w:tcMar>
              <w:top w:w="100" w:type="dxa"/>
              <w:left w:w="100" w:type="dxa"/>
              <w:bottom w:w="100" w:type="dxa"/>
              <w:right w:w="100" w:type="dxa"/>
            </w:tcMar>
          </w:tcPr>
          <w:p w14:paraId="279762AB" w14:textId="77777777" w:rsidR="007959C1" w:rsidRPr="007959C1" w:rsidRDefault="007959C1" w:rsidP="007959C1">
            <w:pPr>
              <w:widowControl w:val="0"/>
              <w:spacing w:after="0"/>
              <w:jc w:val="center"/>
              <w:rPr>
                <w:rFonts w:ascii="Arial" w:eastAsia="Times New Roman" w:hAnsi="Arial" w:cs="Arial"/>
                <w:b/>
                <w:bCs/>
                <w:kern w:val="0"/>
                <w:lang w:eastAsia="en-US"/>
                <w14:ligatures w14:val="none"/>
              </w:rPr>
            </w:pPr>
            <w:r w:rsidRPr="007959C1">
              <w:rPr>
                <w:rFonts w:ascii="Arial" w:eastAsia="Times New Roman" w:hAnsi="Arial" w:cs="Arial"/>
                <w:b/>
                <w:bCs/>
                <w:kern w:val="0"/>
                <w:lang w:eastAsia="en-US"/>
                <w14:ligatures w14:val="none"/>
              </w:rPr>
              <w:t>Theme 2</w:t>
            </w:r>
          </w:p>
        </w:tc>
        <w:tc>
          <w:tcPr>
            <w:tcW w:w="5460" w:type="dxa"/>
            <w:tcMar>
              <w:top w:w="100" w:type="dxa"/>
              <w:left w:w="100" w:type="dxa"/>
              <w:bottom w:w="100" w:type="dxa"/>
              <w:right w:w="100" w:type="dxa"/>
            </w:tcMar>
          </w:tcPr>
          <w:p w14:paraId="75B112E8" w14:textId="77777777" w:rsidR="007959C1" w:rsidRPr="007959C1" w:rsidRDefault="007959C1" w:rsidP="007959C1">
            <w:pPr>
              <w:widowControl w:val="0"/>
              <w:spacing w:after="0"/>
              <w:jc w:val="center"/>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Workforce Flexibility and Role Adaptation</w:t>
            </w:r>
          </w:p>
        </w:tc>
      </w:tr>
      <w:tr w:rsidR="007959C1" w:rsidRPr="007959C1" w14:paraId="21E1CD5F" w14:textId="77777777" w:rsidTr="0032418C">
        <w:tc>
          <w:tcPr>
            <w:tcW w:w="1785" w:type="dxa"/>
            <w:tcMar>
              <w:top w:w="100" w:type="dxa"/>
              <w:left w:w="100" w:type="dxa"/>
              <w:bottom w:w="100" w:type="dxa"/>
              <w:right w:w="100" w:type="dxa"/>
            </w:tcMar>
          </w:tcPr>
          <w:p w14:paraId="244A0C8E" w14:textId="77777777" w:rsidR="007959C1" w:rsidRPr="007959C1" w:rsidRDefault="007959C1" w:rsidP="007959C1">
            <w:pPr>
              <w:widowControl w:val="0"/>
              <w:spacing w:after="0"/>
              <w:jc w:val="center"/>
              <w:rPr>
                <w:rFonts w:ascii="Arial" w:eastAsia="Times New Roman" w:hAnsi="Arial" w:cs="Arial"/>
                <w:b/>
                <w:bCs/>
                <w:kern w:val="0"/>
                <w:lang w:eastAsia="en-US"/>
                <w14:ligatures w14:val="none"/>
              </w:rPr>
            </w:pPr>
            <w:r w:rsidRPr="007959C1">
              <w:rPr>
                <w:rFonts w:ascii="Arial" w:eastAsia="Times New Roman" w:hAnsi="Arial" w:cs="Arial"/>
                <w:b/>
                <w:bCs/>
                <w:kern w:val="0"/>
                <w:lang w:eastAsia="en-US"/>
                <w14:ligatures w14:val="none"/>
              </w:rPr>
              <w:t>Theme 3</w:t>
            </w:r>
          </w:p>
        </w:tc>
        <w:tc>
          <w:tcPr>
            <w:tcW w:w="5460" w:type="dxa"/>
            <w:tcMar>
              <w:top w:w="100" w:type="dxa"/>
              <w:left w:w="100" w:type="dxa"/>
              <w:bottom w:w="100" w:type="dxa"/>
              <w:right w:w="100" w:type="dxa"/>
            </w:tcMar>
          </w:tcPr>
          <w:p w14:paraId="47D06C91" w14:textId="77777777" w:rsidR="007959C1" w:rsidRPr="007959C1" w:rsidRDefault="007959C1" w:rsidP="007959C1">
            <w:pPr>
              <w:widowControl w:val="0"/>
              <w:spacing w:after="0"/>
              <w:jc w:val="center"/>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Competency Development and Clinical Confidence</w:t>
            </w:r>
          </w:p>
        </w:tc>
      </w:tr>
      <w:tr w:rsidR="007959C1" w:rsidRPr="007959C1" w14:paraId="6CC445BC" w14:textId="77777777" w:rsidTr="0032418C">
        <w:tc>
          <w:tcPr>
            <w:tcW w:w="1785" w:type="dxa"/>
            <w:tcMar>
              <w:top w:w="100" w:type="dxa"/>
              <w:left w:w="100" w:type="dxa"/>
              <w:bottom w:w="100" w:type="dxa"/>
              <w:right w:w="100" w:type="dxa"/>
            </w:tcMar>
          </w:tcPr>
          <w:p w14:paraId="6E906F0E" w14:textId="77777777" w:rsidR="007959C1" w:rsidRPr="007959C1" w:rsidRDefault="007959C1" w:rsidP="007959C1">
            <w:pPr>
              <w:widowControl w:val="0"/>
              <w:spacing w:after="0"/>
              <w:jc w:val="center"/>
              <w:rPr>
                <w:rFonts w:ascii="Arial" w:eastAsia="Times New Roman" w:hAnsi="Arial" w:cs="Arial"/>
                <w:b/>
                <w:bCs/>
                <w:kern w:val="0"/>
                <w:lang w:eastAsia="en-US"/>
                <w14:ligatures w14:val="none"/>
              </w:rPr>
            </w:pPr>
            <w:r w:rsidRPr="007959C1">
              <w:rPr>
                <w:rFonts w:ascii="Arial" w:eastAsia="Times New Roman" w:hAnsi="Arial" w:cs="Arial"/>
                <w:b/>
                <w:bCs/>
                <w:kern w:val="0"/>
                <w:lang w:eastAsia="en-US"/>
                <w14:ligatures w14:val="none"/>
              </w:rPr>
              <w:t>Theme 4</w:t>
            </w:r>
          </w:p>
        </w:tc>
        <w:tc>
          <w:tcPr>
            <w:tcW w:w="5460" w:type="dxa"/>
            <w:tcMar>
              <w:top w:w="100" w:type="dxa"/>
              <w:left w:w="100" w:type="dxa"/>
              <w:bottom w:w="100" w:type="dxa"/>
              <w:right w:w="100" w:type="dxa"/>
            </w:tcMar>
          </w:tcPr>
          <w:p w14:paraId="3601591C" w14:textId="77777777" w:rsidR="007959C1" w:rsidRPr="007959C1" w:rsidRDefault="007959C1" w:rsidP="007959C1">
            <w:pPr>
              <w:widowControl w:val="0"/>
              <w:spacing w:after="0"/>
              <w:jc w:val="center"/>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Barriers to Emergency Training Delivery</w:t>
            </w:r>
          </w:p>
        </w:tc>
      </w:tr>
      <w:tr w:rsidR="007959C1" w:rsidRPr="007959C1" w14:paraId="4ACA2E98" w14:textId="77777777" w:rsidTr="0032418C">
        <w:tc>
          <w:tcPr>
            <w:tcW w:w="1785" w:type="dxa"/>
            <w:tcMar>
              <w:top w:w="100" w:type="dxa"/>
              <w:left w:w="100" w:type="dxa"/>
              <w:bottom w:w="100" w:type="dxa"/>
              <w:right w:w="100" w:type="dxa"/>
            </w:tcMar>
          </w:tcPr>
          <w:p w14:paraId="40B430D6" w14:textId="77777777" w:rsidR="007959C1" w:rsidRPr="007959C1" w:rsidRDefault="007959C1" w:rsidP="007959C1">
            <w:pPr>
              <w:widowControl w:val="0"/>
              <w:spacing w:after="0"/>
              <w:jc w:val="center"/>
              <w:rPr>
                <w:rFonts w:ascii="Arial" w:eastAsia="Times New Roman" w:hAnsi="Arial" w:cs="Arial"/>
                <w:b/>
                <w:bCs/>
                <w:kern w:val="0"/>
                <w:lang w:eastAsia="en-US"/>
                <w14:ligatures w14:val="none"/>
              </w:rPr>
            </w:pPr>
            <w:r w:rsidRPr="007959C1">
              <w:rPr>
                <w:rFonts w:ascii="Arial" w:eastAsia="Times New Roman" w:hAnsi="Arial" w:cs="Arial"/>
                <w:b/>
                <w:bCs/>
                <w:kern w:val="0"/>
                <w:lang w:eastAsia="en-US"/>
                <w14:ligatures w14:val="none"/>
              </w:rPr>
              <w:t>Theme 5</w:t>
            </w:r>
          </w:p>
        </w:tc>
        <w:tc>
          <w:tcPr>
            <w:tcW w:w="5460" w:type="dxa"/>
            <w:tcMar>
              <w:top w:w="100" w:type="dxa"/>
              <w:left w:w="100" w:type="dxa"/>
              <w:bottom w:w="100" w:type="dxa"/>
              <w:right w:w="100" w:type="dxa"/>
            </w:tcMar>
          </w:tcPr>
          <w:p w14:paraId="5BC25F2D" w14:textId="77777777" w:rsidR="007959C1" w:rsidRPr="007959C1" w:rsidRDefault="007959C1" w:rsidP="007959C1">
            <w:pPr>
              <w:widowControl w:val="0"/>
              <w:spacing w:after="0"/>
              <w:jc w:val="center"/>
              <w:rPr>
                <w:rFonts w:ascii="Arial" w:eastAsia="Times New Roman" w:hAnsi="Arial" w:cs="Arial"/>
                <w:kern w:val="0"/>
                <w:lang w:eastAsia="en-US"/>
                <w14:ligatures w14:val="none"/>
              </w:rPr>
            </w:pPr>
            <w:r w:rsidRPr="007959C1">
              <w:rPr>
                <w:rFonts w:ascii="Arial" w:eastAsia="Times New Roman" w:hAnsi="Arial" w:cs="Arial"/>
                <w:kern w:val="0"/>
                <w:lang w:eastAsia="en-US"/>
                <w14:ligatures w14:val="none"/>
              </w:rPr>
              <w:t>Support Systems and Workforce Resilience</w:t>
            </w:r>
          </w:p>
        </w:tc>
      </w:tr>
    </w:tbl>
    <w:p w14:paraId="06AA1AF9" w14:textId="77777777" w:rsidR="007959C1" w:rsidRDefault="007959C1" w:rsidP="007959C1">
      <w:pPr>
        <w:spacing w:before="200" w:after="220"/>
        <w:rPr>
          <w:rFonts w:ascii="Arial" w:eastAsia="Times New Roman" w:hAnsi="Arial" w:cs="Arial"/>
          <w:kern w:val="0"/>
          <w:lang w:eastAsia="en-US"/>
          <w14:ligatures w14:val="none"/>
        </w:rPr>
      </w:pPr>
    </w:p>
    <w:p w14:paraId="76F0E7BF" w14:textId="77777777" w:rsidR="00CC6345" w:rsidRPr="00CC6345" w:rsidRDefault="00CC6345" w:rsidP="00CC6345">
      <w:pPr>
        <w:spacing w:before="200" w:after="220"/>
        <w:jc w:val="center"/>
        <w:rPr>
          <w:rFonts w:ascii="Arial" w:eastAsia="Times New Roman" w:hAnsi="Arial" w:cs="Arial"/>
          <w:b/>
          <w:bCs/>
          <w:kern w:val="0"/>
          <w:lang w:eastAsia="en-US"/>
          <w14:ligatures w14:val="none"/>
        </w:rPr>
      </w:pPr>
      <w:r w:rsidRPr="00CC6345">
        <w:rPr>
          <w:rFonts w:ascii="Arial" w:eastAsia="Times New Roman" w:hAnsi="Arial" w:cs="Arial"/>
          <w:b/>
          <w:bCs/>
          <w:kern w:val="0"/>
          <w:lang w:eastAsia="en-US"/>
          <w14:ligatures w14:val="none"/>
        </w:rPr>
        <w:t>Table 4.1: Developed Themes</w:t>
      </w:r>
    </w:p>
    <w:p w14:paraId="12F78606" w14:textId="77777777" w:rsidR="00CC6345" w:rsidRPr="00CC6345" w:rsidRDefault="00CC6345" w:rsidP="00CC6345">
      <w:pPr>
        <w:spacing w:before="200" w:after="220"/>
        <w:jc w:val="center"/>
        <w:rPr>
          <w:rFonts w:ascii="Arial" w:eastAsia="Times New Roman" w:hAnsi="Arial" w:cs="Arial"/>
          <w:kern w:val="0"/>
          <w:lang w:eastAsia="en-US"/>
          <w14:ligatures w14:val="none"/>
        </w:rPr>
      </w:pPr>
      <w:r w:rsidRPr="00CC6345">
        <w:rPr>
          <w:rFonts w:ascii="Arial" w:eastAsia="Times New Roman" w:hAnsi="Arial" w:cs="Arial"/>
          <w:kern w:val="0"/>
          <w:lang w:eastAsia="en-US"/>
          <w14:ligatures w14:val="none"/>
        </w:rPr>
        <w:t>(Source: Author)</w:t>
      </w:r>
    </w:p>
    <w:p w14:paraId="1F96C31C" w14:textId="77777777" w:rsidR="007959C1" w:rsidRPr="007959C1" w:rsidRDefault="007959C1" w:rsidP="007959C1">
      <w:pPr>
        <w:spacing w:before="200" w:after="220"/>
        <w:rPr>
          <w:rFonts w:ascii="Arial" w:eastAsia="Times New Roman" w:hAnsi="Arial" w:cs="Arial"/>
          <w:kern w:val="0"/>
          <w:lang w:eastAsia="en-US"/>
          <w14:ligatures w14:val="none"/>
        </w:rPr>
      </w:pPr>
    </w:p>
    <w:p w14:paraId="3B39D7B4" w14:textId="77777777" w:rsidR="00636D9A" w:rsidRDefault="00636D9A" w:rsidP="001C3AF6"/>
    <w:p w14:paraId="1E614ABD" w14:textId="72EED438" w:rsidR="001C3AF6" w:rsidRPr="00636D9A" w:rsidRDefault="001C3AF6" w:rsidP="003B1E32">
      <w:pPr>
        <w:pStyle w:val="Heading2"/>
      </w:pPr>
      <w:r w:rsidRPr="00636D9A">
        <w:t>4.3 – Theme 1 (</w:t>
      </w:r>
      <w:r w:rsidR="00CC6345" w:rsidRPr="00CC6345">
        <w:t>Effectiveness of Emergency Clinical Training</w:t>
      </w:r>
      <w:r w:rsidR="00CC6345">
        <w:t>)</w:t>
      </w:r>
    </w:p>
    <w:p w14:paraId="6920ED58" w14:textId="5E2A2505" w:rsidR="007063BA" w:rsidRDefault="007063BA" w:rsidP="007063BA">
      <w:pPr>
        <w:pStyle w:val="Heading4"/>
        <w:rPr>
          <w:rFonts w:ascii="Aptos" w:hAnsi="Aptos"/>
        </w:rPr>
      </w:pPr>
      <w:r w:rsidRPr="007063BA">
        <w:rPr>
          <w:rFonts w:ascii="Aptos" w:hAnsi="Aptos"/>
        </w:rPr>
        <w:t xml:space="preserve">Definition </w:t>
      </w:r>
      <w:r w:rsidR="00CC6345">
        <w:rPr>
          <w:rFonts w:ascii="Aptos" w:hAnsi="Aptos"/>
        </w:rPr>
        <w:t>and b</w:t>
      </w:r>
      <w:r w:rsidRPr="007063BA">
        <w:rPr>
          <w:rFonts w:ascii="Aptos" w:hAnsi="Aptos"/>
        </w:rPr>
        <w:t>ackground Information</w:t>
      </w:r>
    </w:p>
    <w:p w14:paraId="3CD0CDA8" w14:textId="77777777" w:rsidR="00CC6345" w:rsidRPr="00CC6345" w:rsidRDefault="00CC6345" w:rsidP="00CC6345">
      <w:pPr>
        <w:spacing w:before="240" w:after="0"/>
        <w:rPr>
          <w:rFonts w:ascii="Arial" w:eastAsia="Century Schoolbook" w:hAnsi="Arial" w:cs="Arial"/>
          <w:b/>
          <w:bCs/>
          <w:i/>
          <w:iCs/>
          <w:kern w:val="0"/>
          <w:sz w:val="24"/>
          <w:szCs w:val="24"/>
          <w:lang w:eastAsia="en-US"/>
          <w14:ligatures w14:val="none"/>
        </w:rPr>
      </w:pPr>
      <w:r w:rsidRPr="00CC6345">
        <w:rPr>
          <w:rFonts w:ascii="Arial" w:eastAsia="Century Schoolbook" w:hAnsi="Arial" w:cs="Arial"/>
          <w:kern w:val="0"/>
          <w:lang w:eastAsia="en-US"/>
          <w14:ligatures w14:val="none"/>
        </w:rPr>
        <w:t xml:space="preserve">The efficiency of emergency clinical training is the degree to which emergency-led training created rapid functional competence, which was safe among healthcare personnel in COVID-19 (Hinchliffe </w:t>
      </w:r>
      <w:r w:rsidRPr="00CC6345">
        <w:rPr>
          <w:rFonts w:ascii="Arial" w:eastAsia="Century Schoolbook" w:hAnsi="Arial" w:cs="Arial"/>
          <w:i/>
          <w:iCs/>
          <w:kern w:val="0"/>
          <w:lang w:eastAsia="en-US"/>
          <w14:ligatures w14:val="none"/>
        </w:rPr>
        <w:t>et al.</w:t>
      </w:r>
      <w:r w:rsidRPr="00CC6345">
        <w:rPr>
          <w:rFonts w:ascii="Arial" w:eastAsia="Century Schoolbook" w:hAnsi="Arial" w:cs="Arial"/>
          <w:kern w:val="0"/>
          <w:lang w:eastAsia="en-US"/>
          <w14:ligatures w14:val="none"/>
        </w:rPr>
        <w:t>, 2023). This training was done through condensed curricula, simulations and supervised practise. The presence of accelerated training, emergency upskilling and competency-based deployment are all terms that focus on the task preparation in the short term instead of long-term professional development.</w:t>
      </w:r>
    </w:p>
    <w:p w14:paraId="72BC47A0" w14:textId="77777777" w:rsidR="00CC6345" w:rsidRPr="00CC6345" w:rsidRDefault="00CC6345" w:rsidP="00CC6345"/>
    <w:p w14:paraId="7749FD3C" w14:textId="77777777" w:rsidR="007063BA" w:rsidRDefault="007063BA" w:rsidP="007063BA">
      <w:pPr>
        <w:pStyle w:val="Heading4"/>
        <w:rPr>
          <w:rFonts w:ascii="Aptos" w:hAnsi="Aptos"/>
        </w:rPr>
      </w:pPr>
      <w:r w:rsidRPr="007063BA">
        <w:rPr>
          <w:rFonts w:ascii="Aptos" w:hAnsi="Aptos"/>
        </w:rPr>
        <w:t>Impact on Research Question</w:t>
      </w:r>
    </w:p>
    <w:p w14:paraId="7A67C5D4" w14:textId="77777777" w:rsidR="00CC6345" w:rsidRPr="00CC6345" w:rsidRDefault="00CC6345" w:rsidP="00CC6345">
      <w:p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 xml:space="preserve">This theme directly affects the research question because it evaluates the existence of better healthcare staff competency levels in the UK healthcare sector due to the training on emergencies. Effectiveness assessment can help answer the question of </w:t>
      </w:r>
      <w:proofErr w:type="gramStart"/>
      <w:r w:rsidRPr="00CC6345">
        <w:rPr>
          <w:rFonts w:ascii="Arial" w:eastAsia="Century Schoolbook" w:hAnsi="Arial" w:cs="Arial"/>
          <w:kern w:val="0"/>
          <w:lang w:eastAsia="en-US"/>
          <w14:ligatures w14:val="none"/>
        </w:rPr>
        <w:t>whether or not</w:t>
      </w:r>
      <w:proofErr w:type="gramEnd"/>
      <w:r w:rsidRPr="00CC6345">
        <w:rPr>
          <w:rFonts w:ascii="Arial" w:eastAsia="Century Schoolbook" w:hAnsi="Arial" w:cs="Arial"/>
          <w:kern w:val="0"/>
          <w:lang w:eastAsia="en-US"/>
          <w14:ligatures w14:val="none"/>
        </w:rPr>
        <w:t xml:space="preserve"> rapid training facilitated safe performance by health workers during redeployment (Camilleri </w:t>
      </w:r>
      <w:r w:rsidRPr="00CC6345">
        <w:rPr>
          <w:rFonts w:ascii="Arial" w:eastAsia="Century Schoolbook" w:hAnsi="Arial" w:cs="Arial"/>
          <w:i/>
          <w:iCs/>
          <w:kern w:val="0"/>
          <w:lang w:eastAsia="en-US"/>
          <w14:ligatures w14:val="none"/>
        </w:rPr>
        <w:t>et al.</w:t>
      </w:r>
      <w:r w:rsidRPr="00CC6345">
        <w:rPr>
          <w:rFonts w:ascii="Arial" w:eastAsia="Century Schoolbook" w:hAnsi="Arial" w:cs="Arial"/>
          <w:kern w:val="0"/>
          <w:lang w:eastAsia="en-US"/>
          <w14:ligatures w14:val="none"/>
        </w:rPr>
        <w:t>, 2022). It equally identifies whether the model of emergency training can be justifiable outside of the context of a crisis, or it needs to be redesigned significantly to guarantee viable competency results.</w:t>
      </w:r>
    </w:p>
    <w:p w14:paraId="44DD09FC" w14:textId="77777777" w:rsidR="00CC6345" w:rsidRPr="00CC6345" w:rsidRDefault="00CC6345" w:rsidP="00CC6345"/>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4D2422B2" w14:textId="77777777" w:rsidR="00CC6345" w:rsidRPr="00CC6345" w:rsidRDefault="00CC6345" w:rsidP="00CC6345">
      <w:pPr>
        <w:spacing w:before="240" w:after="0"/>
        <w:rPr>
          <w:rFonts w:ascii="Arial" w:eastAsia="Century Schoolbook" w:hAnsi="Arial" w:cs="Arial"/>
          <w:b/>
          <w:bCs/>
          <w:i/>
          <w:iCs/>
          <w:kern w:val="0"/>
          <w:sz w:val="24"/>
          <w:szCs w:val="24"/>
          <w:lang w:eastAsia="en-US"/>
          <w14:ligatures w14:val="none"/>
        </w:rPr>
      </w:pPr>
      <w:r w:rsidRPr="00CC6345">
        <w:rPr>
          <w:rFonts w:ascii="Arial" w:eastAsia="Century Schoolbook" w:hAnsi="Arial" w:cs="Arial"/>
          <w:kern w:val="0"/>
          <w:lang w:eastAsia="en-US"/>
          <w14:ligatures w14:val="none"/>
        </w:rPr>
        <w:t xml:space="preserve">In the pandemic (COVID-19), more than 50,000 NHS employees in the country were redeployed after the completion of emergency training programmes that usually took 1-5 days to complete (Lal </w:t>
      </w:r>
      <w:r w:rsidRPr="00CC6345">
        <w:rPr>
          <w:rFonts w:ascii="Arial" w:eastAsia="Century Schoolbook" w:hAnsi="Arial" w:cs="Arial"/>
          <w:i/>
          <w:iCs/>
          <w:kern w:val="0"/>
          <w:lang w:eastAsia="en-US"/>
          <w14:ligatures w14:val="none"/>
        </w:rPr>
        <w:t>et al.</w:t>
      </w:r>
      <w:r w:rsidRPr="00CC6345">
        <w:rPr>
          <w:rFonts w:ascii="Arial" w:eastAsia="Century Schoolbook" w:hAnsi="Arial" w:cs="Arial"/>
          <w:kern w:val="0"/>
          <w:lang w:eastAsia="en-US"/>
          <w14:ligatures w14:val="none"/>
        </w:rPr>
        <w:t>, 2025). Hospitals claimed to have provided over one million PPE training. As much as the continuity of service was facilitated by rapid training, internal audits of multiple trusts documented higher levels of supervision requirements and prolonged time of adjustment, casting doubts on the quality of training and level of consistency.</w:t>
      </w:r>
    </w:p>
    <w:p w14:paraId="61DDC725" w14:textId="205AC915" w:rsidR="007063BA" w:rsidRPr="007063BA" w:rsidRDefault="007063BA" w:rsidP="00CC6345">
      <w:pPr>
        <w:spacing w:before="100" w:beforeAutospacing="1" w:after="100" w:afterAutospacing="1"/>
        <w:jc w:val="left"/>
      </w:pPr>
    </w:p>
    <w:p w14:paraId="6581CFCA" w14:textId="77777777" w:rsidR="00CC6345" w:rsidRDefault="00CC6345" w:rsidP="007063BA">
      <w:pPr>
        <w:pStyle w:val="Heading4"/>
        <w:rPr>
          <w:rFonts w:ascii="Aptos" w:hAnsi="Aptos"/>
        </w:rPr>
      </w:pPr>
    </w:p>
    <w:p w14:paraId="5B9F14CA" w14:textId="77777777" w:rsidR="00CC6345" w:rsidRDefault="00CC6345" w:rsidP="007063BA">
      <w:pPr>
        <w:pStyle w:val="Heading4"/>
        <w:rPr>
          <w:rFonts w:ascii="Aptos" w:hAnsi="Aptos"/>
        </w:rPr>
      </w:pPr>
    </w:p>
    <w:p w14:paraId="142DB4B4" w14:textId="400D5C6A"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CC6345" w:rsidRDefault="007063BA" w:rsidP="00CC6345">
      <w:pPr>
        <w:pStyle w:val="NormalWeb"/>
        <w:spacing w:line="360" w:lineRule="auto"/>
        <w:ind w:left="360"/>
        <w:rPr>
          <w:rStyle w:val="Strong"/>
          <w:rFonts w:ascii="Aptos" w:hAnsi="Aptos"/>
          <w:b w:val="0"/>
          <w:bCs w:val="0"/>
          <w:sz w:val="22"/>
          <w:szCs w:val="22"/>
        </w:rPr>
      </w:pPr>
      <w:r w:rsidRPr="007063BA">
        <w:rPr>
          <w:rStyle w:val="Strong"/>
          <w:rFonts w:ascii="Aptos" w:eastAsia="Calibri Light" w:hAnsi="Aptos"/>
          <w:sz w:val="22"/>
          <w:szCs w:val="22"/>
        </w:rPr>
        <w:t>Theoretical Framework:</w:t>
      </w:r>
    </w:p>
    <w:p w14:paraId="7956D331" w14:textId="77777777" w:rsidR="00CC6345" w:rsidRPr="00EF2814" w:rsidRDefault="00CC6345">
      <w:pPr>
        <w:numPr>
          <w:ilvl w:val="0"/>
          <w:numId w:val="3"/>
        </w:numPr>
        <w:spacing w:before="240" w:after="0"/>
        <w:rPr>
          <w:rFonts w:cs="Arial"/>
        </w:rPr>
      </w:pPr>
      <w:r w:rsidRPr="00EF2814">
        <w:rPr>
          <w:rFonts w:cs="Arial"/>
          <w:b/>
        </w:rPr>
        <w:t>Adult Learning Theory (Andragogy):</w:t>
      </w:r>
      <w:r w:rsidRPr="00EF2814">
        <w:rPr>
          <w:rFonts w:cs="Arial"/>
        </w:rPr>
        <w:t xml:space="preserve"> The emergency training program was designed around problem-solving and application, which aided experienced professionals in applying their knowledge in a high-pressure situation (Staller </w:t>
      </w:r>
      <w:r w:rsidRPr="00EF2814">
        <w:rPr>
          <w:rFonts w:cs="Arial"/>
          <w:i/>
          <w:iCs/>
        </w:rPr>
        <w:t>et al.</w:t>
      </w:r>
      <w:r w:rsidRPr="00EF2814">
        <w:rPr>
          <w:rFonts w:cs="Arial"/>
        </w:rPr>
        <w:t>, 2022).</w:t>
      </w:r>
    </w:p>
    <w:p w14:paraId="12F0F437" w14:textId="77777777" w:rsidR="00CC6345" w:rsidRPr="00EF2814" w:rsidRDefault="00CC6345">
      <w:pPr>
        <w:numPr>
          <w:ilvl w:val="0"/>
          <w:numId w:val="3"/>
        </w:numPr>
        <w:spacing w:before="240" w:after="0"/>
        <w:rPr>
          <w:rFonts w:cs="Arial"/>
        </w:rPr>
      </w:pPr>
      <w:r w:rsidRPr="00EF2814">
        <w:rPr>
          <w:rFonts w:cs="Arial"/>
          <w:b/>
        </w:rPr>
        <w:t>Experiential Learning Theory:</w:t>
      </w:r>
      <w:r w:rsidRPr="00EF2814">
        <w:rPr>
          <w:rFonts w:cs="Arial"/>
        </w:rPr>
        <w:t xml:space="preserve"> Learning was achieved through simulation, observation, and direct exposure to clinical practice, which helped accelerate the development of competence.</w:t>
      </w:r>
    </w:p>
    <w:p w14:paraId="40D5ADBC" w14:textId="77777777" w:rsidR="00CC6345" w:rsidRPr="00EF2814" w:rsidRDefault="00CC6345">
      <w:pPr>
        <w:numPr>
          <w:ilvl w:val="0"/>
          <w:numId w:val="3"/>
        </w:numPr>
        <w:spacing w:before="240" w:after="0"/>
        <w:rPr>
          <w:rFonts w:cs="Arial"/>
        </w:rPr>
      </w:pPr>
      <w:r w:rsidRPr="00EF2814">
        <w:rPr>
          <w:rFonts w:cs="Arial"/>
          <w:b/>
        </w:rPr>
        <w:t>Competency-Based Education Theory:</w:t>
      </w:r>
      <w:r w:rsidRPr="00EF2814">
        <w:rPr>
          <w:rFonts w:cs="Arial"/>
        </w:rPr>
        <w:t xml:space="preserve"> The training program was grounded in the development of clinical competencies rather than time-based training.</w:t>
      </w:r>
    </w:p>
    <w:p w14:paraId="6076D146" w14:textId="77777777" w:rsidR="00CC6345" w:rsidRPr="00EF2814" w:rsidRDefault="00CC6345">
      <w:pPr>
        <w:numPr>
          <w:ilvl w:val="0"/>
          <w:numId w:val="3"/>
        </w:numPr>
        <w:spacing w:before="240" w:after="0"/>
        <w:rPr>
          <w:rFonts w:cs="Arial"/>
        </w:rPr>
      </w:pPr>
      <w:r w:rsidRPr="00EF2814">
        <w:rPr>
          <w:rFonts w:cs="Arial"/>
          <w:b/>
        </w:rPr>
        <w:t>Cognitive Load Theory:</w:t>
      </w:r>
      <w:r w:rsidRPr="00EF2814">
        <w:rPr>
          <w:rFonts w:cs="Arial"/>
        </w:rPr>
        <w:t xml:space="preserve"> The design of the emergency programs was intended to minimise information overload by focusing on the most important skills.</w:t>
      </w:r>
    </w:p>
    <w:p w14:paraId="49474B50" w14:textId="77777777" w:rsidR="00CC6345" w:rsidRPr="00EF2814" w:rsidRDefault="00CC6345">
      <w:pPr>
        <w:numPr>
          <w:ilvl w:val="0"/>
          <w:numId w:val="3"/>
        </w:numPr>
        <w:spacing w:before="240" w:after="0"/>
        <w:rPr>
          <w:rFonts w:cs="Arial"/>
        </w:rPr>
      </w:pPr>
      <w:r w:rsidRPr="00EF2814">
        <w:rPr>
          <w:rFonts w:cs="Arial"/>
          <w:b/>
        </w:rPr>
        <w:t>Situated Learning Theory:</w:t>
      </w:r>
      <w:r w:rsidRPr="00EF2814">
        <w:rPr>
          <w:rFonts w:cs="Arial"/>
        </w:rPr>
        <w:t xml:space="preserve"> The training was conducted in a real-world clinical setting, which improved the relevance of the training to practice.</w:t>
      </w:r>
    </w:p>
    <w:p w14:paraId="3031FA4A" w14:textId="77777777" w:rsidR="00CC6345" w:rsidRPr="007063BA" w:rsidRDefault="00CC6345" w:rsidP="00CC6345">
      <w:pPr>
        <w:pStyle w:val="NormalWeb"/>
        <w:spacing w:line="360" w:lineRule="auto"/>
        <w:rPr>
          <w:rFonts w:ascii="Aptos" w:hAnsi="Aptos"/>
          <w:sz w:val="22"/>
          <w:szCs w:val="22"/>
        </w:rPr>
      </w:pPr>
    </w:p>
    <w:p w14:paraId="6F9FD43F" w14:textId="77777777" w:rsidR="007063BA" w:rsidRPr="00CC6345" w:rsidRDefault="007063BA">
      <w:pPr>
        <w:pStyle w:val="NormalWeb"/>
        <w:numPr>
          <w:ilvl w:val="0"/>
          <w:numId w:val="3"/>
        </w:numPr>
        <w:spacing w:line="360" w:lineRule="auto"/>
        <w:rPr>
          <w:rStyle w:val="Strong"/>
          <w:rFonts w:ascii="Aptos" w:hAnsi="Aptos"/>
          <w:b w:val="0"/>
          <w:bCs w:val="0"/>
          <w:sz w:val="22"/>
          <w:szCs w:val="22"/>
        </w:rPr>
      </w:pPr>
      <w:r w:rsidRPr="007063BA">
        <w:rPr>
          <w:rStyle w:val="Strong"/>
          <w:rFonts w:ascii="Aptos" w:eastAsia="Calibri Light" w:hAnsi="Aptos"/>
          <w:sz w:val="22"/>
          <w:szCs w:val="22"/>
        </w:rPr>
        <w:t>Policy and Legislation:</w:t>
      </w:r>
    </w:p>
    <w:p w14:paraId="41288E26" w14:textId="77777777" w:rsidR="00CC6345" w:rsidRDefault="00CC6345" w:rsidP="00CC6345">
      <w:pPr>
        <w:pStyle w:val="ListParagraph"/>
        <w:rPr>
          <w:rFonts w:ascii="Aptos" w:hAnsi="Aptos"/>
        </w:rPr>
      </w:pPr>
    </w:p>
    <w:p w14:paraId="3983E7B6" w14:textId="77777777" w:rsidR="00CC6345" w:rsidRPr="00CC6345" w:rsidRDefault="00CC6345">
      <w:pPr>
        <w:numPr>
          <w:ilvl w:val="0"/>
          <w:numId w:val="11"/>
        </w:num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NHS Emergency Preparedness Framework: Enabled swift training and skills enhancement in the workforce during public health emergencies.</w:t>
      </w:r>
    </w:p>
    <w:p w14:paraId="145CFFF2" w14:textId="77777777" w:rsidR="00CC6345" w:rsidRPr="00CC6345" w:rsidRDefault="00CC6345">
      <w:pPr>
        <w:numPr>
          <w:ilvl w:val="0"/>
          <w:numId w:val="11"/>
        </w:num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Health and Social Care Act: Enabled changes in the workforce and emergency services’ adaptation to the new environment.</w:t>
      </w:r>
    </w:p>
    <w:p w14:paraId="4ED39DB0" w14:textId="77777777" w:rsidR="00CC6345" w:rsidRPr="00CC6345" w:rsidRDefault="00CC6345">
      <w:pPr>
        <w:numPr>
          <w:ilvl w:val="0"/>
          <w:numId w:val="11"/>
        </w:num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 xml:space="preserve">Temporary Regulatory Flexibility Policies: Enabled the use of skills with supervision to ensure patient safety (Stralen </w:t>
      </w:r>
      <w:r w:rsidRPr="00CC6345">
        <w:rPr>
          <w:rFonts w:ascii="Arial" w:eastAsia="Century Schoolbook" w:hAnsi="Arial" w:cs="Arial"/>
          <w:i/>
          <w:iCs/>
          <w:kern w:val="0"/>
          <w:lang w:eastAsia="en-US"/>
          <w14:ligatures w14:val="none"/>
        </w:rPr>
        <w:t>et al.</w:t>
      </w:r>
      <w:r w:rsidRPr="00CC6345">
        <w:rPr>
          <w:rFonts w:ascii="Arial" w:eastAsia="Century Schoolbook" w:hAnsi="Arial" w:cs="Arial"/>
          <w:kern w:val="0"/>
          <w:lang w:eastAsia="en-US"/>
          <w14:ligatures w14:val="none"/>
        </w:rPr>
        <w:t>, 2022).</w:t>
      </w:r>
    </w:p>
    <w:p w14:paraId="27553A50" w14:textId="77777777" w:rsidR="00CC6345" w:rsidRPr="00CC6345" w:rsidRDefault="00CC6345">
      <w:pPr>
        <w:numPr>
          <w:ilvl w:val="0"/>
          <w:numId w:val="11"/>
        </w:num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NHS People Plan: Enabled swift skills development, employee well-being, and workforce resilience during emergencies.</w:t>
      </w:r>
    </w:p>
    <w:p w14:paraId="0BAACC95" w14:textId="77777777" w:rsidR="00CC6345" w:rsidRPr="00CC6345" w:rsidRDefault="00CC6345">
      <w:pPr>
        <w:numPr>
          <w:ilvl w:val="0"/>
          <w:numId w:val="11"/>
        </w:num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lastRenderedPageBreak/>
        <w:t>Infection Prevention and Control Regulations: Mandated emergency training on PPE and patient safety practices.</w:t>
      </w:r>
    </w:p>
    <w:p w14:paraId="3277287A" w14:textId="77777777" w:rsidR="00CC6345" w:rsidRPr="00CC6345" w:rsidRDefault="00CC6345">
      <w:pPr>
        <w:numPr>
          <w:ilvl w:val="0"/>
          <w:numId w:val="11"/>
        </w:num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Local Trust Governance Policies: Enabled accountability, supervision, and risk management during swift training programs.</w:t>
      </w:r>
    </w:p>
    <w:p w14:paraId="6614A5C6" w14:textId="77777777" w:rsidR="00CC6345" w:rsidRPr="007063BA" w:rsidRDefault="00CC6345" w:rsidP="00CC6345">
      <w:pPr>
        <w:pStyle w:val="NormalWeb"/>
        <w:spacing w:line="360" w:lineRule="auto"/>
        <w:rPr>
          <w:rFonts w:ascii="Aptos" w:hAnsi="Aptos"/>
          <w:sz w:val="22"/>
          <w:szCs w:val="22"/>
        </w:rPr>
      </w:pPr>
    </w:p>
    <w:p w14:paraId="13B595A6" w14:textId="77777777" w:rsidR="007063BA" w:rsidRDefault="007063BA" w:rsidP="007063BA">
      <w:pPr>
        <w:pStyle w:val="Heading4"/>
        <w:rPr>
          <w:rFonts w:ascii="Aptos" w:hAnsi="Aptos"/>
        </w:rPr>
      </w:pPr>
      <w:r w:rsidRPr="007063BA">
        <w:rPr>
          <w:rFonts w:ascii="Aptos" w:hAnsi="Aptos"/>
        </w:rPr>
        <w:t>Implications</w:t>
      </w:r>
    </w:p>
    <w:p w14:paraId="3E103FD6" w14:textId="77777777" w:rsidR="00CC6345" w:rsidRPr="00CC6345" w:rsidRDefault="00CC6345" w:rsidP="00CC6345">
      <w:p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 xml:space="preserve">Emergency clinical training had a positive contribution by facilitating quick mobilisation of workforces, better confidence in tasks and prolonged caring of patients under crisis situations (Faisal and Saleh, 2024). Nevertheless, among the negative effects were asymmetrical acquisition of skills, a weak theoretical foundation, and irregular supervision. These contradictory results indicate that emergency training may work well in achieving short-term </w:t>
      </w:r>
      <w:proofErr w:type="gramStart"/>
      <w:r w:rsidRPr="00CC6345">
        <w:rPr>
          <w:rFonts w:ascii="Arial" w:eastAsia="Century Schoolbook" w:hAnsi="Arial" w:cs="Arial"/>
          <w:kern w:val="0"/>
          <w:lang w:eastAsia="en-US"/>
          <w14:ligatures w14:val="none"/>
        </w:rPr>
        <w:t>competency, but</w:t>
      </w:r>
      <w:proofErr w:type="gramEnd"/>
      <w:r w:rsidRPr="00CC6345">
        <w:rPr>
          <w:rFonts w:ascii="Arial" w:eastAsia="Century Schoolbook" w:hAnsi="Arial" w:cs="Arial"/>
          <w:kern w:val="0"/>
          <w:lang w:eastAsia="en-US"/>
          <w14:ligatures w14:val="none"/>
        </w:rPr>
        <w:t xml:space="preserve"> is not effective on its own in the acquisition of long-term workforce development and professional assurance. </w:t>
      </w:r>
      <w:r w:rsidRPr="00CC6345">
        <w:rPr>
          <w:rFonts w:ascii="Arial" w:eastAsia="Century Schoolbook" w:hAnsi="Arial" w:cs="Arial"/>
          <w:b/>
          <w:i/>
          <w:kern w:val="0"/>
          <w:lang w:eastAsia="en-US"/>
          <w14:ligatures w14:val="none"/>
        </w:rPr>
        <w:t>[Referred to Appendix 1]</w:t>
      </w:r>
    </w:p>
    <w:p w14:paraId="21EEB8A1" w14:textId="77777777" w:rsidR="00CC6345" w:rsidRPr="00CC6345" w:rsidRDefault="00CC6345" w:rsidP="00CC6345"/>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7F56D7CD" w14:textId="77777777" w:rsidR="00CC6345" w:rsidRPr="00CC6345" w:rsidRDefault="00CC6345" w:rsidP="00CC6345">
      <w:pPr>
        <w:spacing w:before="240" w:after="0"/>
        <w:rPr>
          <w:rFonts w:ascii="Arial" w:eastAsia="Century Schoolbook" w:hAnsi="Arial" w:cs="Arial"/>
          <w:b/>
          <w:bCs/>
          <w:i/>
          <w:iCs/>
          <w:kern w:val="0"/>
          <w:sz w:val="24"/>
          <w:szCs w:val="24"/>
          <w:lang w:eastAsia="en-US"/>
          <w14:ligatures w14:val="none"/>
        </w:rPr>
      </w:pPr>
      <w:r w:rsidRPr="00CC6345">
        <w:rPr>
          <w:rFonts w:ascii="Arial" w:eastAsia="Century Schoolbook" w:hAnsi="Arial" w:cs="Arial"/>
          <w:kern w:val="0"/>
          <w:lang w:eastAsia="en-US"/>
          <w14:ligatures w14:val="none"/>
        </w:rPr>
        <w:t xml:space="preserve">According to studies on emergency medicine resilience, there was simply better preparedness after fast training, but still, differences in confidence persisted. Laboratory education reviews identified task performance based on a decrease in theoretical depth. In qualitative redeployment research, it was demonstrated that nurses were able to attain competence </w:t>
      </w:r>
      <w:proofErr w:type="gramStart"/>
      <w:r w:rsidRPr="00CC6345">
        <w:rPr>
          <w:rFonts w:ascii="Arial" w:eastAsia="Century Schoolbook" w:hAnsi="Arial" w:cs="Arial"/>
          <w:kern w:val="0"/>
          <w:lang w:eastAsia="en-US"/>
          <w14:ligatures w14:val="none"/>
        </w:rPr>
        <w:t>in the course of</w:t>
      </w:r>
      <w:proofErr w:type="gramEnd"/>
      <w:r w:rsidRPr="00CC6345">
        <w:rPr>
          <w:rFonts w:ascii="Arial" w:eastAsia="Century Schoolbook" w:hAnsi="Arial" w:cs="Arial"/>
          <w:kern w:val="0"/>
          <w:lang w:eastAsia="en-US"/>
          <w14:ligatures w14:val="none"/>
        </w:rPr>
        <w:t xml:space="preserve"> </w:t>
      </w:r>
      <w:proofErr w:type="gramStart"/>
      <w:r w:rsidRPr="00CC6345">
        <w:rPr>
          <w:rFonts w:ascii="Arial" w:eastAsia="Century Schoolbook" w:hAnsi="Arial" w:cs="Arial"/>
          <w:kern w:val="0"/>
          <w:lang w:eastAsia="en-US"/>
          <w14:ligatures w14:val="none"/>
        </w:rPr>
        <w:t>supervision, yet</w:t>
      </w:r>
      <w:proofErr w:type="gramEnd"/>
      <w:r w:rsidRPr="00CC6345">
        <w:rPr>
          <w:rFonts w:ascii="Arial" w:eastAsia="Century Schoolbook" w:hAnsi="Arial" w:cs="Arial"/>
          <w:kern w:val="0"/>
          <w:lang w:eastAsia="en-US"/>
          <w14:ligatures w14:val="none"/>
        </w:rPr>
        <w:t xml:space="preserve"> were fatigued due to frequent emergency shifts. All these articles concur on the effectiveness in the short </w:t>
      </w:r>
      <w:proofErr w:type="gramStart"/>
      <w:r w:rsidRPr="00CC6345">
        <w:rPr>
          <w:rFonts w:ascii="Arial" w:eastAsia="Century Schoolbook" w:hAnsi="Arial" w:cs="Arial"/>
          <w:kern w:val="0"/>
          <w:lang w:eastAsia="en-US"/>
          <w14:ligatures w14:val="none"/>
        </w:rPr>
        <w:t>term, but</w:t>
      </w:r>
      <w:proofErr w:type="gramEnd"/>
      <w:r w:rsidRPr="00CC6345">
        <w:rPr>
          <w:rFonts w:ascii="Arial" w:eastAsia="Century Schoolbook" w:hAnsi="Arial" w:cs="Arial"/>
          <w:kern w:val="0"/>
          <w:lang w:eastAsia="en-US"/>
          <w14:ligatures w14:val="none"/>
        </w:rPr>
        <w:t xml:space="preserve"> differ on sustainability.</w:t>
      </w:r>
    </w:p>
    <w:p w14:paraId="6FAAE028" w14:textId="77B80435" w:rsidR="007959C1" w:rsidRDefault="007959C1" w:rsidP="007063BA">
      <w:pPr>
        <w:pStyle w:val="Heading4"/>
        <w:rPr>
          <w:rFonts w:ascii="Aptos" w:hAnsi="Aptos"/>
        </w:rPr>
      </w:pPr>
    </w:p>
    <w:p w14:paraId="6F12E895" w14:textId="3EBCE506" w:rsidR="007063BA" w:rsidRDefault="007063BA" w:rsidP="007063BA">
      <w:pPr>
        <w:pStyle w:val="Heading4"/>
        <w:rPr>
          <w:rFonts w:ascii="Aptos" w:hAnsi="Aptos"/>
        </w:rPr>
      </w:pPr>
      <w:r w:rsidRPr="007063BA">
        <w:rPr>
          <w:rFonts w:ascii="Aptos" w:hAnsi="Aptos"/>
        </w:rPr>
        <w:t>Connections to Other Themes</w:t>
      </w:r>
    </w:p>
    <w:p w14:paraId="0FC958DA" w14:textId="77777777" w:rsidR="00CC6345" w:rsidRPr="00CC6345" w:rsidRDefault="00CC6345" w:rsidP="00CC6345">
      <w:pPr>
        <w:spacing w:before="240" w:after="0"/>
        <w:rPr>
          <w:rFonts w:ascii="Arial" w:eastAsia="Century Schoolbook" w:hAnsi="Arial" w:cs="Arial"/>
          <w:kern w:val="0"/>
          <w:lang w:eastAsia="en-US"/>
          <w14:ligatures w14:val="none"/>
        </w:rPr>
      </w:pPr>
      <w:r w:rsidRPr="00CC6345">
        <w:rPr>
          <w:rFonts w:ascii="Arial" w:eastAsia="Century Schoolbook" w:hAnsi="Arial" w:cs="Arial"/>
          <w:kern w:val="0"/>
          <w:lang w:eastAsia="en-US"/>
          <w14:ligatures w14:val="none"/>
        </w:rPr>
        <w:t xml:space="preserve">This theme is related closely to the flexibility of the workforce and role adjustment, where training effectiveness was of an effect to the success of redeployment (Khalid and Al Zahrani, 2024). It also intersects with the topics of the obstacles to training delivery, including time constraints and resource limitations. Also, the resilience and support systems were connected </w:t>
      </w:r>
      <w:proofErr w:type="gramStart"/>
      <w:r w:rsidRPr="00CC6345">
        <w:rPr>
          <w:rFonts w:ascii="Arial" w:eastAsia="Century Schoolbook" w:hAnsi="Arial" w:cs="Arial"/>
          <w:kern w:val="0"/>
          <w:lang w:eastAsia="en-US"/>
          <w14:ligatures w14:val="none"/>
        </w:rPr>
        <w:t>through the use of</w:t>
      </w:r>
      <w:proofErr w:type="gramEnd"/>
      <w:r w:rsidRPr="00CC6345">
        <w:rPr>
          <w:rFonts w:ascii="Arial" w:eastAsia="Century Schoolbook" w:hAnsi="Arial" w:cs="Arial"/>
          <w:kern w:val="0"/>
          <w:lang w:eastAsia="en-US"/>
          <w14:ligatures w14:val="none"/>
        </w:rPr>
        <w:t xml:space="preserve"> links that modulate the effectiveness of supervision as well as the outcome of the competency.</w:t>
      </w:r>
    </w:p>
    <w:p w14:paraId="0C0EA52C" w14:textId="77777777" w:rsidR="00CC6345" w:rsidRDefault="00CC6345" w:rsidP="00CC6345"/>
    <w:p w14:paraId="30990C48" w14:textId="77777777" w:rsidR="00CC6345" w:rsidRPr="00CC6345" w:rsidRDefault="00CC6345" w:rsidP="00CC6345"/>
    <w:p w14:paraId="620F671D" w14:textId="387AF65E" w:rsidR="001C3AF6" w:rsidRDefault="001C3AF6" w:rsidP="003B1E32">
      <w:pPr>
        <w:pStyle w:val="Heading2"/>
      </w:pPr>
      <w:r w:rsidRPr="00636D9A">
        <w:t>4.4 – Theme 2 (</w:t>
      </w:r>
      <w:r w:rsidR="00CC6345" w:rsidRPr="00CC6345">
        <w:t>Workforce Flexibility and Role Adaptation</w:t>
      </w:r>
      <w:r w:rsidR="00CC6345">
        <w:t>)</w:t>
      </w:r>
    </w:p>
    <w:p w14:paraId="36955EC5" w14:textId="0B571095" w:rsidR="001C3AF6" w:rsidRPr="00D40C45" w:rsidRDefault="001C3AF6" w:rsidP="00636D9A"/>
    <w:p w14:paraId="5B010C35" w14:textId="240EF215" w:rsidR="002865F5" w:rsidRDefault="002865F5" w:rsidP="002865F5">
      <w:pPr>
        <w:pStyle w:val="Heading4"/>
        <w:rPr>
          <w:rFonts w:ascii="Aptos" w:hAnsi="Aptos"/>
        </w:rPr>
      </w:pPr>
      <w:r w:rsidRPr="007063BA">
        <w:rPr>
          <w:rFonts w:ascii="Aptos" w:hAnsi="Aptos"/>
        </w:rPr>
        <w:t xml:space="preserve">Definition </w:t>
      </w:r>
      <w:r w:rsidR="006B4F09">
        <w:rPr>
          <w:rFonts w:ascii="Aptos" w:hAnsi="Aptos"/>
        </w:rPr>
        <w:t>and b</w:t>
      </w:r>
      <w:r w:rsidRPr="007063BA">
        <w:rPr>
          <w:rFonts w:ascii="Aptos" w:hAnsi="Aptos"/>
        </w:rPr>
        <w:t>ackground Information</w:t>
      </w:r>
    </w:p>
    <w:p w14:paraId="1238C35C" w14:textId="77777777" w:rsidR="006B4F09" w:rsidRPr="006B4F09" w:rsidRDefault="006B4F09" w:rsidP="006B4F09">
      <w:pPr>
        <w:spacing w:before="240" w:after="0"/>
        <w:rPr>
          <w:rFonts w:ascii="Arial" w:eastAsia="Century Schoolbook" w:hAnsi="Arial" w:cs="Arial"/>
          <w:kern w:val="0"/>
          <w:lang w:eastAsia="en-US"/>
          <w14:ligatures w14:val="none"/>
        </w:rPr>
      </w:pPr>
      <w:r w:rsidRPr="006B4F09">
        <w:rPr>
          <w:rFonts w:ascii="Arial" w:eastAsia="Century Schoolbook" w:hAnsi="Arial" w:cs="Arial"/>
          <w:kern w:val="0"/>
          <w:lang w:eastAsia="en-US"/>
          <w14:ligatures w14:val="none"/>
        </w:rPr>
        <w:t xml:space="preserve">Workforce flexibility and role adaptation imply the possibility of the healthcare staff adapting to the new roles/responsibilities and clinical settings in emergencies (Kidanemariam </w:t>
      </w:r>
      <w:r w:rsidRPr="006B4F09">
        <w:rPr>
          <w:rFonts w:ascii="Arial" w:eastAsia="Century Schoolbook" w:hAnsi="Arial" w:cs="Arial"/>
          <w:i/>
          <w:iCs/>
          <w:kern w:val="0"/>
          <w:lang w:eastAsia="en-US"/>
          <w14:ligatures w14:val="none"/>
        </w:rPr>
        <w:t>et al.</w:t>
      </w:r>
      <w:r w:rsidRPr="006B4F09">
        <w:rPr>
          <w:rFonts w:ascii="Arial" w:eastAsia="Century Schoolbook" w:hAnsi="Arial" w:cs="Arial"/>
          <w:kern w:val="0"/>
          <w:lang w:eastAsia="en-US"/>
          <w14:ligatures w14:val="none"/>
        </w:rPr>
        <w:t>, 2026). The rapid redeployment of healthcare workers in the UK during COVID-19 demanded changes outside the scope of practise in response to the allocation rates of the medical staff to various departments. Emergency training, provisional role alteration, and changed supervision arrangements facilitated the flexibility, which constituted an essential part of pandemic workforce management.</w:t>
      </w:r>
    </w:p>
    <w:p w14:paraId="3234E00C" w14:textId="77777777" w:rsidR="006B4F09" w:rsidRPr="006B4F09" w:rsidRDefault="006B4F09" w:rsidP="006B4F09"/>
    <w:p w14:paraId="1800EAD5" w14:textId="77777777" w:rsidR="002865F5" w:rsidRDefault="002865F5" w:rsidP="002865F5">
      <w:pPr>
        <w:pStyle w:val="Heading4"/>
        <w:rPr>
          <w:rFonts w:ascii="Aptos" w:hAnsi="Aptos"/>
        </w:rPr>
      </w:pPr>
      <w:r w:rsidRPr="007063BA">
        <w:rPr>
          <w:rFonts w:ascii="Aptos" w:hAnsi="Aptos"/>
        </w:rPr>
        <w:t>Impact on Research Question</w:t>
      </w:r>
    </w:p>
    <w:p w14:paraId="2B902F16" w14:textId="77777777" w:rsidR="006B4F09" w:rsidRPr="006B4F09" w:rsidRDefault="006B4F09" w:rsidP="006B4F09">
      <w:pPr>
        <w:spacing w:before="240" w:after="0"/>
        <w:rPr>
          <w:rFonts w:ascii="Arial" w:eastAsia="Century Schoolbook" w:hAnsi="Arial" w:cs="Arial"/>
          <w:kern w:val="0"/>
          <w:lang w:eastAsia="en-US"/>
          <w14:ligatures w14:val="none"/>
        </w:rPr>
      </w:pPr>
      <w:r w:rsidRPr="006B4F09">
        <w:rPr>
          <w:rFonts w:ascii="Arial" w:eastAsia="Century Schoolbook" w:hAnsi="Arial" w:cs="Arial"/>
          <w:kern w:val="0"/>
          <w:lang w:eastAsia="en-US"/>
          <w14:ligatures w14:val="none"/>
        </w:rPr>
        <w:t>This theme is relevant to the research question because it investigates whether the emergency clinical training helped the staff to safely adapt to new positions without losing competence. Flexibility in the workforce directly affected the effectiveness of the transformation of training into practice (Radovan, 2024). Role adaptation makes it clear that it was not just the case of emergency training that empowered redeployment, but was, in fact an indicator of the ability to perform competently and, as such, assists in determining the overall effectiveness of COVID-19 emergency training programmes within the UK healthcare system.</w:t>
      </w:r>
    </w:p>
    <w:p w14:paraId="6BA8D6F4" w14:textId="77777777" w:rsidR="006B4F09" w:rsidRPr="006B4F09" w:rsidRDefault="006B4F09" w:rsidP="006B4F09"/>
    <w:p w14:paraId="2CA6F7EB" w14:textId="77777777" w:rsidR="002865F5" w:rsidRDefault="002865F5" w:rsidP="002865F5">
      <w:pPr>
        <w:pStyle w:val="Heading4"/>
        <w:rPr>
          <w:rFonts w:ascii="Aptos" w:hAnsi="Aptos"/>
        </w:rPr>
      </w:pPr>
      <w:r w:rsidRPr="007063BA">
        <w:rPr>
          <w:rFonts w:ascii="Aptos" w:hAnsi="Aptos"/>
        </w:rPr>
        <w:t>Statistical Information</w:t>
      </w:r>
    </w:p>
    <w:p w14:paraId="14173784" w14:textId="77777777" w:rsidR="006B4F09" w:rsidRDefault="006B4F09" w:rsidP="006B4F09"/>
    <w:p w14:paraId="449999A2" w14:textId="77777777" w:rsidR="00ED3144" w:rsidRPr="00ED3144" w:rsidRDefault="00ED3144" w:rsidP="00ED3144">
      <w:pPr>
        <w:spacing w:before="240" w:after="0"/>
        <w:rPr>
          <w:rFonts w:ascii="Arial" w:eastAsia="Century Schoolbook" w:hAnsi="Arial" w:cs="Arial"/>
          <w:b/>
          <w:bCs/>
          <w:i/>
          <w:iCs/>
          <w:kern w:val="0"/>
          <w:sz w:val="24"/>
          <w:szCs w:val="24"/>
          <w:lang w:eastAsia="en-US"/>
          <w14:ligatures w14:val="none"/>
        </w:rPr>
      </w:pPr>
      <w:r w:rsidRPr="00ED3144">
        <w:rPr>
          <w:rFonts w:ascii="Arial" w:eastAsia="Century Schoolbook" w:hAnsi="Arial" w:cs="Arial"/>
          <w:kern w:val="0"/>
          <w:lang w:eastAsia="en-US"/>
          <w14:ligatures w14:val="none"/>
        </w:rPr>
        <w:t>The pandemic also experienced the deployment of over 50,000 NHS employees in new and unknown clinical positions, such as non-ICU nurses to provide critical care and allied health professionals to provide ward-based care. There were also acute trusts that reported a redeployment of more than 30 clinical specialities (Faulkner-</w:t>
      </w:r>
      <w:proofErr w:type="spellStart"/>
      <w:r w:rsidRPr="00ED3144">
        <w:rPr>
          <w:rFonts w:ascii="Arial" w:eastAsia="Century Schoolbook" w:hAnsi="Arial" w:cs="Arial"/>
          <w:kern w:val="0"/>
          <w:lang w:eastAsia="en-US"/>
          <w14:ligatures w14:val="none"/>
        </w:rPr>
        <w:t>Gurstein</w:t>
      </w:r>
      <w:proofErr w:type="spellEnd"/>
      <w:r w:rsidRPr="00ED3144">
        <w:rPr>
          <w:rFonts w:ascii="Arial" w:eastAsia="Century Schoolbook" w:hAnsi="Arial" w:cs="Arial"/>
          <w:kern w:val="0"/>
          <w:lang w:eastAsia="en-US"/>
          <w14:ligatures w14:val="none"/>
        </w:rPr>
        <w:t xml:space="preserve"> </w:t>
      </w:r>
      <w:r w:rsidRPr="00ED3144">
        <w:rPr>
          <w:rFonts w:ascii="Arial" w:eastAsia="Century Schoolbook" w:hAnsi="Arial" w:cs="Arial"/>
          <w:i/>
          <w:iCs/>
          <w:kern w:val="0"/>
          <w:lang w:eastAsia="en-US"/>
          <w14:ligatures w14:val="none"/>
        </w:rPr>
        <w:t>et al.</w:t>
      </w:r>
      <w:r w:rsidRPr="00ED3144">
        <w:rPr>
          <w:rFonts w:ascii="Arial" w:eastAsia="Century Schoolbook" w:hAnsi="Arial" w:cs="Arial"/>
          <w:kern w:val="0"/>
          <w:lang w:eastAsia="en-US"/>
          <w14:ligatures w14:val="none"/>
        </w:rPr>
        <w:t>, 2022). Although redeployment minimised service disruption, creative workforce audits established longer supervision durations and greater workload intensity during initial adjustment, which showed ambivalent competency results.</w:t>
      </w:r>
    </w:p>
    <w:p w14:paraId="39E1B891" w14:textId="77777777" w:rsidR="006B4F09" w:rsidRPr="006B4F09" w:rsidRDefault="006B4F09" w:rsidP="006B4F09"/>
    <w:p w14:paraId="571F4609" w14:textId="29C24F72" w:rsidR="002865F5" w:rsidRPr="007063BA" w:rsidRDefault="002865F5" w:rsidP="006B4F09">
      <w:pPr>
        <w:spacing w:before="100" w:beforeAutospacing="1" w:after="100" w:afterAutospacing="1"/>
        <w:ind w:left="1080"/>
        <w:jc w:val="left"/>
      </w:pPr>
    </w:p>
    <w:p w14:paraId="65CEAE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44FE8A36" w14:textId="77777777" w:rsidR="002865F5" w:rsidRPr="00ED3144" w:rsidRDefault="002865F5" w:rsidP="00ED3144">
      <w:pPr>
        <w:pStyle w:val="NormalWeb"/>
        <w:spacing w:line="360" w:lineRule="auto"/>
        <w:ind w:left="360"/>
        <w:rPr>
          <w:rStyle w:val="Strong"/>
          <w:rFonts w:ascii="Aptos" w:hAnsi="Aptos"/>
          <w:b w:val="0"/>
          <w:bCs w:val="0"/>
          <w:sz w:val="22"/>
          <w:szCs w:val="22"/>
        </w:rPr>
      </w:pPr>
      <w:r w:rsidRPr="007063BA">
        <w:rPr>
          <w:rStyle w:val="Strong"/>
          <w:rFonts w:ascii="Aptos" w:eastAsia="Calibri Light" w:hAnsi="Aptos"/>
          <w:sz w:val="22"/>
          <w:szCs w:val="22"/>
        </w:rPr>
        <w:t>Theoretical Framework:</w:t>
      </w:r>
    </w:p>
    <w:p w14:paraId="5CD1CAFE" w14:textId="77777777" w:rsidR="00ED3144" w:rsidRPr="00EF2814" w:rsidRDefault="00ED3144">
      <w:pPr>
        <w:numPr>
          <w:ilvl w:val="0"/>
          <w:numId w:val="3"/>
        </w:numPr>
        <w:spacing w:before="240" w:after="0"/>
        <w:rPr>
          <w:rFonts w:cs="Arial"/>
        </w:rPr>
      </w:pPr>
      <w:r w:rsidRPr="00EF2814">
        <w:rPr>
          <w:rFonts w:cs="Arial"/>
          <w:b/>
          <w:bCs/>
        </w:rPr>
        <w:t>Adult Learning Theory (Andragogy):</w:t>
      </w:r>
      <w:r w:rsidRPr="00EF2814">
        <w:rPr>
          <w:rFonts w:cs="Arial"/>
        </w:rPr>
        <w:t xml:space="preserve"> The emergency training program was designed around problem-solving and application, which aided experienced professionals in applying their knowledge in a high-pressure situation (</w:t>
      </w:r>
      <w:proofErr w:type="spellStart"/>
      <w:r w:rsidRPr="00EF2814">
        <w:rPr>
          <w:rFonts w:cs="Arial"/>
        </w:rPr>
        <w:t>Srikasem</w:t>
      </w:r>
      <w:proofErr w:type="spellEnd"/>
      <w:r w:rsidRPr="00EF2814">
        <w:rPr>
          <w:rFonts w:cs="Arial"/>
        </w:rPr>
        <w:t xml:space="preserve"> </w:t>
      </w:r>
      <w:r w:rsidRPr="00EF2814">
        <w:rPr>
          <w:rFonts w:cs="Arial"/>
          <w:i/>
          <w:iCs/>
        </w:rPr>
        <w:t>et al.</w:t>
      </w:r>
      <w:r w:rsidRPr="00EF2814">
        <w:rPr>
          <w:rFonts w:cs="Arial"/>
        </w:rPr>
        <w:t>, 2025).</w:t>
      </w:r>
    </w:p>
    <w:p w14:paraId="77654810" w14:textId="77777777" w:rsidR="00ED3144" w:rsidRPr="00EF2814" w:rsidRDefault="00ED3144">
      <w:pPr>
        <w:numPr>
          <w:ilvl w:val="0"/>
          <w:numId w:val="3"/>
        </w:numPr>
        <w:spacing w:before="240" w:after="0"/>
        <w:rPr>
          <w:rFonts w:cs="Arial"/>
        </w:rPr>
      </w:pPr>
      <w:r w:rsidRPr="00EF2814">
        <w:rPr>
          <w:rFonts w:cs="Arial"/>
          <w:b/>
          <w:bCs/>
        </w:rPr>
        <w:t>Experiential Learning Theory:</w:t>
      </w:r>
      <w:r w:rsidRPr="00EF2814">
        <w:rPr>
          <w:rFonts w:cs="Arial"/>
        </w:rPr>
        <w:t xml:space="preserve"> Learning was achieved through simulation, observation, and direct exposure to clinical practice, which helped accelerate the development of competence.</w:t>
      </w:r>
    </w:p>
    <w:p w14:paraId="038A8D32" w14:textId="77777777" w:rsidR="00ED3144" w:rsidRPr="00EF2814" w:rsidRDefault="00ED3144">
      <w:pPr>
        <w:numPr>
          <w:ilvl w:val="0"/>
          <w:numId w:val="3"/>
        </w:numPr>
        <w:spacing w:before="240" w:after="0"/>
        <w:rPr>
          <w:rFonts w:cs="Arial"/>
        </w:rPr>
      </w:pPr>
      <w:r w:rsidRPr="00EF2814">
        <w:rPr>
          <w:rFonts w:cs="Arial"/>
          <w:b/>
          <w:bCs/>
        </w:rPr>
        <w:t>Competency-Based Education Theory:</w:t>
      </w:r>
      <w:r w:rsidRPr="00EF2814">
        <w:rPr>
          <w:rFonts w:cs="Arial"/>
        </w:rPr>
        <w:t xml:space="preserve"> The training program was grounded in the development of clinical competencies rather than time-based training.</w:t>
      </w:r>
    </w:p>
    <w:p w14:paraId="7557628B" w14:textId="77777777" w:rsidR="00ED3144" w:rsidRPr="00EF2814" w:rsidRDefault="00ED3144">
      <w:pPr>
        <w:numPr>
          <w:ilvl w:val="0"/>
          <w:numId w:val="3"/>
        </w:numPr>
        <w:spacing w:before="240" w:after="0"/>
        <w:rPr>
          <w:rFonts w:cs="Arial"/>
        </w:rPr>
      </w:pPr>
      <w:r w:rsidRPr="00EF2814">
        <w:rPr>
          <w:rFonts w:cs="Arial"/>
          <w:b/>
          <w:bCs/>
        </w:rPr>
        <w:t>Cognitive Load Theory:</w:t>
      </w:r>
      <w:r w:rsidRPr="00EF2814">
        <w:rPr>
          <w:rFonts w:cs="Arial"/>
        </w:rPr>
        <w:t xml:space="preserve"> The design of the emergency programs was intended to minimise information overload by focusing on the most important skills.</w:t>
      </w:r>
    </w:p>
    <w:p w14:paraId="346C7538" w14:textId="77777777" w:rsidR="00ED3144" w:rsidRPr="00EF2814" w:rsidRDefault="00ED3144">
      <w:pPr>
        <w:numPr>
          <w:ilvl w:val="0"/>
          <w:numId w:val="3"/>
        </w:numPr>
        <w:spacing w:before="240" w:after="0"/>
        <w:rPr>
          <w:rFonts w:cs="Arial"/>
        </w:rPr>
      </w:pPr>
      <w:r w:rsidRPr="00EF2814">
        <w:rPr>
          <w:rFonts w:cs="Arial"/>
          <w:b/>
          <w:bCs/>
        </w:rPr>
        <w:t>Situated Learning Theory:</w:t>
      </w:r>
      <w:r w:rsidRPr="00EF2814">
        <w:rPr>
          <w:rFonts w:cs="Arial"/>
        </w:rPr>
        <w:t xml:space="preserve"> The training was conducted in a real-world clinical setting, which improved the relevance of the training to practice.</w:t>
      </w:r>
    </w:p>
    <w:p w14:paraId="065A3FB3" w14:textId="77777777" w:rsidR="00ED3144" w:rsidRPr="007063BA" w:rsidRDefault="00ED3144" w:rsidP="00ED3144">
      <w:pPr>
        <w:pStyle w:val="NormalWeb"/>
        <w:spacing w:line="360" w:lineRule="auto"/>
        <w:rPr>
          <w:rFonts w:ascii="Aptos" w:hAnsi="Aptos"/>
          <w:sz w:val="22"/>
          <w:szCs w:val="22"/>
        </w:rPr>
      </w:pPr>
    </w:p>
    <w:p w14:paraId="3A4B5435" w14:textId="77777777" w:rsidR="002865F5" w:rsidRDefault="002865F5" w:rsidP="00ED3144">
      <w:pPr>
        <w:pStyle w:val="NormalWeb"/>
        <w:spacing w:line="360" w:lineRule="auto"/>
        <w:ind w:left="360"/>
        <w:rPr>
          <w:rStyle w:val="Strong"/>
          <w:rFonts w:ascii="Aptos" w:eastAsia="Calibri Light" w:hAnsi="Aptos"/>
          <w:sz w:val="22"/>
          <w:szCs w:val="22"/>
        </w:rPr>
      </w:pPr>
      <w:r w:rsidRPr="007063BA">
        <w:rPr>
          <w:rStyle w:val="Strong"/>
          <w:rFonts w:ascii="Aptos" w:eastAsia="Calibri Light" w:hAnsi="Aptos"/>
          <w:sz w:val="22"/>
          <w:szCs w:val="22"/>
        </w:rPr>
        <w:t>Policy and Legislation:</w:t>
      </w:r>
    </w:p>
    <w:p w14:paraId="69F8C2C7" w14:textId="77777777" w:rsidR="00ED3144" w:rsidRPr="00ED3144" w:rsidRDefault="00ED3144">
      <w:pPr>
        <w:numPr>
          <w:ilvl w:val="0"/>
          <w:numId w:val="12"/>
        </w:numPr>
        <w:spacing w:before="240" w:after="0"/>
        <w:rPr>
          <w:rFonts w:ascii="Arial" w:eastAsia="Century Schoolbook" w:hAnsi="Arial" w:cs="Arial"/>
          <w:kern w:val="0"/>
          <w:lang w:eastAsia="en-US"/>
          <w14:ligatures w14:val="none"/>
        </w:rPr>
      </w:pPr>
      <w:r w:rsidRPr="00ED3144">
        <w:rPr>
          <w:rFonts w:ascii="Arial" w:eastAsia="Century Schoolbook" w:hAnsi="Arial" w:cs="Arial"/>
          <w:b/>
          <w:bCs/>
          <w:kern w:val="0"/>
          <w:lang w:eastAsia="en-US"/>
          <w14:ligatures w14:val="none"/>
        </w:rPr>
        <w:t>NHS Emergency Preparedness Framework:</w:t>
      </w:r>
      <w:r w:rsidRPr="00ED3144">
        <w:rPr>
          <w:rFonts w:ascii="Arial" w:eastAsia="Century Schoolbook" w:hAnsi="Arial" w:cs="Arial"/>
          <w:kern w:val="0"/>
          <w:lang w:eastAsia="en-US"/>
          <w14:ligatures w14:val="none"/>
        </w:rPr>
        <w:t xml:space="preserve"> Enabled swift training and skills enhancement in the workforce during public health emergencies (</w:t>
      </w:r>
      <w:proofErr w:type="spellStart"/>
      <w:r w:rsidRPr="00ED3144">
        <w:rPr>
          <w:rFonts w:ascii="Arial" w:eastAsia="Century Schoolbook" w:hAnsi="Arial" w:cs="Arial"/>
          <w:kern w:val="0"/>
          <w:lang w:eastAsia="en-US"/>
          <w14:ligatures w14:val="none"/>
        </w:rPr>
        <w:t>Tabche</w:t>
      </w:r>
      <w:proofErr w:type="spellEnd"/>
      <w:r w:rsidRPr="00ED3144">
        <w:rPr>
          <w:rFonts w:ascii="Arial" w:eastAsia="Century Schoolbook" w:hAnsi="Arial" w:cs="Arial"/>
          <w:kern w:val="0"/>
          <w:lang w:eastAsia="en-US"/>
          <w14:ligatures w14:val="none"/>
        </w:rPr>
        <w:t xml:space="preserve"> </w:t>
      </w:r>
      <w:r w:rsidRPr="00ED3144">
        <w:rPr>
          <w:rFonts w:ascii="Arial" w:eastAsia="Century Schoolbook" w:hAnsi="Arial" w:cs="Arial"/>
          <w:i/>
          <w:kern w:val="0"/>
          <w:lang w:eastAsia="en-US"/>
          <w14:ligatures w14:val="none"/>
        </w:rPr>
        <w:t xml:space="preserve">et al., </w:t>
      </w:r>
      <w:r w:rsidRPr="00ED3144">
        <w:rPr>
          <w:rFonts w:ascii="Arial" w:eastAsia="Century Schoolbook" w:hAnsi="Arial" w:cs="Arial"/>
          <w:kern w:val="0"/>
          <w:lang w:eastAsia="en-US"/>
          <w14:ligatures w14:val="none"/>
        </w:rPr>
        <w:t>2024).</w:t>
      </w:r>
    </w:p>
    <w:p w14:paraId="07554109" w14:textId="77777777" w:rsidR="00ED3144" w:rsidRPr="00ED3144" w:rsidRDefault="00ED3144">
      <w:pPr>
        <w:numPr>
          <w:ilvl w:val="0"/>
          <w:numId w:val="12"/>
        </w:numPr>
        <w:spacing w:before="240" w:after="0"/>
        <w:rPr>
          <w:rFonts w:ascii="Arial" w:eastAsia="Century Schoolbook" w:hAnsi="Arial" w:cs="Arial"/>
          <w:kern w:val="0"/>
          <w:lang w:eastAsia="en-US"/>
          <w14:ligatures w14:val="none"/>
        </w:rPr>
      </w:pPr>
      <w:r w:rsidRPr="00ED3144">
        <w:rPr>
          <w:rFonts w:ascii="Arial" w:eastAsia="Century Schoolbook" w:hAnsi="Arial" w:cs="Arial"/>
          <w:b/>
          <w:bCs/>
          <w:kern w:val="0"/>
          <w:lang w:eastAsia="en-US"/>
          <w14:ligatures w14:val="none"/>
        </w:rPr>
        <w:t xml:space="preserve">Health and Social Care Act: </w:t>
      </w:r>
      <w:r w:rsidRPr="00ED3144">
        <w:rPr>
          <w:rFonts w:ascii="Arial" w:eastAsia="Century Schoolbook" w:hAnsi="Arial" w:cs="Arial"/>
          <w:kern w:val="0"/>
          <w:lang w:eastAsia="en-US"/>
          <w14:ligatures w14:val="none"/>
        </w:rPr>
        <w:t>Enabled changes in the workforce and emergency services’ adaptation to the new environment.</w:t>
      </w:r>
    </w:p>
    <w:p w14:paraId="6CACA998" w14:textId="77777777" w:rsidR="00ED3144" w:rsidRPr="00ED3144" w:rsidRDefault="00ED3144">
      <w:pPr>
        <w:numPr>
          <w:ilvl w:val="0"/>
          <w:numId w:val="12"/>
        </w:numPr>
        <w:spacing w:before="240" w:after="0"/>
        <w:rPr>
          <w:rFonts w:ascii="Arial" w:eastAsia="Century Schoolbook" w:hAnsi="Arial" w:cs="Arial"/>
          <w:kern w:val="0"/>
          <w:lang w:eastAsia="en-US"/>
          <w14:ligatures w14:val="none"/>
        </w:rPr>
      </w:pPr>
      <w:r w:rsidRPr="00ED3144">
        <w:rPr>
          <w:rFonts w:ascii="Arial" w:eastAsia="Century Schoolbook" w:hAnsi="Arial" w:cs="Arial"/>
          <w:b/>
          <w:bCs/>
          <w:kern w:val="0"/>
          <w:lang w:eastAsia="en-US"/>
          <w14:ligatures w14:val="none"/>
        </w:rPr>
        <w:t>Temporary Regulatory Flexibility Policies:</w:t>
      </w:r>
      <w:r w:rsidRPr="00ED3144">
        <w:rPr>
          <w:rFonts w:ascii="Arial" w:eastAsia="Century Schoolbook" w:hAnsi="Arial" w:cs="Arial"/>
          <w:kern w:val="0"/>
          <w:lang w:eastAsia="en-US"/>
          <w14:ligatures w14:val="none"/>
        </w:rPr>
        <w:t xml:space="preserve"> Enabled the use of skills with supervision to ensure patient safety.</w:t>
      </w:r>
    </w:p>
    <w:p w14:paraId="36F31651" w14:textId="77777777" w:rsidR="00ED3144" w:rsidRPr="00ED3144" w:rsidRDefault="00ED3144">
      <w:pPr>
        <w:numPr>
          <w:ilvl w:val="0"/>
          <w:numId w:val="12"/>
        </w:numPr>
        <w:spacing w:before="240" w:after="0"/>
        <w:rPr>
          <w:rFonts w:ascii="Arial" w:eastAsia="Century Schoolbook" w:hAnsi="Arial" w:cs="Arial"/>
          <w:kern w:val="0"/>
          <w:lang w:eastAsia="en-US"/>
          <w14:ligatures w14:val="none"/>
        </w:rPr>
      </w:pPr>
      <w:r w:rsidRPr="00ED3144">
        <w:rPr>
          <w:rFonts w:ascii="Arial" w:eastAsia="Century Schoolbook" w:hAnsi="Arial" w:cs="Arial"/>
          <w:b/>
          <w:bCs/>
          <w:kern w:val="0"/>
          <w:lang w:eastAsia="en-US"/>
          <w14:ligatures w14:val="none"/>
        </w:rPr>
        <w:t>NHS People Plan:</w:t>
      </w:r>
      <w:r w:rsidRPr="00ED3144">
        <w:rPr>
          <w:rFonts w:ascii="Arial" w:eastAsia="Century Schoolbook" w:hAnsi="Arial" w:cs="Arial"/>
          <w:kern w:val="0"/>
          <w:lang w:eastAsia="en-US"/>
          <w14:ligatures w14:val="none"/>
        </w:rPr>
        <w:t xml:space="preserve"> Enabled swift skills development, employee well-being, and workforce resilience during emergencies.</w:t>
      </w:r>
    </w:p>
    <w:p w14:paraId="26AC030F" w14:textId="77777777" w:rsidR="00ED3144" w:rsidRPr="00ED3144" w:rsidRDefault="00ED3144">
      <w:pPr>
        <w:numPr>
          <w:ilvl w:val="0"/>
          <w:numId w:val="12"/>
        </w:numPr>
        <w:spacing w:before="240" w:after="0"/>
        <w:rPr>
          <w:rFonts w:ascii="Arial" w:eastAsia="Century Schoolbook" w:hAnsi="Arial" w:cs="Arial"/>
          <w:kern w:val="0"/>
          <w:lang w:eastAsia="en-US"/>
          <w14:ligatures w14:val="none"/>
        </w:rPr>
      </w:pPr>
      <w:r w:rsidRPr="00ED3144">
        <w:rPr>
          <w:rFonts w:ascii="Arial" w:eastAsia="Century Schoolbook" w:hAnsi="Arial" w:cs="Arial"/>
          <w:b/>
          <w:bCs/>
          <w:kern w:val="0"/>
          <w:lang w:eastAsia="en-US"/>
          <w14:ligatures w14:val="none"/>
        </w:rPr>
        <w:t xml:space="preserve">Infection Prevention and Control Regulations: </w:t>
      </w:r>
      <w:r w:rsidRPr="00ED3144">
        <w:rPr>
          <w:rFonts w:ascii="Arial" w:eastAsia="Century Schoolbook" w:hAnsi="Arial" w:cs="Arial"/>
          <w:kern w:val="0"/>
          <w:lang w:eastAsia="en-US"/>
          <w14:ligatures w14:val="none"/>
        </w:rPr>
        <w:t>Mandated emergency training on PPE and patient safety practices.</w:t>
      </w:r>
    </w:p>
    <w:p w14:paraId="4109A713" w14:textId="77777777" w:rsidR="00ED3144" w:rsidRPr="007063BA" w:rsidRDefault="00ED3144" w:rsidP="00ED3144">
      <w:pPr>
        <w:pStyle w:val="NormalWeb"/>
        <w:spacing w:line="360" w:lineRule="auto"/>
        <w:ind w:left="360"/>
        <w:rPr>
          <w:rFonts w:ascii="Aptos" w:hAnsi="Aptos"/>
          <w:sz w:val="22"/>
          <w:szCs w:val="22"/>
        </w:rPr>
      </w:pPr>
    </w:p>
    <w:p w14:paraId="549E8E86" w14:textId="77777777" w:rsidR="002865F5" w:rsidRDefault="002865F5" w:rsidP="002865F5">
      <w:pPr>
        <w:pStyle w:val="Heading4"/>
        <w:rPr>
          <w:rFonts w:ascii="Aptos" w:hAnsi="Aptos"/>
        </w:rPr>
      </w:pPr>
      <w:r w:rsidRPr="007063BA">
        <w:rPr>
          <w:rFonts w:ascii="Aptos" w:hAnsi="Aptos"/>
        </w:rPr>
        <w:t>Implications</w:t>
      </w:r>
    </w:p>
    <w:p w14:paraId="3366CCDC" w14:textId="77777777" w:rsidR="00ED3144" w:rsidRPr="00ED3144" w:rsidRDefault="00ED3144" w:rsidP="00ED3144">
      <w:pPr>
        <w:spacing w:before="240" w:after="0"/>
        <w:rPr>
          <w:rFonts w:ascii="Arial" w:eastAsia="Century Schoolbook" w:hAnsi="Arial" w:cs="Arial"/>
          <w:kern w:val="0"/>
          <w:lang w:eastAsia="en-US"/>
          <w14:ligatures w14:val="none"/>
        </w:rPr>
      </w:pPr>
      <w:r w:rsidRPr="00ED3144">
        <w:rPr>
          <w:rFonts w:ascii="Arial" w:eastAsia="Century Schoolbook" w:hAnsi="Arial" w:cs="Arial"/>
          <w:kern w:val="0"/>
          <w:lang w:eastAsia="en-US"/>
          <w14:ligatures w14:val="none"/>
        </w:rPr>
        <w:t xml:space="preserve">Flexibility of the labour force sustained the delivery of services within a short period, thus alleviating workforce reduction, which has a positive implication on health system resilience (Burau </w:t>
      </w:r>
      <w:r w:rsidRPr="00ED3144">
        <w:rPr>
          <w:rFonts w:ascii="Arial" w:eastAsia="Century Schoolbook" w:hAnsi="Arial" w:cs="Arial"/>
          <w:i/>
          <w:iCs/>
          <w:kern w:val="0"/>
          <w:lang w:eastAsia="en-US"/>
          <w14:ligatures w14:val="none"/>
        </w:rPr>
        <w:t>et al.</w:t>
      </w:r>
      <w:r w:rsidRPr="00ED3144">
        <w:rPr>
          <w:rFonts w:ascii="Arial" w:eastAsia="Century Schoolbook" w:hAnsi="Arial" w:cs="Arial"/>
          <w:kern w:val="0"/>
          <w:lang w:eastAsia="en-US"/>
          <w14:ligatures w14:val="none"/>
        </w:rPr>
        <w:t>, 2022). Nevertheless, the adaptation of roles gave a lot of cognitive and emotional pressure on the staff, at times more than what had been taught during training. The lack of competency and confidence in relation to the lack of adequate training relative to role complexity was a factor that jeopardised proper orientation in future emergency workforce planning.</w:t>
      </w:r>
    </w:p>
    <w:p w14:paraId="286426FC" w14:textId="77777777" w:rsidR="00ED3144" w:rsidRPr="00ED3144" w:rsidRDefault="00ED3144" w:rsidP="00ED3144"/>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3BCF753B" w14:textId="77777777" w:rsidR="00A768A9" w:rsidRDefault="00A768A9" w:rsidP="00A768A9">
      <w:pPr>
        <w:spacing w:before="240" w:after="0"/>
        <w:rPr>
          <w:rFonts w:ascii="Arial" w:eastAsia="Century Schoolbook" w:hAnsi="Arial" w:cs="Arial"/>
          <w:kern w:val="0"/>
          <w:lang w:eastAsia="en-US"/>
          <w14:ligatures w14:val="none"/>
        </w:rPr>
      </w:pPr>
      <w:r w:rsidRPr="00A768A9">
        <w:rPr>
          <w:rFonts w:ascii="Arial" w:eastAsia="Century Schoolbook" w:hAnsi="Arial" w:cs="Arial"/>
          <w:kern w:val="0"/>
          <w:lang w:eastAsia="en-US"/>
          <w14:ligatures w14:val="none"/>
        </w:rPr>
        <w:t xml:space="preserve">In qualitative case studies, redeployed research and clinical personnel demonstrated that they could learn quickly to be in frontline positions, especially as supervision was regularly provided (Wright </w:t>
      </w:r>
      <w:r w:rsidRPr="00A768A9">
        <w:rPr>
          <w:rFonts w:ascii="Arial" w:eastAsia="Century Schoolbook" w:hAnsi="Arial" w:cs="Arial"/>
          <w:i/>
          <w:kern w:val="0"/>
          <w:lang w:eastAsia="en-US"/>
          <w14:ligatures w14:val="none"/>
        </w:rPr>
        <w:t>et al.,</w:t>
      </w:r>
      <w:r w:rsidRPr="00A768A9">
        <w:rPr>
          <w:rFonts w:ascii="Arial" w:eastAsia="Century Schoolbook" w:hAnsi="Arial" w:cs="Arial"/>
          <w:kern w:val="0"/>
          <w:lang w:eastAsia="en-US"/>
          <w14:ligatures w14:val="none"/>
        </w:rPr>
        <w:t xml:space="preserve"> 2023). On the one hand, emergency medicine literature indicated enhanced flexibility, and on the other hand, anxiety among employees who were not engaged in their specialisations. Reviews of laboratory education indicated positive role expansion with a lower level of confidence when the scope of redeployment surpassed initial training, with congruence in results and incongruence as well.</w:t>
      </w:r>
    </w:p>
    <w:p w14:paraId="6032B617" w14:textId="77777777" w:rsidR="00A768A9" w:rsidRPr="00A768A9" w:rsidRDefault="00A768A9" w:rsidP="00A768A9">
      <w:pPr>
        <w:spacing w:before="240" w:after="0"/>
        <w:rPr>
          <w:rFonts w:ascii="Arial" w:eastAsia="Century Schoolbook" w:hAnsi="Arial" w:cs="Arial"/>
          <w:kern w:val="0"/>
          <w:lang w:eastAsia="en-US"/>
          <w14:ligatures w14:val="none"/>
        </w:rPr>
      </w:pPr>
      <w:r w:rsidRPr="00A768A9">
        <w:rPr>
          <w:rFonts w:ascii="Arial" w:eastAsia="Century Schoolbook" w:hAnsi="Arial" w:cs="Arial"/>
          <w:kern w:val="0"/>
          <w:lang w:eastAsia="en-US"/>
          <w14:ligatures w14:val="none"/>
        </w:rPr>
        <w:t>The articles under review have found that healthcare assistants have taken on more clinical work during times of staff shortages, thus reducing delays in services. Nurses working as advanced practitioners have also improved patient flow in primary care settings. Social care professionals have found that they have taken on more work in multidisciplinary teams, especially in times of crisis.</w:t>
      </w:r>
    </w:p>
    <w:p w14:paraId="274D38D1" w14:textId="77777777" w:rsidR="00A768A9" w:rsidRPr="00A768A9" w:rsidRDefault="00A768A9" w:rsidP="00A768A9">
      <w:pPr>
        <w:spacing w:before="240" w:after="0"/>
        <w:rPr>
          <w:rFonts w:ascii="Arial" w:eastAsia="Century Schoolbook" w:hAnsi="Arial" w:cs="Arial"/>
          <w:b/>
          <w:bCs/>
          <w:i/>
          <w:iCs/>
          <w:kern w:val="0"/>
          <w:sz w:val="24"/>
          <w:szCs w:val="24"/>
          <w:lang w:eastAsia="en-US"/>
          <w14:ligatures w14:val="none"/>
        </w:rPr>
      </w:pPr>
    </w:p>
    <w:p w14:paraId="70C2B916" w14:textId="77777777" w:rsidR="0082760D" w:rsidRDefault="0082760D" w:rsidP="002865F5">
      <w:pPr>
        <w:pStyle w:val="Heading4"/>
        <w:rPr>
          <w:rFonts w:ascii="Aptos" w:hAnsi="Aptos"/>
        </w:rPr>
      </w:pPr>
    </w:p>
    <w:p w14:paraId="219757CE" w14:textId="0020434E" w:rsidR="002865F5" w:rsidRDefault="002865F5" w:rsidP="002865F5">
      <w:pPr>
        <w:pStyle w:val="Heading4"/>
        <w:rPr>
          <w:rFonts w:ascii="Aptos" w:hAnsi="Aptos"/>
        </w:rPr>
      </w:pPr>
      <w:r w:rsidRPr="007063BA">
        <w:rPr>
          <w:rFonts w:ascii="Aptos" w:hAnsi="Aptos"/>
        </w:rPr>
        <w:t>Connections to Other Themes</w:t>
      </w:r>
    </w:p>
    <w:p w14:paraId="3163CDCA" w14:textId="77777777" w:rsidR="00A768A9" w:rsidRDefault="00A768A9" w:rsidP="00A768A9"/>
    <w:p w14:paraId="274B0D8E" w14:textId="77777777" w:rsidR="00A768A9" w:rsidRDefault="00A768A9" w:rsidP="00A768A9">
      <w:pPr>
        <w:spacing w:before="240" w:after="0"/>
        <w:rPr>
          <w:rFonts w:ascii="Arial" w:eastAsia="Century Schoolbook" w:hAnsi="Arial" w:cs="Arial"/>
          <w:kern w:val="0"/>
          <w:lang w:eastAsia="en-US"/>
          <w14:ligatures w14:val="none"/>
        </w:rPr>
      </w:pPr>
      <w:r w:rsidRPr="00A768A9">
        <w:rPr>
          <w:rFonts w:ascii="Arial" w:eastAsia="Century Schoolbook" w:hAnsi="Arial" w:cs="Arial"/>
          <w:kern w:val="0"/>
          <w:lang w:eastAsia="en-US"/>
          <w14:ligatures w14:val="none"/>
        </w:rPr>
        <w:t xml:space="preserve">The effectiveness of the emergency clinical training is closely related to this theme because the quality of the training affects the successful practise of the roles (Zhang, 2023). It also somewhat intersects the barriers to training delivery in that preparedness was constrained by a lack of time and resources. Also, connections to support systems and resilience of the </w:t>
      </w:r>
      <w:r w:rsidRPr="00A768A9">
        <w:rPr>
          <w:rFonts w:ascii="Arial" w:eastAsia="Century Schoolbook" w:hAnsi="Arial" w:cs="Arial"/>
          <w:kern w:val="0"/>
          <w:lang w:eastAsia="en-US"/>
          <w14:ligatures w14:val="none"/>
        </w:rPr>
        <w:lastRenderedPageBreak/>
        <w:t>workforce show that supervision and peer support mediated the effects of redeployment on the competency and well-being of the staff.</w:t>
      </w:r>
    </w:p>
    <w:p w14:paraId="057843E8" w14:textId="77777777" w:rsidR="00A768A9" w:rsidRPr="00A768A9" w:rsidRDefault="00A768A9" w:rsidP="00A768A9">
      <w:pPr>
        <w:spacing w:before="240" w:after="0"/>
        <w:rPr>
          <w:rFonts w:ascii="Arial" w:eastAsia="Century Schoolbook" w:hAnsi="Arial" w:cs="Arial"/>
          <w:kern w:val="0"/>
          <w:lang w:eastAsia="en-US"/>
          <w14:ligatures w14:val="none"/>
        </w:rPr>
      </w:pPr>
      <w:r w:rsidRPr="00A768A9">
        <w:rPr>
          <w:rFonts w:ascii="Arial" w:eastAsia="Century Schoolbook" w:hAnsi="Arial" w:cs="Arial"/>
          <w:kern w:val="0"/>
          <w:lang w:eastAsia="en-US"/>
          <w14:ligatures w14:val="none"/>
        </w:rPr>
        <w:t xml:space="preserve">The issue of workforce flexibility is also closely related to the concepts of interprofessional working and service integration, as flexible roles are based on shared accountability (Dib and </w:t>
      </w:r>
      <w:proofErr w:type="spellStart"/>
      <w:r w:rsidRPr="00A768A9">
        <w:rPr>
          <w:rFonts w:ascii="Arial" w:eastAsia="Century Schoolbook" w:hAnsi="Arial" w:cs="Arial"/>
          <w:kern w:val="0"/>
          <w:lang w:eastAsia="en-US"/>
          <w14:ligatures w14:val="none"/>
        </w:rPr>
        <w:t>Belrhiti</w:t>
      </w:r>
      <w:proofErr w:type="spellEnd"/>
      <w:r w:rsidRPr="00A768A9">
        <w:rPr>
          <w:rFonts w:ascii="Arial" w:eastAsia="Century Schoolbook" w:hAnsi="Arial" w:cs="Arial"/>
          <w:kern w:val="0"/>
          <w:lang w:eastAsia="en-US"/>
          <w14:ligatures w14:val="none"/>
        </w:rPr>
        <w:t>, 2025). It is also related to the concepts of leadership and organisational culture, as supportive leadership is necessary for flexible roles to be developed. In addition, it is also related to service user outcomes, as flexible roles improve continuity of care.</w:t>
      </w:r>
    </w:p>
    <w:p w14:paraId="4939B270" w14:textId="77777777" w:rsidR="00A768A9" w:rsidRPr="00A768A9" w:rsidRDefault="00A768A9" w:rsidP="00A768A9"/>
    <w:p w14:paraId="3CADB6AC" w14:textId="4FBA05AE" w:rsidR="001C3AF6" w:rsidRDefault="001C3AF6" w:rsidP="003B1E32">
      <w:pPr>
        <w:pStyle w:val="Heading2"/>
      </w:pPr>
      <w:r w:rsidRPr="00636D9A">
        <w:t>4.5 – Theme 3 (</w:t>
      </w:r>
      <w:r w:rsidR="00A768A9" w:rsidRPr="00A768A9">
        <w:t>Competency Development and Clinical Confidence</w:t>
      </w:r>
      <w:r w:rsidR="00A768A9">
        <w:t>)</w:t>
      </w:r>
    </w:p>
    <w:p w14:paraId="0D8B4DA0" w14:textId="77777777" w:rsidR="00636D9A" w:rsidRPr="00636D9A" w:rsidRDefault="00636D9A" w:rsidP="001C3AF6">
      <w:pPr>
        <w:pStyle w:val="Heading1"/>
        <w:rPr>
          <w:rFonts w:ascii="Aptos" w:hAnsi="Aptos"/>
          <w:sz w:val="28"/>
          <w:szCs w:val="28"/>
        </w:rPr>
      </w:pPr>
    </w:p>
    <w:p w14:paraId="73055C57" w14:textId="217669B1" w:rsidR="002865F5" w:rsidRDefault="002865F5" w:rsidP="002865F5">
      <w:pPr>
        <w:pStyle w:val="Heading4"/>
        <w:rPr>
          <w:rFonts w:ascii="Aptos" w:hAnsi="Aptos"/>
        </w:rPr>
      </w:pPr>
      <w:r w:rsidRPr="007063BA">
        <w:rPr>
          <w:rFonts w:ascii="Aptos" w:hAnsi="Aptos"/>
        </w:rPr>
        <w:t xml:space="preserve">Definition </w:t>
      </w:r>
      <w:r w:rsidR="00A768A9">
        <w:rPr>
          <w:rFonts w:ascii="Aptos" w:hAnsi="Aptos"/>
        </w:rPr>
        <w:t>and ba</w:t>
      </w:r>
      <w:r w:rsidRPr="007063BA">
        <w:rPr>
          <w:rFonts w:ascii="Aptos" w:hAnsi="Aptos"/>
        </w:rPr>
        <w:t>ckground Information</w:t>
      </w:r>
    </w:p>
    <w:p w14:paraId="53C26570" w14:textId="4D9CE3BC" w:rsidR="00A768A9" w:rsidRDefault="00A768A9" w:rsidP="00A768A9">
      <w:pPr>
        <w:spacing w:before="200" w:after="220"/>
        <w:rPr>
          <w:rFonts w:ascii="Arial" w:eastAsia="Times New Roman" w:hAnsi="Arial" w:cs="Arial"/>
          <w:kern w:val="0"/>
          <w:lang w:eastAsia="en-US"/>
          <w14:ligatures w14:val="none"/>
        </w:rPr>
      </w:pPr>
      <w:r w:rsidRPr="00A768A9">
        <w:rPr>
          <w:rFonts w:ascii="Arial" w:eastAsia="Times New Roman" w:hAnsi="Arial" w:cs="Arial"/>
          <w:kern w:val="0"/>
          <w:lang w:eastAsia="en-US"/>
          <w14:ligatures w14:val="none"/>
        </w:rPr>
        <w:t xml:space="preserve">Competency development can be defined as the process through which healthcare professionals can acquire and enhance their knowledge, skills, behaviours, as well as judgment, of giving safe and effective care (MacKay </w:t>
      </w:r>
      <w:r w:rsidRPr="00A768A9">
        <w:rPr>
          <w:rFonts w:ascii="Arial" w:eastAsia="Times New Roman" w:hAnsi="Arial" w:cs="Arial"/>
          <w:i/>
          <w:iCs/>
          <w:kern w:val="0"/>
          <w:lang w:eastAsia="en-US"/>
          <w14:ligatures w14:val="none"/>
        </w:rPr>
        <w:t>et al.,</w:t>
      </w:r>
      <w:r w:rsidRPr="00A768A9">
        <w:rPr>
          <w:rFonts w:ascii="Arial" w:eastAsia="Times New Roman" w:hAnsi="Arial" w:cs="Arial"/>
          <w:kern w:val="0"/>
          <w:lang w:eastAsia="en-US"/>
          <w14:ligatures w14:val="none"/>
        </w:rPr>
        <w:t xml:space="preserve"> 2024). Clinical confidence, on the other hand, has a close relation with competency. It is the confidence which practitioners develop in using these skills when faced with pressure (Gottlieb </w:t>
      </w:r>
      <w:r w:rsidRPr="00A768A9">
        <w:rPr>
          <w:rFonts w:ascii="Arial" w:eastAsia="Times New Roman" w:hAnsi="Arial" w:cs="Arial"/>
          <w:i/>
          <w:iCs/>
          <w:kern w:val="0"/>
          <w:lang w:eastAsia="en-US"/>
          <w14:ligatures w14:val="none"/>
        </w:rPr>
        <w:t>et al.,</w:t>
      </w:r>
      <w:r w:rsidRPr="00A768A9">
        <w:rPr>
          <w:rFonts w:ascii="Arial" w:eastAsia="Times New Roman" w:hAnsi="Arial" w:cs="Arial"/>
          <w:kern w:val="0"/>
          <w:lang w:eastAsia="en-US"/>
          <w14:ligatures w14:val="none"/>
        </w:rPr>
        <w:t xml:space="preserve"> 2021). Emergency clinical training in response to the COVID-19 pandemic aimed at rapidly improving the competency and confidence of the redeployed staff. This helps them to adapt to the new environment and provide patient safety under high-risk conditions.</w:t>
      </w:r>
    </w:p>
    <w:p w14:paraId="48F99EE9" w14:textId="77777777" w:rsidR="00A768A9" w:rsidRPr="00A768A9" w:rsidRDefault="00A768A9" w:rsidP="00A768A9">
      <w:pPr>
        <w:spacing w:before="200" w:after="220"/>
        <w:rPr>
          <w:rFonts w:ascii="Arial" w:eastAsia="Times New Roman" w:hAnsi="Arial" w:cs="Arial"/>
          <w:b/>
          <w:bCs/>
          <w:kern w:val="0"/>
          <w:u w:val="single"/>
          <w:lang w:eastAsia="en-US"/>
          <w14:ligatures w14:val="none"/>
        </w:rPr>
      </w:pPr>
      <w:r w:rsidRPr="00A768A9">
        <w:rPr>
          <w:rFonts w:ascii="Arial" w:eastAsia="Times New Roman" w:hAnsi="Arial" w:cs="Arial"/>
          <w:b/>
          <w:bCs/>
          <w:kern w:val="0"/>
          <w:u w:val="single"/>
          <w:lang w:eastAsia="en-US"/>
          <w14:ligatures w14:val="none"/>
        </w:rPr>
        <w:t>Relevance to the Title</w:t>
      </w:r>
    </w:p>
    <w:p w14:paraId="2B523CD8" w14:textId="77777777" w:rsidR="00A768A9" w:rsidRPr="00A768A9" w:rsidRDefault="00A768A9" w:rsidP="00A768A9">
      <w:pPr>
        <w:spacing w:before="200" w:after="220"/>
        <w:rPr>
          <w:rFonts w:ascii="Arial" w:eastAsia="Times New Roman" w:hAnsi="Arial" w:cs="Arial"/>
          <w:kern w:val="0"/>
          <w:lang w:eastAsia="en-US"/>
          <w14:ligatures w14:val="none"/>
        </w:rPr>
      </w:pPr>
      <w:r w:rsidRPr="00A768A9">
        <w:rPr>
          <w:rFonts w:ascii="Arial" w:eastAsia="Times New Roman" w:hAnsi="Arial" w:cs="Arial"/>
          <w:kern w:val="0"/>
          <w:lang w:eastAsia="en-US"/>
          <w14:ligatures w14:val="none"/>
        </w:rPr>
        <w:t xml:space="preserve">In the title of the dissertation, which is </w:t>
      </w:r>
      <w:r w:rsidRPr="00A768A9">
        <w:rPr>
          <w:rFonts w:ascii="Arial" w:eastAsia="Times New Roman" w:hAnsi="Arial" w:cs="Arial"/>
          <w:b/>
          <w:bCs/>
          <w:i/>
          <w:iCs/>
          <w:kern w:val="0"/>
          <w:lang w:eastAsia="en-US"/>
          <w14:ligatures w14:val="none"/>
        </w:rPr>
        <w:t>"Examining the Effect of COVID-19 Emergency Clinical Training on Staff Competency Levels within the UK Health Care Industry"</w:t>
      </w:r>
      <w:r w:rsidRPr="00A768A9">
        <w:rPr>
          <w:rFonts w:ascii="Arial" w:eastAsia="Times New Roman" w:hAnsi="Arial" w:cs="Arial"/>
          <w:kern w:val="0"/>
          <w:lang w:eastAsia="en-US"/>
          <w14:ligatures w14:val="none"/>
        </w:rPr>
        <w:t>, competency development and clinical confidence are explicitly placed as relevant outcomes of emergency training. Training initiatives need necessary goals to determine a measurable increase in these areas. Competency is what ensures the ability of staff members to perform key responsibilities like infection control, ventilator care, and triage (Hyeon and Moon, 2024). Correspondingly, confidence enabled them to take decisive actions under high-pressure circumstances. A combination of these outcomes established the potential to maintain workforce resilience and patient safety at pandemic times.</w:t>
      </w:r>
    </w:p>
    <w:p w14:paraId="0CF4E90A" w14:textId="77777777" w:rsidR="00A768A9" w:rsidRPr="00A768A9" w:rsidRDefault="00A768A9" w:rsidP="00A768A9">
      <w:pPr>
        <w:spacing w:before="200" w:after="220"/>
        <w:rPr>
          <w:rFonts w:ascii="Arial" w:eastAsia="Times New Roman" w:hAnsi="Arial" w:cs="Arial"/>
          <w:kern w:val="0"/>
          <w:lang w:eastAsia="en-US"/>
          <w14:ligatures w14:val="none"/>
        </w:rPr>
      </w:pPr>
      <w:r w:rsidRPr="00A768A9">
        <w:rPr>
          <w:rFonts w:ascii="Arial" w:eastAsia="Times New Roman" w:hAnsi="Arial" w:cs="Arial"/>
          <w:kern w:val="0"/>
          <w:lang w:eastAsia="en-US"/>
          <w14:ligatures w14:val="none"/>
        </w:rPr>
        <w:t>The dependence of competency and confidence makes an impact on the workforce preparedness:</w:t>
      </w:r>
    </w:p>
    <w:p w14:paraId="2A9CCB73" w14:textId="77777777" w:rsidR="00A768A9" w:rsidRPr="00A768A9" w:rsidRDefault="00A768A9">
      <w:pPr>
        <w:numPr>
          <w:ilvl w:val="0"/>
          <w:numId w:val="13"/>
        </w:numPr>
        <w:spacing w:before="200" w:after="0"/>
        <w:rPr>
          <w:rFonts w:ascii="Arial" w:eastAsia="Times New Roman" w:hAnsi="Arial" w:cs="Arial"/>
          <w:kern w:val="0"/>
          <w:lang w:eastAsia="en-US"/>
          <w14:ligatures w14:val="none"/>
        </w:rPr>
      </w:pPr>
      <w:r w:rsidRPr="00A768A9">
        <w:rPr>
          <w:rFonts w:ascii="Arial" w:eastAsia="Times New Roman" w:hAnsi="Arial" w:cs="Arial"/>
          <w:b/>
          <w:bCs/>
          <w:kern w:val="0"/>
          <w:lang w:eastAsia="en-US"/>
          <w14:ligatures w14:val="none"/>
        </w:rPr>
        <w:lastRenderedPageBreak/>
        <w:t>Positive Implications</w:t>
      </w:r>
      <w:r w:rsidRPr="00A768A9">
        <w:rPr>
          <w:rFonts w:ascii="Arial" w:eastAsia="Times New Roman" w:hAnsi="Arial" w:cs="Arial"/>
          <w:kern w:val="0"/>
          <w:lang w:eastAsia="en-US"/>
          <w14:ligatures w14:val="none"/>
        </w:rPr>
        <w:t xml:space="preserve"> - Emergency training improved the level of technical skills, which allowed redeployed staff to make a positive contribution to patient care. Training is typically organised, available and supported by organisations to boost confidence.</w:t>
      </w:r>
    </w:p>
    <w:p w14:paraId="5C35B1B3" w14:textId="77777777" w:rsidR="00A768A9" w:rsidRPr="00A768A9" w:rsidRDefault="00A768A9">
      <w:pPr>
        <w:numPr>
          <w:ilvl w:val="0"/>
          <w:numId w:val="13"/>
        </w:numPr>
        <w:spacing w:before="200" w:after="0"/>
        <w:rPr>
          <w:rFonts w:ascii="Arial" w:eastAsia="Times New Roman" w:hAnsi="Arial" w:cs="Arial"/>
          <w:kern w:val="0"/>
          <w:lang w:eastAsia="en-US"/>
          <w14:ligatures w14:val="none"/>
        </w:rPr>
      </w:pPr>
      <w:r w:rsidRPr="00A768A9">
        <w:rPr>
          <w:rFonts w:ascii="Arial" w:eastAsia="Times New Roman" w:hAnsi="Arial" w:cs="Arial"/>
          <w:b/>
          <w:bCs/>
          <w:kern w:val="0"/>
          <w:lang w:eastAsia="en-US"/>
          <w14:ligatures w14:val="none"/>
        </w:rPr>
        <w:t>Negative Implications</w:t>
      </w:r>
      <w:r w:rsidRPr="00A768A9">
        <w:rPr>
          <w:rFonts w:ascii="Arial" w:eastAsia="Times New Roman" w:hAnsi="Arial" w:cs="Arial"/>
          <w:kern w:val="0"/>
          <w:lang w:eastAsia="en-US"/>
          <w14:ligatures w14:val="none"/>
        </w:rPr>
        <w:t xml:space="preserve"> - The rapidity in training initiatives can disrupt the competency of the staff, with increased uncertainties. There may be gaps in the confidence where patient safety can be compromised, especially in high-risk situations or in the ICU.</w:t>
      </w:r>
    </w:p>
    <w:p w14:paraId="12EEFF57" w14:textId="77777777" w:rsidR="00A768A9" w:rsidRPr="00A768A9" w:rsidRDefault="00A768A9" w:rsidP="00A768A9">
      <w:pPr>
        <w:spacing w:before="200" w:after="220"/>
        <w:rPr>
          <w:rFonts w:ascii="Arial" w:eastAsia="Times New Roman" w:hAnsi="Arial" w:cs="Arial"/>
          <w:kern w:val="0"/>
          <w:lang w:eastAsia="en-US"/>
          <w14:ligatures w14:val="none"/>
        </w:rPr>
      </w:pPr>
      <w:r w:rsidRPr="00A768A9">
        <w:rPr>
          <w:rFonts w:ascii="Arial" w:eastAsia="Times New Roman" w:hAnsi="Arial" w:cs="Arial"/>
          <w:kern w:val="0"/>
          <w:lang w:eastAsia="en-US"/>
          <w14:ligatures w14:val="none"/>
        </w:rPr>
        <w:t xml:space="preserve">The outcomes indicate that competency training is necessary, in addition to developing staff confidence, including simulation training, mentorship, and psychological support. The policies should consider that training regarding emergencies is technically adequate </w:t>
      </w:r>
      <w:proofErr w:type="gramStart"/>
      <w:r w:rsidRPr="00A768A9">
        <w:rPr>
          <w:rFonts w:ascii="Arial" w:eastAsia="Times New Roman" w:hAnsi="Arial" w:cs="Arial"/>
          <w:kern w:val="0"/>
          <w:lang w:eastAsia="en-US"/>
          <w14:ligatures w14:val="none"/>
        </w:rPr>
        <w:t>and also</w:t>
      </w:r>
      <w:proofErr w:type="gramEnd"/>
      <w:r w:rsidRPr="00A768A9">
        <w:rPr>
          <w:rFonts w:ascii="Arial" w:eastAsia="Times New Roman" w:hAnsi="Arial" w:cs="Arial"/>
          <w:kern w:val="0"/>
          <w:lang w:eastAsia="en-US"/>
          <w14:ligatures w14:val="none"/>
        </w:rPr>
        <w:t xml:space="preserve"> psychologically empowering.</w:t>
      </w:r>
    </w:p>
    <w:p w14:paraId="4DBDC9A2" w14:textId="77777777" w:rsidR="00A768A9" w:rsidRPr="00A768A9" w:rsidRDefault="00A768A9" w:rsidP="00A768A9">
      <w:pPr>
        <w:spacing w:before="200" w:after="220"/>
        <w:rPr>
          <w:rFonts w:ascii="Arial" w:eastAsia="Times New Roman" w:hAnsi="Arial" w:cs="Arial"/>
          <w:kern w:val="0"/>
          <w:lang w:eastAsia="en-US"/>
          <w14:ligatures w14:val="none"/>
        </w:rPr>
      </w:pPr>
    </w:p>
    <w:p w14:paraId="28E29938" w14:textId="77777777" w:rsidR="002865F5" w:rsidRDefault="002865F5" w:rsidP="002865F5">
      <w:pPr>
        <w:pStyle w:val="Heading4"/>
        <w:rPr>
          <w:rFonts w:ascii="Aptos" w:hAnsi="Aptos"/>
        </w:rPr>
      </w:pPr>
      <w:r w:rsidRPr="007063BA">
        <w:rPr>
          <w:rFonts w:ascii="Aptos" w:hAnsi="Aptos"/>
        </w:rPr>
        <w:t>Theories, Policies, and Legislation</w:t>
      </w:r>
    </w:p>
    <w:p w14:paraId="60429E9E" w14:textId="77777777" w:rsidR="00A768A9" w:rsidRPr="00A768A9" w:rsidRDefault="00A768A9" w:rsidP="00A768A9">
      <w:pPr>
        <w:spacing w:before="200" w:after="220"/>
        <w:rPr>
          <w:rFonts w:ascii="Arial" w:eastAsia="Times New Roman" w:hAnsi="Arial" w:cs="Arial"/>
          <w:kern w:val="0"/>
          <w:lang w:eastAsia="en-US"/>
          <w14:ligatures w14:val="none"/>
        </w:rPr>
      </w:pPr>
      <w:r w:rsidRPr="00A768A9">
        <w:rPr>
          <w:rFonts w:ascii="Arial" w:eastAsia="Times New Roman" w:hAnsi="Arial" w:cs="Arial"/>
          <w:kern w:val="0"/>
          <w:lang w:eastAsia="en-US"/>
          <w14:ligatures w14:val="none"/>
        </w:rPr>
        <w:t>The competency development is analysed based on several theoretical frameworks:</w:t>
      </w:r>
    </w:p>
    <w:p w14:paraId="76CBF793" w14:textId="77777777" w:rsidR="00A768A9" w:rsidRPr="00A768A9" w:rsidRDefault="00A768A9">
      <w:pPr>
        <w:numPr>
          <w:ilvl w:val="0"/>
          <w:numId w:val="14"/>
        </w:numPr>
        <w:spacing w:before="200" w:after="0"/>
        <w:rPr>
          <w:rFonts w:ascii="Arial" w:eastAsia="Times New Roman" w:hAnsi="Arial" w:cs="Arial"/>
          <w:kern w:val="0"/>
          <w:lang w:eastAsia="en-US"/>
          <w14:ligatures w14:val="none"/>
        </w:rPr>
      </w:pPr>
      <w:r w:rsidRPr="00A768A9">
        <w:rPr>
          <w:rFonts w:ascii="Arial" w:eastAsia="Times New Roman" w:hAnsi="Arial" w:cs="Arial"/>
          <w:b/>
          <w:bCs/>
          <w:kern w:val="0"/>
          <w:lang w:eastAsia="en-US"/>
          <w14:ligatures w14:val="none"/>
        </w:rPr>
        <w:t>Competency-Based Training (CBT)</w:t>
      </w:r>
      <w:r w:rsidRPr="00A768A9">
        <w:rPr>
          <w:rFonts w:ascii="Arial" w:eastAsia="Times New Roman" w:hAnsi="Arial" w:cs="Arial"/>
          <w:kern w:val="0"/>
          <w:lang w:eastAsia="en-US"/>
          <w14:ligatures w14:val="none"/>
        </w:rPr>
        <w:t xml:space="preserve"> - Drawing attention to the theory, Brightwell and Grant (2022), provide a focus on quantifiable skills and knowledge standards. CBT, when used in the context of COVID-19, prioritise designing accelerated training modules, which allow the redeployed staff to achieve minimum competency amid time shortage.</w:t>
      </w:r>
    </w:p>
    <w:p w14:paraId="09E5BCFD" w14:textId="77777777" w:rsidR="00A768A9" w:rsidRPr="00A768A9" w:rsidRDefault="00A768A9">
      <w:pPr>
        <w:numPr>
          <w:ilvl w:val="0"/>
          <w:numId w:val="14"/>
        </w:numPr>
        <w:spacing w:before="200" w:after="0"/>
        <w:rPr>
          <w:rFonts w:ascii="Arial" w:eastAsia="Times New Roman" w:hAnsi="Arial" w:cs="Arial"/>
          <w:kern w:val="0"/>
          <w:lang w:eastAsia="en-US"/>
          <w14:ligatures w14:val="none"/>
        </w:rPr>
      </w:pPr>
      <w:r w:rsidRPr="00A768A9">
        <w:rPr>
          <w:rFonts w:ascii="Arial" w:eastAsia="Times New Roman" w:hAnsi="Arial" w:cs="Arial"/>
          <w:b/>
          <w:bCs/>
          <w:kern w:val="0"/>
          <w:lang w:eastAsia="en-US"/>
          <w14:ligatures w14:val="none"/>
        </w:rPr>
        <w:t>Adult Learning Theory</w:t>
      </w:r>
      <w:r w:rsidRPr="00A768A9">
        <w:rPr>
          <w:rFonts w:ascii="Arial" w:eastAsia="Times New Roman" w:hAnsi="Arial" w:cs="Arial"/>
          <w:kern w:val="0"/>
          <w:lang w:eastAsia="en-US"/>
          <w14:ligatures w14:val="none"/>
        </w:rPr>
        <w:t xml:space="preserve"> - Emergency training, as explained by </w:t>
      </w:r>
      <w:proofErr w:type="spellStart"/>
      <w:r w:rsidRPr="00A768A9">
        <w:rPr>
          <w:rFonts w:ascii="Arial" w:eastAsia="Times New Roman" w:hAnsi="Arial" w:cs="Arial"/>
          <w:kern w:val="0"/>
          <w:lang w:eastAsia="en-US"/>
          <w14:ligatures w14:val="none"/>
        </w:rPr>
        <w:t>Mukhalalati</w:t>
      </w:r>
      <w:proofErr w:type="spellEnd"/>
      <w:r w:rsidRPr="00A768A9">
        <w:rPr>
          <w:rFonts w:ascii="Arial" w:eastAsia="Times New Roman" w:hAnsi="Arial" w:cs="Arial"/>
          <w:kern w:val="0"/>
          <w:lang w:eastAsia="en-US"/>
          <w14:ligatures w14:val="none"/>
        </w:rPr>
        <w:t xml:space="preserve"> and Taylor (2020), is based on experiential problem-based learning, allowing HCWs to put the new skills into practice. This has been especially true for the staff who had been redeployed to the intensive care units, where practical simulation boosted confidence.</w:t>
      </w:r>
    </w:p>
    <w:p w14:paraId="4D8FEFAE" w14:textId="77777777" w:rsidR="00A768A9" w:rsidRPr="00A768A9" w:rsidRDefault="00A768A9">
      <w:pPr>
        <w:numPr>
          <w:ilvl w:val="0"/>
          <w:numId w:val="14"/>
        </w:numPr>
        <w:spacing w:before="200" w:after="0"/>
        <w:rPr>
          <w:rFonts w:ascii="Arial" w:eastAsia="Times New Roman" w:hAnsi="Arial" w:cs="Arial"/>
          <w:kern w:val="0"/>
          <w:lang w:eastAsia="en-US"/>
          <w14:ligatures w14:val="none"/>
        </w:rPr>
      </w:pPr>
      <w:r w:rsidRPr="00A768A9">
        <w:rPr>
          <w:rFonts w:ascii="Arial" w:eastAsia="Times New Roman" w:hAnsi="Arial" w:cs="Arial"/>
          <w:b/>
          <w:bCs/>
          <w:kern w:val="0"/>
          <w:lang w:eastAsia="en-US"/>
          <w14:ligatures w14:val="none"/>
        </w:rPr>
        <w:t>Resilience Theory</w:t>
      </w:r>
      <w:r w:rsidRPr="00A768A9">
        <w:rPr>
          <w:rFonts w:ascii="Arial" w:eastAsia="Times New Roman" w:hAnsi="Arial" w:cs="Arial"/>
          <w:kern w:val="0"/>
          <w:lang w:eastAsia="en-US"/>
          <w14:ligatures w14:val="none"/>
        </w:rPr>
        <w:t xml:space="preserve"> - Competency building is not only a technical approach, but also a psychological initiative (Zimmerman, 2023). Hence, training improved the flexibility of the workforce by minimising the fear and uncertainty, thus enhancing crisis confidence.</w:t>
      </w:r>
    </w:p>
    <w:p w14:paraId="25EAC1C6" w14:textId="77777777" w:rsidR="00A768A9" w:rsidRPr="00A768A9" w:rsidRDefault="00A768A9" w:rsidP="00A768A9">
      <w:pPr>
        <w:spacing w:before="200" w:after="220"/>
        <w:rPr>
          <w:rFonts w:ascii="Arial" w:eastAsia="Times New Roman" w:hAnsi="Arial" w:cs="Arial"/>
          <w:kern w:val="0"/>
          <w:lang w:eastAsia="en-US"/>
          <w14:ligatures w14:val="none"/>
        </w:rPr>
      </w:pPr>
      <w:r w:rsidRPr="00A768A9">
        <w:rPr>
          <w:rFonts w:ascii="Arial" w:eastAsia="Times New Roman" w:hAnsi="Arial" w:cs="Arial"/>
          <w:kern w:val="0"/>
          <w:lang w:eastAsia="en-US"/>
          <w14:ligatures w14:val="none"/>
        </w:rPr>
        <w:t xml:space="preserve">Knowledge competency development has further considered policy frameworks. Workforce obligations, defined by the </w:t>
      </w:r>
      <w:r w:rsidRPr="00A768A9">
        <w:rPr>
          <w:rFonts w:ascii="Arial" w:eastAsia="Times New Roman" w:hAnsi="Arial" w:cs="Arial"/>
          <w:b/>
          <w:bCs/>
          <w:kern w:val="0"/>
          <w:lang w:eastAsia="en-US"/>
          <w14:ligatures w14:val="none"/>
        </w:rPr>
        <w:t>"Care Act, 2014"</w:t>
      </w:r>
      <w:r w:rsidRPr="00A768A9">
        <w:rPr>
          <w:rFonts w:ascii="Arial" w:eastAsia="Times New Roman" w:hAnsi="Arial" w:cs="Arial"/>
          <w:kern w:val="0"/>
          <w:lang w:eastAsia="en-US"/>
          <w14:ligatures w14:val="none"/>
        </w:rPr>
        <w:t xml:space="preserve"> and </w:t>
      </w:r>
      <w:r w:rsidRPr="00A768A9">
        <w:rPr>
          <w:rFonts w:ascii="Arial" w:eastAsia="Times New Roman" w:hAnsi="Arial" w:cs="Arial"/>
          <w:b/>
          <w:bCs/>
          <w:kern w:val="0"/>
          <w:lang w:eastAsia="en-US"/>
          <w14:ligatures w14:val="none"/>
        </w:rPr>
        <w:t>"Health and Social Care Act, 2012"</w:t>
      </w:r>
      <w:r w:rsidRPr="00A768A9">
        <w:rPr>
          <w:rFonts w:ascii="Arial" w:eastAsia="Times New Roman" w:hAnsi="Arial" w:cs="Arial"/>
          <w:kern w:val="0"/>
          <w:lang w:eastAsia="en-US"/>
          <w14:ligatures w14:val="none"/>
        </w:rPr>
        <w:t xml:space="preserve">, besides "emergency directives" by the </w:t>
      </w:r>
      <w:r w:rsidRPr="00A768A9">
        <w:rPr>
          <w:rFonts w:ascii="Arial" w:eastAsia="Times New Roman" w:hAnsi="Arial" w:cs="Arial"/>
          <w:b/>
          <w:bCs/>
          <w:kern w:val="0"/>
          <w:lang w:eastAsia="en-US"/>
          <w14:ligatures w14:val="none"/>
        </w:rPr>
        <w:t>"Department of Health and Social Care"</w:t>
      </w:r>
      <w:r w:rsidRPr="00A768A9">
        <w:rPr>
          <w:rFonts w:ascii="Arial" w:eastAsia="Times New Roman" w:hAnsi="Arial" w:cs="Arial"/>
          <w:kern w:val="0"/>
          <w:lang w:eastAsia="en-US"/>
          <w14:ligatures w14:val="none"/>
        </w:rPr>
        <w:t xml:space="preserve"> (DHSC) and the </w:t>
      </w:r>
      <w:r w:rsidRPr="00A768A9">
        <w:rPr>
          <w:rFonts w:ascii="Arial" w:eastAsia="Times New Roman" w:hAnsi="Arial" w:cs="Arial"/>
          <w:b/>
          <w:bCs/>
          <w:kern w:val="0"/>
          <w:lang w:eastAsia="en-US"/>
          <w14:ligatures w14:val="none"/>
        </w:rPr>
        <w:t>NHS England</w:t>
      </w:r>
      <w:r w:rsidRPr="00A768A9">
        <w:rPr>
          <w:rFonts w:ascii="Arial" w:eastAsia="Times New Roman" w:hAnsi="Arial" w:cs="Arial"/>
          <w:kern w:val="0"/>
          <w:lang w:eastAsia="en-US"/>
          <w14:ligatures w14:val="none"/>
        </w:rPr>
        <w:t xml:space="preserve">, demanded quick upskilling (Legislation.gov.uk 2024; Gov.uk, 2022). The </w:t>
      </w:r>
      <w:r w:rsidRPr="00A768A9">
        <w:rPr>
          <w:rFonts w:ascii="Arial" w:eastAsia="Times New Roman" w:hAnsi="Arial" w:cs="Arial"/>
          <w:b/>
          <w:bCs/>
          <w:kern w:val="0"/>
          <w:lang w:eastAsia="en-US"/>
          <w14:ligatures w14:val="none"/>
        </w:rPr>
        <w:t>"General Medical Council"</w:t>
      </w:r>
      <w:r w:rsidRPr="00A768A9">
        <w:rPr>
          <w:rFonts w:ascii="Arial" w:eastAsia="Times New Roman" w:hAnsi="Arial" w:cs="Arial"/>
          <w:kern w:val="0"/>
          <w:lang w:eastAsia="en-US"/>
          <w14:ligatures w14:val="none"/>
        </w:rPr>
        <w:t xml:space="preserve"> (GMC) has been bringing a temporary change in the training requirements, which enabled a redeployment, without undermining professional standards </w:t>
      </w:r>
      <w:r w:rsidRPr="00A768A9">
        <w:rPr>
          <w:rFonts w:ascii="Arial" w:eastAsia="Times New Roman" w:hAnsi="Arial" w:cs="Arial"/>
          <w:kern w:val="0"/>
          <w:lang w:eastAsia="en-US"/>
          <w14:ligatures w14:val="none"/>
        </w:rPr>
        <w:lastRenderedPageBreak/>
        <w:t>(GMC, 2021). These policies authorised the emergency training and guaranteed the competency development according to the regulatory expectations.</w:t>
      </w:r>
    </w:p>
    <w:p w14:paraId="4ECC1500" w14:textId="77777777" w:rsidR="00A768A9" w:rsidRPr="00A768A9" w:rsidRDefault="00A768A9" w:rsidP="00A768A9"/>
    <w:p w14:paraId="0AD9FEAE" w14:textId="1A56E2BF" w:rsidR="00FE5C58" w:rsidRDefault="00FE5C58" w:rsidP="00FE5C58">
      <w:pPr>
        <w:pStyle w:val="Heading4"/>
        <w:rPr>
          <w:rFonts w:ascii="Aptos" w:hAnsi="Aptos"/>
        </w:rPr>
      </w:pPr>
      <w:r w:rsidRPr="00FE5C58">
        <w:rPr>
          <w:rFonts w:ascii="Aptos" w:hAnsi="Aptos"/>
        </w:rPr>
        <w:t>Examples from Your Articles</w:t>
      </w:r>
    </w:p>
    <w:p w14:paraId="07DD4D61" w14:textId="77777777" w:rsid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In the study by </w:t>
      </w:r>
      <w:proofErr w:type="spellStart"/>
      <w:r w:rsidRPr="00600D52">
        <w:rPr>
          <w:rFonts w:ascii="Arial" w:eastAsia="Times New Roman" w:hAnsi="Arial" w:cs="Arial"/>
          <w:b/>
          <w:bCs/>
          <w:kern w:val="0"/>
          <w:lang w:eastAsia="en-US"/>
          <w14:ligatures w14:val="none"/>
        </w:rPr>
        <w:t>Vindrola-Padros</w:t>
      </w:r>
      <w:proofErr w:type="spellEnd"/>
      <w:r w:rsidRPr="00600D52">
        <w:rPr>
          <w:rFonts w:ascii="Arial" w:eastAsia="Times New Roman" w:hAnsi="Arial" w:cs="Arial"/>
          <w:b/>
          <w:bCs/>
          <w:kern w:val="0"/>
          <w:lang w:eastAsia="en-US"/>
          <w14:ligatures w14:val="none"/>
        </w:rPr>
        <w:t xml:space="preserve"> et al. (2020)</w:t>
      </w:r>
      <w:r w:rsidRPr="00600D52">
        <w:rPr>
          <w:rFonts w:ascii="Arial" w:eastAsia="Times New Roman" w:hAnsi="Arial" w:cs="Arial"/>
          <w:kern w:val="0"/>
          <w:lang w:eastAsia="en-US"/>
          <w14:ligatures w14:val="none"/>
        </w:rPr>
        <w:t>, the researchers focused on the qualitative investigation of the perception of healthcare workers during the pandemic. The evidence discovered that even though the technical competency was enhanced through emergency training, several staff indicated that they continued to experience anxiety and uncertainty, especially when assigned to new positions. The training speed and the lack of hands-on experience negated confidence. The tension between competence development and confidence building was experienced by participants, who emphasised that rapid training has disrupted the practice consistency. However, the study underlined that even a short-term structured training acted as a psychological anchor, making one feel less anxious, thus strengthening their resilience.</w:t>
      </w:r>
    </w:p>
    <w:p w14:paraId="16169036" w14:textId="77777777" w:rsid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Camilleri et al. (2020)</w:t>
      </w:r>
      <w:r w:rsidRPr="00600D52">
        <w:rPr>
          <w:rFonts w:ascii="Arial" w:eastAsia="Times New Roman" w:hAnsi="Arial" w:cs="Arial"/>
          <w:kern w:val="0"/>
          <w:lang w:eastAsia="en-US"/>
          <w14:ligatures w14:val="none"/>
        </w:rPr>
        <w:t xml:space="preserve"> assessed the Covid-19 ICU Remote-Learning Course (CIRLC), an online training process for frontline HCPs. The research has shown that distance learning may be applicable to promote the skills of critical care procedures, especially </w:t>
      </w:r>
      <w:proofErr w:type="gramStart"/>
      <w:r w:rsidRPr="00600D52">
        <w:rPr>
          <w:rFonts w:ascii="Arial" w:eastAsia="Times New Roman" w:hAnsi="Arial" w:cs="Arial"/>
          <w:kern w:val="0"/>
          <w:lang w:eastAsia="en-US"/>
          <w14:ligatures w14:val="none"/>
        </w:rPr>
        <w:t>in the area of</w:t>
      </w:r>
      <w:proofErr w:type="gramEnd"/>
      <w:r w:rsidRPr="00600D52">
        <w:rPr>
          <w:rFonts w:ascii="Arial" w:eastAsia="Times New Roman" w:hAnsi="Arial" w:cs="Arial"/>
          <w:kern w:val="0"/>
          <w:lang w:eastAsia="en-US"/>
          <w14:ligatures w14:val="none"/>
        </w:rPr>
        <w:t xml:space="preserve"> infection control and ventilator management. Nevertheless, there is a range of debates, as the participants appreciated the convenience of online courses, but most of them thought that the simulation-based training mode would have helped to strengthen the confidence level when applying learned skills in real-life situations. This concludes that the most effective way to balance between competency development and the process of building confidence is blended methods, for instance, remote learning combined with practical simulations.</w:t>
      </w:r>
    </w:p>
    <w:p w14:paraId="5C01AE0A" w14:textId="77777777" w:rsidR="00600D52" w:rsidRDefault="00600D52" w:rsidP="00600D52">
      <w:pPr>
        <w:spacing w:before="200" w:after="220"/>
        <w:rPr>
          <w:rFonts w:ascii="Arial" w:eastAsia="Times New Roman" w:hAnsi="Arial" w:cs="Arial"/>
          <w:kern w:val="0"/>
          <w:lang w:eastAsia="en-US"/>
          <w14:ligatures w14:val="none"/>
        </w:rPr>
      </w:pPr>
    </w:p>
    <w:p w14:paraId="642202E1" w14:textId="77777777" w:rsidR="00600D52" w:rsidRPr="00600D52" w:rsidRDefault="00600D52" w:rsidP="00600D52">
      <w:pPr>
        <w:spacing w:after="0"/>
        <w:outlineLvl w:val="1"/>
        <w:rPr>
          <w:rFonts w:ascii="Arial" w:eastAsia="Century Schoolbook" w:hAnsi="Arial" w:cs="Times New Roman"/>
          <w:b/>
          <w:spacing w:val="10"/>
          <w:kern w:val="0"/>
          <w:sz w:val="24"/>
          <w:lang w:eastAsia="en-US"/>
          <w14:ligatures w14:val="none"/>
        </w:rPr>
      </w:pPr>
      <w:bookmarkStart w:id="15" w:name="_Toc232595693"/>
      <w:r w:rsidRPr="00600D52">
        <w:rPr>
          <w:rFonts w:ascii="Arial" w:eastAsia="Century Schoolbook" w:hAnsi="Arial" w:cs="Times New Roman"/>
          <w:b/>
          <w:spacing w:val="10"/>
          <w:kern w:val="0"/>
          <w:sz w:val="24"/>
          <w:lang w:eastAsia="en-US"/>
          <w14:ligatures w14:val="none"/>
        </w:rPr>
        <w:t>4.6 Theme 4 - Barriers to Emergency Training Delivery</w:t>
      </w:r>
      <w:bookmarkEnd w:id="15"/>
    </w:p>
    <w:p w14:paraId="07D56BDE"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Definition</w:t>
      </w:r>
    </w:p>
    <w:p w14:paraId="2197CAB0"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The barriers to emergency training delivery are the systemic, organisational, and technological issues (Troyer and Brady, 2020). This creates limitations on the successful delivery of a rapid training program in times of crisis. Herein, major impediments include resource inadequacies, time, technological issues, policy issues, and workforce burnout. As stated by Houghton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(2020) during COVID-19, these barriers directly affected the possibility of healthcare workers </w:t>
      </w:r>
      <w:r w:rsidRPr="00600D52">
        <w:rPr>
          <w:rFonts w:ascii="Arial" w:eastAsia="Times New Roman" w:hAnsi="Arial" w:cs="Arial"/>
          <w:kern w:val="0"/>
          <w:lang w:eastAsia="en-US"/>
          <w14:ligatures w14:val="none"/>
        </w:rPr>
        <w:lastRenderedPageBreak/>
        <w:t>developing the required competencies and confidence. This is negatively affecting patient safety and workforce resilience.</w:t>
      </w:r>
    </w:p>
    <w:p w14:paraId="57478DC4"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Relevance to the Title</w:t>
      </w:r>
    </w:p>
    <w:p w14:paraId="6F166B25"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Emphasising the research title, the theme has appropriately presented an understanding of how barriers to effective competency development need attention for successful training provision. It is important to identify such barriers since they justify the differences in competency levels among staff groups and the disproportionate level of confidence. Through the analysis of these challenges, the dissertation offers a fair understanding of the achievements as well as the restrictions of emergency training programs within the UK healthcare sector.</w:t>
      </w:r>
    </w:p>
    <w:p w14:paraId="4A196D91"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The impediments to the delivery of emergency training are applicable in several ways:</w:t>
      </w:r>
    </w:p>
    <w:p w14:paraId="4C8D28B8" w14:textId="77777777" w:rsidR="00600D52" w:rsidRPr="00600D52" w:rsidRDefault="00600D52">
      <w:pPr>
        <w:numPr>
          <w:ilvl w:val="0"/>
          <w:numId w:val="16"/>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 xml:space="preserve">Negative Implications - </w:t>
      </w:r>
      <w:r w:rsidRPr="00600D52">
        <w:rPr>
          <w:rFonts w:ascii="Arial" w:eastAsia="Times New Roman" w:hAnsi="Arial" w:cs="Arial"/>
          <w:kern w:val="0"/>
          <w:lang w:eastAsia="en-US"/>
          <w14:ligatures w14:val="none"/>
        </w:rPr>
        <w:t xml:space="preserve">As implied by Kempny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(2025) staff competency is not evenly distributed, indicating consistent training needs for diverse healthcare staff. Patient safety risks are typically heightened through poor confidence, especially under disrupted training programs.</w:t>
      </w:r>
    </w:p>
    <w:p w14:paraId="5E5FFAE6" w14:textId="77777777" w:rsidR="00600D52" w:rsidRPr="00600D52" w:rsidRDefault="00600D52">
      <w:pPr>
        <w:numPr>
          <w:ilvl w:val="0"/>
          <w:numId w:val="16"/>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 xml:space="preserve">Positive Implications - </w:t>
      </w:r>
      <w:r w:rsidRPr="00600D52">
        <w:rPr>
          <w:rFonts w:ascii="Arial" w:eastAsia="Times New Roman" w:hAnsi="Arial" w:cs="Arial"/>
          <w:kern w:val="0"/>
          <w:lang w:eastAsia="en-US"/>
          <w14:ligatures w14:val="none"/>
        </w:rPr>
        <w:t>Learning from challenges enhances future preparedness (Pelli and Nordquist, 2023). For instance, the awareness of technological constraints can be used to motivate the advancement of digital infrastructure. Correspondingly, the understanding of labour shortages can be used to shape workforce planning and policy changes.</w:t>
      </w:r>
    </w:p>
    <w:p w14:paraId="23294484"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Theories, Policies &amp; Legislation</w:t>
      </w:r>
    </w:p>
    <w:p w14:paraId="01363235"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The barrier to training delivery can be explained with the help of several theoretical frameworks:</w:t>
      </w:r>
    </w:p>
    <w:p w14:paraId="1730BBDA" w14:textId="77777777" w:rsidR="00600D52" w:rsidRPr="00600D52" w:rsidRDefault="00600D52">
      <w:pPr>
        <w:numPr>
          <w:ilvl w:val="0"/>
          <w:numId w:val="17"/>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Resilience Theory</w:t>
      </w:r>
      <w:r w:rsidRPr="00600D52">
        <w:rPr>
          <w:rFonts w:ascii="Arial" w:eastAsia="Times New Roman" w:hAnsi="Arial" w:cs="Arial"/>
          <w:kern w:val="0"/>
          <w:lang w:eastAsia="en-US"/>
          <w14:ligatures w14:val="none"/>
        </w:rPr>
        <w:t xml:space="preserve"> - Although resilience prioritises adaptation, the lack of resources and exhaustion put pressure on the staff (Mazzetti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2024). When systemic pressures increase beyond individuals' capacity, the delivery of effective training is compromised.</w:t>
      </w:r>
    </w:p>
    <w:p w14:paraId="43A34E32" w14:textId="77777777" w:rsidR="00600D52" w:rsidRPr="00600D52" w:rsidRDefault="00600D52">
      <w:pPr>
        <w:numPr>
          <w:ilvl w:val="0"/>
          <w:numId w:val="17"/>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Technology Adoption Models (TAM)</w:t>
      </w:r>
      <w:r w:rsidRPr="00600D52">
        <w:rPr>
          <w:rFonts w:ascii="Arial" w:eastAsia="Times New Roman" w:hAnsi="Arial" w:cs="Arial"/>
          <w:kern w:val="0"/>
          <w:lang w:eastAsia="en-US"/>
          <w14:ligatures w14:val="none"/>
        </w:rPr>
        <w:t xml:space="preserve"> - The models demonstrate the role of technological barriers, including the absence of infrastructure, poor digital literacy and resistance to change (</w:t>
      </w:r>
      <w:proofErr w:type="spellStart"/>
      <w:r w:rsidRPr="00600D52">
        <w:rPr>
          <w:rFonts w:ascii="Arial" w:eastAsia="Times New Roman" w:hAnsi="Arial" w:cs="Arial"/>
          <w:kern w:val="0"/>
          <w:lang w:eastAsia="en-US"/>
          <w14:ligatures w14:val="none"/>
        </w:rPr>
        <w:t>Taherdoost</w:t>
      </w:r>
      <w:proofErr w:type="spellEnd"/>
      <w:r w:rsidRPr="00600D52">
        <w:rPr>
          <w:rFonts w:ascii="Arial" w:eastAsia="Times New Roman" w:hAnsi="Arial" w:cs="Arial"/>
          <w:kern w:val="0"/>
          <w:lang w:eastAsia="en-US"/>
          <w14:ligatures w14:val="none"/>
        </w:rPr>
        <w:t>, 2021). Hence, this can hinder the adoption of remote learning platforms in case of an emergency.</w:t>
      </w:r>
    </w:p>
    <w:p w14:paraId="6AFBBBC0" w14:textId="77777777" w:rsidR="00600D52" w:rsidRPr="00600D52" w:rsidRDefault="00600D52">
      <w:pPr>
        <w:numPr>
          <w:ilvl w:val="0"/>
          <w:numId w:val="17"/>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lastRenderedPageBreak/>
        <w:t xml:space="preserve">Competency-Based Training (CBT) </w:t>
      </w:r>
      <w:r w:rsidRPr="00600D52">
        <w:rPr>
          <w:rFonts w:ascii="Arial" w:eastAsia="Times New Roman" w:hAnsi="Arial" w:cs="Arial"/>
          <w:kern w:val="0"/>
          <w:lang w:eastAsia="en-US"/>
          <w14:ligatures w14:val="none"/>
        </w:rPr>
        <w:t>- Despite CBT, which offers quantifiable points of reference, there are impediments like a lack of time and simulation that make it ineffective (Brightwell and Grant, 2022).</w:t>
      </w:r>
    </w:p>
    <w:p w14:paraId="565EA657"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Structured policies are also an increasing hindrance to the delivery of emergency training. As such, </w:t>
      </w:r>
      <w:r w:rsidRPr="00600D52">
        <w:rPr>
          <w:rFonts w:ascii="Arial" w:eastAsia="Times New Roman" w:hAnsi="Arial" w:cs="Arial"/>
          <w:b/>
          <w:bCs/>
          <w:kern w:val="0"/>
          <w:lang w:eastAsia="en-US"/>
          <w14:ligatures w14:val="none"/>
        </w:rPr>
        <w:t xml:space="preserve">DHSC </w:t>
      </w:r>
      <w:r w:rsidRPr="00600D52">
        <w:rPr>
          <w:rFonts w:ascii="Arial" w:eastAsia="Times New Roman" w:hAnsi="Arial" w:cs="Arial"/>
          <w:kern w:val="0"/>
          <w:lang w:eastAsia="en-US"/>
          <w14:ligatures w14:val="none"/>
        </w:rPr>
        <w:t xml:space="preserve">and </w:t>
      </w:r>
      <w:r w:rsidRPr="00600D52">
        <w:rPr>
          <w:rFonts w:ascii="Arial" w:eastAsia="Times New Roman" w:hAnsi="Arial" w:cs="Arial"/>
          <w:b/>
          <w:bCs/>
          <w:kern w:val="0"/>
          <w:lang w:eastAsia="en-US"/>
          <w14:ligatures w14:val="none"/>
        </w:rPr>
        <w:t>NHS England</w:t>
      </w:r>
      <w:r w:rsidRPr="00600D52">
        <w:rPr>
          <w:rFonts w:ascii="Arial" w:eastAsia="Times New Roman" w:hAnsi="Arial" w:cs="Arial"/>
          <w:kern w:val="0"/>
          <w:lang w:eastAsia="en-US"/>
          <w14:ligatures w14:val="none"/>
        </w:rPr>
        <w:t xml:space="preserve"> issued emergency orders for rapid upskilling (Parliament.uk, 2021). However, this has been disrupted under the uneven distribution of local resources. The workforce responsibilities, although highlighted in the </w:t>
      </w:r>
      <w:r w:rsidRPr="00600D52">
        <w:rPr>
          <w:rFonts w:ascii="Arial" w:eastAsia="Times New Roman" w:hAnsi="Arial" w:cs="Arial"/>
          <w:b/>
          <w:bCs/>
          <w:kern w:val="0"/>
          <w:lang w:eastAsia="en-US"/>
          <w14:ligatures w14:val="none"/>
        </w:rPr>
        <w:t xml:space="preserve">Care Act 2014 </w:t>
      </w:r>
      <w:r w:rsidRPr="00600D52">
        <w:rPr>
          <w:rFonts w:ascii="Arial" w:eastAsia="Times New Roman" w:hAnsi="Arial" w:cs="Arial"/>
          <w:kern w:val="0"/>
          <w:lang w:eastAsia="en-US"/>
          <w14:ligatures w14:val="none"/>
        </w:rPr>
        <w:t xml:space="preserve">and </w:t>
      </w:r>
      <w:r w:rsidRPr="00600D52">
        <w:rPr>
          <w:rFonts w:ascii="Arial" w:eastAsia="Times New Roman" w:hAnsi="Arial" w:cs="Arial"/>
          <w:b/>
          <w:bCs/>
          <w:kern w:val="0"/>
          <w:lang w:eastAsia="en-US"/>
          <w14:ligatures w14:val="none"/>
        </w:rPr>
        <w:t>Health and Social Care Act 2012</w:t>
      </w:r>
      <w:r w:rsidRPr="00600D52">
        <w:rPr>
          <w:rFonts w:ascii="Arial" w:eastAsia="Times New Roman" w:hAnsi="Arial" w:cs="Arial"/>
          <w:kern w:val="0"/>
          <w:lang w:eastAsia="en-US"/>
          <w14:ligatures w14:val="none"/>
        </w:rPr>
        <w:t>, have failed to gauge the training necessity during the pandemic. This has created conflict between regulatory expectations and reality.</w:t>
      </w:r>
    </w:p>
    <w:p w14:paraId="08203F89"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Examples from Papers</w:t>
      </w:r>
    </w:p>
    <w:p w14:paraId="58321BC6"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According to the </w:t>
      </w:r>
      <w:r w:rsidRPr="00600D52">
        <w:rPr>
          <w:rFonts w:ascii="Arial" w:eastAsia="Times New Roman" w:hAnsi="Arial" w:cs="Arial"/>
          <w:b/>
          <w:bCs/>
          <w:kern w:val="0"/>
          <w:lang w:eastAsia="en-US"/>
          <w14:ligatures w14:val="none"/>
        </w:rPr>
        <w:t>British Medical Association</w:t>
      </w:r>
      <w:r w:rsidRPr="00600D52">
        <w:rPr>
          <w:rFonts w:ascii="Arial" w:eastAsia="Times New Roman" w:hAnsi="Arial" w:cs="Arial"/>
          <w:kern w:val="0"/>
          <w:lang w:eastAsia="en-US"/>
          <w14:ligatures w14:val="none"/>
        </w:rPr>
        <w:t>, the pandemic had caused an unprecedented burden on the medical care provision, and the resources were frequently eroded through staff redeployment and emergency training (BMA, 2024). Barriers identified by the BMA include the inability to access "personal protective equipment" (PPE), the inadequacy of the staffing level, and excessive work pressure. These made the training less effective. Another part of the report stated that in several instances, rushed training disrupted effective care delivery during emergency service demands. The systemic hindrance, therefore, negatively affected the competency development.</w:t>
      </w:r>
    </w:p>
    <w:p w14:paraId="15604CD4"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The study by </w:t>
      </w:r>
      <w:r w:rsidRPr="00600D52">
        <w:rPr>
          <w:rFonts w:ascii="Arial" w:eastAsia="Times New Roman" w:hAnsi="Arial" w:cs="Arial"/>
          <w:b/>
          <w:bCs/>
          <w:kern w:val="0"/>
          <w:lang w:eastAsia="en-US"/>
          <w14:ligatures w14:val="none"/>
        </w:rPr>
        <w:t xml:space="preserve">Lee </w:t>
      </w:r>
      <w:r w:rsidRPr="00600D52">
        <w:rPr>
          <w:rFonts w:ascii="Arial" w:eastAsia="Times New Roman" w:hAnsi="Arial" w:cs="Arial"/>
          <w:b/>
          <w:bCs/>
          <w:i/>
          <w:iCs/>
          <w:kern w:val="0"/>
          <w:lang w:eastAsia="en-US"/>
          <w14:ligatures w14:val="none"/>
        </w:rPr>
        <w:t xml:space="preserve">et al., </w:t>
      </w:r>
      <w:r w:rsidRPr="00600D52">
        <w:rPr>
          <w:rFonts w:ascii="Arial" w:eastAsia="Times New Roman" w:hAnsi="Arial" w:cs="Arial"/>
          <w:b/>
          <w:bCs/>
          <w:kern w:val="0"/>
          <w:lang w:eastAsia="en-US"/>
          <w14:ligatures w14:val="none"/>
        </w:rPr>
        <w:t>(2025)</w:t>
      </w:r>
      <w:r w:rsidRPr="00600D52">
        <w:rPr>
          <w:rFonts w:ascii="Arial" w:eastAsia="Times New Roman" w:hAnsi="Arial" w:cs="Arial"/>
          <w:kern w:val="0"/>
          <w:lang w:eastAsia="en-US"/>
          <w14:ligatures w14:val="none"/>
        </w:rPr>
        <w:t xml:space="preserve"> was a complete review of the obstacles to the use of technology in emergency departments. The research evidence is applicable in the case of COVID-19 training since most programs were based on remote learning facilities. Poor digital infrastructure, insufficient staff awareness with online tools, and staff resistance to digital adoption in stressful situations are identified as challenges within the study. For instance, as remote learning modules were being used in large-scale implementation, healthcare workers frequently had problems accessing a stable internet connection or faced poor confidence in online training content. The findings highlight key factors which potentially disrupted online training initiatives during emergencies like the pandemic.</w:t>
      </w:r>
    </w:p>
    <w:p w14:paraId="2A7028F3" w14:textId="77777777" w:rsidR="00600D52" w:rsidRPr="00600D52" w:rsidRDefault="00600D52" w:rsidP="00600D52">
      <w:pPr>
        <w:spacing w:after="0"/>
        <w:outlineLvl w:val="1"/>
        <w:rPr>
          <w:rFonts w:ascii="Arial" w:eastAsia="Century Schoolbook" w:hAnsi="Arial" w:cs="Times New Roman"/>
          <w:b/>
          <w:spacing w:val="10"/>
          <w:kern w:val="0"/>
          <w:sz w:val="24"/>
          <w:lang w:eastAsia="en-US"/>
          <w14:ligatures w14:val="none"/>
        </w:rPr>
      </w:pPr>
      <w:bookmarkStart w:id="16" w:name="_Toc232595694"/>
      <w:r w:rsidRPr="00600D52">
        <w:rPr>
          <w:rFonts w:ascii="Arial" w:eastAsia="Century Schoolbook" w:hAnsi="Arial" w:cs="Times New Roman"/>
          <w:b/>
          <w:spacing w:val="10"/>
          <w:kern w:val="0"/>
          <w:sz w:val="24"/>
          <w:lang w:eastAsia="en-US"/>
          <w14:ligatures w14:val="none"/>
        </w:rPr>
        <w:t>4.7 Theme 5 - Support Systems and Workforce Resilience</w:t>
      </w:r>
      <w:bookmarkEnd w:id="16"/>
    </w:p>
    <w:p w14:paraId="2BDFB424"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Definition</w:t>
      </w:r>
    </w:p>
    <w:p w14:paraId="400E95F4"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The support systems within healthcare refer to the organisational, psychological, and structural systems that enable staff to deal with stress and remain competent during crises (</w:t>
      </w:r>
      <w:proofErr w:type="spellStart"/>
      <w:r w:rsidRPr="00600D52">
        <w:rPr>
          <w:rFonts w:ascii="Arial" w:eastAsia="Times New Roman" w:hAnsi="Arial" w:cs="Arial"/>
          <w:kern w:val="0"/>
          <w:lang w:eastAsia="en-US"/>
          <w14:ligatures w14:val="none"/>
        </w:rPr>
        <w:t>Riemma</w:t>
      </w:r>
      <w:proofErr w:type="spellEnd"/>
      <w:r w:rsidRPr="00600D52">
        <w:rPr>
          <w:rFonts w:ascii="Arial" w:eastAsia="Times New Roman" w:hAnsi="Arial" w:cs="Arial"/>
          <w:kern w:val="0"/>
          <w:lang w:eastAsia="en-US"/>
          <w14:ligatures w14:val="none"/>
        </w:rPr>
        <w:t xml:space="preserve">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2025). Correspondingly, workforce resilience, as explained by </w:t>
      </w:r>
      <w:proofErr w:type="spellStart"/>
      <w:r w:rsidRPr="00600D52">
        <w:rPr>
          <w:rFonts w:ascii="Arial" w:eastAsia="Times New Roman" w:hAnsi="Arial" w:cs="Arial"/>
          <w:kern w:val="0"/>
          <w:lang w:eastAsia="en-US"/>
          <w14:ligatures w14:val="none"/>
        </w:rPr>
        <w:t>Sheikhrabori</w:t>
      </w:r>
      <w:proofErr w:type="spellEnd"/>
      <w:r w:rsidRPr="00600D52">
        <w:rPr>
          <w:rFonts w:ascii="Arial" w:eastAsia="Times New Roman" w:hAnsi="Arial" w:cs="Arial"/>
          <w:kern w:val="0"/>
          <w:lang w:eastAsia="en-US"/>
          <w14:ligatures w14:val="none"/>
        </w:rPr>
        <w:t xml:space="preserve">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(2022) encourages healthcare professionals and organisations to change under extreme </w:t>
      </w:r>
      <w:r w:rsidRPr="00600D52">
        <w:rPr>
          <w:rFonts w:ascii="Arial" w:eastAsia="Times New Roman" w:hAnsi="Arial" w:cs="Arial"/>
          <w:kern w:val="0"/>
          <w:lang w:eastAsia="en-US"/>
          <w14:ligatures w14:val="none"/>
        </w:rPr>
        <w:lastRenderedPageBreak/>
        <w:t>pressure, recuperate and be able to function effectively. The support systems, including peer networks, organisational leadership, mental health support, and flexible training formats, were particularly effective during the COVID-19 pandemic. This helps in achieving resilience and ensures that the staff can remain competent under unprecedented challenges.</w:t>
      </w:r>
    </w:p>
    <w:p w14:paraId="0A9B996B"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Relevance to the Title</w:t>
      </w:r>
    </w:p>
    <w:p w14:paraId="0E59674E"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Underpinning the dissertation title, the theme highlights the competency level and potential outcomes. Notably, Manzini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(2025) explained that competency demands strong support systems, which help to reinforce the organisational resilience. Herein, the emergency training cannot be considered adequate; staff needed psychological assistance, organisational support and systematic resilience. This transforms the training into confident practice. Consequently, the concept of support systems and resilience is directly applicable to the interpretation of emergency training effects on the level of staff competency in pandemic times.</w:t>
      </w:r>
    </w:p>
    <w:p w14:paraId="16DCCF1D"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There are various implications of the interlink between the support systems and resilience:</w:t>
      </w:r>
    </w:p>
    <w:p w14:paraId="300252B8" w14:textId="77777777" w:rsidR="00600D52" w:rsidRPr="00600D52" w:rsidRDefault="00600D52">
      <w:pPr>
        <w:numPr>
          <w:ilvl w:val="0"/>
          <w:numId w:val="15"/>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 xml:space="preserve">Positive Implications - </w:t>
      </w:r>
      <w:r w:rsidRPr="00600D52">
        <w:rPr>
          <w:rFonts w:ascii="Arial" w:eastAsia="Times New Roman" w:hAnsi="Arial" w:cs="Arial"/>
          <w:kern w:val="0"/>
          <w:lang w:eastAsia="en-US"/>
          <w14:ligatures w14:val="none"/>
        </w:rPr>
        <w:t xml:space="preserve">Well-developed positive support systems helped staff be more confident, less stressed, and competent (Coppens </w:t>
      </w:r>
      <w:r w:rsidRPr="00600D52">
        <w:rPr>
          <w:rFonts w:ascii="Arial" w:eastAsia="Times New Roman" w:hAnsi="Arial" w:cs="Arial"/>
          <w:i/>
          <w:iCs/>
          <w:kern w:val="0"/>
          <w:lang w:eastAsia="en-US"/>
          <w14:ligatures w14:val="none"/>
        </w:rPr>
        <w:t xml:space="preserve">et al., </w:t>
      </w:r>
      <w:r w:rsidRPr="00600D52">
        <w:rPr>
          <w:rFonts w:ascii="Arial" w:eastAsia="Times New Roman" w:hAnsi="Arial" w:cs="Arial"/>
          <w:kern w:val="0"/>
          <w:lang w:eastAsia="en-US"/>
          <w14:ligatures w14:val="none"/>
        </w:rPr>
        <w:t>2023). At an organisational level, resilience and improved training results are achieved through organisational efforts like peer mentoring, wellbeing programs and redeployment policies.</w:t>
      </w:r>
    </w:p>
    <w:p w14:paraId="642C25BF" w14:textId="77777777" w:rsidR="00600D52" w:rsidRPr="00600D52" w:rsidRDefault="00600D52">
      <w:pPr>
        <w:numPr>
          <w:ilvl w:val="0"/>
          <w:numId w:val="15"/>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Adverse Consequences -</w:t>
      </w:r>
      <w:r w:rsidRPr="00600D52">
        <w:rPr>
          <w:rFonts w:ascii="Arial" w:eastAsia="Times New Roman" w:hAnsi="Arial" w:cs="Arial"/>
          <w:kern w:val="0"/>
          <w:lang w:eastAsia="en-US"/>
          <w14:ligatures w14:val="none"/>
        </w:rPr>
        <w:t xml:space="preserve"> Poor systemic practices are prone to stress and exhaustion, which exacerbates the efficiency of emergency training. Further, Johnson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(2022) mentioned that staff shortage and poor organisational responses increase inequality in NHS Trusts resilience.</w:t>
      </w:r>
    </w:p>
    <w:p w14:paraId="0CB1067A"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Such an implication suggests that emergency training should be combined with support strategies within the healthcare system. Development of competency is not only technical but also includes psychological and organisational aspects. Hence, the workforce planning should be anchored on resilience, mental health services, peer networks, and leadership support.</w:t>
      </w:r>
    </w:p>
    <w:p w14:paraId="7E5233FC"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Theories, Policies &amp; Legislation</w:t>
      </w:r>
    </w:p>
    <w:p w14:paraId="32A13732"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The role of support systems and resilience is supported by several theoretical frameworks:</w:t>
      </w:r>
    </w:p>
    <w:p w14:paraId="6DCF3B53" w14:textId="77777777" w:rsidR="00600D52" w:rsidRPr="00600D52" w:rsidRDefault="00600D52">
      <w:pPr>
        <w:numPr>
          <w:ilvl w:val="0"/>
          <w:numId w:val="18"/>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Resilience Theory</w:t>
      </w:r>
      <w:r w:rsidRPr="00600D52">
        <w:rPr>
          <w:rFonts w:ascii="Arial" w:eastAsia="Times New Roman" w:hAnsi="Arial" w:cs="Arial"/>
          <w:kern w:val="0"/>
          <w:lang w:eastAsia="en-US"/>
          <w14:ligatures w14:val="none"/>
        </w:rPr>
        <w:t xml:space="preserve"> - As stated by Mazzetti </w:t>
      </w:r>
      <w:r w:rsidRPr="00600D52">
        <w:rPr>
          <w:rFonts w:ascii="Arial" w:eastAsia="Times New Roman" w:hAnsi="Arial" w:cs="Arial"/>
          <w:i/>
          <w:iCs/>
          <w:kern w:val="0"/>
          <w:lang w:eastAsia="en-US"/>
          <w14:ligatures w14:val="none"/>
        </w:rPr>
        <w:t>et al.,</w:t>
      </w:r>
      <w:r w:rsidRPr="00600D52">
        <w:rPr>
          <w:rFonts w:ascii="Arial" w:eastAsia="Times New Roman" w:hAnsi="Arial" w:cs="Arial"/>
          <w:kern w:val="0"/>
          <w:lang w:eastAsia="en-US"/>
          <w14:ligatures w14:val="none"/>
        </w:rPr>
        <w:t xml:space="preserve"> (2024), the theory explains the process of individuals as well as organisations responding to stress and overcoming crisis. Organisational support, peer management, and psychological interventions were found to promote resilience during COVID-19.</w:t>
      </w:r>
    </w:p>
    <w:p w14:paraId="4223C7E7" w14:textId="77777777" w:rsidR="00600D52" w:rsidRPr="00600D52" w:rsidRDefault="00600D52">
      <w:pPr>
        <w:numPr>
          <w:ilvl w:val="0"/>
          <w:numId w:val="18"/>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lastRenderedPageBreak/>
        <w:t>Social Support Theory</w:t>
      </w:r>
      <w:r w:rsidRPr="00600D52">
        <w:rPr>
          <w:rFonts w:ascii="Arial" w:eastAsia="Times New Roman" w:hAnsi="Arial" w:cs="Arial"/>
          <w:kern w:val="0"/>
          <w:lang w:eastAsia="en-US"/>
          <w14:ligatures w14:val="none"/>
        </w:rPr>
        <w:t xml:space="preserve"> - The theory hypothesises that emotional, informational, and instrumental assistance of colleagues, supervisors, and institutions decreases stress and enhances performance (Drageset, 2021).</w:t>
      </w:r>
    </w:p>
    <w:p w14:paraId="71B8C05B" w14:textId="77777777" w:rsidR="00600D52" w:rsidRPr="00600D52" w:rsidRDefault="00600D52">
      <w:pPr>
        <w:numPr>
          <w:ilvl w:val="0"/>
          <w:numId w:val="18"/>
        </w:numPr>
        <w:spacing w:before="200" w:after="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Systems Theory</w:t>
      </w:r>
      <w:r w:rsidRPr="00600D52">
        <w:rPr>
          <w:rFonts w:ascii="Arial" w:eastAsia="Times New Roman" w:hAnsi="Arial" w:cs="Arial"/>
          <w:kern w:val="0"/>
          <w:lang w:eastAsia="en-US"/>
          <w14:ligatures w14:val="none"/>
        </w:rPr>
        <w:t xml:space="preserve"> - Drawing attention to the theory, it reveals the interaction of interrelated organisational systems through training programs, leadership and policy structures, in maintaining resilience (Harney, 2024).</w:t>
      </w:r>
    </w:p>
    <w:p w14:paraId="57B86249"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The support systems were also determined by policy frameworks. The </w:t>
      </w:r>
      <w:r w:rsidRPr="00600D52">
        <w:rPr>
          <w:rFonts w:ascii="Arial" w:eastAsia="Times New Roman" w:hAnsi="Arial" w:cs="Arial"/>
          <w:b/>
          <w:bCs/>
          <w:kern w:val="0"/>
          <w:lang w:eastAsia="en-US"/>
          <w14:ligatures w14:val="none"/>
        </w:rPr>
        <w:t>NHS People Plan (2020-2024)</w:t>
      </w:r>
      <w:r w:rsidRPr="00600D52">
        <w:rPr>
          <w:rFonts w:ascii="Arial" w:eastAsia="Times New Roman" w:hAnsi="Arial" w:cs="Arial"/>
          <w:kern w:val="0"/>
          <w:lang w:eastAsia="en-US"/>
          <w14:ligatures w14:val="none"/>
        </w:rPr>
        <w:t xml:space="preserve"> focused on the well-being of the staff, flexible redeployment and psychological support (NHS England, 2020). Correspondingly, the </w:t>
      </w:r>
      <w:r w:rsidRPr="00600D52">
        <w:rPr>
          <w:rFonts w:ascii="Arial" w:eastAsia="Times New Roman" w:hAnsi="Arial" w:cs="Arial"/>
          <w:b/>
          <w:bCs/>
          <w:kern w:val="0"/>
          <w:lang w:eastAsia="en-US"/>
          <w14:ligatures w14:val="none"/>
        </w:rPr>
        <w:t xml:space="preserve">DHSC </w:t>
      </w:r>
      <w:r w:rsidRPr="00600D52">
        <w:rPr>
          <w:rFonts w:ascii="Arial" w:eastAsia="Times New Roman" w:hAnsi="Arial" w:cs="Arial"/>
          <w:kern w:val="0"/>
          <w:lang w:eastAsia="en-US"/>
          <w14:ligatures w14:val="none"/>
        </w:rPr>
        <w:t xml:space="preserve">and </w:t>
      </w:r>
      <w:r w:rsidRPr="00600D52">
        <w:rPr>
          <w:rFonts w:ascii="Arial" w:eastAsia="Times New Roman" w:hAnsi="Arial" w:cs="Arial"/>
          <w:b/>
          <w:bCs/>
          <w:kern w:val="0"/>
          <w:lang w:eastAsia="en-US"/>
          <w14:ligatures w14:val="none"/>
        </w:rPr>
        <w:t>NHS England</w:t>
      </w:r>
      <w:r w:rsidRPr="00600D52">
        <w:rPr>
          <w:rFonts w:ascii="Arial" w:eastAsia="Times New Roman" w:hAnsi="Arial" w:cs="Arial"/>
          <w:kern w:val="0"/>
          <w:lang w:eastAsia="en-US"/>
          <w14:ligatures w14:val="none"/>
        </w:rPr>
        <w:t xml:space="preserve"> provided emergency orders that required rapid training as well as workforce assistance measures (Parliament.uk, 2021). The </w:t>
      </w:r>
      <w:r w:rsidRPr="00600D52">
        <w:rPr>
          <w:rFonts w:ascii="Arial" w:eastAsia="Times New Roman" w:hAnsi="Arial" w:cs="Arial"/>
          <w:b/>
          <w:bCs/>
          <w:kern w:val="0"/>
          <w:lang w:eastAsia="en-US"/>
          <w14:ligatures w14:val="none"/>
        </w:rPr>
        <w:t>Care Act 2014</w:t>
      </w:r>
      <w:r w:rsidRPr="00600D52">
        <w:rPr>
          <w:rFonts w:ascii="Arial" w:eastAsia="Times New Roman" w:hAnsi="Arial" w:cs="Arial"/>
          <w:kern w:val="0"/>
          <w:lang w:eastAsia="en-US"/>
          <w14:ligatures w14:val="none"/>
        </w:rPr>
        <w:t xml:space="preserve"> enhanced the duty of health care organisations to ensure the well-being of staff (Legislation.gov.uk 2024). Besides, a temporary directive of the GMC seemed to create the ability to flexibly redeploy staff to help reduce stress and assist in resilience.</w:t>
      </w:r>
    </w:p>
    <w:p w14:paraId="579F74D7" w14:textId="77777777" w:rsidR="00600D52" w:rsidRPr="00600D52" w:rsidRDefault="00600D52" w:rsidP="00600D52">
      <w:pPr>
        <w:spacing w:before="200" w:after="220"/>
        <w:rPr>
          <w:rFonts w:ascii="Arial" w:eastAsia="Times New Roman" w:hAnsi="Arial" w:cs="Arial"/>
          <w:b/>
          <w:bCs/>
          <w:kern w:val="0"/>
          <w:u w:val="single"/>
          <w:lang w:eastAsia="en-US"/>
          <w14:ligatures w14:val="none"/>
        </w:rPr>
      </w:pPr>
      <w:r w:rsidRPr="00600D52">
        <w:rPr>
          <w:rFonts w:ascii="Arial" w:eastAsia="Times New Roman" w:hAnsi="Arial" w:cs="Arial"/>
          <w:b/>
          <w:bCs/>
          <w:kern w:val="0"/>
          <w:u w:val="single"/>
          <w:lang w:eastAsia="en-US"/>
          <w14:ligatures w14:val="none"/>
        </w:rPr>
        <w:t>Examples from Papers</w:t>
      </w:r>
    </w:p>
    <w:p w14:paraId="1B5252A5"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According to </w:t>
      </w:r>
      <w:r w:rsidRPr="00600D52">
        <w:rPr>
          <w:rFonts w:ascii="Arial" w:eastAsia="Times New Roman" w:hAnsi="Arial" w:cs="Arial"/>
          <w:b/>
          <w:bCs/>
          <w:kern w:val="0"/>
          <w:lang w:eastAsia="en-US"/>
          <w14:ligatures w14:val="none"/>
        </w:rPr>
        <w:t>Walshe et al. (2024),</w:t>
      </w:r>
      <w:r w:rsidRPr="00600D52">
        <w:rPr>
          <w:rFonts w:ascii="Arial" w:eastAsia="Times New Roman" w:hAnsi="Arial" w:cs="Arial"/>
          <w:kern w:val="0"/>
          <w:lang w:eastAsia="en-US"/>
          <w14:ligatures w14:val="none"/>
        </w:rPr>
        <w:t xml:space="preserve"> one of the most important future health shock priorities is workforce resilience. The study has emphasised the fact that resilience is not necessarily a personal attribute, but a systemic status that is determined by organisational support, leadership, and key policies. The evidence claimed that emergency training without proper support systems fails to maintain competency. Further, it stated that resilience should be integrated into workforce planning to ensure that strategies and proactive support mechanisms are aligned. Another important contribution of the study is the link with the workforce crisis in the UK, where staff shortage and burnout resulted in reduced resiliency. This makes the supporting systems crucial to maintain competency.</w:t>
      </w:r>
    </w:p>
    <w:p w14:paraId="4039450E"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b/>
          <w:bCs/>
          <w:kern w:val="0"/>
          <w:lang w:eastAsia="en-US"/>
          <w14:ligatures w14:val="none"/>
        </w:rPr>
        <w:t>Bosque-Mercader et al. (2025)</w:t>
      </w:r>
      <w:r w:rsidRPr="00600D52">
        <w:rPr>
          <w:rFonts w:ascii="Arial" w:eastAsia="Times New Roman" w:hAnsi="Arial" w:cs="Arial"/>
          <w:kern w:val="0"/>
          <w:lang w:eastAsia="en-US"/>
          <w14:ligatures w14:val="none"/>
        </w:rPr>
        <w:t xml:space="preserve"> reviewed how the acute sector is resilient to the impact of COVID-19. The results indicated that the organisational support systems of flexible redeployment policies, peer mentoring and psychological services played a significant role in helping staff to overcome the stress of the pandemic. The researchers also observed that resilience improved when employees feel motivated through supportive leadership and have access to resources that satisfy their technical as well as emotional needs. Indicatively, hospitals that have invested in wellbeing programs and peer support networks build confidence and competency among the staff. Hence, it can be stated that resilience is an organisation-wide practice, and organisational commitment should be aligned with systemic practices that can sustain staff during a crisis and recovery.</w:t>
      </w:r>
    </w:p>
    <w:p w14:paraId="57FEF8CF" w14:textId="77777777" w:rsidR="00600D52" w:rsidRDefault="00600D52" w:rsidP="003B1E32">
      <w:pPr>
        <w:pStyle w:val="Heading2"/>
      </w:pPr>
    </w:p>
    <w:p w14:paraId="0B7345EE" w14:textId="72739A9A" w:rsidR="001C3AF6" w:rsidRDefault="001C3AF6" w:rsidP="003B1E32">
      <w:pPr>
        <w:pStyle w:val="Heading2"/>
      </w:pPr>
      <w:r w:rsidRPr="00636D9A">
        <w:t xml:space="preserve">4.6 – Chapter Conclusion (200 words approx.) </w:t>
      </w:r>
    </w:p>
    <w:p w14:paraId="34D401E4" w14:textId="77777777" w:rsidR="00600D52" w:rsidRDefault="00600D52" w:rsidP="00600D52"/>
    <w:p w14:paraId="3886446F" w14:textId="77777777" w:rsidR="00600D52" w:rsidRPr="00600D52" w:rsidRDefault="00600D52" w:rsidP="00600D52">
      <w:pPr>
        <w:spacing w:before="20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The chapter has discussed the findings based on a thematic analysis that informed how emergency clinical training in the face of COVID-19 affected staff competency and confidence in the UK healthcare industry. The evidence has focused on key themes, including training effectiveness, workforce flexibility, competency development, resistance to service delivery, and support systems, which showed both advantages and drawbacks of the rapid training programs. Overall, the evidence established in this chapter identifies the necessity for "emergency training", which is focused on organisational support as well as resilience strategies. Hence, it can be concluded that the findings provide insights into the research focus, which generalises the information in the next chapter and provides recommendations regarding future policies and practices</w:t>
      </w:r>
    </w:p>
    <w:p w14:paraId="3480493C" w14:textId="77777777" w:rsidR="00600D52" w:rsidRPr="00600D52" w:rsidRDefault="00600D52" w:rsidP="00600D52"/>
    <w:p w14:paraId="262F5D7C" w14:textId="77777777" w:rsidR="00636D9A" w:rsidRPr="00636D9A" w:rsidRDefault="00636D9A" w:rsidP="001C3AF6">
      <w:pPr>
        <w:pStyle w:val="Heading1"/>
        <w:rPr>
          <w:rFonts w:ascii="Aptos" w:hAnsi="Aptos"/>
          <w:sz w:val="28"/>
          <w:szCs w:val="28"/>
        </w:rPr>
      </w:pPr>
    </w:p>
    <w:p w14:paraId="519EB35A" w14:textId="5350B043" w:rsidR="00636D9A" w:rsidRPr="00636D9A" w:rsidRDefault="00636D9A" w:rsidP="00636D9A">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633CBA" w14:textId="01C17027" w:rsidR="00636D9A" w:rsidRDefault="00636D9A" w:rsidP="003B1E32">
      <w:pPr>
        <w:pStyle w:val="Heading2"/>
      </w:pPr>
      <w:r w:rsidRPr="005C5E80">
        <w:t xml:space="preserve">5.1 – Overall Conclusion (200 words approx.) </w:t>
      </w:r>
    </w:p>
    <w:p w14:paraId="38377663" w14:textId="77777777" w:rsidR="00E903CA" w:rsidRPr="00E903CA" w:rsidRDefault="00E903CA" w:rsidP="00E903CA">
      <w:pPr>
        <w:spacing w:before="240" w:after="0"/>
        <w:rPr>
          <w:rFonts w:ascii="Arial" w:eastAsia="Century Schoolbook" w:hAnsi="Arial" w:cs="Arial"/>
          <w:b/>
          <w:bCs/>
          <w:i/>
          <w:iCs/>
          <w:kern w:val="0"/>
          <w:lang w:eastAsia="en-US"/>
          <w14:ligatures w14:val="none"/>
        </w:rPr>
      </w:pPr>
      <w:r w:rsidRPr="00E903CA">
        <w:rPr>
          <w:rFonts w:ascii="Arial" w:eastAsia="Century Schoolbook" w:hAnsi="Arial" w:cs="Arial"/>
          <w:b/>
          <w:bCs/>
          <w:i/>
          <w:iCs/>
          <w:kern w:val="0"/>
          <w:lang w:eastAsia="en-US"/>
          <w14:ligatures w14:val="none"/>
        </w:rPr>
        <w:t>Purpose of the Conclusion</w:t>
      </w:r>
    </w:p>
    <w:p w14:paraId="42C58749" w14:textId="0F26446D" w:rsidR="00E903CA" w:rsidRPr="00E903CA" w:rsidRDefault="00E903CA" w:rsidP="00E903CA">
      <w:pPr>
        <w:spacing w:before="240" w:after="0"/>
        <w:rPr>
          <w:rFonts w:ascii="Arial" w:eastAsia="Century Schoolbook" w:hAnsi="Arial" w:cs="Arial"/>
          <w:kern w:val="0"/>
          <w:lang w:eastAsia="en-US"/>
          <w14:ligatures w14:val="none"/>
        </w:rPr>
      </w:pPr>
      <w:r w:rsidRPr="00E903CA">
        <w:rPr>
          <w:rFonts w:ascii="Arial" w:eastAsia="Century Schoolbook" w:hAnsi="Arial" w:cs="Arial"/>
          <w:kern w:val="0"/>
          <w:lang w:eastAsia="en-US"/>
          <w14:ligatures w14:val="none"/>
        </w:rPr>
        <w:t>The conclusion is the synthesis of the main results of the dissertation that brings together theoretical data, empirical data, and thematic analysis to answer the question of the research. It assesses the effect of the workforce preparedness, flexibility, and policy alignment on the emergency clinical practise and service outcomes. It also looks back on the contribution of the study to the knowledge in general and recognises limitations and how the objectives of the research were achieved. Lastly, it gives a logical basis for practical recommendations and establishes pointers towards future research and professional growth.</w:t>
      </w:r>
    </w:p>
    <w:p w14:paraId="6C350653" w14:textId="77777777" w:rsidR="00600D52" w:rsidRDefault="00600D52" w:rsidP="00600D52"/>
    <w:p w14:paraId="74D1E173" w14:textId="77777777" w:rsidR="00E903CA" w:rsidRDefault="00E903CA" w:rsidP="00600D52"/>
    <w:p w14:paraId="7A44449E" w14:textId="77777777" w:rsidR="00E903CA" w:rsidRDefault="00E903CA" w:rsidP="00600D52"/>
    <w:p w14:paraId="0AAA4601" w14:textId="77777777" w:rsidR="00E903CA" w:rsidRPr="000400E4" w:rsidRDefault="00E903CA" w:rsidP="00600D52"/>
    <w:p w14:paraId="7022F890" w14:textId="77777777" w:rsidR="000400E4" w:rsidRPr="00E903CA" w:rsidRDefault="000400E4">
      <w:pPr>
        <w:numPr>
          <w:ilvl w:val="0"/>
          <w:numId w:val="5"/>
        </w:numPr>
      </w:pPr>
      <w:r w:rsidRPr="000400E4">
        <w:rPr>
          <w:b/>
          <w:bCs/>
        </w:rPr>
        <w:lastRenderedPageBreak/>
        <w:t>Key Points to Include:</w:t>
      </w:r>
    </w:p>
    <w:p w14:paraId="20F89A14" w14:textId="77777777" w:rsidR="00E903CA" w:rsidRPr="00EF2814" w:rsidRDefault="00E903CA" w:rsidP="00E903CA">
      <w:pPr>
        <w:spacing w:before="240" w:after="0"/>
        <w:rPr>
          <w:rFonts w:cs="Arial"/>
        </w:rPr>
      </w:pPr>
      <w:r w:rsidRPr="00EF2814">
        <w:rPr>
          <w:rFonts w:cs="Arial"/>
        </w:rPr>
        <w:t xml:space="preserve">Some of the essential aspects involve a brief overview of the key themes and the way they all answer the research question. The conclusion is to emphasise the importance of the effectiveness of emergency training, workforce flexibility and integration of policy and practise. It ought to comment on how theoretical backgrounds were used in interpreting findings and appreciate methodological shortcomings. Instead, it </w:t>
      </w:r>
      <w:proofErr w:type="gramStart"/>
      <w:r w:rsidRPr="00EF2814">
        <w:rPr>
          <w:rFonts w:cs="Arial"/>
        </w:rPr>
        <w:t>has to</w:t>
      </w:r>
      <w:proofErr w:type="gramEnd"/>
      <w:r w:rsidRPr="00EF2814">
        <w:rPr>
          <w:rFonts w:cs="Arial"/>
        </w:rPr>
        <w:t xml:space="preserve"> focus more on the practical implications of healthcare practise and policy and simply connect the findings with the recommendations reached in the last chapter.</w:t>
      </w:r>
    </w:p>
    <w:p w14:paraId="2342E9D2" w14:textId="77777777" w:rsidR="00E903CA" w:rsidRPr="000400E4" w:rsidRDefault="00E903CA" w:rsidP="00E903CA"/>
    <w:p w14:paraId="70F2C421" w14:textId="77777777" w:rsidR="000400E4" w:rsidRPr="00E903CA" w:rsidRDefault="000400E4" w:rsidP="00E903CA">
      <w:r w:rsidRPr="000400E4">
        <w:rPr>
          <w:b/>
          <w:bCs/>
        </w:rPr>
        <w:t>Important Reminders:</w:t>
      </w:r>
    </w:p>
    <w:p w14:paraId="5FA5A7AA" w14:textId="77777777" w:rsidR="00E903CA" w:rsidRPr="00EF2814" w:rsidRDefault="00E903CA">
      <w:pPr>
        <w:numPr>
          <w:ilvl w:val="0"/>
          <w:numId w:val="5"/>
        </w:numPr>
        <w:spacing w:before="240" w:after="0"/>
        <w:rPr>
          <w:rFonts w:cs="Arial"/>
        </w:rPr>
      </w:pPr>
      <w:r w:rsidRPr="00EF2814">
        <w:rPr>
          <w:rFonts w:cs="Arial"/>
        </w:rPr>
        <w:t>Do not introduce any new themes, information, statistics, or literature that have not been previously discussed in the dissertation chapters.</w:t>
      </w:r>
    </w:p>
    <w:p w14:paraId="711DFC59" w14:textId="77777777" w:rsidR="00E903CA" w:rsidRPr="00EF2814" w:rsidRDefault="00E903CA">
      <w:pPr>
        <w:numPr>
          <w:ilvl w:val="0"/>
          <w:numId w:val="5"/>
        </w:numPr>
        <w:spacing w:before="240" w:after="0"/>
        <w:rPr>
          <w:rFonts w:cs="Arial"/>
        </w:rPr>
      </w:pPr>
      <w:r w:rsidRPr="00EF2814">
        <w:rPr>
          <w:rFonts w:cs="Arial"/>
        </w:rPr>
        <w:t>Ensure that the conclusion remains grounded in the original research question, aims, and objectives.</w:t>
      </w:r>
    </w:p>
    <w:p w14:paraId="2666C923" w14:textId="77777777" w:rsidR="00E903CA" w:rsidRPr="00EF2814" w:rsidRDefault="00E903CA">
      <w:pPr>
        <w:numPr>
          <w:ilvl w:val="0"/>
          <w:numId w:val="5"/>
        </w:numPr>
        <w:spacing w:before="240" w:after="0"/>
        <w:rPr>
          <w:rFonts w:cs="Arial"/>
        </w:rPr>
      </w:pPr>
      <w:r w:rsidRPr="00EF2814">
        <w:rPr>
          <w:rFonts w:cs="Arial"/>
        </w:rPr>
        <w:t>Focus on analysing the results rather than summarising the findings in a descriptive manner.</w:t>
      </w:r>
    </w:p>
    <w:p w14:paraId="503EFF48" w14:textId="77777777" w:rsidR="00E903CA" w:rsidRPr="00EF2814" w:rsidRDefault="00E903CA">
      <w:pPr>
        <w:numPr>
          <w:ilvl w:val="0"/>
          <w:numId w:val="5"/>
        </w:numPr>
        <w:spacing w:before="240" w:after="0"/>
        <w:rPr>
          <w:rFonts w:cs="Arial"/>
        </w:rPr>
      </w:pPr>
      <w:r w:rsidRPr="00EF2814">
        <w:rPr>
          <w:rFonts w:cs="Arial"/>
        </w:rPr>
        <w:t>Write in an academic tone while also showing critical insight into the subject matter.</w:t>
      </w:r>
    </w:p>
    <w:p w14:paraId="1BD45682" w14:textId="77777777" w:rsidR="00E903CA" w:rsidRPr="00EF2814" w:rsidRDefault="00E903CA">
      <w:pPr>
        <w:numPr>
          <w:ilvl w:val="0"/>
          <w:numId w:val="5"/>
        </w:numPr>
        <w:spacing w:before="240" w:after="0"/>
        <w:rPr>
          <w:rFonts w:cs="Arial"/>
        </w:rPr>
      </w:pPr>
      <w:r w:rsidRPr="00EF2814">
        <w:rPr>
          <w:rFonts w:cs="Arial"/>
        </w:rPr>
        <w:t xml:space="preserve">Discuss the limitations of the methodology in a brief manner without compromising the validity of the </w:t>
      </w:r>
      <w:proofErr w:type="gramStart"/>
      <w:r w:rsidRPr="00EF2814">
        <w:rPr>
          <w:rFonts w:cs="Arial"/>
        </w:rPr>
        <w:t>research as a whole</w:t>
      </w:r>
      <w:proofErr w:type="gramEnd"/>
      <w:r w:rsidRPr="00EF2814">
        <w:rPr>
          <w:rFonts w:cs="Arial"/>
        </w:rPr>
        <w:t>.</w:t>
      </w:r>
    </w:p>
    <w:p w14:paraId="3C077B8A" w14:textId="77777777" w:rsidR="00E903CA" w:rsidRPr="00EF2814" w:rsidRDefault="00E903CA">
      <w:pPr>
        <w:numPr>
          <w:ilvl w:val="0"/>
          <w:numId w:val="5"/>
        </w:numPr>
        <w:spacing w:before="240" w:after="0"/>
        <w:rPr>
          <w:rFonts w:cs="Arial"/>
        </w:rPr>
      </w:pPr>
      <w:r w:rsidRPr="00EF2814">
        <w:rPr>
          <w:rFonts w:cs="Arial"/>
        </w:rPr>
        <w:t>Emphasise the implications of the research for workforce practice and policy implementation.</w:t>
      </w:r>
    </w:p>
    <w:p w14:paraId="2150B878" w14:textId="77777777" w:rsidR="00E903CA" w:rsidRPr="000400E4" w:rsidRDefault="00E903CA" w:rsidP="00E903CA"/>
    <w:p w14:paraId="56E37072" w14:textId="77777777" w:rsidR="00575D70" w:rsidRDefault="00575D70" w:rsidP="003B1E32">
      <w:pPr>
        <w:pStyle w:val="Heading2"/>
      </w:pPr>
    </w:p>
    <w:p w14:paraId="1C3429F0" w14:textId="77777777" w:rsidR="00575D70" w:rsidRDefault="00575D70" w:rsidP="003B1E32">
      <w:pPr>
        <w:pStyle w:val="Heading2"/>
      </w:pPr>
    </w:p>
    <w:p w14:paraId="76069EDF" w14:textId="77777777" w:rsidR="00575D70" w:rsidRDefault="00575D70" w:rsidP="003B1E32">
      <w:pPr>
        <w:pStyle w:val="Heading2"/>
      </w:pPr>
    </w:p>
    <w:p w14:paraId="4D644B78" w14:textId="77777777" w:rsidR="00575D70" w:rsidRDefault="00575D70" w:rsidP="003B1E32">
      <w:pPr>
        <w:pStyle w:val="Heading2"/>
      </w:pPr>
    </w:p>
    <w:p w14:paraId="4F73DC52" w14:textId="77777777" w:rsidR="00575D70" w:rsidRDefault="00575D70" w:rsidP="003B1E32">
      <w:pPr>
        <w:pStyle w:val="Heading2"/>
      </w:pPr>
    </w:p>
    <w:p w14:paraId="48005ABF" w14:textId="1BB02478" w:rsidR="00636D9A" w:rsidRPr="005C5E80" w:rsidRDefault="00636D9A" w:rsidP="003B1E32">
      <w:pPr>
        <w:pStyle w:val="Heading2"/>
      </w:pPr>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6599D6CF" w14:textId="77777777" w:rsidR="005C5E80" w:rsidRDefault="005C5E80" w:rsidP="005C5E80"/>
    <w:p w14:paraId="77AF2497" w14:textId="77777777" w:rsidR="00E903CA" w:rsidRDefault="00E903CA" w:rsidP="005C5E80"/>
    <w:p w14:paraId="5F68DB60" w14:textId="77777777" w:rsidR="00E903CA" w:rsidRDefault="00E903CA" w:rsidP="005C5E80"/>
    <w:p w14:paraId="38708C36" w14:textId="77777777" w:rsidR="00E903CA" w:rsidRDefault="00E903CA" w:rsidP="005C5E80"/>
    <w:p w14:paraId="68BE38BC" w14:textId="77777777" w:rsidR="00E903CA" w:rsidRPr="005C5E80" w:rsidRDefault="00E903CA" w:rsidP="005C5E80"/>
    <w:p w14:paraId="6D481D61" w14:textId="5F78707F" w:rsidR="005C5E80" w:rsidRDefault="005C5E80" w:rsidP="005C5E80">
      <w:pPr>
        <w:pStyle w:val="Heading1"/>
        <w:rPr>
          <w:rFonts w:ascii="Aptos" w:hAnsi="Aptos"/>
          <w:sz w:val="28"/>
          <w:szCs w:val="28"/>
        </w:rPr>
      </w:pPr>
      <w:r w:rsidRPr="005C5E80">
        <w:rPr>
          <w:rFonts w:ascii="Aptos" w:hAnsi="Aptos"/>
          <w:sz w:val="28"/>
          <w:szCs w:val="28"/>
        </w:rPr>
        <w:t>5.2.1 – Recommendation 1</w:t>
      </w:r>
      <w:r w:rsidR="00E903CA">
        <w:rPr>
          <w:rFonts w:ascii="Aptos" w:hAnsi="Aptos"/>
          <w:sz w:val="28"/>
          <w:szCs w:val="28"/>
        </w:rPr>
        <w:t xml:space="preserve">: </w:t>
      </w:r>
      <w:r w:rsidR="00E903CA" w:rsidRPr="00E903CA">
        <w:rPr>
          <w:rFonts w:ascii="Aptos" w:hAnsi="Aptos"/>
          <w:sz w:val="28"/>
          <w:szCs w:val="28"/>
        </w:rPr>
        <w:t>Strengthening Workforce Preparedness through Targeted Training and Skill Development</w:t>
      </w:r>
    </w:p>
    <w:p w14:paraId="2555487D" w14:textId="77777777" w:rsidR="00E903CA" w:rsidRDefault="00E903CA" w:rsidP="005C5E80">
      <w:pPr>
        <w:pStyle w:val="Heading1"/>
        <w:rPr>
          <w:rFonts w:ascii="Aptos" w:hAnsi="Aptos"/>
          <w:sz w:val="28"/>
          <w:szCs w:val="28"/>
        </w:rPr>
      </w:pPr>
    </w:p>
    <w:p w14:paraId="49A5D61D" w14:textId="77777777" w:rsidR="00E903CA" w:rsidRPr="00E903CA" w:rsidRDefault="00E903CA">
      <w:pPr>
        <w:numPr>
          <w:ilvl w:val="0"/>
          <w:numId w:val="19"/>
        </w:numPr>
        <w:spacing w:before="240" w:after="0"/>
        <w:rPr>
          <w:rFonts w:ascii="Arial" w:eastAsia="Century Schoolbook" w:hAnsi="Arial" w:cs="Arial"/>
          <w:b/>
          <w:bCs/>
          <w:i/>
          <w:iCs/>
          <w:kern w:val="0"/>
          <w:lang w:eastAsia="en-US"/>
          <w14:ligatures w14:val="none"/>
        </w:rPr>
      </w:pPr>
      <w:r w:rsidRPr="00E903CA">
        <w:rPr>
          <w:rFonts w:ascii="Arial" w:eastAsia="Century Schoolbook" w:hAnsi="Arial" w:cs="Arial"/>
          <w:b/>
          <w:bCs/>
          <w:i/>
          <w:iCs/>
          <w:kern w:val="0"/>
          <w:lang w:eastAsia="en-US"/>
          <w14:ligatures w14:val="none"/>
        </w:rPr>
        <w:t>Standardised Emergency Training and Continuous Professional Development</w:t>
      </w:r>
    </w:p>
    <w:p w14:paraId="7A13E55B" w14:textId="77777777" w:rsidR="00E903CA" w:rsidRPr="00E903CA" w:rsidRDefault="00E903CA" w:rsidP="00E903CA">
      <w:pPr>
        <w:spacing w:before="240" w:after="0"/>
        <w:rPr>
          <w:rFonts w:ascii="Arial" w:eastAsia="Century Schoolbook" w:hAnsi="Arial" w:cs="Arial"/>
          <w:kern w:val="0"/>
          <w:lang w:eastAsia="en-US"/>
          <w14:ligatures w14:val="none"/>
        </w:rPr>
      </w:pPr>
      <w:r w:rsidRPr="00E903CA">
        <w:rPr>
          <w:rFonts w:ascii="Arial" w:eastAsia="Century Schoolbook" w:hAnsi="Arial" w:cs="Arial"/>
          <w:kern w:val="0"/>
          <w:lang w:eastAsia="en-US"/>
          <w14:ligatures w14:val="none"/>
        </w:rPr>
        <w:t xml:space="preserve">Year-round standardised emergency training must be incorporated in all roles of clinical activities to provide a uniform minimum competence in the cases of high pressure. Provisions of advanced life support, trauma management, and infection control ought to be strengthened by organised continuous professional growth. The periodic refresher cycles, carried out on an annual or biannual basis, reduce the loss of skill and improve the level of clinical confidence. Association of the training completion with professional revalidation to enhance accountability. Nonetheless, too much standardisation risks ignoring the needs of local services, which is why it is essential to understand the competency frameworks based on the nationally recognised </w:t>
      </w:r>
      <w:proofErr w:type="gramStart"/>
      <w:r w:rsidRPr="00E903CA">
        <w:rPr>
          <w:rFonts w:ascii="Arial" w:eastAsia="Century Schoolbook" w:hAnsi="Arial" w:cs="Arial"/>
          <w:kern w:val="0"/>
          <w:lang w:eastAsia="en-US"/>
          <w14:ligatures w14:val="none"/>
        </w:rPr>
        <w:t>ones, but</w:t>
      </w:r>
      <w:proofErr w:type="gramEnd"/>
      <w:r w:rsidRPr="00E903CA">
        <w:rPr>
          <w:rFonts w:ascii="Arial" w:eastAsia="Century Schoolbook" w:hAnsi="Arial" w:cs="Arial"/>
          <w:kern w:val="0"/>
          <w:lang w:eastAsia="en-US"/>
          <w14:ligatures w14:val="none"/>
        </w:rPr>
        <w:t xml:space="preserve"> adjust training materials to the organisational environment.</w:t>
      </w:r>
    </w:p>
    <w:p w14:paraId="6852D78E" w14:textId="77777777" w:rsidR="00E903CA" w:rsidRPr="00E903CA" w:rsidRDefault="00E903CA">
      <w:pPr>
        <w:numPr>
          <w:ilvl w:val="0"/>
          <w:numId w:val="20"/>
        </w:numPr>
        <w:spacing w:before="240" w:after="0"/>
        <w:rPr>
          <w:rFonts w:ascii="Arial" w:eastAsia="Century Schoolbook" w:hAnsi="Arial" w:cs="Arial"/>
          <w:b/>
          <w:bCs/>
          <w:i/>
          <w:iCs/>
          <w:kern w:val="0"/>
          <w:lang w:eastAsia="en-US"/>
          <w14:ligatures w14:val="none"/>
        </w:rPr>
      </w:pPr>
      <w:r w:rsidRPr="00E903CA">
        <w:rPr>
          <w:rFonts w:ascii="Arial" w:eastAsia="Century Schoolbook" w:hAnsi="Arial" w:cs="Arial"/>
          <w:b/>
          <w:bCs/>
          <w:i/>
          <w:iCs/>
          <w:kern w:val="0"/>
          <w:lang w:eastAsia="en-US"/>
          <w14:ligatures w14:val="none"/>
        </w:rPr>
        <w:t>Simulation-Based Learning and Competency Assessment</w:t>
      </w:r>
    </w:p>
    <w:p w14:paraId="4D245A65" w14:textId="77777777" w:rsidR="00E903CA" w:rsidRPr="00E903CA" w:rsidRDefault="00E903CA" w:rsidP="00E903CA">
      <w:pPr>
        <w:spacing w:before="240" w:after="0"/>
        <w:rPr>
          <w:rFonts w:ascii="Arial" w:eastAsia="Century Schoolbook" w:hAnsi="Arial" w:cs="Arial"/>
          <w:kern w:val="0"/>
          <w:lang w:eastAsia="en-US"/>
          <w14:ligatures w14:val="none"/>
        </w:rPr>
      </w:pPr>
      <w:r w:rsidRPr="00E903CA">
        <w:rPr>
          <w:rFonts w:ascii="Arial" w:eastAsia="Century Schoolbook" w:hAnsi="Arial" w:cs="Arial"/>
          <w:kern w:val="0"/>
          <w:lang w:eastAsia="en-US"/>
          <w14:ligatures w14:val="none"/>
        </w:rPr>
        <w:t xml:space="preserve">Learning by simulation provides a controlled setting to practise complex emergency procedures, which are not risky to the patient. Simulations with high-fidelity models of cardiac arrest, mass casualties, or a sudden deterioration of a patient boost clinical decision-making and performance in a team. Both technical and non-technical skills can be objectively measured using competency assessments based on scenario-based assessments. Clinical </w:t>
      </w:r>
      <w:r w:rsidRPr="00E903CA">
        <w:rPr>
          <w:rFonts w:ascii="Arial" w:eastAsia="Century Schoolbook" w:hAnsi="Arial" w:cs="Arial"/>
          <w:kern w:val="0"/>
          <w:lang w:eastAsia="en-US"/>
          <w14:ligatures w14:val="none"/>
        </w:rPr>
        <w:lastRenderedPageBreak/>
        <w:t>practise evidence demonstrates decreased response times and fewer procedure errors after being exposed to simulation. However, simulation needs financial resources, trained facilitators and safe learning time, which might restrict access in resource-strained healthcare environments.</w:t>
      </w:r>
    </w:p>
    <w:p w14:paraId="21866C0C" w14:textId="77777777" w:rsidR="00E903CA" w:rsidRPr="00E903CA" w:rsidRDefault="00E903CA" w:rsidP="005C5E80">
      <w:pPr>
        <w:pStyle w:val="Heading1"/>
        <w:rPr>
          <w:rFonts w:ascii="Aptos" w:hAnsi="Aptos"/>
          <w:sz w:val="24"/>
          <w:szCs w:val="24"/>
        </w:rPr>
      </w:pPr>
    </w:p>
    <w:p w14:paraId="0DC60BA0" w14:textId="77777777" w:rsidR="00E903CA" w:rsidRPr="005C5E80" w:rsidRDefault="00E903CA" w:rsidP="005C5E80">
      <w:pPr>
        <w:pStyle w:val="Heading1"/>
        <w:rPr>
          <w:rFonts w:ascii="Aptos" w:hAnsi="Aptos"/>
          <w:sz w:val="28"/>
          <w:szCs w:val="28"/>
        </w:rPr>
      </w:pPr>
    </w:p>
    <w:p w14:paraId="4263DD9E" w14:textId="77777777" w:rsidR="005C5E80" w:rsidRPr="005C5E80" w:rsidRDefault="005C5E80" w:rsidP="005C5E80">
      <w:pPr>
        <w:pStyle w:val="Heading1"/>
        <w:rPr>
          <w:rFonts w:ascii="Aptos" w:hAnsi="Aptos"/>
          <w:sz w:val="28"/>
          <w:szCs w:val="28"/>
        </w:rPr>
      </w:pPr>
    </w:p>
    <w:p w14:paraId="7B4E5F2F" w14:textId="77777777" w:rsidR="00296806" w:rsidRDefault="00296806" w:rsidP="005C5E80">
      <w:pPr>
        <w:pStyle w:val="Heading1"/>
        <w:rPr>
          <w:rFonts w:ascii="Aptos" w:hAnsi="Aptos"/>
          <w:sz w:val="28"/>
          <w:szCs w:val="28"/>
        </w:rPr>
      </w:pPr>
    </w:p>
    <w:p w14:paraId="76DE406F" w14:textId="77777777" w:rsidR="00296806" w:rsidRDefault="00296806" w:rsidP="005C5E80">
      <w:pPr>
        <w:pStyle w:val="Heading1"/>
        <w:rPr>
          <w:rFonts w:ascii="Aptos" w:hAnsi="Aptos"/>
          <w:sz w:val="28"/>
          <w:szCs w:val="28"/>
        </w:rPr>
      </w:pPr>
    </w:p>
    <w:p w14:paraId="02A8DE47" w14:textId="77777777" w:rsidR="00296806" w:rsidRDefault="00296806" w:rsidP="005C5E80">
      <w:pPr>
        <w:pStyle w:val="Heading1"/>
        <w:rPr>
          <w:rFonts w:ascii="Aptos" w:hAnsi="Aptos"/>
          <w:sz w:val="28"/>
          <w:szCs w:val="28"/>
        </w:rPr>
      </w:pPr>
    </w:p>
    <w:p w14:paraId="4CCA3F52" w14:textId="77777777" w:rsidR="00296806" w:rsidRDefault="00296806" w:rsidP="005C5E80">
      <w:pPr>
        <w:pStyle w:val="Heading1"/>
        <w:rPr>
          <w:rFonts w:ascii="Aptos" w:hAnsi="Aptos"/>
          <w:sz w:val="28"/>
          <w:szCs w:val="28"/>
        </w:rPr>
      </w:pPr>
    </w:p>
    <w:p w14:paraId="4A03A8F4" w14:textId="77777777" w:rsidR="00296806" w:rsidRDefault="00296806" w:rsidP="005C5E80">
      <w:pPr>
        <w:pStyle w:val="Heading1"/>
        <w:rPr>
          <w:rFonts w:ascii="Aptos" w:hAnsi="Aptos"/>
          <w:sz w:val="28"/>
          <w:szCs w:val="28"/>
        </w:rPr>
      </w:pPr>
    </w:p>
    <w:p w14:paraId="7B64D6F4" w14:textId="77777777" w:rsidR="00296806" w:rsidRDefault="00296806" w:rsidP="005C5E80">
      <w:pPr>
        <w:pStyle w:val="Heading1"/>
        <w:rPr>
          <w:rFonts w:ascii="Aptos" w:hAnsi="Aptos"/>
          <w:sz w:val="28"/>
          <w:szCs w:val="28"/>
        </w:rPr>
      </w:pPr>
    </w:p>
    <w:p w14:paraId="55008E7E" w14:textId="77777777" w:rsidR="00296806" w:rsidRDefault="00296806" w:rsidP="005C5E80">
      <w:pPr>
        <w:pStyle w:val="Heading1"/>
        <w:rPr>
          <w:rFonts w:ascii="Aptos" w:hAnsi="Aptos"/>
          <w:sz w:val="28"/>
          <w:szCs w:val="28"/>
        </w:rPr>
      </w:pPr>
    </w:p>
    <w:p w14:paraId="43F4E2BC" w14:textId="77777777" w:rsidR="00296806" w:rsidRDefault="00296806" w:rsidP="005C5E80">
      <w:pPr>
        <w:pStyle w:val="Heading1"/>
        <w:rPr>
          <w:rFonts w:ascii="Aptos" w:hAnsi="Aptos"/>
          <w:sz w:val="28"/>
          <w:szCs w:val="28"/>
        </w:rPr>
      </w:pPr>
    </w:p>
    <w:p w14:paraId="5136B054" w14:textId="77777777" w:rsidR="00296806" w:rsidRDefault="00296806" w:rsidP="005C5E80">
      <w:pPr>
        <w:pStyle w:val="Heading1"/>
        <w:rPr>
          <w:rFonts w:ascii="Aptos" w:hAnsi="Aptos"/>
          <w:sz w:val="28"/>
          <w:szCs w:val="28"/>
        </w:rPr>
      </w:pPr>
    </w:p>
    <w:p w14:paraId="1019826B" w14:textId="24AB0DA1" w:rsidR="005C5E80" w:rsidRDefault="005C5E80" w:rsidP="005C5E80">
      <w:pPr>
        <w:pStyle w:val="Heading1"/>
        <w:rPr>
          <w:rFonts w:ascii="Aptos" w:hAnsi="Aptos"/>
          <w:sz w:val="28"/>
          <w:szCs w:val="28"/>
        </w:rPr>
      </w:pPr>
      <w:r w:rsidRPr="005C5E80">
        <w:rPr>
          <w:rFonts w:ascii="Aptos" w:hAnsi="Aptos"/>
          <w:sz w:val="28"/>
          <w:szCs w:val="28"/>
        </w:rPr>
        <w:t>5.2.2 – Recommendation 2</w:t>
      </w:r>
      <w:r w:rsidR="00E903CA">
        <w:rPr>
          <w:rFonts w:ascii="Aptos" w:hAnsi="Aptos"/>
          <w:sz w:val="28"/>
          <w:szCs w:val="28"/>
        </w:rPr>
        <w:t xml:space="preserve">: </w:t>
      </w:r>
      <w:r w:rsidR="00296806" w:rsidRPr="00296806">
        <w:rPr>
          <w:rFonts w:ascii="Aptos" w:hAnsi="Aptos"/>
          <w:sz w:val="28"/>
          <w:szCs w:val="28"/>
        </w:rPr>
        <w:t>Enhancing Workforce Flexibility to Support Adaptive and Resilient Care Delivery</w:t>
      </w:r>
    </w:p>
    <w:p w14:paraId="11ED770D" w14:textId="77777777" w:rsidR="00296806" w:rsidRDefault="00296806" w:rsidP="005C5E80">
      <w:pPr>
        <w:pStyle w:val="Heading1"/>
        <w:rPr>
          <w:rFonts w:ascii="Aptos" w:hAnsi="Aptos"/>
          <w:sz w:val="28"/>
          <w:szCs w:val="28"/>
        </w:rPr>
      </w:pPr>
    </w:p>
    <w:p w14:paraId="51B20A5F" w14:textId="77777777" w:rsidR="00296806" w:rsidRPr="00296806" w:rsidRDefault="00296806">
      <w:pPr>
        <w:numPr>
          <w:ilvl w:val="0"/>
          <w:numId w:val="22"/>
        </w:numPr>
        <w:spacing w:before="240" w:after="0"/>
        <w:rPr>
          <w:rFonts w:ascii="Arial" w:eastAsia="Century Schoolbook" w:hAnsi="Arial" w:cs="Arial"/>
          <w:b/>
          <w:bCs/>
          <w:i/>
          <w:iCs/>
          <w:kern w:val="0"/>
          <w:lang w:eastAsia="en-US"/>
          <w14:ligatures w14:val="none"/>
        </w:rPr>
      </w:pPr>
      <w:r w:rsidRPr="00296806">
        <w:rPr>
          <w:rFonts w:ascii="Arial" w:eastAsia="Century Schoolbook" w:hAnsi="Arial" w:cs="Arial"/>
          <w:b/>
          <w:bCs/>
          <w:i/>
          <w:iCs/>
          <w:kern w:val="0"/>
          <w:lang w:eastAsia="en-US"/>
          <w14:ligatures w14:val="none"/>
        </w:rPr>
        <w:t>Role Expansion and Multiskilling Across Clinical Teams</w:t>
      </w:r>
    </w:p>
    <w:p w14:paraId="3644C8FC" w14:textId="77777777" w:rsidR="00296806" w:rsidRPr="00296806" w:rsidRDefault="00296806" w:rsidP="00296806">
      <w:pPr>
        <w:spacing w:before="240" w:after="0"/>
        <w:rPr>
          <w:rFonts w:ascii="Arial" w:eastAsia="Century Schoolbook" w:hAnsi="Arial" w:cs="Arial"/>
          <w:kern w:val="0"/>
          <w:lang w:eastAsia="en-US"/>
          <w14:ligatures w14:val="none"/>
        </w:rPr>
      </w:pPr>
      <w:r w:rsidRPr="00296806">
        <w:rPr>
          <w:rFonts w:ascii="Arial" w:eastAsia="Century Schoolbook" w:hAnsi="Arial" w:cs="Arial"/>
          <w:kern w:val="0"/>
          <w:lang w:eastAsia="en-US"/>
          <w14:ligatures w14:val="none"/>
        </w:rPr>
        <w:t xml:space="preserve">Expansion of the roles helps healthcare professionals to work outside their limits, owing to the shortage of the workforce, since the service delivery can continue. The addition of multiskilling nurses, paramedics, and allied health professionals to execute prolonged clinical duties should help in increasing responsiveness in emergency cases. There is enhanced resiliency in the workforce </w:t>
      </w:r>
      <w:proofErr w:type="gramStart"/>
      <w:r w:rsidRPr="00296806">
        <w:rPr>
          <w:rFonts w:ascii="Arial" w:eastAsia="Century Schoolbook" w:hAnsi="Arial" w:cs="Arial"/>
          <w:kern w:val="0"/>
          <w:lang w:eastAsia="en-US"/>
          <w14:ligatures w14:val="none"/>
        </w:rPr>
        <w:t>as a result of</w:t>
      </w:r>
      <w:proofErr w:type="gramEnd"/>
      <w:r w:rsidRPr="00296806">
        <w:rPr>
          <w:rFonts w:ascii="Arial" w:eastAsia="Century Schoolbook" w:hAnsi="Arial" w:cs="Arial"/>
          <w:kern w:val="0"/>
          <w:lang w:eastAsia="en-US"/>
          <w14:ligatures w14:val="none"/>
        </w:rPr>
        <w:t xml:space="preserve"> cross-training because dependence on single-role specialists becomes less frequent. Lack of role clarity may, however, enhance workload stress and professional conflict. Precise definition of the scope-of-practise, organisation of supervision, and competence validation are necessary </w:t>
      </w:r>
      <w:proofErr w:type="gramStart"/>
      <w:r w:rsidRPr="00296806">
        <w:rPr>
          <w:rFonts w:ascii="Arial" w:eastAsia="Century Schoolbook" w:hAnsi="Arial" w:cs="Arial"/>
          <w:kern w:val="0"/>
          <w:lang w:eastAsia="en-US"/>
          <w14:ligatures w14:val="none"/>
        </w:rPr>
        <w:t>in order to</w:t>
      </w:r>
      <w:proofErr w:type="gramEnd"/>
      <w:r w:rsidRPr="00296806">
        <w:rPr>
          <w:rFonts w:ascii="Arial" w:eastAsia="Century Schoolbook" w:hAnsi="Arial" w:cs="Arial"/>
          <w:kern w:val="0"/>
          <w:lang w:eastAsia="en-US"/>
          <w14:ligatures w14:val="none"/>
        </w:rPr>
        <w:t xml:space="preserve"> see how role adjustment can add benefit to the care of the patient without undermining professional standards or safety.</w:t>
      </w:r>
    </w:p>
    <w:p w14:paraId="07DF49A9" w14:textId="77777777" w:rsidR="00296806" w:rsidRPr="00296806" w:rsidRDefault="00296806">
      <w:pPr>
        <w:numPr>
          <w:ilvl w:val="0"/>
          <w:numId w:val="21"/>
        </w:numPr>
        <w:spacing w:before="240" w:after="0"/>
        <w:rPr>
          <w:rFonts w:ascii="Arial" w:eastAsia="Century Schoolbook" w:hAnsi="Arial" w:cs="Arial"/>
          <w:b/>
          <w:bCs/>
          <w:i/>
          <w:iCs/>
          <w:kern w:val="0"/>
          <w:lang w:eastAsia="en-US"/>
          <w14:ligatures w14:val="none"/>
        </w:rPr>
      </w:pPr>
      <w:r w:rsidRPr="00296806">
        <w:rPr>
          <w:rFonts w:ascii="Arial" w:eastAsia="Century Schoolbook" w:hAnsi="Arial" w:cs="Arial"/>
          <w:b/>
          <w:bCs/>
          <w:i/>
          <w:iCs/>
          <w:kern w:val="0"/>
          <w:lang w:eastAsia="en-US"/>
          <w14:ligatures w14:val="none"/>
        </w:rPr>
        <w:t>Flexible Workforce Models and Cross-Departmental Deployment</w:t>
      </w:r>
    </w:p>
    <w:p w14:paraId="1C199145" w14:textId="77777777" w:rsidR="00296806" w:rsidRPr="00296806" w:rsidRDefault="00296806" w:rsidP="00296806">
      <w:pPr>
        <w:spacing w:before="240" w:after="0"/>
        <w:rPr>
          <w:rFonts w:ascii="Arial" w:eastAsia="Century Schoolbook" w:hAnsi="Arial" w:cs="Arial"/>
          <w:kern w:val="0"/>
          <w:lang w:eastAsia="en-US"/>
          <w14:ligatures w14:val="none"/>
        </w:rPr>
      </w:pPr>
      <w:r w:rsidRPr="00296806">
        <w:rPr>
          <w:rFonts w:ascii="Arial" w:eastAsia="Century Schoolbook" w:hAnsi="Arial" w:cs="Arial"/>
          <w:kern w:val="0"/>
          <w:lang w:eastAsia="en-US"/>
          <w14:ligatures w14:val="none"/>
        </w:rPr>
        <w:t xml:space="preserve">The flexible workforce models allow for rapid mobility of workers between departments based on the service demand. Cross-departmental staffing and rotation of staff improve capacity during the peak periods, such as the winter overflow or emergency outbursts. The models foster organisational agility and minimise disruption of services. Re-deployment, however, might result in low team cohesion and role unfamiliarity. Induction protocols, role-matching </w:t>
      </w:r>
      <w:r w:rsidRPr="00296806">
        <w:rPr>
          <w:rFonts w:ascii="Arial" w:eastAsia="Century Schoolbook" w:hAnsi="Arial" w:cs="Arial"/>
          <w:kern w:val="0"/>
          <w:lang w:eastAsia="en-US"/>
          <w14:ligatures w14:val="none"/>
        </w:rPr>
        <w:lastRenderedPageBreak/>
        <w:t>systems, as well as real-time staffing data should support deployment strategies to balance between flexibility and stability of the workforce and the well-being of staff.</w:t>
      </w:r>
    </w:p>
    <w:p w14:paraId="4C940DF4" w14:textId="77777777" w:rsidR="00296806" w:rsidRPr="00296806" w:rsidRDefault="00296806" w:rsidP="005C5E80">
      <w:pPr>
        <w:pStyle w:val="Heading1"/>
        <w:rPr>
          <w:rFonts w:ascii="Aptos" w:hAnsi="Aptos"/>
          <w:sz w:val="24"/>
          <w:szCs w:val="24"/>
        </w:rPr>
      </w:pPr>
    </w:p>
    <w:p w14:paraId="1F80D6A6" w14:textId="77777777" w:rsidR="005C5E80" w:rsidRPr="005C5E80" w:rsidRDefault="005C5E80" w:rsidP="005C5E80">
      <w:pPr>
        <w:pStyle w:val="Heading1"/>
        <w:rPr>
          <w:rFonts w:ascii="Aptos" w:hAnsi="Aptos"/>
          <w:sz w:val="28"/>
          <w:szCs w:val="28"/>
        </w:rPr>
      </w:pPr>
    </w:p>
    <w:p w14:paraId="6DEFF1C6" w14:textId="33443BF7" w:rsidR="005C5E80" w:rsidRDefault="005C5E80" w:rsidP="005C5E80">
      <w:pPr>
        <w:pStyle w:val="Heading1"/>
        <w:rPr>
          <w:rFonts w:ascii="Aptos" w:hAnsi="Aptos"/>
          <w:sz w:val="28"/>
          <w:szCs w:val="28"/>
        </w:rPr>
      </w:pPr>
      <w:r w:rsidRPr="005C5E80">
        <w:rPr>
          <w:rFonts w:ascii="Aptos" w:hAnsi="Aptos"/>
          <w:sz w:val="28"/>
          <w:szCs w:val="28"/>
        </w:rPr>
        <w:t xml:space="preserve">5.2.3 – Recommendation </w:t>
      </w:r>
      <w:r w:rsidR="00E903CA" w:rsidRPr="005C5E80">
        <w:rPr>
          <w:rFonts w:ascii="Aptos" w:hAnsi="Aptos"/>
          <w:sz w:val="28"/>
          <w:szCs w:val="28"/>
        </w:rPr>
        <w:t>3:</w:t>
      </w:r>
      <w:r w:rsidR="00296806">
        <w:rPr>
          <w:rFonts w:ascii="Aptos" w:hAnsi="Aptos"/>
          <w:sz w:val="28"/>
          <w:szCs w:val="28"/>
        </w:rPr>
        <w:t xml:space="preserve"> </w:t>
      </w:r>
      <w:r w:rsidR="00296806" w:rsidRPr="00296806">
        <w:rPr>
          <w:rFonts w:ascii="Aptos" w:hAnsi="Aptos"/>
          <w:sz w:val="28"/>
          <w:szCs w:val="28"/>
        </w:rPr>
        <w:t>Aligning Policy Implementation with Frontline Practice to Improve Service Outcomes</w:t>
      </w:r>
    </w:p>
    <w:p w14:paraId="06ED5D33" w14:textId="07A4B3BF" w:rsidR="00296806" w:rsidRDefault="00296806" w:rsidP="005C5E80">
      <w:pPr>
        <w:pStyle w:val="Heading1"/>
        <w:rPr>
          <w:rFonts w:ascii="Aptos" w:hAnsi="Aptos"/>
          <w:sz w:val="28"/>
          <w:szCs w:val="28"/>
        </w:rPr>
      </w:pPr>
    </w:p>
    <w:p w14:paraId="4466C341" w14:textId="77777777" w:rsidR="00296806" w:rsidRPr="00296806" w:rsidRDefault="00296806">
      <w:pPr>
        <w:numPr>
          <w:ilvl w:val="0"/>
          <w:numId w:val="23"/>
        </w:numPr>
        <w:spacing w:before="240" w:after="0"/>
        <w:rPr>
          <w:rFonts w:ascii="Arial" w:eastAsia="Century Schoolbook" w:hAnsi="Arial" w:cs="Arial"/>
          <w:b/>
          <w:bCs/>
          <w:i/>
          <w:iCs/>
          <w:kern w:val="0"/>
          <w:lang w:eastAsia="en-US"/>
          <w14:ligatures w14:val="none"/>
        </w:rPr>
      </w:pPr>
      <w:r w:rsidRPr="00296806">
        <w:rPr>
          <w:rFonts w:ascii="Arial" w:eastAsia="Century Schoolbook" w:hAnsi="Arial" w:cs="Arial"/>
          <w:b/>
          <w:bCs/>
          <w:i/>
          <w:iCs/>
          <w:kern w:val="0"/>
          <w:lang w:eastAsia="en-US"/>
          <w14:ligatures w14:val="none"/>
        </w:rPr>
        <w:t>Translating Policy Objectives into Operational Practice</w:t>
      </w:r>
    </w:p>
    <w:p w14:paraId="355D6709" w14:textId="77777777" w:rsidR="00296806" w:rsidRPr="00296806" w:rsidRDefault="00296806" w:rsidP="00296806">
      <w:pPr>
        <w:spacing w:before="240" w:after="0"/>
        <w:rPr>
          <w:rFonts w:ascii="Arial" w:eastAsia="Century Schoolbook" w:hAnsi="Arial" w:cs="Arial"/>
          <w:kern w:val="0"/>
          <w:lang w:eastAsia="en-US"/>
          <w14:ligatures w14:val="none"/>
        </w:rPr>
      </w:pPr>
      <w:r w:rsidRPr="00296806">
        <w:rPr>
          <w:rFonts w:ascii="Arial" w:eastAsia="Century Schoolbook" w:hAnsi="Arial" w:cs="Arial"/>
          <w:kern w:val="0"/>
          <w:lang w:eastAsia="en-US"/>
          <w14:ligatures w14:val="none"/>
        </w:rPr>
        <w:t>A successful implementation of the policy implies the translation of the strategic objectives into strong, immediate frontline procedures. Emergency preparedness, workforce capability and patient safety policies should be operationalised by using local guidelines, training plans and leadership engagement. Policy-clinical inconsistency may cause inconsistent practise and less compliance. Adaptation of policies by involving frontline staff improves relevancy and ownership. Nevertheless, the interpretation of the policy by the people could be impractical due to the complexity in its implementation, hence the necessity of the implementation-oriented, concise guidance.</w:t>
      </w:r>
    </w:p>
    <w:p w14:paraId="5B46969D" w14:textId="77777777" w:rsidR="00296806" w:rsidRPr="00296806" w:rsidRDefault="00296806">
      <w:pPr>
        <w:numPr>
          <w:ilvl w:val="0"/>
          <w:numId w:val="24"/>
        </w:numPr>
        <w:spacing w:before="240" w:after="0"/>
        <w:rPr>
          <w:rFonts w:ascii="Arial" w:eastAsia="Century Schoolbook" w:hAnsi="Arial" w:cs="Arial"/>
          <w:b/>
          <w:bCs/>
          <w:i/>
          <w:iCs/>
          <w:kern w:val="0"/>
          <w:lang w:eastAsia="en-US"/>
          <w14:ligatures w14:val="none"/>
        </w:rPr>
      </w:pPr>
      <w:r w:rsidRPr="00296806">
        <w:rPr>
          <w:rFonts w:ascii="Arial" w:eastAsia="Century Schoolbook" w:hAnsi="Arial" w:cs="Arial"/>
          <w:b/>
          <w:bCs/>
          <w:i/>
          <w:iCs/>
          <w:kern w:val="0"/>
          <w:lang w:eastAsia="en-US"/>
          <w14:ligatures w14:val="none"/>
        </w:rPr>
        <w:t>Monitoring, Feedback Mechanisms, and Practice-Based Policy Review</w:t>
      </w:r>
    </w:p>
    <w:p w14:paraId="3E0CF6C7" w14:textId="77777777" w:rsidR="00296806" w:rsidRPr="00296806" w:rsidRDefault="00296806" w:rsidP="00296806">
      <w:pPr>
        <w:spacing w:before="240" w:after="0"/>
        <w:rPr>
          <w:rFonts w:ascii="Arial" w:eastAsia="Century Schoolbook" w:hAnsi="Arial" w:cs="Arial"/>
          <w:kern w:val="0"/>
          <w:lang w:eastAsia="en-US"/>
          <w14:ligatures w14:val="none"/>
        </w:rPr>
      </w:pPr>
      <w:r w:rsidRPr="00296806">
        <w:rPr>
          <w:rFonts w:ascii="Arial" w:eastAsia="Century Schoolbook" w:hAnsi="Arial" w:cs="Arial"/>
          <w:kern w:val="0"/>
          <w:lang w:eastAsia="en-US"/>
          <w14:ligatures w14:val="none"/>
        </w:rPr>
        <w:t>To analyse the policy performance in practise, it is necessary to have continuous monitoring and feedback systems. Routine audits, incident reporting data, and a staff feedback loop will give the organisation an understanding of the operational difficulties and undesirable consequences. Reviewing policies via practise will also make sure that the guiding instructions are sensitive to changing clinical needs and staffing stress. Open feedback systems encourage organisational accounts and learning. Nevertheless, excessive use of performance-based measurements can ignore the qualitative information, which is why there is a need to balance the utilisation of the numeric indices with the data regarding the staff or patient experience.</w:t>
      </w:r>
    </w:p>
    <w:p w14:paraId="4055CAA6" w14:textId="77777777" w:rsidR="00296806" w:rsidRPr="00296806" w:rsidRDefault="00296806" w:rsidP="005C5E80">
      <w:pPr>
        <w:pStyle w:val="Heading1"/>
        <w:rPr>
          <w:rFonts w:ascii="Aptos" w:hAnsi="Aptos"/>
          <w:sz w:val="24"/>
          <w:szCs w:val="24"/>
        </w:rPr>
      </w:pPr>
    </w:p>
    <w:p w14:paraId="61CD43C9" w14:textId="77777777" w:rsidR="00211184" w:rsidRDefault="00211184"/>
    <w:p w14:paraId="020B1B1C" w14:textId="41C4D4BA" w:rsidR="000400E4" w:rsidRDefault="000400E4"/>
    <w:p w14:paraId="65F969F3" w14:textId="78A7084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5D23717D" w:rsidR="000400E4" w:rsidRDefault="000400E4"/>
    <w:p w14:paraId="5A974663" w14:textId="3A283998" w:rsidR="000400E4" w:rsidRDefault="000400E4"/>
    <w:p w14:paraId="1C6879D3" w14:textId="77777777" w:rsidR="000400E4" w:rsidRDefault="000400E4"/>
    <w:p w14:paraId="4890622C" w14:textId="77777777" w:rsidR="000400E4" w:rsidRDefault="000400E4"/>
    <w:p w14:paraId="7FDD6ADD" w14:textId="77777777" w:rsidR="006A09B8" w:rsidRDefault="006A09B8" w:rsidP="00211184">
      <w:pPr>
        <w:pStyle w:val="Heading1"/>
        <w:ind w:left="0"/>
        <w:rPr>
          <w:rFonts w:ascii="Aptos" w:hAnsi="Aptos"/>
        </w:rPr>
      </w:pPr>
    </w:p>
    <w:p w14:paraId="4052DE65" w14:textId="77777777" w:rsidR="006A09B8" w:rsidRDefault="006A09B8" w:rsidP="00211184">
      <w:pPr>
        <w:pStyle w:val="Heading1"/>
        <w:ind w:left="0"/>
        <w:rPr>
          <w:rFonts w:ascii="Aptos" w:hAnsi="Aptos"/>
        </w:rPr>
      </w:pPr>
    </w:p>
    <w:p w14:paraId="422FF29B" w14:textId="77777777" w:rsidR="006A09B8" w:rsidRDefault="006A09B8" w:rsidP="00211184">
      <w:pPr>
        <w:pStyle w:val="Heading1"/>
        <w:ind w:left="0"/>
        <w:rPr>
          <w:rFonts w:ascii="Aptos" w:hAnsi="Aptos"/>
        </w:rPr>
      </w:pPr>
    </w:p>
    <w:p w14:paraId="3FBF2F18" w14:textId="77777777" w:rsidR="006A09B8" w:rsidRDefault="006A09B8" w:rsidP="00211184">
      <w:pPr>
        <w:pStyle w:val="Heading1"/>
        <w:ind w:left="0"/>
        <w:rPr>
          <w:rFonts w:ascii="Aptos" w:hAnsi="Aptos"/>
        </w:rPr>
      </w:pPr>
    </w:p>
    <w:p w14:paraId="3D3F3B28" w14:textId="447B0D6F" w:rsidR="00211184" w:rsidRPr="00636D9A" w:rsidRDefault="00211184" w:rsidP="0021118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4564846F"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Accipio, (2026) </w:t>
      </w:r>
      <w:r w:rsidRPr="00AF78BA">
        <w:rPr>
          <w:rFonts w:ascii="Arial" w:eastAsia="Century Schoolbook" w:hAnsi="Arial" w:cs="Times New Roman"/>
          <w:i/>
          <w:iCs/>
          <w:kern w:val="0"/>
          <w:lang w:eastAsia="en-US"/>
          <w14:ligatures w14:val="none"/>
        </w:rPr>
        <w:t xml:space="preserve">Welcome </w:t>
      </w:r>
      <w:proofErr w:type="gramStart"/>
      <w:r w:rsidRPr="00AF78BA">
        <w:rPr>
          <w:rFonts w:ascii="Arial" w:eastAsia="Century Schoolbook" w:hAnsi="Arial" w:cs="Times New Roman"/>
          <w:i/>
          <w:iCs/>
          <w:kern w:val="0"/>
          <w:lang w:eastAsia="en-US"/>
          <w14:ligatures w14:val="none"/>
        </w:rPr>
        <w:t>To</w:t>
      </w:r>
      <w:proofErr w:type="gramEnd"/>
      <w:r w:rsidRPr="00AF78BA">
        <w:rPr>
          <w:rFonts w:ascii="Arial" w:eastAsia="Century Schoolbook" w:hAnsi="Arial" w:cs="Times New Roman"/>
          <w:i/>
          <w:iCs/>
          <w:kern w:val="0"/>
          <w:lang w:eastAsia="en-US"/>
          <w14:ligatures w14:val="none"/>
        </w:rPr>
        <w:t xml:space="preserve"> Zscaler Directory Authentication</w:t>
      </w:r>
      <w:r w:rsidRPr="00AF78BA">
        <w:rPr>
          <w:rFonts w:ascii="Arial" w:eastAsia="Century Schoolbook" w:hAnsi="Arial" w:cs="Times New Roman"/>
          <w:kern w:val="0"/>
          <w:lang w:eastAsia="en-US"/>
          <w14:ligatures w14:val="none"/>
        </w:rPr>
        <w:t xml:space="preserve">. [online] Available at: </w:t>
      </w:r>
      <w:hyperlink r:id="rId68" w:history="1">
        <w:r w:rsidRPr="00AF78BA">
          <w:rPr>
            <w:rFonts w:ascii="Arial" w:eastAsia="Century Schoolbook" w:hAnsi="Arial" w:cs="Times New Roman"/>
            <w:color w:val="0563C1"/>
            <w:kern w:val="0"/>
            <w:u w:val="single"/>
            <w:lang w:eastAsia="en-US"/>
            <w14:ligatures w14:val="none"/>
          </w:rPr>
          <w:t>https://www.accipio.com/case-studies/department-of-health-and-social-care/</w:t>
        </w:r>
      </w:hyperlink>
      <w:r w:rsidRPr="00AF78BA">
        <w:rPr>
          <w:rFonts w:ascii="Arial" w:eastAsia="Century Schoolbook" w:hAnsi="Arial" w:cs="Times New Roman"/>
          <w:kern w:val="0"/>
          <w:lang w:eastAsia="en-US"/>
          <w14:ligatures w14:val="none"/>
        </w:rPr>
        <w:t xml:space="preserve"> [Accessed 7 February 2026]</w:t>
      </w:r>
    </w:p>
    <w:p w14:paraId="3C3961A1"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Boutros, P., Kassem, N., Nieder, J., Jaramillo, C., von Petersdorff, J., Walsh, F.J., </w:t>
      </w:r>
      <w:proofErr w:type="spellStart"/>
      <w:r w:rsidRPr="00AF78BA">
        <w:rPr>
          <w:rFonts w:ascii="Arial" w:eastAsia="Century Schoolbook" w:hAnsi="Arial" w:cs="Times New Roman"/>
          <w:kern w:val="0"/>
          <w:lang w:eastAsia="en-US"/>
          <w14:ligatures w14:val="none"/>
        </w:rPr>
        <w:t>Bärnighausen</w:t>
      </w:r>
      <w:proofErr w:type="spellEnd"/>
      <w:r w:rsidRPr="00AF78BA">
        <w:rPr>
          <w:rFonts w:ascii="Arial" w:eastAsia="Century Schoolbook" w:hAnsi="Arial" w:cs="Times New Roman"/>
          <w:kern w:val="0"/>
          <w:lang w:eastAsia="en-US"/>
          <w14:ligatures w14:val="none"/>
        </w:rPr>
        <w:t xml:space="preserve">, T. and </w:t>
      </w:r>
      <w:proofErr w:type="spellStart"/>
      <w:r w:rsidRPr="00AF78BA">
        <w:rPr>
          <w:rFonts w:ascii="Arial" w:eastAsia="Century Schoolbook" w:hAnsi="Arial" w:cs="Times New Roman"/>
          <w:kern w:val="0"/>
          <w:lang w:eastAsia="en-US"/>
          <w14:ligatures w14:val="none"/>
        </w:rPr>
        <w:t>Barteit</w:t>
      </w:r>
      <w:proofErr w:type="spellEnd"/>
      <w:r w:rsidRPr="00AF78BA">
        <w:rPr>
          <w:rFonts w:ascii="Arial" w:eastAsia="Century Schoolbook" w:hAnsi="Arial" w:cs="Times New Roman"/>
          <w:kern w:val="0"/>
          <w:lang w:eastAsia="en-US"/>
          <w14:ligatures w14:val="none"/>
        </w:rPr>
        <w:t xml:space="preserve">, S. (2023) ‘Education and Training Adaptations for Health Workers during the COVID-19 Pandemic: A Scoping Review of Lessons Learned and Innovations.’ </w:t>
      </w:r>
      <w:r w:rsidRPr="00AF78BA">
        <w:rPr>
          <w:rFonts w:ascii="Arial" w:eastAsia="Century Schoolbook" w:hAnsi="Arial" w:cs="Times New Roman"/>
          <w:i/>
          <w:iCs/>
          <w:kern w:val="0"/>
          <w:lang w:eastAsia="en-US"/>
          <w14:ligatures w14:val="none"/>
        </w:rPr>
        <w:t>Healthcare</w:t>
      </w:r>
      <w:r w:rsidRPr="00AF78BA">
        <w:rPr>
          <w:rFonts w:ascii="Arial" w:eastAsia="Century Schoolbook" w:hAnsi="Arial" w:cs="Times New Roman"/>
          <w:kern w:val="0"/>
          <w:lang w:eastAsia="en-US"/>
          <w14:ligatures w14:val="none"/>
        </w:rPr>
        <w:t xml:space="preserve">, [online] 11(21), p.2902. Available at: </w:t>
      </w:r>
      <w:hyperlink r:id="rId69" w:history="1">
        <w:r w:rsidRPr="00AF78BA">
          <w:rPr>
            <w:rFonts w:ascii="Arial" w:eastAsia="Century Schoolbook" w:hAnsi="Arial" w:cs="Times New Roman"/>
            <w:color w:val="0563C1"/>
            <w:kern w:val="0"/>
            <w:u w:val="single"/>
            <w:lang w:eastAsia="en-US"/>
            <w14:ligatures w14:val="none"/>
          </w:rPr>
          <w:t>https://doi.org/10.3390/healthcare11212902</w:t>
        </w:r>
      </w:hyperlink>
      <w:r w:rsidRPr="00AF78BA">
        <w:rPr>
          <w:rFonts w:ascii="Arial" w:eastAsia="Century Schoolbook" w:hAnsi="Arial" w:cs="Times New Roman"/>
          <w:kern w:val="0"/>
          <w:lang w:eastAsia="en-US"/>
          <w14:ligatures w14:val="none"/>
        </w:rPr>
        <w:t xml:space="preserve"> </w:t>
      </w:r>
    </w:p>
    <w:p w14:paraId="00632606" w14:textId="77777777" w:rsidR="00AF78BA" w:rsidRPr="00AF78BA" w:rsidRDefault="00AF78BA" w:rsidP="00AF78BA">
      <w:pPr>
        <w:widowControl w:val="0"/>
        <w:autoSpaceDE w:val="0"/>
        <w:autoSpaceDN w:val="0"/>
        <w:adjustRightInd w:val="0"/>
        <w:spacing w:before="240" w:after="0"/>
        <w:rPr>
          <w:rFonts w:ascii="Arial" w:eastAsia="Century Schoolbook" w:hAnsi="Arial" w:cs="Arial"/>
          <w:kern w:val="0"/>
          <w:lang w:val="en-US" w:eastAsia="en-US"/>
          <w14:ligatures w14:val="none"/>
        </w:rPr>
      </w:pPr>
      <w:r w:rsidRPr="00AF78BA">
        <w:rPr>
          <w:rFonts w:ascii="Arial" w:eastAsia="Century Schoolbook" w:hAnsi="Arial" w:cs="Arial"/>
          <w:kern w:val="0"/>
          <w:lang w:val="en-US" w:eastAsia="en-US"/>
          <w14:ligatures w14:val="none"/>
        </w:rPr>
        <w:t xml:space="preserve">Carrillo, I., </w:t>
      </w:r>
      <w:proofErr w:type="spellStart"/>
      <w:r w:rsidRPr="00AF78BA">
        <w:rPr>
          <w:rFonts w:ascii="Arial" w:eastAsia="Century Schoolbook" w:hAnsi="Arial" w:cs="Arial"/>
          <w:kern w:val="0"/>
          <w:lang w:val="en-US" w:eastAsia="en-US"/>
          <w14:ligatures w14:val="none"/>
        </w:rPr>
        <w:t>Skoumalová</w:t>
      </w:r>
      <w:proofErr w:type="spellEnd"/>
      <w:r w:rsidRPr="00AF78BA">
        <w:rPr>
          <w:rFonts w:ascii="Arial" w:eastAsia="Century Schoolbook" w:hAnsi="Arial" w:cs="Arial"/>
          <w:kern w:val="0"/>
          <w:lang w:val="en-US" w:eastAsia="en-US"/>
          <w14:ligatures w14:val="none"/>
        </w:rPr>
        <w:t xml:space="preserve">, I., Ireen Bruus, Klemm, V., Guerra-Paiva, S., Bojana Knežević, </w:t>
      </w:r>
      <w:proofErr w:type="spellStart"/>
      <w:r w:rsidRPr="00AF78BA">
        <w:rPr>
          <w:rFonts w:ascii="Arial" w:eastAsia="Century Schoolbook" w:hAnsi="Arial" w:cs="Arial"/>
          <w:kern w:val="0"/>
          <w:lang w:val="en-US" w:eastAsia="en-US"/>
          <w14:ligatures w14:val="none"/>
        </w:rPr>
        <w:t>Jankauskiene</w:t>
      </w:r>
      <w:proofErr w:type="spellEnd"/>
      <w:r w:rsidRPr="00AF78BA">
        <w:rPr>
          <w:rFonts w:ascii="Arial" w:eastAsia="Century Schoolbook" w:hAnsi="Arial" w:cs="Arial"/>
          <w:kern w:val="0"/>
          <w:lang w:val="en-US" w:eastAsia="en-US"/>
          <w14:ligatures w14:val="none"/>
        </w:rPr>
        <w:t xml:space="preserve">, A., Dragana Jocic, Tella, S., Buttigieg, S.C., Einav Srulovici, Andrea Madarasová Gecková, Kaja </w:t>
      </w:r>
      <w:proofErr w:type="spellStart"/>
      <w:r w:rsidRPr="00AF78BA">
        <w:rPr>
          <w:rFonts w:ascii="Arial" w:eastAsia="Century Schoolbook" w:hAnsi="Arial" w:cs="Arial"/>
          <w:kern w:val="0"/>
          <w:lang w:val="en-US" w:eastAsia="en-US"/>
          <w14:ligatures w14:val="none"/>
        </w:rPr>
        <w:t>Põlluste</w:t>
      </w:r>
      <w:proofErr w:type="spellEnd"/>
      <w:r w:rsidRPr="00AF78BA">
        <w:rPr>
          <w:rFonts w:ascii="Arial" w:eastAsia="Century Schoolbook" w:hAnsi="Arial" w:cs="Arial"/>
          <w:kern w:val="0"/>
          <w:lang w:val="en-US" w:eastAsia="en-US"/>
          <w14:ligatures w14:val="none"/>
        </w:rPr>
        <w:t xml:space="preserve">, Reinhard Strametz, Sousa, P., Odalovic, M. and José Joaquín Mira (2024) ‘Psychological Safety Competency Training During the Clinical Internship From the Perspective of Health Care Trainee Mentors in 11 Pan-European Countries: Mixed Methods Observational Study’, </w:t>
      </w:r>
      <w:r w:rsidRPr="00AF78BA">
        <w:rPr>
          <w:rFonts w:ascii="Arial" w:eastAsia="Century Schoolbook" w:hAnsi="Arial" w:cs="Arial"/>
          <w:i/>
          <w:iCs/>
          <w:kern w:val="0"/>
          <w:lang w:val="en-US" w:eastAsia="en-US"/>
          <w14:ligatures w14:val="none"/>
        </w:rPr>
        <w:t>JMIR Medical Education</w:t>
      </w:r>
      <w:r w:rsidRPr="00AF78BA">
        <w:rPr>
          <w:rFonts w:ascii="Arial" w:eastAsia="Century Schoolbook" w:hAnsi="Arial" w:cs="Arial"/>
          <w:kern w:val="0"/>
          <w:lang w:val="en-US" w:eastAsia="en-US"/>
          <w14:ligatures w14:val="none"/>
        </w:rPr>
        <w:t xml:space="preserve">, 10, pp. e64125–e64125. Available at: </w:t>
      </w:r>
      <w:hyperlink r:id="rId70" w:history="1">
        <w:r w:rsidRPr="00AF78BA">
          <w:rPr>
            <w:rFonts w:ascii="Arial" w:eastAsia="Century Schoolbook" w:hAnsi="Arial" w:cs="Arial"/>
            <w:kern w:val="0"/>
            <w:lang w:val="en-US" w:eastAsia="en-US"/>
            <w14:ligatures w14:val="none"/>
          </w:rPr>
          <w:t>https://doi.org/10.2196/64125</w:t>
        </w:r>
      </w:hyperlink>
      <w:r w:rsidRPr="00AF78BA">
        <w:rPr>
          <w:rFonts w:ascii="Arial" w:eastAsia="Century Schoolbook" w:hAnsi="Arial" w:cs="Arial"/>
          <w:kern w:val="0"/>
          <w:lang w:val="en-US" w:eastAsia="en-US"/>
          <w14:ligatures w14:val="none"/>
        </w:rPr>
        <w:t>.</w:t>
      </w:r>
    </w:p>
    <w:p w14:paraId="76B6610F" w14:textId="77777777" w:rsidR="00AF78BA" w:rsidRPr="00AF78BA" w:rsidRDefault="00AF78BA" w:rsidP="00AF78BA">
      <w:pPr>
        <w:widowControl w:val="0"/>
        <w:autoSpaceDE w:val="0"/>
        <w:autoSpaceDN w:val="0"/>
        <w:adjustRightInd w:val="0"/>
        <w:spacing w:before="240" w:after="0"/>
        <w:rPr>
          <w:rFonts w:ascii="Arial" w:eastAsia="Century Schoolbook" w:hAnsi="Arial" w:cs="Arial"/>
          <w:kern w:val="0"/>
          <w:lang w:val="en-US" w:eastAsia="en-US"/>
          <w14:ligatures w14:val="none"/>
        </w:rPr>
      </w:pPr>
      <w:r w:rsidRPr="00AF78BA">
        <w:rPr>
          <w:rFonts w:ascii="Arial" w:eastAsia="Century Schoolbook" w:hAnsi="Arial" w:cs="Arial"/>
          <w:kern w:val="0"/>
          <w:lang w:val="en-US" w:eastAsia="en-US"/>
          <w14:ligatures w14:val="none"/>
        </w:rPr>
        <w:t xml:space="preserve">Chapwanya, O. (2025) ‘Assessment of United Kingdom (UK) further education student </w:t>
      </w:r>
      <w:r w:rsidRPr="00AF78BA">
        <w:rPr>
          <w:rFonts w:ascii="Arial" w:eastAsia="Century Schoolbook" w:hAnsi="Arial" w:cs="Arial"/>
          <w:kern w:val="0"/>
          <w:lang w:val="en-US" w:eastAsia="en-US"/>
          <w14:ligatures w14:val="none"/>
        </w:rPr>
        <w:lastRenderedPageBreak/>
        <w:t xml:space="preserve">perceptions of the significance of ChatGPT on learning experiences in business studies: An integrative literature review’, </w:t>
      </w:r>
      <w:r w:rsidRPr="00AF78BA">
        <w:rPr>
          <w:rFonts w:ascii="Arial" w:eastAsia="Century Schoolbook" w:hAnsi="Arial" w:cs="Arial"/>
          <w:i/>
          <w:iCs/>
          <w:kern w:val="0"/>
          <w:lang w:val="en-US" w:eastAsia="en-US"/>
          <w14:ligatures w14:val="none"/>
        </w:rPr>
        <w:t>Studies in Technology Enhanced Learning</w:t>
      </w:r>
      <w:r w:rsidRPr="00AF78BA">
        <w:rPr>
          <w:rFonts w:ascii="Arial" w:eastAsia="Century Schoolbook" w:hAnsi="Arial" w:cs="Arial"/>
          <w:kern w:val="0"/>
          <w:lang w:val="en-US" w:eastAsia="en-US"/>
          <w14:ligatures w14:val="none"/>
        </w:rPr>
        <w:t xml:space="preserve">, 4(1). Available at: </w:t>
      </w:r>
      <w:hyperlink r:id="rId71" w:history="1">
        <w:r w:rsidRPr="00AF78BA">
          <w:rPr>
            <w:rFonts w:ascii="Arial" w:eastAsia="Century Schoolbook" w:hAnsi="Arial" w:cs="Arial"/>
            <w:kern w:val="0"/>
            <w:lang w:val="en-US" w:eastAsia="en-US"/>
            <w14:ligatures w14:val="none"/>
          </w:rPr>
          <w:t>https://doi.org/10.21428/8c225f6e.a48744da</w:t>
        </w:r>
      </w:hyperlink>
      <w:r w:rsidRPr="00AF78BA">
        <w:rPr>
          <w:rFonts w:ascii="Arial" w:eastAsia="Century Schoolbook" w:hAnsi="Arial" w:cs="Arial"/>
          <w:kern w:val="0"/>
          <w:lang w:val="en-US" w:eastAsia="en-US"/>
          <w14:ligatures w14:val="none"/>
        </w:rPr>
        <w:t>.</w:t>
      </w:r>
    </w:p>
    <w:p w14:paraId="4DB67516"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Chelwest (2022) </w:t>
      </w:r>
      <w:r w:rsidRPr="00AF78BA">
        <w:rPr>
          <w:rFonts w:ascii="Arial" w:eastAsia="Century Schoolbook" w:hAnsi="Arial" w:cs="Times New Roman"/>
          <w:i/>
          <w:iCs/>
          <w:kern w:val="0"/>
          <w:lang w:eastAsia="en-US"/>
          <w14:ligatures w14:val="none"/>
        </w:rPr>
        <w:t>Simulation</w:t>
      </w:r>
      <w:r w:rsidRPr="00AF78BA">
        <w:rPr>
          <w:rFonts w:ascii="Arial" w:eastAsia="Century Schoolbook" w:hAnsi="Arial" w:cs="Times New Roman"/>
          <w:kern w:val="0"/>
          <w:lang w:eastAsia="en-US"/>
          <w14:ligatures w14:val="none"/>
        </w:rPr>
        <w:t xml:space="preserve">. [online] Chelsea and Westminster Hospital NHS Foundation Trust. Available at: </w:t>
      </w:r>
      <w:hyperlink r:id="rId72" w:history="1">
        <w:r w:rsidRPr="00AF78BA">
          <w:rPr>
            <w:rFonts w:ascii="Arial" w:eastAsia="Century Schoolbook" w:hAnsi="Arial" w:cs="Times New Roman"/>
            <w:color w:val="0563C1"/>
            <w:kern w:val="0"/>
            <w:u w:val="single"/>
            <w:lang w:eastAsia="en-US"/>
            <w14:ligatures w14:val="none"/>
          </w:rPr>
          <w:t>https://www.chelwest.nhs.uk/professionals/clinical-learning-development/simulation</w:t>
        </w:r>
      </w:hyperlink>
      <w:r w:rsidRPr="00AF78BA">
        <w:rPr>
          <w:rFonts w:ascii="Arial" w:eastAsia="Century Schoolbook" w:hAnsi="Arial" w:cs="Times New Roman"/>
          <w:kern w:val="0"/>
          <w:lang w:eastAsia="en-US"/>
          <w14:ligatures w14:val="none"/>
        </w:rPr>
        <w:t xml:space="preserve"> [Accessed 7 February 2026]</w:t>
      </w:r>
    </w:p>
    <w:p w14:paraId="6BB69FC9" w14:textId="77777777" w:rsidR="00AF78BA" w:rsidRPr="00AF78BA" w:rsidRDefault="00AF78BA" w:rsidP="00AF78BA">
      <w:pPr>
        <w:widowControl w:val="0"/>
        <w:autoSpaceDE w:val="0"/>
        <w:autoSpaceDN w:val="0"/>
        <w:adjustRightInd w:val="0"/>
        <w:spacing w:before="240" w:after="0"/>
        <w:rPr>
          <w:rFonts w:ascii="Arial" w:eastAsia="Century Schoolbook" w:hAnsi="Arial" w:cs="Arial"/>
          <w:kern w:val="0"/>
          <w:lang w:val="en-US" w:eastAsia="en-US"/>
          <w14:ligatures w14:val="none"/>
        </w:rPr>
      </w:pPr>
      <w:r w:rsidRPr="00AF78BA">
        <w:rPr>
          <w:rFonts w:ascii="Arial" w:eastAsia="Century Schoolbook" w:hAnsi="Arial" w:cs="Arial"/>
          <w:kern w:val="0"/>
          <w:lang w:val="en-US" w:eastAsia="en-US"/>
          <w14:ligatures w14:val="none"/>
        </w:rPr>
        <w:t xml:space="preserve">Cheong, H., Lyons, A., Houghton, R. and Majumdar, A. (2023) ‘Secondary Qualitative Research Methodology Using Online Data within the Context of Social Sciences’, </w:t>
      </w:r>
      <w:r w:rsidRPr="00AF78BA">
        <w:rPr>
          <w:rFonts w:ascii="Arial" w:eastAsia="Century Schoolbook" w:hAnsi="Arial" w:cs="Arial"/>
          <w:i/>
          <w:iCs/>
          <w:kern w:val="0"/>
          <w:lang w:val="en-US" w:eastAsia="en-US"/>
          <w14:ligatures w14:val="none"/>
        </w:rPr>
        <w:t>International Journal of Qualitative Methods</w:t>
      </w:r>
      <w:r w:rsidRPr="00AF78BA">
        <w:rPr>
          <w:rFonts w:ascii="Arial" w:eastAsia="Century Schoolbook" w:hAnsi="Arial" w:cs="Arial"/>
          <w:kern w:val="0"/>
          <w:lang w:val="en-US" w:eastAsia="en-US"/>
          <w14:ligatures w14:val="none"/>
        </w:rPr>
        <w:t>, 22(1), pp. 1–19.</w:t>
      </w:r>
    </w:p>
    <w:p w14:paraId="581CD735"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Choudry, M.I., Stewart, K. and Woodhead, T. (2026). ‘The Royal College of Physician’s Quality Improvement Hub – how can it help physicians to improve patient care?’ </w:t>
      </w:r>
      <w:r w:rsidRPr="00AF78BA">
        <w:rPr>
          <w:rFonts w:ascii="Arial" w:eastAsia="Century Schoolbook" w:hAnsi="Arial" w:cs="Times New Roman"/>
          <w:i/>
          <w:iCs/>
          <w:kern w:val="0"/>
          <w:lang w:eastAsia="en-US"/>
          <w14:ligatures w14:val="none"/>
        </w:rPr>
        <w:t>Future Hospital Journal</w:t>
      </w:r>
      <w:r w:rsidRPr="00AF78BA">
        <w:rPr>
          <w:rFonts w:ascii="Arial" w:eastAsia="Century Schoolbook" w:hAnsi="Arial" w:cs="Times New Roman"/>
          <w:kern w:val="0"/>
          <w:lang w:eastAsia="en-US"/>
          <w14:ligatures w14:val="none"/>
        </w:rPr>
        <w:t xml:space="preserve">, 3(3), pp.211–216. Available at: </w:t>
      </w:r>
      <w:hyperlink r:id="rId73" w:history="1">
        <w:r w:rsidRPr="00AF78BA">
          <w:rPr>
            <w:rFonts w:ascii="Arial" w:eastAsia="Century Schoolbook" w:hAnsi="Arial" w:cs="Times New Roman"/>
            <w:color w:val="0563C1"/>
            <w:kern w:val="0"/>
            <w:u w:val="single"/>
            <w:lang w:eastAsia="en-US"/>
            <w14:ligatures w14:val="none"/>
          </w:rPr>
          <w:t>https://doi.org/10.7861/futurehosp.3-3-211</w:t>
        </w:r>
      </w:hyperlink>
      <w:r w:rsidRPr="00AF78BA">
        <w:rPr>
          <w:rFonts w:ascii="Arial" w:eastAsia="Century Schoolbook" w:hAnsi="Arial" w:cs="Times New Roman"/>
          <w:kern w:val="0"/>
          <w:lang w:eastAsia="en-US"/>
          <w14:ligatures w14:val="none"/>
        </w:rPr>
        <w:t xml:space="preserve"> </w:t>
      </w:r>
    </w:p>
    <w:p w14:paraId="6578E963"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Egan, L.A., Park, H.R., Lam, J. and Gatt, J.M. (2024) ‘Resilience to Stress and Adversity: A Narrative Review of the Role of Positive Affect.’ </w:t>
      </w:r>
      <w:r w:rsidRPr="00AF78BA">
        <w:rPr>
          <w:rFonts w:ascii="Arial" w:eastAsia="Century Schoolbook" w:hAnsi="Arial" w:cs="Times New Roman"/>
          <w:i/>
          <w:iCs/>
          <w:kern w:val="0"/>
          <w:lang w:eastAsia="en-US"/>
          <w14:ligatures w14:val="none"/>
        </w:rPr>
        <w:t xml:space="preserve">Psychology Research and </w:t>
      </w:r>
      <w:proofErr w:type="spellStart"/>
      <w:r w:rsidRPr="00AF78BA">
        <w:rPr>
          <w:rFonts w:ascii="Arial" w:eastAsia="Century Schoolbook" w:hAnsi="Arial" w:cs="Times New Roman"/>
          <w:i/>
          <w:iCs/>
          <w:kern w:val="0"/>
          <w:lang w:eastAsia="en-US"/>
          <w14:ligatures w14:val="none"/>
        </w:rPr>
        <w:t>Behavior</w:t>
      </w:r>
      <w:proofErr w:type="spellEnd"/>
      <w:r w:rsidRPr="00AF78BA">
        <w:rPr>
          <w:rFonts w:ascii="Arial" w:eastAsia="Century Schoolbook" w:hAnsi="Arial" w:cs="Times New Roman"/>
          <w:i/>
          <w:iCs/>
          <w:kern w:val="0"/>
          <w:lang w:eastAsia="en-US"/>
          <w14:ligatures w14:val="none"/>
        </w:rPr>
        <w:t xml:space="preserve"> Management</w:t>
      </w:r>
      <w:r w:rsidRPr="00AF78BA">
        <w:rPr>
          <w:rFonts w:ascii="Arial" w:eastAsia="Century Schoolbook" w:hAnsi="Arial" w:cs="Times New Roman"/>
          <w:kern w:val="0"/>
          <w:lang w:eastAsia="en-US"/>
          <w14:ligatures w14:val="none"/>
        </w:rPr>
        <w:t xml:space="preserve">, [online] 17, pp.2011–2038. Available at: </w:t>
      </w:r>
      <w:hyperlink r:id="rId74" w:history="1">
        <w:r w:rsidRPr="00AF78BA">
          <w:rPr>
            <w:rFonts w:ascii="Arial" w:eastAsia="Century Schoolbook" w:hAnsi="Arial" w:cs="Times New Roman"/>
            <w:color w:val="0563C1"/>
            <w:kern w:val="0"/>
            <w:u w:val="single"/>
            <w:lang w:eastAsia="en-US"/>
            <w14:ligatures w14:val="none"/>
          </w:rPr>
          <w:t>https://doi.org/10.2147/PRBM.S391403</w:t>
        </w:r>
      </w:hyperlink>
      <w:r w:rsidRPr="00AF78BA">
        <w:rPr>
          <w:rFonts w:ascii="Arial" w:eastAsia="Century Schoolbook" w:hAnsi="Arial" w:cs="Times New Roman"/>
          <w:kern w:val="0"/>
          <w:lang w:eastAsia="en-US"/>
          <w14:ligatures w14:val="none"/>
        </w:rPr>
        <w:t xml:space="preserve"> </w:t>
      </w:r>
    </w:p>
    <w:p w14:paraId="6A9E72B3" w14:textId="77777777" w:rsidR="00AF78BA" w:rsidRPr="00AF78BA" w:rsidRDefault="00AF78BA" w:rsidP="00AF78BA">
      <w:pPr>
        <w:widowControl w:val="0"/>
        <w:autoSpaceDE w:val="0"/>
        <w:autoSpaceDN w:val="0"/>
        <w:adjustRightInd w:val="0"/>
        <w:spacing w:before="240" w:after="0"/>
        <w:rPr>
          <w:rFonts w:ascii="Arial" w:eastAsia="Century Schoolbook" w:hAnsi="Arial" w:cs="Arial"/>
          <w:kern w:val="0"/>
          <w:lang w:val="en-US" w:eastAsia="en-US"/>
          <w14:ligatures w14:val="none"/>
        </w:rPr>
      </w:pPr>
      <w:r w:rsidRPr="00AF78BA">
        <w:rPr>
          <w:rFonts w:ascii="Arial" w:eastAsia="Century Schoolbook" w:hAnsi="Arial" w:cs="Arial"/>
          <w:kern w:val="0"/>
          <w:lang w:val="en-US" w:eastAsia="en-US"/>
          <w14:ligatures w14:val="none"/>
        </w:rPr>
        <w:t xml:space="preserve">Falk, A.-C. and Lindström, V. (2022) ‘Self-reported clinical competence before entering advanced level training in acute and prehospital emergency care among registered nurses in Sweden’, </w:t>
      </w:r>
      <w:r w:rsidRPr="00AF78BA">
        <w:rPr>
          <w:rFonts w:ascii="Arial" w:eastAsia="Century Schoolbook" w:hAnsi="Arial" w:cs="Arial"/>
          <w:i/>
          <w:iCs/>
          <w:kern w:val="0"/>
          <w:lang w:val="en-US" w:eastAsia="en-US"/>
          <w14:ligatures w14:val="none"/>
        </w:rPr>
        <w:t>International Emergency Nursing</w:t>
      </w:r>
      <w:r w:rsidRPr="00AF78BA">
        <w:rPr>
          <w:rFonts w:ascii="Arial" w:eastAsia="Century Schoolbook" w:hAnsi="Arial" w:cs="Arial"/>
          <w:kern w:val="0"/>
          <w:lang w:val="en-US" w:eastAsia="en-US"/>
          <w14:ligatures w14:val="none"/>
        </w:rPr>
        <w:t xml:space="preserve">, 61, p. 101146. Available at: </w:t>
      </w:r>
      <w:hyperlink r:id="rId75" w:history="1">
        <w:r w:rsidRPr="00AF78BA">
          <w:rPr>
            <w:rFonts w:ascii="Arial" w:eastAsia="Century Schoolbook" w:hAnsi="Arial" w:cs="Arial"/>
            <w:kern w:val="0"/>
            <w:lang w:val="en-US" w:eastAsia="en-US"/>
            <w14:ligatures w14:val="none"/>
          </w:rPr>
          <w:t>https://doi.org/10.1016/j.ienj.2022.101146</w:t>
        </w:r>
      </w:hyperlink>
      <w:r w:rsidRPr="00AF78BA">
        <w:rPr>
          <w:rFonts w:ascii="Arial" w:eastAsia="Century Schoolbook" w:hAnsi="Arial" w:cs="Arial"/>
          <w:kern w:val="0"/>
          <w:lang w:val="en-US" w:eastAsia="en-US"/>
          <w14:ligatures w14:val="none"/>
        </w:rPr>
        <w:t>.</w:t>
      </w:r>
    </w:p>
    <w:p w14:paraId="5BA320E8"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Filip, R., </w:t>
      </w:r>
      <w:proofErr w:type="spellStart"/>
      <w:r w:rsidRPr="00AF78BA">
        <w:rPr>
          <w:rFonts w:ascii="Arial" w:eastAsia="Century Schoolbook" w:hAnsi="Arial" w:cs="Times New Roman"/>
          <w:kern w:val="0"/>
          <w:lang w:eastAsia="en-US"/>
          <w14:ligatures w14:val="none"/>
        </w:rPr>
        <w:t>Puscaselu</w:t>
      </w:r>
      <w:proofErr w:type="spellEnd"/>
      <w:r w:rsidRPr="00AF78BA">
        <w:rPr>
          <w:rFonts w:ascii="Arial" w:eastAsia="Century Schoolbook" w:hAnsi="Arial" w:cs="Times New Roman"/>
          <w:kern w:val="0"/>
          <w:lang w:eastAsia="en-US"/>
          <w14:ligatures w14:val="none"/>
        </w:rPr>
        <w:t xml:space="preserve">, R.G., </w:t>
      </w:r>
      <w:proofErr w:type="spellStart"/>
      <w:r w:rsidRPr="00AF78BA">
        <w:rPr>
          <w:rFonts w:ascii="Arial" w:eastAsia="Century Schoolbook" w:hAnsi="Arial" w:cs="Times New Roman"/>
          <w:kern w:val="0"/>
          <w:lang w:eastAsia="en-US"/>
          <w14:ligatures w14:val="none"/>
        </w:rPr>
        <w:t>Anchidin-Norocel</w:t>
      </w:r>
      <w:proofErr w:type="spellEnd"/>
      <w:r w:rsidRPr="00AF78BA">
        <w:rPr>
          <w:rFonts w:ascii="Arial" w:eastAsia="Century Schoolbook" w:hAnsi="Arial" w:cs="Times New Roman"/>
          <w:kern w:val="0"/>
          <w:lang w:eastAsia="en-US"/>
          <w14:ligatures w14:val="none"/>
        </w:rPr>
        <w:t xml:space="preserve">, L., </w:t>
      </w:r>
      <w:proofErr w:type="spellStart"/>
      <w:r w:rsidRPr="00AF78BA">
        <w:rPr>
          <w:rFonts w:ascii="Arial" w:eastAsia="Century Schoolbook" w:hAnsi="Arial" w:cs="Times New Roman"/>
          <w:kern w:val="0"/>
          <w:lang w:eastAsia="en-US"/>
          <w14:ligatures w14:val="none"/>
        </w:rPr>
        <w:t>Dimian</w:t>
      </w:r>
      <w:proofErr w:type="spellEnd"/>
      <w:r w:rsidRPr="00AF78BA">
        <w:rPr>
          <w:rFonts w:ascii="Arial" w:eastAsia="Century Schoolbook" w:hAnsi="Arial" w:cs="Times New Roman"/>
          <w:kern w:val="0"/>
          <w:lang w:eastAsia="en-US"/>
          <w14:ligatures w14:val="none"/>
        </w:rPr>
        <w:t xml:space="preserve">, M. and Savage, W.K. (2022) ‘Global Challenges to Public Health Care Systems during the COVID-19 Pandemic: </w:t>
      </w:r>
      <w:proofErr w:type="gramStart"/>
      <w:r w:rsidRPr="00AF78BA">
        <w:rPr>
          <w:rFonts w:ascii="Arial" w:eastAsia="Century Schoolbook" w:hAnsi="Arial" w:cs="Times New Roman"/>
          <w:kern w:val="0"/>
          <w:lang w:eastAsia="en-US"/>
          <w14:ligatures w14:val="none"/>
        </w:rPr>
        <w:t>a</w:t>
      </w:r>
      <w:proofErr w:type="gramEnd"/>
      <w:r w:rsidRPr="00AF78BA">
        <w:rPr>
          <w:rFonts w:ascii="Arial" w:eastAsia="Century Schoolbook" w:hAnsi="Arial" w:cs="Times New Roman"/>
          <w:kern w:val="0"/>
          <w:lang w:eastAsia="en-US"/>
          <w14:ligatures w14:val="none"/>
        </w:rPr>
        <w:t xml:space="preserve"> Review of Pandemic Measures and Problems.’ </w:t>
      </w:r>
      <w:r w:rsidRPr="00AF78BA">
        <w:rPr>
          <w:rFonts w:ascii="Arial" w:eastAsia="Century Schoolbook" w:hAnsi="Arial" w:cs="Times New Roman"/>
          <w:i/>
          <w:iCs/>
          <w:kern w:val="0"/>
          <w:lang w:eastAsia="en-US"/>
          <w14:ligatures w14:val="none"/>
        </w:rPr>
        <w:t>Journal of Personalized Medicine</w:t>
      </w:r>
      <w:r w:rsidRPr="00AF78BA">
        <w:rPr>
          <w:rFonts w:ascii="Arial" w:eastAsia="Century Schoolbook" w:hAnsi="Arial" w:cs="Times New Roman"/>
          <w:kern w:val="0"/>
          <w:lang w:eastAsia="en-US"/>
          <w14:ligatures w14:val="none"/>
        </w:rPr>
        <w:t xml:space="preserve">, [online] 12(8), p.1295. Available at: </w:t>
      </w:r>
      <w:hyperlink r:id="rId76" w:history="1">
        <w:r w:rsidRPr="00AF78BA">
          <w:rPr>
            <w:rFonts w:ascii="Arial" w:eastAsia="Century Schoolbook" w:hAnsi="Arial" w:cs="Times New Roman"/>
            <w:color w:val="0563C1"/>
            <w:kern w:val="0"/>
            <w:u w:val="single"/>
            <w:lang w:eastAsia="en-US"/>
            <w14:ligatures w14:val="none"/>
          </w:rPr>
          <w:t>https://doi.org/10.3390/jpm12081295</w:t>
        </w:r>
      </w:hyperlink>
      <w:r w:rsidRPr="00AF78BA">
        <w:rPr>
          <w:rFonts w:ascii="Arial" w:eastAsia="Century Schoolbook" w:hAnsi="Arial" w:cs="Times New Roman"/>
          <w:kern w:val="0"/>
          <w:lang w:eastAsia="en-US"/>
          <w14:ligatures w14:val="none"/>
        </w:rPr>
        <w:t xml:space="preserve"> </w:t>
      </w:r>
    </w:p>
    <w:p w14:paraId="1C3242FE"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GMC (2021) </w:t>
      </w:r>
      <w:r w:rsidRPr="00AF78BA">
        <w:rPr>
          <w:rFonts w:ascii="Arial" w:eastAsia="Century Schoolbook" w:hAnsi="Arial" w:cs="Times New Roman"/>
          <w:i/>
          <w:iCs/>
          <w:kern w:val="0"/>
          <w:lang w:eastAsia="en-US"/>
          <w14:ligatures w14:val="none"/>
        </w:rPr>
        <w:t>General Medical Council</w:t>
      </w:r>
      <w:r w:rsidRPr="00AF78BA">
        <w:rPr>
          <w:rFonts w:ascii="Arial" w:eastAsia="Century Schoolbook" w:hAnsi="Arial" w:cs="Times New Roman"/>
          <w:kern w:val="0"/>
          <w:lang w:eastAsia="en-US"/>
          <w14:ligatures w14:val="none"/>
        </w:rPr>
        <w:t xml:space="preserve">. [online] Gmc-uk.org. Available at: </w:t>
      </w:r>
      <w:hyperlink r:id="rId77" w:history="1">
        <w:r w:rsidRPr="00AF78BA">
          <w:rPr>
            <w:rFonts w:ascii="Arial" w:eastAsia="Century Schoolbook" w:hAnsi="Arial" w:cs="Times New Roman"/>
            <w:color w:val="0563C1"/>
            <w:kern w:val="0"/>
            <w:u w:val="single"/>
            <w:lang w:eastAsia="en-US"/>
            <w14:ligatures w14:val="none"/>
          </w:rPr>
          <w:t>https://www.gmc-uk.org/</w:t>
        </w:r>
      </w:hyperlink>
      <w:r w:rsidRPr="00AF78BA">
        <w:rPr>
          <w:rFonts w:ascii="Arial" w:eastAsia="Century Schoolbook" w:hAnsi="Arial" w:cs="Times New Roman"/>
          <w:kern w:val="0"/>
          <w:lang w:eastAsia="en-US"/>
          <w14:ligatures w14:val="none"/>
        </w:rPr>
        <w:t xml:space="preserve"> [Accessed 7 February 2026]</w:t>
      </w:r>
    </w:p>
    <w:p w14:paraId="4F40D487"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GOV.UK (2024) </w:t>
      </w:r>
      <w:r w:rsidRPr="00AF78BA">
        <w:rPr>
          <w:rFonts w:ascii="Arial" w:eastAsia="Century Schoolbook" w:hAnsi="Arial" w:cs="Times New Roman"/>
          <w:i/>
          <w:iCs/>
          <w:kern w:val="0"/>
          <w:lang w:eastAsia="en-US"/>
          <w14:ligatures w14:val="none"/>
        </w:rPr>
        <w:t>Care Act 2014</w:t>
      </w:r>
      <w:r w:rsidRPr="00AF78BA">
        <w:rPr>
          <w:rFonts w:ascii="Arial" w:eastAsia="Century Schoolbook" w:hAnsi="Arial" w:cs="Times New Roman"/>
          <w:kern w:val="0"/>
          <w:lang w:eastAsia="en-US"/>
          <w14:ligatures w14:val="none"/>
        </w:rPr>
        <w:t xml:space="preserve">. [online] Legislation.gov.uk. Available at: </w:t>
      </w:r>
      <w:hyperlink r:id="rId78" w:history="1">
        <w:r w:rsidRPr="00AF78BA">
          <w:rPr>
            <w:rFonts w:ascii="Arial" w:eastAsia="Century Schoolbook" w:hAnsi="Arial" w:cs="Times New Roman"/>
            <w:color w:val="0563C1"/>
            <w:kern w:val="0"/>
            <w:u w:val="single"/>
            <w:lang w:eastAsia="en-US"/>
            <w14:ligatures w14:val="none"/>
          </w:rPr>
          <w:t>https://www.legislation.gov.uk/id/ukpga/2014/23</w:t>
        </w:r>
      </w:hyperlink>
      <w:r w:rsidRPr="00AF78BA">
        <w:rPr>
          <w:rFonts w:ascii="Arial" w:eastAsia="Century Schoolbook" w:hAnsi="Arial" w:cs="Times New Roman"/>
          <w:kern w:val="0"/>
          <w:lang w:eastAsia="en-US"/>
          <w14:ligatures w14:val="none"/>
        </w:rPr>
        <w:t xml:space="preserve"> [Accessed 7 February. 2026].</w:t>
      </w:r>
    </w:p>
    <w:p w14:paraId="0526191C"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GOV.UK (2026) </w:t>
      </w:r>
      <w:r w:rsidRPr="00AF78BA">
        <w:rPr>
          <w:rFonts w:ascii="Arial" w:eastAsia="Century Schoolbook" w:hAnsi="Arial" w:cs="Times New Roman"/>
          <w:i/>
          <w:iCs/>
          <w:kern w:val="0"/>
          <w:lang w:eastAsia="en-US"/>
          <w14:ligatures w14:val="none"/>
        </w:rPr>
        <w:t>Health Education England</w:t>
      </w:r>
      <w:r w:rsidRPr="00AF78BA">
        <w:rPr>
          <w:rFonts w:ascii="Arial" w:eastAsia="Century Schoolbook" w:hAnsi="Arial" w:cs="Times New Roman"/>
          <w:kern w:val="0"/>
          <w:lang w:eastAsia="en-US"/>
          <w14:ligatures w14:val="none"/>
        </w:rPr>
        <w:t xml:space="preserve">. [online] GOV.UK. Available at: </w:t>
      </w:r>
      <w:hyperlink r:id="rId79" w:history="1">
        <w:r w:rsidRPr="00AF78BA">
          <w:rPr>
            <w:rFonts w:ascii="Arial" w:eastAsia="Century Schoolbook" w:hAnsi="Arial" w:cs="Times New Roman"/>
            <w:color w:val="0563C1"/>
            <w:kern w:val="0"/>
            <w:u w:val="single"/>
            <w:lang w:eastAsia="en-US"/>
            <w14:ligatures w14:val="none"/>
          </w:rPr>
          <w:t>https://www.gov.uk/government/organisations/health-education-england</w:t>
        </w:r>
      </w:hyperlink>
      <w:r w:rsidRPr="00AF78BA">
        <w:rPr>
          <w:rFonts w:ascii="Arial" w:eastAsia="Century Schoolbook" w:hAnsi="Arial" w:cs="Times New Roman"/>
          <w:kern w:val="0"/>
          <w:lang w:eastAsia="en-US"/>
          <w14:ligatures w14:val="none"/>
        </w:rPr>
        <w:t xml:space="preserve"> [Accessed 7 February 2026]</w:t>
      </w:r>
    </w:p>
    <w:p w14:paraId="219E0763"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lastRenderedPageBreak/>
        <w:t xml:space="preserve">Hartley, H., Dunning, A., Murray, J., Simms-Ellis, R., Unsworth, K., Grange, A., Dunn, M., Marran, J., Joseph, O., Essler, P., Archibong, U., Johnson, J. and Lawton, R. (2025) ‘The impact of redeployment during COVID-19 on nurse well-being, performance and retention: a mixed-methods study (REDEPLOY).’ </w:t>
      </w:r>
      <w:r w:rsidRPr="00AF78BA">
        <w:rPr>
          <w:rFonts w:ascii="Arial" w:eastAsia="Century Schoolbook" w:hAnsi="Arial" w:cs="Times New Roman"/>
          <w:i/>
          <w:iCs/>
          <w:kern w:val="0"/>
          <w:lang w:eastAsia="en-US"/>
          <w14:ligatures w14:val="none"/>
        </w:rPr>
        <w:t>Health and Social Care Delivery Research</w:t>
      </w:r>
      <w:r w:rsidRPr="00AF78BA">
        <w:rPr>
          <w:rFonts w:ascii="Arial" w:eastAsia="Century Schoolbook" w:hAnsi="Arial" w:cs="Times New Roman"/>
          <w:kern w:val="0"/>
          <w:lang w:eastAsia="en-US"/>
          <w14:ligatures w14:val="none"/>
        </w:rPr>
        <w:t xml:space="preserve">, pp.1–50. Available at: </w:t>
      </w:r>
      <w:hyperlink r:id="rId80" w:history="1">
        <w:r w:rsidRPr="00AF78BA">
          <w:rPr>
            <w:rFonts w:ascii="Arial" w:eastAsia="Century Schoolbook" w:hAnsi="Arial" w:cs="Times New Roman"/>
            <w:color w:val="0563C1"/>
            <w:kern w:val="0"/>
            <w:u w:val="single"/>
            <w:lang w:eastAsia="en-US"/>
            <w14:ligatures w14:val="none"/>
          </w:rPr>
          <w:t>https://doi.org/10.3310/ewpe7103</w:t>
        </w:r>
      </w:hyperlink>
      <w:r w:rsidRPr="00AF78BA">
        <w:rPr>
          <w:rFonts w:ascii="Arial" w:eastAsia="Century Schoolbook" w:hAnsi="Arial" w:cs="Times New Roman"/>
          <w:kern w:val="0"/>
          <w:lang w:eastAsia="en-US"/>
          <w14:ligatures w14:val="none"/>
        </w:rPr>
        <w:t xml:space="preserve"> </w:t>
      </w:r>
    </w:p>
    <w:p w14:paraId="468E2DFE"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Haynes, A., Gilchrist, H., Oliveira, J.S. and Tiedemann, A. (2021) ‘Using Realist Evaluation to Understand Process Outcomes in a COVID-19-Impacted Yoga Intervention Trial: A Worked Example.’ </w:t>
      </w:r>
      <w:r w:rsidRPr="00AF78BA">
        <w:rPr>
          <w:rFonts w:ascii="Arial" w:eastAsia="Century Schoolbook" w:hAnsi="Arial" w:cs="Times New Roman"/>
          <w:i/>
          <w:iCs/>
          <w:kern w:val="0"/>
          <w:lang w:eastAsia="en-US"/>
          <w14:ligatures w14:val="none"/>
        </w:rPr>
        <w:t>International Journal of Environmental Research and Public Health</w:t>
      </w:r>
      <w:r w:rsidRPr="00AF78BA">
        <w:rPr>
          <w:rFonts w:ascii="Arial" w:eastAsia="Century Schoolbook" w:hAnsi="Arial" w:cs="Times New Roman"/>
          <w:kern w:val="0"/>
          <w:lang w:eastAsia="en-US"/>
          <w14:ligatures w14:val="none"/>
        </w:rPr>
        <w:t xml:space="preserve">, 18(17), p.9065. Available at: </w:t>
      </w:r>
      <w:hyperlink r:id="rId81" w:history="1">
        <w:r w:rsidRPr="00AF78BA">
          <w:rPr>
            <w:rFonts w:ascii="Arial" w:eastAsia="Century Schoolbook" w:hAnsi="Arial" w:cs="Times New Roman"/>
            <w:color w:val="0563C1"/>
            <w:kern w:val="0"/>
            <w:u w:val="single"/>
            <w:lang w:eastAsia="en-US"/>
            <w14:ligatures w14:val="none"/>
          </w:rPr>
          <w:t>https://doi.org/10.3390/ijerph18179065</w:t>
        </w:r>
      </w:hyperlink>
      <w:r w:rsidRPr="00AF78BA">
        <w:rPr>
          <w:rFonts w:ascii="Arial" w:eastAsia="Century Schoolbook" w:hAnsi="Arial" w:cs="Times New Roman"/>
          <w:kern w:val="0"/>
          <w:lang w:eastAsia="en-US"/>
          <w14:ligatures w14:val="none"/>
        </w:rPr>
        <w:t xml:space="preserve"> </w:t>
      </w:r>
    </w:p>
    <w:p w14:paraId="5787389F"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Hussein, A.A. (2024) ‘Competency-Based Training: Skills Development.’ Available at: </w:t>
      </w:r>
      <w:hyperlink r:id="rId82" w:history="1">
        <w:r w:rsidRPr="00AF78BA">
          <w:rPr>
            <w:rFonts w:ascii="Arial" w:eastAsia="Century Schoolbook" w:hAnsi="Arial" w:cs="Times New Roman"/>
            <w:color w:val="0563C1"/>
            <w:kern w:val="0"/>
            <w:u w:val="single"/>
            <w:lang w:eastAsia="en-US"/>
            <w14:ligatures w14:val="none"/>
          </w:rPr>
          <w:t>https://www.researchgate.net/publication/382594147_Competency-Based_Training_Skills_Development</w:t>
        </w:r>
      </w:hyperlink>
      <w:r w:rsidRPr="00AF78BA">
        <w:rPr>
          <w:rFonts w:ascii="Arial" w:eastAsia="Century Schoolbook" w:hAnsi="Arial" w:cs="Times New Roman"/>
          <w:kern w:val="0"/>
          <w:lang w:eastAsia="en-US"/>
          <w14:ligatures w14:val="none"/>
        </w:rPr>
        <w:t xml:space="preserve"> [Accessed 7 February 2026]</w:t>
      </w:r>
    </w:p>
    <w:p w14:paraId="7994134F" w14:textId="77777777" w:rsidR="00AF78BA" w:rsidRPr="00AF78BA" w:rsidRDefault="00AF78BA" w:rsidP="00AF78BA">
      <w:pPr>
        <w:widowControl w:val="0"/>
        <w:autoSpaceDE w:val="0"/>
        <w:autoSpaceDN w:val="0"/>
        <w:adjustRightInd w:val="0"/>
        <w:spacing w:before="240" w:after="0"/>
        <w:rPr>
          <w:rFonts w:ascii="Arial" w:eastAsia="Century Schoolbook" w:hAnsi="Arial" w:cs="Times New Roman"/>
          <w:kern w:val="0"/>
          <w:lang w:val="en-IN" w:eastAsia="en-US"/>
          <w14:ligatures w14:val="none"/>
        </w:rPr>
      </w:pPr>
      <w:r w:rsidRPr="00AF78BA">
        <w:rPr>
          <w:rFonts w:ascii="Arial" w:eastAsia="Century Schoolbook" w:hAnsi="Arial" w:cs="Times New Roman"/>
          <w:kern w:val="0"/>
          <w:lang w:val="en-IN" w:eastAsia="en-US"/>
          <w14:ligatures w14:val="none"/>
        </w:rPr>
        <w:t xml:space="preserve">Kuhlmann, E., Ungureanu, M., Georg, </w:t>
      </w:r>
      <w:proofErr w:type="spellStart"/>
      <w:r w:rsidRPr="00AF78BA">
        <w:rPr>
          <w:rFonts w:ascii="Arial" w:eastAsia="Century Schoolbook" w:hAnsi="Arial" w:cs="Times New Roman"/>
          <w:kern w:val="0"/>
          <w:lang w:val="en-IN" w:eastAsia="en-US"/>
          <w14:ligatures w14:val="none"/>
        </w:rPr>
        <w:t>Cossmann</w:t>
      </w:r>
      <w:proofErr w:type="spellEnd"/>
      <w:r w:rsidRPr="00AF78BA">
        <w:rPr>
          <w:rFonts w:ascii="Arial" w:eastAsia="Century Schoolbook" w:hAnsi="Arial" w:cs="Times New Roman"/>
          <w:kern w:val="0"/>
          <w:lang w:val="en-IN" w:eastAsia="en-US"/>
          <w14:ligatures w14:val="none"/>
        </w:rPr>
        <w:t xml:space="preserve">, A., Leonie Mac Fehr, Klawitter, S., </w:t>
      </w:r>
      <w:proofErr w:type="spellStart"/>
      <w:r w:rsidRPr="00AF78BA">
        <w:rPr>
          <w:rFonts w:ascii="Arial" w:eastAsia="Century Schoolbook" w:hAnsi="Arial" w:cs="Times New Roman"/>
          <w:kern w:val="0"/>
          <w:lang w:val="en-IN" w:eastAsia="en-US"/>
          <w14:ligatures w14:val="none"/>
        </w:rPr>
        <w:t>Mikuteit</w:t>
      </w:r>
      <w:proofErr w:type="spellEnd"/>
      <w:r w:rsidRPr="00AF78BA">
        <w:rPr>
          <w:rFonts w:ascii="Arial" w:eastAsia="Century Schoolbook" w:hAnsi="Arial" w:cs="Times New Roman"/>
          <w:kern w:val="0"/>
          <w:lang w:val="en-IN" w:eastAsia="en-US"/>
          <w14:ligatures w14:val="none"/>
        </w:rPr>
        <w:t xml:space="preserve">, M., Müller, F., Thilo, N., </w:t>
      </w:r>
      <w:proofErr w:type="spellStart"/>
      <w:r w:rsidRPr="00AF78BA">
        <w:rPr>
          <w:rFonts w:ascii="Arial" w:eastAsia="Century Schoolbook" w:hAnsi="Arial" w:cs="Times New Roman"/>
          <w:kern w:val="0"/>
          <w:lang w:val="en-IN" w:eastAsia="en-US"/>
          <w14:ligatures w14:val="none"/>
        </w:rPr>
        <w:t>Brinzac</w:t>
      </w:r>
      <w:proofErr w:type="spellEnd"/>
      <w:r w:rsidRPr="00AF78BA">
        <w:rPr>
          <w:rFonts w:ascii="Arial" w:eastAsia="Century Schoolbook" w:hAnsi="Arial" w:cs="Times New Roman"/>
          <w:kern w:val="0"/>
          <w:lang w:val="en-IN" w:eastAsia="en-US"/>
          <w14:ligatures w14:val="none"/>
        </w:rPr>
        <w:t xml:space="preserve">, M. and Dopfer-Jablonka, A. (2023) ‘Migrant healthcare workers during COVID-19: bringing an intersectional health system-related approach into pandemic protection.’ A German case study. </w:t>
      </w:r>
      <w:r w:rsidRPr="00AF78BA">
        <w:rPr>
          <w:rFonts w:ascii="Arial" w:eastAsia="Century Schoolbook" w:hAnsi="Arial" w:cs="Times New Roman"/>
          <w:i/>
          <w:iCs/>
          <w:kern w:val="0"/>
          <w:lang w:val="en-IN" w:eastAsia="en-US"/>
          <w14:ligatures w14:val="none"/>
        </w:rPr>
        <w:t>Frontiers in Public Health</w:t>
      </w:r>
      <w:r w:rsidRPr="00AF78BA">
        <w:rPr>
          <w:rFonts w:ascii="Arial" w:eastAsia="Century Schoolbook" w:hAnsi="Arial" w:cs="Times New Roman"/>
          <w:kern w:val="0"/>
          <w:lang w:val="en-IN" w:eastAsia="en-US"/>
          <w14:ligatures w14:val="none"/>
        </w:rPr>
        <w:t xml:space="preserve">, 11. </w:t>
      </w:r>
      <w:r w:rsidRPr="00AF78BA">
        <w:rPr>
          <w:rFonts w:ascii="Arial" w:eastAsia="Century Schoolbook" w:hAnsi="Arial" w:cs="Times New Roman"/>
          <w:kern w:val="0"/>
          <w:lang w:eastAsia="en-US"/>
          <w14:ligatures w14:val="none"/>
        </w:rPr>
        <w:t xml:space="preserve">Available at: </w:t>
      </w:r>
      <w:hyperlink r:id="rId83" w:history="1">
        <w:r w:rsidRPr="00AF78BA">
          <w:rPr>
            <w:rFonts w:ascii="Arial" w:eastAsia="Century Schoolbook" w:hAnsi="Arial" w:cs="Times New Roman"/>
            <w:color w:val="0563C1"/>
            <w:kern w:val="0"/>
            <w:u w:val="single"/>
            <w:lang w:val="en-IN" w:eastAsia="en-US"/>
            <w14:ligatures w14:val="none"/>
          </w:rPr>
          <w:t>https://doi.org/10.3389/fpubh.2023.1152862</w:t>
        </w:r>
      </w:hyperlink>
      <w:r w:rsidRPr="00AF78BA">
        <w:rPr>
          <w:rFonts w:ascii="Arial" w:eastAsia="Century Schoolbook" w:hAnsi="Arial" w:cs="Times New Roman"/>
          <w:kern w:val="0"/>
          <w:lang w:val="en-IN" w:eastAsia="en-US"/>
          <w14:ligatures w14:val="none"/>
        </w:rPr>
        <w:t xml:space="preserve"> </w:t>
      </w:r>
    </w:p>
    <w:p w14:paraId="40B5BEF3"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Lamberti-Castronuovo, A., </w:t>
      </w:r>
      <w:proofErr w:type="spellStart"/>
      <w:r w:rsidRPr="00AF78BA">
        <w:rPr>
          <w:rFonts w:ascii="Arial" w:eastAsia="Century Schoolbook" w:hAnsi="Arial" w:cs="Times New Roman"/>
          <w:kern w:val="0"/>
          <w:lang w:eastAsia="en-US"/>
          <w14:ligatures w14:val="none"/>
        </w:rPr>
        <w:t>Parotto</w:t>
      </w:r>
      <w:proofErr w:type="spellEnd"/>
      <w:r w:rsidRPr="00AF78BA">
        <w:rPr>
          <w:rFonts w:ascii="Arial" w:eastAsia="Century Schoolbook" w:hAnsi="Arial" w:cs="Times New Roman"/>
          <w:kern w:val="0"/>
          <w:lang w:eastAsia="en-US"/>
          <w14:ligatures w14:val="none"/>
        </w:rPr>
        <w:t xml:space="preserve">, E., Della Corte, F., Hubloue, I., </w:t>
      </w:r>
      <w:proofErr w:type="spellStart"/>
      <w:r w:rsidRPr="00AF78BA">
        <w:rPr>
          <w:rFonts w:ascii="Arial" w:eastAsia="Century Schoolbook" w:hAnsi="Arial" w:cs="Times New Roman"/>
          <w:kern w:val="0"/>
          <w:lang w:eastAsia="en-US"/>
          <w14:ligatures w14:val="none"/>
        </w:rPr>
        <w:t>Ragazzoni</w:t>
      </w:r>
      <w:proofErr w:type="spellEnd"/>
      <w:r w:rsidRPr="00AF78BA">
        <w:rPr>
          <w:rFonts w:ascii="Arial" w:eastAsia="Century Schoolbook" w:hAnsi="Arial" w:cs="Times New Roman"/>
          <w:kern w:val="0"/>
          <w:lang w:eastAsia="en-US"/>
          <w14:ligatures w14:val="none"/>
        </w:rPr>
        <w:t xml:space="preserve">, L. and Valente, M. (2022) ‘The COVID-19 pandemic response and its impact on post-corona health emergency and disaster risk management in Italy.’ </w:t>
      </w:r>
      <w:r w:rsidRPr="00AF78BA">
        <w:rPr>
          <w:rFonts w:ascii="Arial" w:eastAsia="Century Schoolbook" w:hAnsi="Arial" w:cs="Times New Roman"/>
          <w:i/>
          <w:iCs/>
          <w:kern w:val="0"/>
          <w:lang w:eastAsia="en-US"/>
          <w14:ligatures w14:val="none"/>
        </w:rPr>
        <w:t>Frontiers in Public Health</w:t>
      </w:r>
      <w:r w:rsidRPr="00AF78BA">
        <w:rPr>
          <w:rFonts w:ascii="Arial" w:eastAsia="Century Schoolbook" w:hAnsi="Arial" w:cs="Times New Roman"/>
          <w:kern w:val="0"/>
          <w:lang w:eastAsia="en-US"/>
          <w14:ligatures w14:val="none"/>
        </w:rPr>
        <w:t xml:space="preserve">, 10. Available at: </w:t>
      </w:r>
      <w:hyperlink r:id="rId84" w:history="1">
        <w:r w:rsidRPr="00AF78BA">
          <w:rPr>
            <w:rFonts w:ascii="Arial" w:eastAsia="Century Schoolbook" w:hAnsi="Arial" w:cs="Times New Roman"/>
            <w:color w:val="0563C1"/>
            <w:kern w:val="0"/>
            <w:u w:val="single"/>
            <w:lang w:eastAsia="en-US"/>
            <w14:ligatures w14:val="none"/>
          </w:rPr>
          <w:t>https://doi.org/10.3389/fpubh.2022.1034196</w:t>
        </w:r>
      </w:hyperlink>
      <w:r w:rsidRPr="00AF78BA">
        <w:rPr>
          <w:rFonts w:ascii="Arial" w:eastAsia="Century Schoolbook" w:hAnsi="Arial" w:cs="Times New Roman"/>
          <w:kern w:val="0"/>
          <w:lang w:eastAsia="en-US"/>
          <w14:ligatures w14:val="none"/>
        </w:rPr>
        <w:t xml:space="preserve"> </w:t>
      </w:r>
    </w:p>
    <w:p w14:paraId="176B56DB"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Lefroy, J., Bialan, J., Moult, A., Hay, F., Stapleton, C., Thompson, J., Diggory, K., Mustafa, N., Farrington, J., Aynsley, S.A., Jacklin, S., Winterton, A. and Cope, N. (2023) ‘Training healthcare professionals to be ready for practice in an era of social distancing: a realist evaluation.’ </w:t>
      </w:r>
      <w:r w:rsidRPr="00AF78BA">
        <w:rPr>
          <w:rFonts w:ascii="Arial" w:eastAsia="Century Schoolbook" w:hAnsi="Arial" w:cs="Times New Roman"/>
          <w:i/>
          <w:iCs/>
          <w:kern w:val="0"/>
          <w:lang w:eastAsia="en-US"/>
          <w14:ligatures w14:val="none"/>
        </w:rPr>
        <w:t>Advances in Health Sciences Education</w:t>
      </w:r>
      <w:r w:rsidRPr="00AF78BA">
        <w:rPr>
          <w:rFonts w:ascii="Arial" w:eastAsia="Century Schoolbook" w:hAnsi="Arial" w:cs="Times New Roman"/>
          <w:kern w:val="0"/>
          <w:lang w:eastAsia="en-US"/>
          <w14:ligatures w14:val="none"/>
        </w:rPr>
        <w:t xml:space="preserve">. Available at: </w:t>
      </w:r>
      <w:hyperlink r:id="rId85" w:history="1">
        <w:r w:rsidRPr="00AF78BA">
          <w:rPr>
            <w:rFonts w:ascii="Arial" w:eastAsia="Century Schoolbook" w:hAnsi="Arial" w:cs="Times New Roman"/>
            <w:color w:val="0563C1"/>
            <w:kern w:val="0"/>
            <w:u w:val="single"/>
            <w:lang w:eastAsia="en-US"/>
            <w14:ligatures w14:val="none"/>
          </w:rPr>
          <w:t>https://doi.org/10.1007/s10459-023-10297-w</w:t>
        </w:r>
      </w:hyperlink>
      <w:r w:rsidRPr="00AF78BA">
        <w:rPr>
          <w:rFonts w:ascii="Arial" w:eastAsia="Century Schoolbook" w:hAnsi="Arial" w:cs="Times New Roman"/>
          <w:kern w:val="0"/>
          <w:lang w:eastAsia="en-US"/>
          <w14:ligatures w14:val="none"/>
        </w:rPr>
        <w:t xml:space="preserve"> </w:t>
      </w:r>
    </w:p>
    <w:p w14:paraId="0BEFDC97"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Legislation (2022) </w:t>
      </w:r>
      <w:r w:rsidRPr="00AF78BA">
        <w:rPr>
          <w:rFonts w:ascii="Arial" w:eastAsia="Century Schoolbook" w:hAnsi="Arial" w:cs="Times New Roman"/>
          <w:i/>
          <w:iCs/>
          <w:kern w:val="0"/>
          <w:lang w:eastAsia="en-US"/>
          <w14:ligatures w14:val="none"/>
        </w:rPr>
        <w:t>Health and Social Care Act 2012</w:t>
      </w:r>
      <w:r w:rsidRPr="00AF78BA">
        <w:rPr>
          <w:rFonts w:ascii="Arial" w:eastAsia="Century Schoolbook" w:hAnsi="Arial" w:cs="Times New Roman"/>
          <w:kern w:val="0"/>
          <w:lang w:eastAsia="en-US"/>
          <w14:ligatures w14:val="none"/>
        </w:rPr>
        <w:t xml:space="preserve">. [online] Legislation.gov.uk. Available at: </w:t>
      </w:r>
      <w:hyperlink r:id="rId86" w:history="1">
        <w:r w:rsidRPr="00AF78BA">
          <w:rPr>
            <w:rFonts w:ascii="Arial" w:eastAsia="Century Schoolbook" w:hAnsi="Arial" w:cs="Times New Roman"/>
            <w:color w:val="0563C1"/>
            <w:kern w:val="0"/>
            <w:u w:val="single"/>
            <w:lang w:eastAsia="en-US"/>
            <w14:ligatures w14:val="none"/>
          </w:rPr>
          <w:t>https://www.legislation.gov.uk/id/ukpga/2012/7</w:t>
        </w:r>
      </w:hyperlink>
      <w:r w:rsidRPr="00AF78BA">
        <w:rPr>
          <w:rFonts w:ascii="Arial" w:eastAsia="Century Schoolbook" w:hAnsi="Arial" w:cs="Times New Roman"/>
          <w:kern w:val="0"/>
          <w:lang w:eastAsia="en-US"/>
          <w14:ligatures w14:val="none"/>
        </w:rPr>
        <w:t xml:space="preserve"> [Accessed 7 February. 2026].</w:t>
      </w:r>
    </w:p>
    <w:p w14:paraId="0BEE35D8" w14:textId="77777777" w:rsidR="00AF78BA" w:rsidRPr="00AF78BA" w:rsidRDefault="00AF78BA" w:rsidP="00AF78BA">
      <w:pPr>
        <w:widowControl w:val="0"/>
        <w:autoSpaceDE w:val="0"/>
        <w:autoSpaceDN w:val="0"/>
        <w:adjustRightInd w:val="0"/>
        <w:spacing w:before="240" w:after="0"/>
        <w:rPr>
          <w:rFonts w:ascii="Arial" w:eastAsia="Century Schoolbook" w:hAnsi="Arial" w:cs="Arial"/>
          <w:kern w:val="0"/>
          <w:lang w:val="en-US" w:eastAsia="en-US"/>
          <w14:ligatures w14:val="none"/>
        </w:rPr>
      </w:pPr>
      <w:r w:rsidRPr="00AF78BA">
        <w:rPr>
          <w:rFonts w:ascii="Arial" w:eastAsia="Century Schoolbook" w:hAnsi="Arial" w:cs="Arial"/>
          <w:kern w:val="0"/>
          <w:lang w:val="en-US" w:eastAsia="en-US"/>
          <w14:ligatures w14:val="none"/>
        </w:rPr>
        <w:t xml:space="preserve">Leung, C., Olufunlayo, T., </w:t>
      </w:r>
      <w:proofErr w:type="spellStart"/>
      <w:r w:rsidRPr="00AF78BA">
        <w:rPr>
          <w:rFonts w:ascii="Arial" w:eastAsia="Century Schoolbook" w:hAnsi="Arial" w:cs="Arial"/>
          <w:kern w:val="0"/>
          <w:lang w:val="en-US" w:eastAsia="en-US"/>
          <w14:ligatures w14:val="none"/>
        </w:rPr>
        <w:t>Olateju</w:t>
      </w:r>
      <w:proofErr w:type="spellEnd"/>
      <w:r w:rsidRPr="00AF78BA">
        <w:rPr>
          <w:rFonts w:ascii="Arial" w:eastAsia="Century Schoolbook" w:hAnsi="Arial" w:cs="Arial"/>
          <w:kern w:val="0"/>
          <w:lang w:val="en-US" w:eastAsia="en-US"/>
          <w14:ligatures w14:val="none"/>
        </w:rPr>
        <w:t xml:space="preserve">, Z., MacArthur, C. and Taylor, B. (2022) ‘Perceptions and experiences of maternity care workers during COVID-19 pandemic in Lagos State, Nigeria; a qualitative study’, </w:t>
      </w:r>
      <w:r w:rsidRPr="00AF78BA">
        <w:rPr>
          <w:rFonts w:ascii="Arial" w:eastAsia="Century Schoolbook" w:hAnsi="Arial" w:cs="Arial"/>
          <w:i/>
          <w:iCs/>
          <w:kern w:val="0"/>
          <w:lang w:val="en-US" w:eastAsia="en-US"/>
          <w14:ligatures w14:val="none"/>
        </w:rPr>
        <w:t>BMC Health Services Research</w:t>
      </w:r>
      <w:r w:rsidRPr="00AF78BA">
        <w:rPr>
          <w:rFonts w:ascii="Arial" w:eastAsia="Century Schoolbook" w:hAnsi="Arial" w:cs="Arial"/>
          <w:kern w:val="0"/>
          <w:lang w:val="en-US" w:eastAsia="en-US"/>
          <w14:ligatures w14:val="none"/>
        </w:rPr>
        <w:t xml:space="preserve">, 22(1). Available at: </w:t>
      </w:r>
      <w:hyperlink r:id="rId87" w:history="1">
        <w:r w:rsidRPr="00AF78BA">
          <w:rPr>
            <w:rFonts w:ascii="Arial" w:eastAsia="Century Schoolbook" w:hAnsi="Arial" w:cs="Arial"/>
            <w:kern w:val="0"/>
            <w:lang w:val="en-US" w:eastAsia="en-US"/>
            <w14:ligatures w14:val="none"/>
          </w:rPr>
          <w:t>https://doi.org/10.1186/s12913-022-08009-y</w:t>
        </w:r>
      </w:hyperlink>
      <w:r w:rsidRPr="00AF78BA">
        <w:rPr>
          <w:rFonts w:ascii="Arial" w:eastAsia="Century Schoolbook" w:hAnsi="Arial" w:cs="Arial"/>
          <w:kern w:val="0"/>
          <w:lang w:val="en-US" w:eastAsia="en-US"/>
          <w14:ligatures w14:val="none"/>
        </w:rPr>
        <w:t>.</w:t>
      </w:r>
    </w:p>
    <w:p w14:paraId="4C9460A8"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lastRenderedPageBreak/>
        <w:t xml:space="preserve">Ma, J., Zhang, Y., Li, J., Qu, W. and Zhou, Z. (2025) ‘Spillover effects of military healthcare reform on civilian hospitals in China.’ </w:t>
      </w:r>
      <w:r w:rsidRPr="00AF78BA">
        <w:rPr>
          <w:rFonts w:ascii="Arial" w:eastAsia="Century Schoolbook" w:hAnsi="Arial" w:cs="Times New Roman"/>
          <w:i/>
          <w:iCs/>
          <w:kern w:val="0"/>
          <w:lang w:eastAsia="en-US"/>
          <w14:ligatures w14:val="none"/>
        </w:rPr>
        <w:t>Frontiers in Public Health</w:t>
      </w:r>
      <w:r w:rsidRPr="00AF78BA">
        <w:rPr>
          <w:rFonts w:ascii="Arial" w:eastAsia="Century Schoolbook" w:hAnsi="Arial" w:cs="Times New Roman"/>
          <w:kern w:val="0"/>
          <w:lang w:eastAsia="en-US"/>
          <w14:ligatures w14:val="none"/>
        </w:rPr>
        <w:t xml:space="preserve">, 13. Available at: </w:t>
      </w:r>
      <w:hyperlink r:id="rId88" w:history="1">
        <w:r w:rsidRPr="00AF78BA">
          <w:rPr>
            <w:rFonts w:ascii="Arial" w:eastAsia="Century Schoolbook" w:hAnsi="Arial" w:cs="Times New Roman"/>
            <w:color w:val="0563C1"/>
            <w:kern w:val="0"/>
            <w:u w:val="single"/>
            <w:lang w:eastAsia="en-US"/>
            <w14:ligatures w14:val="none"/>
          </w:rPr>
          <w:t>https://doi.org/10.3389/fpubh.2025.1702059</w:t>
        </w:r>
      </w:hyperlink>
      <w:r w:rsidRPr="00AF78BA">
        <w:rPr>
          <w:rFonts w:ascii="Arial" w:eastAsia="Century Schoolbook" w:hAnsi="Arial" w:cs="Times New Roman"/>
          <w:kern w:val="0"/>
          <w:lang w:eastAsia="en-US"/>
          <w14:ligatures w14:val="none"/>
        </w:rPr>
        <w:t xml:space="preserve"> </w:t>
      </w:r>
    </w:p>
    <w:p w14:paraId="734CE7EB"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Maddock, J., Parsons, S., Di Gessa, G., Green, M.J., Thompson, E.J., Stevenson, A.J., Kwong, A.S., McElroy, E., Santorelli, G., Silverwood, R.J., Captur, G., Chaturvedi, N., Steves, C.J., Steptoe, A., </w:t>
      </w:r>
      <w:proofErr w:type="spellStart"/>
      <w:r w:rsidRPr="00AF78BA">
        <w:rPr>
          <w:rFonts w:ascii="Arial" w:eastAsia="Century Schoolbook" w:hAnsi="Arial" w:cs="Times New Roman"/>
          <w:kern w:val="0"/>
          <w:lang w:eastAsia="en-US"/>
          <w14:ligatures w14:val="none"/>
        </w:rPr>
        <w:t>Patalay</w:t>
      </w:r>
      <w:proofErr w:type="spellEnd"/>
      <w:r w:rsidRPr="00AF78BA">
        <w:rPr>
          <w:rFonts w:ascii="Arial" w:eastAsia="Century Schoolbook" w:hAnsi="Arial" w:cs="Times New Roman"/>
          <w:kern w:val="0"/>
          <w:lang w:eastAsia="en-US"/>
          <w14:ligatures w14:val="none"/>
        </w:rPr>
        <w:t xml:space="preserve">, P., Ploubidis, G.B. and </w:t>
      </w:r>
      <w:proofErr w:type="spellStart"/>
      <w:r w:rsidRPr="00AF78BA">
        <w:rPr>
          <w:rFonts w:ascii="Arial" w:eastAsia="Century Schoolbook" w:hAnsi="Arial" w:cs="Times New Roman"/>
          <w:kern w:val="0"/>
          <w:lang w:eastAsia="en-US"/>
          <w14:ligatures w14:val="none"/>
        </w:rPr>
        <w:t>Katikireddi</w:t>
      </w:r>
      <w:proofErr w:type="spellEnd"/>
      <w:r w:rsidRPr="00AF78BA">
        <w:rPr>
          <w:rFonts w:ascii="Arial" w:eastAsia="Century Schoolbook" w:hAnsi="Arial" w:cs="Times New Roman"/>
          <w:kern w:val="0"/>
          <w:lang w:eastAsia="en-US"/>
          <w14:ligatures w14:val="none"/>
        </w:rPr>
        <w:t xml:space="preserve">, S.V. (2022) ‘Inequalities in healthcare disruptions during the COVID-19 pandemic: evidence from 12 UK population-based longitudinal studies.’ </w:t>
      </w:r>
      <w:r w:rsidRPr="00AF78BA">
        <w:rPr>
          <w:rFonts w:ascii="Arial" w:eastAsia="Century Schoolbook" w:hAnsi="Arial" w:cs="Times New Roman"/>
          <w:i/>
          <w:iCs/>
          <w:kern w:val="0"/>
          <w:lang w:eastAsia="en-US"/>
          <w14:ligatures w14:val="none"/>
        </w:rPr>
        <w:t>BMJ Open</w:t>
      </w:r>
      <w:r w:rsidRPr="00AF78BA">
        <w:rPr>
          <w:rFonts w:ascii="Arial" w:eastAsia="Century Schoolbook" w:hAnsi="Arial" w:cs="Times New Roman"/>
          <w:kern w:val="0"/>
          <w:lang w:eastAsia="en-US"/>
          <w14:ligatures w14:val="none"/>
        </w:rPr>
        <w:t xml:space="preserve">, 12(10), p.e064981. Available at: </w:t>
      </w:r>
      <w:hyperlink r:id="rId89" w:history="1">
        <w:r w:rsidRPr="00AF78BA">
          <w:rPr>
            <w:rFonts w:ascii="Arial" w:eastAsia="Century Schoolbook" w:hAnsi="Arial" w:cs="Times New Roman"/>
            <w:color w:val="0563C1"/>
            <w:kern w:val="0"/>
            <w:u w:val="single"/>
            <w:lang w:eastAsia="en-US"/>
            <w14:ligatures w14:val="none"/>
          </w:rPr>
          <w:t>https://doi.org/10.1136/bmjopen-2022-064981</w:t>
        </w:r>
      </w:hyperlink>
      <w:r w:rsidRPr="00AF78BA">
        <w:rPr>
          <w:rFonts w:ascii="Arial" w:eastAsia="Century Schoolbook" w:hAnsi="Arial" w:cs="Times New Roman"/>
          <w:kern w:val="0"/>
          <w:lang w:eastAsia="en-US"/>
          <w14:ligatures w14:val="none"/>
        </w:rPr>
        <w:t xml:space="preserve"> </w:t>
      </w:r>
    </w:p>
    <w:p w14:paraId="686A08DF"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Malloch, M., Cairns, L., Evans, K. and O’Connor, B. (2021) </w:t>
      </w:r>
      <w:r w:rsidRPr="00AF78BA">
        <w:rPr>
          <w:rFonts w:ascii="Arial" w:eastAsia="Century Schoolbook" w:hAnsi="Arial" w:cs="Times New Roman"/>
          <w:i/>
          <w:iCs/>
          <w:kern w:val="0"/>
          <w:lang w:eastAsia="en-US"/>
          <w14:ligatures w14:val="none"/>
        </w:rPr>
        <w:t>The SAGE Handbook of Workplace Learning</w:t>
      </w:r>
      <w:r w:rsidRPr="00AF78BA">
        <w:rPr>
          <w:rFonts w:ascii="Arial" w:eastAsia="Century Schoolbook" w:hAnsi="Arial" w:cs="Times New Roman"/>
          <w:kern w:val="0"/>
          <w:lang w:eastAsia="en-US"/>
          <w14:ligatures w14:val="none"/>
        </w:rPr>
        <w:t xml:space="preserve">. 1 Oliver’s Yard, 55 City Road, London EC1Y 1SP United Kingdom: SAGE Publications Ltd. Available at: </w:t>
      </w:r>
      <w:hyperlink r:id="rId90" w:history="1">
        <w:r w:rsidRPr="00AF78BA">
          <w:rPr>
            <w:rFonts w:ascii="Arial" w:eastAsia="Century Schoolbook" w:hAnsi="Arial" w:cs="Times New Roman"/>
            <w:color w:val="0563C1"/>
            <w:kern w:val="0"/>
            <w:u w:val="single"/>
            <w:lang w:eastAsia="en-US"/>
            <w14:ligatures w14:val="none"/>
          </w:rPr>
          <w:t>https://doi.org/10.4135/9781446200940</w:t>
        </w:r>
      </w:hyperlink>
      <w:r w:rsidRPr="00AF78BA">
        <w:rPr>
          <w:rFonts w:ascii="Arial" w:eastAsia="Century Schoolbook" w:hAnsi="Arial" w:cs="Times New Roman"/>
          <w:kern w:val="0"/>
          <w:lang w:eastAsia="en-US"/>
          <w14:ligatures w14:val="none"/>
        </w:rPr>
        <w:t xml:space="preserve"> </w:t>
      </w:r>
    </w:p>
    <w:p w14:paraId="46E33F6F" w14:textId="77777777" w:rsidR="00AF78BA" w:rsidRPr="00AF78BA" w:rsidRDefault="00AF78BA" w:rsidP="00AF78BA">
      <w:pPr>
        <w:widowControl w:val="0"/>
        <w:autoSpaceDE w:val="0"/>
        <w:autoSpaceDN w:val="0"/>
        <w:adjustRightInd w:val="0"/>
        <w:spacing w:before="240" w:after="0"/>
        <w:rPr>
          <w:rFonts w:ascii="Arial" w:eastAsia="Century Schoolbook" w:hAnsi="Arial" w:cs="Times New Roman"/>
          <w:kern w:val="0"/>
          <w:lang w:val="en-IN" w:eastAsia="en-US"/>
          <w14:ligatures w14:val="none"/>
        </w:rPr>
      </w:pPr>
      <w:r w:rsidRPr="00AF78BA">
        <w:rPr>
          <w:rFonts w:ascii="Arial" w:eastAsia="Century Schoolbook" w:hAnsi="Arial" w:cs="Times New Roman"/>
          <w:kern w:val="0"/>
          <w:lang w:val="en-IN" w:eastAsia="en-US"/>
          <w14:ligatures w14:val="none"/>
        </w:rPr>
        <w:t xml:space="preserve">Moore, H., Watson, R., Farnworth, A., Giles, K., Tomson, D. and Thomson, R. (2023) ‘Inclusion of person-centred care in UK postgraduate medical education curricula: Interviews and documentary analysis.’ </w:t>
      </w:r>
      <w:r w:rsidRPr="00AF78BA">
        <w:rPr>
          <w:rFonts w:ascii="Arial" w:eastAsia="Century Schoolbook" w:hAnsi="Arial" w:cs="Times New Roman"/>
          <w:i/>
          <w:iCs/>
          <w:kern w:val="0"/>
          <w:lang w:val="en-IN" w:eastAsia="en-US"/>
          <w14:ligatures w14:val="none"/>
        </w:rPr>
        <w:t>BMC Medical Education</w:t>
      </w:r>
      <w:r w:rsidRPr="00AF78BA">
        <w:rPr>
          <w:rFonts w:ascii="Arial" w:eastAsia="Century Schoolbook" w:hAnsi="Arial" w:cs="Times New Roman"/>
          <w:kern w:val="0"/>
          <w:lang w:val="en-IN" w:eastAsia="en-US"/>
          <w14:ligatures w14:val="none"/>
        </w:rPr>
        <w:t xml:space="preserve">, [online] 23(1). </w:t>
      </w:r>
      <w:r w:rsidRPr="00AF78BA">
        <w:rPr>
          <w:rFonts w:ascii="Arial" w:eastAsia="Century Schoolbook" w:hAnsi="Arial" w:cs="Times New Roman"/>
          <w:kern w:val="0"/>
          <w:lang w:eastAsia="en-US"/>
          <w14:ligatures w14:val="none"/>
        </w:rPr>
        <w:t xml:space="preserve">Available at: </w:t>
      </w:r>
      <w:hyperlink r:id="rId91" w:history="1">
        <w:r w:rsidRPr="00AF78BA">
          <w:rPr>
            <w:rFonts w:ascii="Arial" w:eastAsia="Century Schoolbook" w:hAnsi="Arial" w:cs="Times New Roman"/>
            <w:color w:val="0563C1"/>
            <w:kern w:val="0"/>
            <w:u w:val="single"/>
            <w:lang w:val="en-IN" w:eastAsia="en-US"/>
            <w14:ligatures w14:val="none"/>
          </w:rPr>
          <w:t>https://doi.org/10.1186/s12909-023-04730-2</w:t>
        </w:r>
      </w:hyperlink>
      <w:r w:rsidRPr="00AF78BA">
        <w:rPr>
          <w:rFonts w:ascii="Arial" w:eastAsia="Century Schoolbook" w:hAnsi="Arial" w:cs="Times New Roman"/>
          <w:kern w:val="0"/>
          <w:lang w:val="en-IN" w:eastAsia="en-US"/>
          <w14:ligatures w14:val="none"/>
        </w:rPr>
        <w:t xml:space="preserve"> </w:t>
      </w:r>
    </w:p>
    <w:p w14:paraId="170558CC"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NHS (2022) </w:t>
      </w:r>
      <w:r w:rsidRPr="00AF78BA">
        <w:rPr>
          <w:rFonts w:ascii="Arial" w:eastAsia="Century Schoolbook" w:hAnsi="Arial" w:cs="Times New Roman"/>
          <w:i/>
          <w:iCs/>
          <w:kern w:val="0"/>
          <w:lang w:eastAsia="en-US"/>
          <w14:ligatures w14:val="none"/>
        </w:rPr>
        <w:t>Infection management at HEE | NHS England | Workforce, training and education</w:t>
      </w:r>
      <w:r w:rsidRPr="00AF78BA">
        <w:rPr>
          <w:rFonts w:ascii="Arial" w:eastAsia="Century Schoolbook" w:hAnsi="Arial" w:cs="Times New Roman"/>
          <w:kern w:val="0"/>
          <w:lang w:eastAsia="en-US"/>
          <w14:ligatures w14:val="none"/>
        </w:rPr>
        <w:t xml:space="preserve">. [online] NHS England | Workforce, training and education. Available at: </w:t>
      </w:r>
      <w:hyperlink r:id="rId92" w:history="1">
        <w:r w:rsidRPr="00AF78BA">
          <w:rPr>
            <w:rFonts w:ascii="Arial" w:eastAsia="Century Schoolbook" w:hAnsi="Arial" w:cs="Times New Roman"/>
            <w:color w:val="0563C1"/>
            <w:kern w:val="0"/>
            <w:u w:val="single"/>
            <w:lang w:eastAsia="en-US"/>
            <w14:ligatures w14:val="none"/>
          </w:rPr>
          <w:t>https://www.hee.nhs.uk/our-work/infection-management-hee</w:t>
        </w:r>
      </w:hyperlink>
      <w:r w:rsidRPr="00AF78BA">
        <w:rPr>
          <w:rFonts w:ascii="Arial" w:eastAsia="Century Schoolbook" w:hAnsi="Arial" w:cs="Times New Roman"/>
          <w:kern w:val="0"/>
          <w:lang w:eastAsia="en-US"/>
          <w14:ligatures w14:val="none"/>
        </w:rPr>
        <w:t xml:space="preserve"> [Accessed 7 February. 2026].</w:t>
      </w:r>
    </w:p>
    <w:p w14:paraId="432C4AEC"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NHS England (2024) </w:t>
      </w:r>
      <w:r w:rsidRPr="00AF78BA">
        <w:rPr>
          <w:rFonts w:ascii="Arial" w:eastAsia="Century Schoolbook" w:hAnsi="Arial" w:cs="Times New Roman"/>
          <w:i/>
          <w:iCs/>
          <w:kern w:val="0"/>
          <w:lang w:eastAsia="en-US"/>
          <w14:ligatures w14:val="none"/>
        </w:rPr>
        <w:t>NHS England - NHS Long Term Workforce Plan</w:t>
      </w:r>
      <w:r w:rsidRPr="00AF78BA">
        <w:rPr>
          <w:rFonts w:ascii="Arial" w:eastAsia="Century Schoolbook" w:hAnsi="Arial" w:cs="Times New Roman"/>
          <w:kern w:val="0"/>
          <w:lang w:eastAsia="en-US"/>
          <w14:ligatures w14:val="none"/>
        </w:rPr>
        <w:t xml:space="preserve">. [online] NHS England. Available at: </w:t>
      </w:r>
      <w:hyperlink r:id="rId93" w:history="1">
        <w:r w:rsidRPr="00AF78BA">
          <w:rPr>
            <w:rFonts w:ascii="Arial" w:eastAsia="Century Schoolbook" w:hAnsi="Arial" w:cs="Times New Roman"/>
            <w:color w:val="0563C1"/>
            <w:kern w:val="0"/>
            <w:u w:val="single"/>
            <w:lang w:eastAsia="en-US"/>
            <w14:ligatures w14:val="none"/>
          </w:rPr>
          <w:t>https://www.england.nhs.uk/long-read/nhs-long-term-workforce-plan-2/</w:t>
        </w:r>
      </w:hyperlink>
      <w:r w:rsidRPr="00AF78BA">
        <w:rPr>
          <w:rFonts w:ascii="Arial" w:eastAsia="Century Schoolbook" w:hAnsi="Arial" w:cs="Times New Roman"/>
          <w:kern w:val="0"/>
          <w:lang w:eastAsia="en-US"/>
          <w14:ligatures w14:val="none"/>
        </w:rPr>
        <w:t xml:space="preserve"> [Accessed 7 February 2026]</w:t>
      </w:r>
    </w:p>
    <w:p w14:paraId="15431E26" w14:textId="77777777" w:rsidR="00AF78BA" w:rsidRPr="00AF78BA" w:rsidRDefault="00AF78BA" w:rsidP="00AF78BA">
      <w:pPr>
        <w:widowControl w:val="0"/>
        <w:autoSpaceDE w:val="0"/>
        <w:autoSpaceDN w:val="0"/>
        <w:adjustRightInd w:val="0"/>
        <w:spacing w:before="240" w:after="0"/>
        <w:rPr>
          <w:rFonts w:ascii="Arial" w:eastAsia="Century Schoolbook" w:hAnsi="Arial" w:cs="Times New Roman"/>
          <w:kern w:val="0"/>
          <w:lang w:eastAsia="en-US"/>
          <w14:ligatures w14:val="none"/>
        </w:rPr>
      </w:pPr>
      <w:r w:rsidRPr="00AF78BA">
        <w:rPr>
          <w:rFonts w:ascii="Arial" w:eastAsia="Century Schoolbook" w:hAnsi="Arial" w:cs="Arial"/>
          <w:kern w:val="0"/>
          <w:lang w:val="en-IN" w:eastAsia="en-US"/>
          <w14:ligatures w14:val="none"/>
        </w:rPr>
        <w:t xml:space="preserve">Parliament.uk, (2022) Staff shortages in the NHS and social care sectors. </w:t>
      </w:r>
      <w:r w:rsidRPr="00AF78BA">
        <w:rPr>
          <w:rFonts w:ascii="Arial" w:eastAsia="Century Schoolbook" w:hAnsi="Arial" w:cs="Times New Roman"/>
          <w:kern w:val="0"/>
          <w:lang w:eastAsia="en-US"/>
          <w14:ligatures w14:val="none"/>
        </w:rPr>
        <w:t xml:space="preserve">Available at: </w:t>
      </w:r>
      <w:hyperlink r:id="rId94" w:history="1">
        <w:r w:rsidRPr="00AF78BA">
          <w:rPr>
            <w:rFonts w:ascii="Arial" w:eastAsia="Century Schoolbook" w:hAnsi="Arial" w:cs="Arial"/>
            <w:color w:val="0563C1"/>
            <w:kern w:val="0"/>
            <w:u w:val="single"/>
            <w:lang w:val="en-US" w:eastAsia="en-US"/>
            <w14:ligatures w14:val="none"/>
          </w:rPr>
          <w:t>https://lordslibrary.parliament.uk/staff-shortages-in-the-nhs-and-social-care-sectors/</w:t>
        </w:r>
      </w:hyperlink>
      <w:r w:rsidRPr="00AF78BA">
        <w:rPr>
          <w:rFonts w:ascii="Arial" w:eastAsia="Century Schoolbook" w:hAnsi="Arial" w:cs="Arial"/>
          <w:kern w:val="0"/>
          <w:lang w:val="en-US" w:eastAsia="en-US"/>
          <w14:ligatures w14:val="none"/>
        </w:rPr>
        <w:t xml:space="preserve"> </w:t>
      </w:r>
      <w:r w:rsidRPr="00AF78BA">
        <w:rPr>
          <w:rFonts w:ascii="Arial" w:eastAsia="Century Schoolbook" w:hAnsi="Arial" w:cs="Times New Roman"/>
          <w:kern w:val="0"/>
          <w:lang w:eastAsia="en-US"/>
          <w14:ligatures w14:val="none"/>
        </w:rPr>
        <w:t>[Accessed 4 March 2026]</w:t>
      </w:r>
    </w:p>
    <w:p w14:paraId="4AE8462F"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Philpott, M., O’Reilly, K., Bermudez, L., de Morais, H. and Filtz, T.M. (2022) ‘Professional Student Education and Training During the COVID-19 Pandemic.’ </w:t>
      </w:r>
      <w:r w:rsidRPr="00AF78BA">
        <w:rPr>
          <w:rFonts w:ascii="Arial" w:eastAsia="Century Schoolbook" w:hAnsi="Arial" w:cs="Times New Roman"/>
          <w:i/>
          <w:iCs/>
          <w:kern w:val="0"/>
          <w:lang w:eastAsia="en-US"/>
          <w14:ligatures w14:val="none"/>
        </w:rPr>
        <w:t>Applied Biosafety</w:t>
      </w:r>
      <w:r w:rsidRPr="00AF78BA">
        <w:rPr>
          <w:rFonts w:ascii="Arial" w:eastAsia="Century Schoolbook" w:hAnsi="Arial" w:cs="Times New Roman"/>
          <w:kern w:val="0"/>
          <w:lang w:eastAsia="en-US"/>
          <w14:ligatures w14:val="none"/>
        </w:rPr>
        <w:t xml:space="preserve">. Available at: </w:t>
      </w:r>
      <w:hyperlink r:id="rId95" w:history="1">
        <w:r w:rsidRPr="00AF78BA">
          <w:rPr>
            <w:rFonts w:ascii="Arial" w:eastAsia="Century Schoolbook" w:hAnsi="Arial" w:cs="Times New Roman"/>
            <w:color w:val="0563C1"/>
            <w:kern w:val="0"/>
            <w:u w:val="single"/>
            <w:lang w:eastAsia="en-US"/>
            <w14:ligatures w14:val="none"/>
          </w:rPr>
          <w:t>https://doi.org/10.1089/apb.2022.0017</w:t>
        </w:r>
      </w:hyperlink>
      <w:r w:rsidRPr="00AF78BA">
        <w:rPr>
          <w:rFonts w:ascii="Arial" w:eastAsia="Century Schoolbook" w:hAnsi="Arial" w:cs="Times New Roman"/>
          <w:kern w:val="0"/>
          <w:lang w:eastAsia="en-US"/>
          <w14:ligatures w14:val="none"/>
        </w:rPr>
        <w:t xml:space="preserve"> </w:t>
      </w:r>
    </w:p>
    <w:p w14:paraId="4BD9639F"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Rcog, (2026) Effect of the COVID-19 pandemic on training. Available at: </w:t>
      </w:r>
      <w:hyperlink r:id="rId96" w:history="1">
        <w:r w:rsidRPr="00AF78BA">
          <w:rPr>
            <w:rFonts w:ascii="Arial" w:eastAsia="Century Schoolbook" w:hAnsi="Arial" w:cs="Times New Roman"/>
            <w:color w:val="0563C1"/>
            <w:kern w:val="0"/>
            <w:u w:val="single"/>
            <w:lang w:eastAsia="en-US"/>
            <w14:ligatures w14:val="none"/>
          </w:rPr>
          <w:t>https://www.rcog.org.uk/media/r5mjf400/tef-2021-report-covid-19.pdf</w:t>
        </w:r>
      </w:hyperlink>
      <w:r w:rsidRPr="00AF78BA">
        <w:rPr>
          <w:rFonts w:ascii="Arial" w:eastAsia="Century Schoolbook" w:hAnsi="Arial" w:cs="Times New Roman"/>
          <w:kern w:val="0"/>
          <w:lang w:eastAsia="en-US"/>
          <w14:ligatures w14:val="none"/>
        </w:rPr>
        <w:t xml:space="preserve"> [Accessed 7 February 2026]</w:t>
      </w:r>
    </w:p>
    <w:p w14:paraId="6DCFAFD6"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lastRenderedPageBreak/>
        <w:t xml:space="preserve">Seam, N., Lee, A.J., </w:t>
      </w:r>
      <w:proofErr w:type="spellStart"/>
      <w:r w:rsidRPr="00AF78BA">
        <w:rPr>
          <w:rFonts w:ascii="Arial" w:eastAsia="Century Schoolbook" w:hAnsi="Arial" w:cs="Times New Roman"/>
          <w:kern w:val="0"/>
          <w:lang w:eastAsia="en-US"/>
          <w14:ligatures w14:val="none"/>
        </w:rPr>
        <w:t>Vennero</w:t>
      </w:r>
      <w:proofErr w:type="spellEnd"/>
      <w:r w:rsidRPr="00AF78BA">
        <w:rPr>
          <w:rFonts w:ascii="Arial" w:eastAsia="Century Schoolbook" w:hAnsi="Arial" w:cs="Times New Roman"/>
          <w:kern w:val="0"/>
          <w:lang w:eastAsia="en-US"/>
          <w14:ligatures w14:val="none"/>
        </w:rPr>
        <w:t xml:space="preserve">, M. and Emlet, L. (2020) ‘Simulation Training in the ICU.’ </w:t>
      </w:r>
      <w:r w:rsidRPr="00AF78BA">
        <w:rPr>
          <w:rFonts w:ascii="Arial" w:eastAsia="Century Schoolbook" w:hAnsi="Arial" w:cs="Times New Roman"/>
          <w:i/>
          <w:iCs/>
          <w:kern w:val="0"/>
          <w:lang w:eastAsia="en-US"/>
          <w14:ligatures w14:val="none"/>
        </w:rPr>
        <w:t>Chest</w:t>
      </w:r>
      <w:r w:rsidRPr="00AF78BA">
        <w:rPr>
          <w:rFonts w:ascii="Arial" w:eastAsia="Century Schoolbook" w:hAnsi="Arial" w:cs="Times New Roman"/>
          <w:kern w:val="0"/>
          <w:lang w:eastAsia="en-US"/>
          <w14:ligatures w14:val="none"/>
        </w:rPr>
        <w:t xml:space="preserve">, [online] 156(6). Available at: </w:t>
      </w:r>
      <w:hyperlink r:id="rId97" w:history="1">
        <w:r w:rsidRPr="00AF78BA">
          <w:rPr>
            <w:rFonts w:ascii="Arial" w:eastAsia="Century Schoolbook" w:hAnsi="Arial" w:cs="Times New Roman"/>
            <w:color w:val="0563C1"/>
            <w:kern w:val="0"/>
            <w:u w:val="single"/>
            <w:lang w:eastAsia="en-US"/>
            <w14:ligatures w14:val="none"/>
          </w:rPr>
          <w:t>https://doi.org/10.1016/j.chest.2019.07.011</w:t>
        </w:r>
      </w:hyperlink>
      <w:r w:rsidRPr="00AF78BA">
        <w:rPr>
          <w:rFonts w:ascii="Arial" w:eastAsia="Century Schoolbook" w:hAnsi="Arial" w:cs="Times New Roman"/>
          <w:kern w:val="0"/>
          <w:lang w:eastAsia="en-US"/>
          <w14:ligatures w14:val="none"/>
        </w:rPr>
        <w:t xml:space="preserve"> </w:t>
      </w:r>
    </w:p>
    <w:p w14:paraId="5399A638"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Skillsforhealth, (2026) Mental Health Core Skills Education and Training Framework. Available at: </w:t>
      </w:r>
      <w:hyperlink r:id="rId98" w:history="1">
        <w:r w:rsidRPr="00AF78BA">
          <w:rPr>
            <w:rFonts w:ascii="Arial" w:eastAsia="Century Schoolbook" w:hAnsi="Arial" w:cs="Times New Roman"/>
            <w:color w:val="0563C1"/>
            <w:kern w:val="0"/>
            <w:u w:val="single"/>
            <w:lang w:eastAsia="en-US"/>
            <w14:ligatures w14:val="none"/>
          </w:rPr>
          <w:t>https://www.skillsforhealth.org.uk/images/services/cstf/Mental%20Health%20CSTF.pdf</w:t>
        </w:r>
      </w:hyperlink>
      <w:r w:rsidRPr="00AF78BA">
        <w:rPr>
          <w:rFonts w:ascii="Arial" w:eastAsia="Century Schoolbook" w:hAnsi="Arial" w:cs="Times New Roman"/>
          <w:kern w:val="0"/>
          <w:lang w:eastAsia="en-US"/>
          <w14:ligatures w14:val="none"/>
        </w:rPr>
        <w:t xml:space="preserve"> [Accessed 7 February 2026]</w:t>
      </w:r>
    </w:p>
    <w:p w14:paraId="488A8763" w14:textId="77777777" w:rsidR="00AF78BA" w:rsidRPr="00AF78BA" w:rsidRDefault="00AF78BA" w:rsidP="00AF78BA">
      <w:pPr>
        <w:widowControl w:val="0"/>
        <w:autoSpaceDE w:val="0"/>
        <w:autoSpaceDN w:val="0"/>
        <w:adjustRightInd w:val="0"/>
        <w:spacing w:before="240" w:after="0"/>
        <w:rPr>
          <w:rFonts w:ascii="Arial" w:eastAsia="Century Schoolbook" w:hAnsi="Arial" w:cs="Arial"/>
          <w:kern w:val="0"/>
          <w:lang w:val="en-US" w:eastAsia="en-US"/>
          <w14:ligatures w14:val="none"/>
        </w:rPr>
      </w:pPr>
      <w:r w:rsidRPr="00AF78BA">
        <w:rPr>
          <w:rFonts w:ascii="Arial" w:eastAsia="Century Schoolbook" w:hAnsi="Arial" w:cs="Arial"/>
          <w:kern w:val="0"/>
          <w:lang w:val="en-US" w:eastAsia="en-US"/>
          <w14:ligatures w14:val="none"/>
        </w:rPr>
        <w:t xml:space="preserve">Stark, N., </w:t>
      </w:r>
      <w:proofErr w:type="spellStart"/>
      <w:r w:rsidRPr="00AF78BA">
        <w:rPr>
          <w:rFonts w:ascii="Arial" w:eastAsia="Century Schoolbook" w:hAnsi="Arial" w:cs="Arial"/>
          <w:kern w:val="0"/>
          <w:lang w:val="en-US" w:eastAsia="en-US"/>
          <w14:ligatures w14:val="none"/>
        </w:rPr>
        <w:t>Hayirli</w:t>
      </w:r>
      <w:proofErr w:type="spellEnd"/>
      <w:r w:rsidRPr="00AF78BA">
        <w:rPr>
          <w:rFonts w:ascii="Arial" w:eastAsia="Century Schoolbook" w:hAnsi="Arial" w:cs="Arial"/>
          <w:kern w:val="0"/>
          <w:lang w:val="en-US" w:eastAsia="en-US"/>
          <w14:ligatures w14:val="none"/>
        </w:rPr>
        <w:t xml:space="preserve">, T., Bhanja, A., </w:t>
      </w:r>
      <w:proofErr w:type="spellStart"/>
      <w:r w:rsidRPr="00AF78BA">
        <w:rPr>
          <w:rFonts w:ascii="Arial" w:eastAsia="Century Schoolbook" w:hAnsi="Arial" w:cs="Arial"/>
          <w:kern w:val="0"/>
          <w:lang w:val="en-US" w:eastAsia="en-US"/>
          <w14:ligatures w14:val="none"/>
        </w:rPr>
        <w:t>Kerrissey</w:t>
      </w:r>
      <w:proofErr w:type="spellEnd"/>
      <w:r w:rsidRPr="00AF78BA">
        <w:rPr>
          <w:rFonts w:ascii="Arial" w:eastAsia="Century Schoolbook" w:hAnsi="Arial" w:cs="Arial"/>
          <w:kern w:val="0"/>
          <w:lang w:val="en-US" w:eastAsia="en-US"/>
          <w14:ligatures w14:val="none"/>
        </w:rPr>
        <w:t>, M., Hardy, J. and Peabody, C.R. (</w:t>
      </w:r>
      <w:proofErr w:type="gramStart"/>
      <w:r w:rsidRPr="00AF78BA">
        <w:rPr>
          <w:rFonts w:ascii="Arial" w:eastAsia="Century Schoolbook" w:hAnsi="Arial" w:cs="Arial"/>
          <w:kern w:val="0"/>
          <w:lang w:val="en-US" w:eastAsia="en-US"/>
          <w14:ligatures w14:val="none"/>
        </w:rPr>
        <w:t>2022) ‘</w:t>
      </w:r>
      <w:proofErr w:type="gramEnd"/>
      <w:r w:rsidRPr="00AF78BA">
        <w:rPr>
          <w:rFonts w:ascii="Arial" w:eastAsia="Century Schoolbook" w:hAnsi="Arial" w:cs="Arial"/>
          <w:kern w:val="0"/>
          <w:lang w:val="en-US" w:eastAsia="en-US"/>
          <w14:ligatures w14:val="none"/>
        </w:rPr>
        <w:t xml:space="preserve">Unprecedented Training: Experience of Residents During the COVID-19 Pandemic’, </w:t>
      </w:r>
      <w:r w:rsidRPr="00AF78BA">
        <w:rPr>
          <w:rFonts w:ascii="Arial" w:eastAsia="Century Schoolbook" w:hAnsi="Arial" w:cs="Arial"/>
          <w:i/>
          <w:iCs/>
          <w:kern w:val="0"/>
          <w:lang w:val="en-US" w:eastAsia="en-US"/>
          <w14:ligatures w14:val="none"/>
        </w:rPr>
        <w:t>Annals of Emergency Medicine</w:t>
      </w:r>
      <w:r w:rsidRPr="00AF78BA">
        <w:rPr>
          <w:rFonts w:ascii="Arial" w:eastAsia="Century Schoolbook" w:hAnsi="Arial" w:cs="Arial"/>
          <w:kern w:val="0"/>
          <w:lang w:val="en-US" w:eastAsia="en-US"/>
          <w14:ligatures w14:val="none"/>
        </w:rPr>
        <w:t xml:space="preserve"> [Preprint]. Available at: </w:t>
      </w:r>
      <w:hyperlink r:id="rId99" w:history="1">
        <w:r w:rsidRPr="00AF78BA">
          <w:rPr>
            <w:rFonts w:ascii="Arial" w:eastAsia="Century Schoolbook" w:hAnsi="Arial" w:cs="Arial"/>
            <w:kern w:val="0"/>
            <w:lang w:val="en-US" w:eastAsia="en-US"/>
            <w14:ligatures w14:val="none"/>
          </w:rPr>
          <w:t>https://doi.org/10.1016/j.annemergmed.2022.01.022</w:t>
        </w:r>
      </w:hyperlink>
      <w:r w:rsidRPr="00AF78BA">
        <w:rPr>
          <w:rFonts w:ascii="Arial" w:eastAsia="Century Schoolbook" w:hAnsi="Arial" w:cs="Arial"/>
          <w:kern w:val="0"/>
          <w:lang w:val="en-US" w:eastAsia="en-US"/>
          <w14:ligatures w14:val="none"/>
        </w:rPr>
        <w:t>.</w:t>
      </w:r>
    </w:p>
    <w:p w14:paraId="0578C107"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Thefederation.uk, (2026) Enhancing UK Core Medical Training through simulation-based education: an evidence-based approach A report from the joint JRCPTB/HEE Expert Group on Simulation in Core Medical Training. (2016). Available at: </w:t>
      </w:r>
      <w:hyperlink r:id="rId100" w:history="1">
        <w:r w:rsidRPr="00AF78BA">
          <w:rPr>
            <w:rFonts w:ascii="Arial" w:eastAsia="Century Schoolbook" w:hAnsi="Arial" w:cs="Times New Roman"/>
            <w:color w:val="0563C1"/>
            <w:kern w:val="0"/>
            <w:u w:val="single"/>
            <w:lang w:eastAsia="en-US"/>
            <w14:ligatures w14:val="none"/>
          </w:rPr>
          <w:t>https://www.thefederation.uk/sites/default/files/HEE_Report_FINAL.pdf</w:t>
        </w:r>
      </w:hyperlink>
      <w:r w:rsidRPr="00AF78BA">
        <w:rPr>
          <w:rFonts w:ascii="Arial" w:eastAsia="Century Schoolbook" w:hAnsi="Arial" w:cs="Times New Roman"/>
          <w:kern w:val="0"/>
          <w:lang w:eastAsia="en-US"/>
          <w14:ligatures w14:val="none"/>
        </w:rPr>
        <w:t xml:space="preserve"> [Accessed 7 February 2026]</w:t>
      </w:r>
    </w:p>
    <w:p w14:paraId="0491D7C7"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Vera San Juan, N., Clark, S.E., Camilleri, M., Jeans, J.P., Monkhouse, A., Chisnall, G. and </w:t>
      </w:r>
      <w:proofErr w:type="spellStart"/>
      <w:r w:rsidRPr="00AF78BA">
        <w:rPr>
          <w:rFonts w:ascii="Arial" w:eastAsia="Century Schoolbook" w:hAnsi="Arial" w:cs="Times New Roman"/>
          <w:kern w:val="0"/>
          <w:lang w:eastAsia="en-US"/>
          <w14:ligatures w14:val="none"/>
        </w:rPr>
        <w:t>Vindrola-Padros</w:t>
      </w:r>
      <w:proofErr w:type="spellEnd"/>
      <w:r w:rsidRPr="00AF78BA">
        <w:rPr>
          <w:rFonts w:ascii="Arial" w:eastAsia="Century Schoolbook" w:hAnsi="Arial" w:cs="Times New Roman"/>
          <w:kern w:val="0"/>
          <w:lang w:eastAsia="en-US"/>
          <w14:ligatures w14:val="none"/>
        </w:rPr>
        <w:t xml:space="preserve">, C. (2022) ‘Training and redeployment of healthcare workers to intensive care units (ICUs) during the COVID-19 pandemic: a systematic review.’ </w:t>
      </w:r>
      <w:r w:rsidRPr="00AF78BA">
        <w:rPr>
          <w:rFonts w:ascii="Arial" w:eastAsia="Century Schoolbook" w:hAnsi="Arial" w:cs="Times New Roman"/>
          <w:i/>
          <w:iCs/>
          <w:kern w:val="0"/>
          <w:lang w:eastAsia="en-US"/>
          <w14:ligatures w14:val="none"/>
        </w:rPr>
        <w:t>BMJ Open</w:t>
      </w:r>
      <w:r w:rsidRPr="00AF78BA">
        <w:rPr>
          <w:rFonts w:ascii="Arial" w:eastAsia="Century Schoolbook" w:hAnsi="Arial" w:cs="Times New Roman"/>
          <w:kern w:val="0"/>
          <w:lang w:eastAsia="en-US"/>
          <w14:ligatures w14:val="none"/>
        </w:rPr>
        <w:t xml:space="preserve">, 12(1), p.e050038. Available at: </w:t>
      </w:r>
      <w:hyperlink r:id="rId101" w:history="1">
        <w:r w:rsidRPr="00AF78BA">
          <w:rPr>
            <w:rFonts w:ascii="Arial" w:eastAsia="Century Schoolbook" w:hAnsi="Arial" w:cs="Times New Roman"/>
            <w:color w:val="0563C1"/>
            <w:kern w:val="0"/>
            <w:u w:val="single"/>
            <w:lang w:eastAsia="en-US"/>
            <w14:ligatures w14:val="none"/>
          </w:rPr>
          <w:t>https://doi.org/10.1136/bmjopen-2021-050038</w:t>
        </w:r>
      </w:hyperlink>
      <w:r w:rsidRPr="00AF78BA">
        <w:rPr>
          <w:rFonts w:ascii="Arial" w:eastAsia="Century Schoolbook" w:hAnsi="Arial" w:cs="Times New Roman"/>
          <w:kern w:val="0"/>
          <w:lang w:eastAsia="en-US"/>
          <w14:ligatures w14:val="none"/>
        </w:rPr>
        <w:t xml:space="preserve"> </w:t>
      </w:r>
    </w:p>
    <w:p w14:paraId="6A0FA38A"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WHO (2020) </w:t>
      </w:r>
      <w:r w:rsidRPr="00AF78BA">
        <w:rPr>
          <w:rFonts w:ascii="Arial" w:eastAsia="Century Schoolbook" w:hAnsi="Arial" w:cs="Times New Roman"/>
          <w:i/>
          <w:iCs/>
          <w:kern w:val="0"/>
          <w:lang w:eastAsia="en-US"/>
          <w14:ligatures w14:val="none"/>
        </w:rPr>
        <w:t>EQUIP - Ensuring Quality in Psychological Support</w:t>
      </w:r>
      <w:r w:rsidRPr="00AF78BA">
        <w:rPr>
          <w:rFonts w:ascii="Arial" w:eastAsia="Century Schoolbook" w:hAnsi="Arial" w:cs="Times New Roman"/>
          <w:kern w:val="0"/>
          <w:lang w:eastAsia="en-US"/>
          <w14:ligatures w14:val="none"/>
        </w:rPr>
        <w:t xml:space="preserve">. [online] www.who.int. Available at: </w:t>
      </w:r>
      <w:hyperlink r:id="rId102" w:history="1">
        <w:r w:rsidRPr="00AF78BA">
          <w:rPr>
            <w:rFonts w:ascii="Arial" w:eastAsia="Century Schoolbook" w:hAnsi="Arial" w:cs="Times New Roman"/>
            <w:color w:val="0563C1"/>
            <w:kern w:val="0"/>
            <w:u w:val="single"/>
            <w:lang w:eastAsia="en-US"/>
            <w14:ligatures w14:val="none"/>
          </w:rPr>
          <w:t>https://www.who.int/teams/mental-health-and-substance-use/treatment-care/equip-ensuring-quality-in-psychological-support</w:t>
        </w:r>
      </w:hyperlink>
      <w:r w:rsidRPr="00AF78BA">
        <w:rPr>
          <w:rFonts w:ascii="Arial" w:eastAsia="Century Schoolbook" w:hAnsi="Arial" w:cs="Times New Roman"/>
          <w:kern w:val="0"/>
          <w:lang w:eastAsia="en-US"/>
          <w14:ligatures w14:val="none"/>
        </w:rPr>
        <w:t xml:space="preserve"> [Accessed 7 February 2026]</w:t>
      </w:r>
    </w:p>
    <w:p w14:paraId="7501D273" w14:textId="77777777" w:rsidR="00AF78BA" w:rsidRPr="00AF78BA" w:rsidRDefault="00AF78BA" w:rsidP="00AF78BA">
      <w:pPr>
        <w:spacing w:before="240" w:after="22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WHO (2021) </w:t>
      </w:r>
      <w:r w:rsidRPr="00AF78BA">
        <w:rPr>
          <w:rFonts w:ascii="Arial" w:eastAsia="Century Schoolbook" w:hAnsi="Arial" w:cs="Times New Roman"/>
          <w:i/>
          <w:iCs/>
          <w:kern w:val="0"/>
          <w:lang w:eastAsia="en-US"/>
          <w14:ligatures w14:val="none"/>
        </w:rPr>
        <w:t xml:space="preserve">Welcome to </w:t>
      </w:r>
      <w:proofErr w:type="spellStart"/>
      <w:r w:rsidRPr="00AF78BA">
        <w:rPr>
          <w:rFonts w:ascii="Arial" w:eastAsia="Century Schoolbook" w:hAnsi="Arial" w:cs="Times New Roman"/>
          <w:i/>
          <w:iCs/>
          <w:kern w:val="0"/>
          <w:lang w:eastAsia="en-US"/>
          <w14:ligatures w14:val="none"/>
        </w:rPr>
        <w:t>OpenWHO</w:t>
      </w:r>
      <w:proofErr w:type="spellEnd"/>
      <w:r w:rsidRPr="00AF78BA">
        <w:rPr>
          <w:rFonts w:ascii="Arial" w:eastAsia="Century Schoolbook" w:hAnsi="Arial" w:cs="Times New Roman"/>
          <w:kern w:val="0"/>
          <w:lang w:eastAsia="en-US"/>
          <w14:ligatures w14:val="none"/>
        </w:rPr>
        <w:t xml:space="preserve">. [online] openwho.org. Available at: </w:t>
      </w:r>
      <w:hyperlink r:id="rId103" w:history="1">
        <w:r w:rsidRPr="00AF78BA">
          <w:rPr>
            <w:rFonts w:ascii="Arial" w:eastAsia="Century Schoolbook" w:hAnsi="Arial" w:cs="Times New Roman"/>
            <w:color w:val="0563C1"/>
            <w:kern w:val="0"/>
            <w:u w:val="single"/>
            <w:lang w:eastAsia="en-US"/>
            <w14:ligatures w14:val="none"/>
          </w:rPr>
          <w:t>https://openwho.org/</w:t>
        </w:r>
      </w:hyperlink>
      <w:r w:rsidRPr="00AF78BA">
        <w:rPr>
          <w:rFonts w:ascii="Arial" w:eastAsia="Century Schoolbook" w:hAnsi="Arial" w:cs="Times New Roman"/>
          <w:kern w:val="0"/>
          <w:lang w:eastAsia="en-US"/>
          <w14:ligatures w14:val="none"/>
        </w:rPr>
        <w:t xml:space="preserve"> [Accessed 7 February 2026]</w:t>
      </w:r>
    </w:p>
    <w:p w14:paraId="61F38681" w14:textId="77777777" w:rsidR="00AF78BA" w:rsidRDefault="00AF78BA" w:rsidP="00AF78BA">
      <w:pPr>
        <w:widowControl w:val="0"/>
        <w:autoSpaceDE w:val="0"/>
        <w:autoSpaceDN w:val="0"/>
        <w:adjustRightInd w:val="0"/>
        <w:spacing w:before="240" w:after="0"/>
        <w:rPr>
          <w:rFonts w:ascii="Arial" w:eastAsia="Century Schoolbook" w:hAnsi="Arial" w:cs="Times New Roman"/>
          <w:kern w:val="0"/>
          <w:lang w:eastAsia="en-US"/>
          <w14:ligatures w14:val="none"/>
        </w:rPr>
      </w:pPr>
      <w:r w:rsidRPr="00AF78BA">
        <w:rPr>
          <w:rFonts w:ascii="Arial" w:eastAsia="Century Schoolbook" w:hAnsi="Arial" w:cs="Times New Roman"/>
          <w:kern w:val="0"/>
          <w:lang w:eastAsia="en-US"/>
          <w14:ligatures w14:val="none"/>
        </w:rPr>
        <w:t xml:space="preserve">Wise, J. (2022) ‘Burnout among trainees is at </w:t>
      </w:r>
      <w:proofErr w:type="spellStart"/>
      <w:r w:rsidRPr="00AF78BA">
        <w:rPr>
          <w:rFonts w:ascii="Arial" w:eastAsia="Century Schoolbook" w:hAnsi="Arial" w:cs="Times New Roman"/>
          <w:kern w:val="0"/>
          <w:lang w:eastAsia="en-US"/>
          <w14:ligatures w14:val="none"/>
        </w:rPr>
        <w:t>all time</w:t>
      </w:r>
      <w:proofErr w:type="spellEnd"/>
      <w:r w:rsidRPr="00AF78BA">
        <w:rPr>
          <w:rFonts w:ascii="Arial" w:eastAsia="Century Schoolbook" w:hAnsi="Arial" w:cs="Times New Roman"/>
          <w:kern w:val="0"/>
          <w:lang w:eastAsia="en-US"/>
          <w14:ligatures w14:val="none"/>
        </w:rPr>
        <w:t xml:space="preserve"> high, GMC survey shows.’ </w:t>
      </w:r>
      <w:r w:rsidRPr="00AF78BA">
        <w:rPr>
          <w:rFonts w:ascii="Arial" w:eastAsia="Century Schoolbook" w:hAnsi="Arial" w:cs="Times New Roman"/>
          <w:i/>
          <w:iCs/>
          <w:kern w:val="0"/>
          <w:lang w:eastAsia="en-US"/>
          <w14:ligatures w14:val="none"/>
        </w:rPr>
        <w:t>BMJ</w:t>
      </w:r>
      <w:r w:rsidRPr="00AF78BA">
        <w:rPr>
          <w:rFonts w:ascii="Arial" w:eastAsia="Century Schoolbook" w:hAnsi="Arial" w:cs="Times New Roman"/>
          <w:kern w:val="0"/>
          <w:lang w:eastAsia="en-US"/>
          <w14:ligatures w14:val="none"/>
        </w:rPr>
        <w:t xml:space="preserve">, p.o1796. Available at: </w:t>
      </w:r>
      <w:hyperlink r:id="rId104" w:history="1">
        <w:r w:rsidRPr="00AF78BA">
          <w:rPr>
            <w:rFonts w:ascii="Arial" w:eastAsia="Century Schoolbook" w:hAnsi="Arial" w:cs="Times New Roman"/>
            <w:color w:val="0563C1"/>
            <w:kern w:val="0"/>
            <w:u w:val="single"/>
            <w:lang w:eastAsia="en-US"/>
            <w14:ligatures w14:val="none"/>
          </w:rPr>
          <w:t>https://doi.org/10.1136/bmj.o1796</w:t>
        </w:r>
      </w:hyperlink>
      <w:r w:rsidRPr="00AF78BA">
        <w:rPr>
          <w:rFonts w:ascii="Arial" w:eastAsia="Century Schoolbook" w:hAnsi="Arial" w:cs="Times New Roman"/>
          <w:kern w:val="0"/>
          <w:lang w:eastAsia="en-US"/>
          <w14:ligatures w14:val="none"/>
        </w:rPr>
        <w:t xml:space="preserve"> [Accessed 7 February 2026]</w:t>
      </w:r>
    </w:p>
    <w:p w14:paraId="20E454D9"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Badami, M., Boualem </w:t>
      </w:r>
      <w:proofErr w:type="spellStart"/>
      <w:r w:rsidRPr="00AC7BA4">
        <w:rPr>
          <w:rFonts w:ascii="Arial" w:eastAsia="Century Schoolbook" w:hAnsi="Arial" w:cs="Arial"/>
          <w:kern w:val="0"/>
          <w:lang w:eastAsia="en-US"/>
          <w14:ligatures w14:val="none"/>
        </w:rPr>
        <w:t>Benatallah</w:t>
      </w:r>
      <w:proofErr w:type="spellEnd"/>
      <w:r w:rsidRPr="00AC7BA4">
        <w:rPr>
          <w:rFonts w:ascii="Arial" w:eastAsia="Century Schoolbook" w:hAnsi="Arial" w:cs="Arial"/>
          <w:kern w:val="0"/>
          <w:lang w:eastAsia="en-US"/>
          <w14:ligatures w14:val="none"/>
        </w:rPr>
        <w:t xml:space="preserve"> and Baez, M. (2023) ‘Adaptive search query generation and refinement in systematic literature review’, </w:t>
      </w:r>
      <w:r w:rsidRPr="00AC7BA4">
        <w:rPr>
          <w:rFonts w:ascii="Arial" w:eastAsia="Century Schoolbook" w:hAnsi="Arial" w:cs="Arial"/>
          <w:i/>
          <w:iCs/>
          <w:kern w:val="0"/>
          <w:lang w:eastAsia="en-US"/>
          <w14:ligatures w14:val="none"/>
        </w:rPr>
        <w:t>Information Systems</w:t>
      </w:r>
      <w:r w:rsidRPr="00AC7BA4">
        <w:rPr>
          <w:rFonts w:ascii="Arial" w:eastAsia="Century Schoolbook" w:hAnsi="Arial" w:cs="Arial"/>
          <w:kern w:val="0"/>
          <w:lang w:eastAsia="en-US"/>
          <w14:ligatures w14:val="none"/>
        </w:rPr>
        <w:t xml:space="preserve">, 117, pp. 102231–102231. Available at: </w:t>
      </w:r>
      <w:hyperlink r:id="rId105" w:history="1">
        <w:r w:rsidRPr="00AC7BA4">
          <w:rPr>
            <w:rFonts w:ascii="Arial" w:eastAsia="Century Schoolbook" w:hAnsi="Arial" w:cs="Arial"/>
            <w:kern w:val="0"/>
            <w:lang w:eastAsia="en-US"/>
            <w14:ligatures w14:val="none"/>
          </w:rPr>
          <w:t>https://doi.org/10.1016/j.is.2023.102231</w:t>
        </w:r>
      </w:hyperlink>
      <w:r w:rsidRPr="00AC7BA4">
        <w:rPr>
          <w:rFonts w:ascii="Arial" w:eastAsia="Century Schoolbook" w:hAnsi="Arial" w:cs="Arial"/>
          <w:kern w:val="0"/>
          <w:lang w:eastAsia="en-US"/>
          <w14:ligatures w14:val="none"/>
        </w:rPr>
        <w:t>.</w:t>
      </w:r>
    </w:p>
    <w:p w14:paraId="7297C49F" w14:textId="77777777" w:rsidR="00AC7BA4" w:rsidRPr="00AC7BA4" w:rsidRDefault="00AC7BA4" w:rsidP="00AC7BA4">
      <w:pPr>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Boutros, P., Kassem, N., Nieder, J., Jaramillo, C., von Petersdorff, J., Walsh, F.J., </w:t>
      </w:r>
      <w:proofErr w:type="spellStart"/>
      <w:r w:rsidRPr="00AC7BA4">
        <w:rPr>
          <w:rFonts w:ascii="Arial" w:eastAsia="Century Schoolbook" w:hAnsi="Arial" w:cs="Arial"/>
          <w:kern w:val="0"/>
          <w:lang w:eastAsia="en-US"/>
          <w14:ligatures w14:val="none"/>
        </w:rPr>
        <w:t>Bärnighausen</w:t>
      </w:r>
      <w:proofErr w:type="spellEnd"/>
      <w:r w:rsidRPr="00AC7BA4">
        <w:rPr>
          <w:rFonts w:ascii="Arial" w:eastAsia="Century Schoolbook" w:hAnsi="Arial" w:cs="Arial"/>
          <w:kern w:val="0"/>
          <w:lang w:eastAsia="en-US"/>
          <w14:ligatures w14:val="none"/>
        </w:rPr>
        <w:t xml:space="preserve">, T. and </w:t>
      </w:r>
      <w:proofErr w:type="spellStart"/>
      <w:r w:rsidRPr="00AC7BA4">
        <w:rPr>
          <w:rFonts w:ascii="Arial" w:eastAsia="Century Schoolbook" w:hAnsi="Arial" w:cs="Arial"/>
          <w:kern w:val="0"/>
          <w:lang w:eastAsia="en-US"/>
          <w14:ligatures w14:val="none"/>
        </w:rPr>
        <w:t>Barteit</w:t>
      </w:r>
      <w:proofErr w:type="spellEnd"/>
      <w:r w:rsidRPr="00AC7BA4">
        <w:rPr>
          <w:rFonts w:ascii="Arial" w:eastAsia="Century Schoolbook" w:hAnsi="Arial" w:cs="Arial"/>
          <w:kern w:val="0"/>
          <w:lang w:eastAsia="en-US"/>
          <w14:ligatures w14:val="none"/>
        </w:rPr>
        <w:t xml:space="preserve">, S. (2023) ‘Education and Training Adaptations for Health Workers during the COVID-19 Pandemic: A Scoping Review of Lessons Learned and </w:t>
      </w:r>
      <w:r w:rsidRPr="00AC7BA4">
        <w:rPr>
          <w:rFonts w:ascii="Arial" w:eastAsia="Century Schoolbook" w:hAnsi="Arial" w:cs="Arial"/>
          <w:kern w:val="0"/>
          <w:lang w:eastAsia="en-US"/>
          <w14:ligatures w14:val="none"/>
        </w:rPr>
        <w:lastRenderedPageBreak/>
        <w:t xml:space="preserve">Innovations.’ </w:t>
      </w:r>
      <w:r w:rsidRPr="00AC7BA4">
        <w:rPr>
          <w:rFonts w:ascii="Arial" w:eastAsia="Century Schoolbook" w:hAnsi="Arial" w:cs="Arial"/>
          <w:i/>
          <w:iCs/>
          <w:kern w:val="0"/>
          <w:lang w:eastAsia="en-US"/>
          <w14:ligatures w14:val="none"/>
        </w:rPr>
        <w:t>Healthcare</w:t>
      </w:r>
      <w:r w:rsidRPr="00AC7BA4">
        <w:rPr>
          <w:rFonts w:ascii="Arial" w:eastAsia="Century Schoolbook" w:hAnsi="Arial" w:cs="Arial"/>
          <w:kern w:val="0"/>
          <w:lang w:eastAsia="en-US"/>
          <w14:ligatures w14:val="none"/>
        </w:rPr>
        <w:t xml:space="preserve">, [online] 11(21), pp. 20-252. Available at: </w:t>
      </w:r>
      <w:hyperlink r:id="rId106" w:history="1">
        <w:r w:rsidRPr="00AC7BA4">
          <w:rPr>
            <w:rFonts w:ascii="Arial" w:eastAsia="Century Schoolbook" w:hAnsi="Arial" w:cs="Arial"/>
            <w:color w:val="0563C1"/>
            <w:kern w:val="0"/>
            <w:u w:val="single"/>
            <w:lang w:eastAsia="en-US"/>
            <w14:ligatures w14:val="none"/>
          </w:rPr>
          <w:t>https://doi.org/10.3390/healthcare11212902</w:t>
        </w:r>
      </w:hyperlink>
      <w:r w:rsidRPr="00AC7BA4">
        <w:rPr>
          <w:rFonts w:ascii="Arial" w:eastAsia="Century Schoolbook" w:hAnsi="Arial" w:cs="Arial"/>
          <w:kern w:val="0"/>
          <w:lang w:eastAsia="en-US"/>
          <w14:ligatures w14:val="none"/>
        </w:rPr>
        <w:t xml:space="preserve"> </w:t>
      </w:r>
    </w:p>
    <w:p w14:paraId="435F0604" w14:textId="77777777" w:rsidR="00AC7BA4" w:rsidRPr="00AC7BA4" w:rsidRDefault="00AC7BA4" w:rsidP="00AC7BA4">
      <w:pPr>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Ellis, L.A., Saba, M., Long, J.C., Hilda </w:t>
      </w:r>
      <w:proofErr w:type="spellStart"/>
      <w:r w:rsidRPr="00AC7BA4">
        <w:rPr>
          <w:rFonts w:ascii="Arial" w:eastAsia="Century Schoolbook" w:hAnsi="Arial" w:cs="Arial"/>
          <w:kern w:val="0"/>
          <w:lang w:eastAsia="en-US"/>
          <w14:ligatures w14:val="none"/>
        </w:rPr>
        <w:t>Bø</w:t>
      </w:r>
      <w:proofErr w:type="spellEnd"/>
      <w:r w:rsidRPr="00AC7BA4">
        <w:rPr>
          <w:rFonts w:ascii="Arial" w:eastAsia="Century Schoolbook" w:hAnsi="Arial" w:cs="Arial"/>
          <w:kern w:val="0"/>
          <w:lang w:eastAsia="en-US"/>
          <w14:ligatures w14:val="none"/>
        </w:rPr>
        <w:t xml:space="preserve"> Lyng, Cecilie Haraldseid-</w:t>
      </w:r>
      <w:proofErr w:type="spellStart"/>
      <w:r w:rsidRPr="00AC7BA4">
        <w:rPr>
          <w:rFonts w:ascii="Arial" w:eastAsia="Century Schoolbook" w:hAnsi="Arial" w:cs="Arial"/>
          <w:kern w:val="0"/>
          <w:lang w:eastAsia="en-US"/>
          <w14:ligatures w14:val="none"/>
        </w:rPr>
        <w:t>Driftland</w:t>
      </w:r>
      <w:proofErr w:type="spellEnd"/>
      <w:r w:rsidRPr="00AC7BA4">
        <w:rPr>
          <w:rFonts w:ascii="Arial" w:eastAsia="Century Schoolbook" w:hAnsi="Arial" w:cs="Arial"/>
          <w:kern w:val="0"/>
          <w:lang w:eastAsia="en-US"/>
          <w14:ligatures w14:val="none"/>
        </w:rPr>
        <w:t xml:space="preserve">, </w:t>
      </w:r>
      <w:proofErr w:type="spellStart"/>
      <w:r w:rsidRPr="00AC7BA4">
        <w:rPr>
          <w:rFonts w:ascii="Arial" w:eastAsia="Century Schoolbook" w:hAnsi="Arial" w:cs="Arial"/>
          <w:kern w:val="0"/>
          <w:lang w:eastAsia="en-US"/>
          <w14:ligatures w14:val="none"/>
        </w:rPr>
        <w:t>Churruca</w:t>
      </w:r>
      <w:proofErr w:type="spellEnd"/>
      <w:r w:rsidRPr="00AC7BA4">
        <w:rPr>
          <w:rFonts w:ascii="Arial" w:eastAsia="Century Schoolbook" w:hAnsi="Arial" w:cs="Arial"/>
          <w:kern w:val="0"/>
          <w:lang w:eastAsia="en-US"/>
          <w14:ligatures w14:val="none"/>
        </w:rPr>
        <w:t>, K., Wiig, S., Austin, E., Clay</w:t>
      </w:r>
      <w:r w:rsidRPr="00AC7BA4">
        <w:rPr>
          <w:rFonts w:ascii="Cambria Math" w:eastAsia="Century Schoolbook" w:hAnsi="Cambria Math" w:cs="Cambria Math"/>
          <w:kern w:val="0"/>
          <w:lang w:eastAsia="en-US"/>
          <w14:ligatures w14:val="none"/>
        </w:rPr>
        <w:t>‐</w:t>
      </w:r>
      <w:r w:rsidRPr="00AC7BA4">
        <w:rPr>
          <w:rFonts w:ascii="Arial" w:eastAsia="Century Schoolbook" w:hAnsi="Arial" w:cs="Arial"/>
          <w:kern w:val="0"/>
          <w:lang w:eastAsia="en-US"/>
          <w14:ligatures w14:val="none"/>
        </w:rPr>
        <w:t xml:space="preserve">Williams, R., Carrigan, A. and Braithwaite, J. (2023) ‘The rise of resilient healthcare research during COVID-19: scoping review of empirical research’, </w:t>
      </w:r>
      <w:r w:rsidRPr="00AC7BA4">
        <w:rPr>
          <w:rFonts w:ascii="Arial" w:eastAsia="Century Schoolbook" w:hAnsi="Arial" w:cs="Arial"/>
          <w:i/>
          <w:iCs/>
          <w:kern w:val="0"/>
          <w:lang w:eastAsia="en-US"/>
          <w14:ligatures w14:val="none"/>
        </w:rPr>
        <w:t>BMC Health Services Research</w:t>
      </w:r>
      <w:r w:rsidRPr="00AC7BA4">
        <w:rPr>
          <w:rFonts w:ascii="Arial" w:eastAsia="Century Schoolbook" w:hAnsi="Arial" w:cs="Arial"/>
          <w:kern w:val="0"/>
          <w:lang w:eastAsia="en-US"/>
          <w14:ligatures w14:val="none"/>
        </w:rPr>
        <w:t xml:space="preserve">, 23(1). Available at: </w:t>
      </w:r>
      <w:hyperlink r:id="rId107" w:history="1">
        <w:r w:rsidRPr="00AC7BA4">
          <w:rPr>
            <w:rFonts w:ascii="Arial" w:eastAsia="Century Schoolbook" w:hAnsi="Arial" w:cs="Arial"/>
            <w:kern w:val="0"/>
            <w:lang w:eastAsia="en-US"/>
            <w14:ligatures w14:val="none"/>
          </w:rPr>
          <w:t>https://doi.org/10.1186/s12913-023-09839-0</w:t>
        </w:r>
      </w:hyperlink>
      <w:r w:rsidRPr="00AC7BA4">
        <w:rPr>
          <w:rFonts w:ascii="Arial" w:eastAsia="Century Schoolbook" w:hAnsi="Arial" w:cs="Arial"/>
          <w:kern w:val="0"/>
          <w:lang w:eastAsia="en-US"/>
          <w14:ligatures w14:val="none"/>
        </w:rPr>
        <w:t>.</w:t>
      </w:r>
    </w:p>
    <w:p w14:paraId="2F76A3D7"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Faulkner-Gurstein, R., Wyatt, D., Cowan, H., Hare, N., Harris, C. and Wolfe, C. (2022) ‘The organization and impacts of clinical research delivery workforce redeployment during the COVID-19 pandemic: a qualitative case study of one research-intensive acute hospital trust’, </w:t>
      </w:r>
      <w:r w:rsidRPr="00AC7BA4">
        <w:rPr>
          <w:rFonts w:ascii="Arial" w:eastAsia="Century Schoolbook" w:hAnsi="Arial" w:cs="Arial"/>
          <w:i/>
          <w:iCs/>
          <w:kern w:val="0"/>
          <w:lang w:eastAsia="en-US"/>
          <w14:ligatures w14:val="none"/>
        </w:rPr>
        <w:t>Health Research Policy and Systems</w:t>
      </w:r>
      <w:r w:rsidRPr="00AC7BA4">
        <w:rPr>
          <w:rFonts w:ascii="Arial" w:eastAsia="Century Schoolbook" w:hAnsi="Arial" w:cs="Arial"/>
          <w:kern w:val="0"/>
          <w:lang w:eastAsia="en-US"/>
          <w14:ligatures w14:val="none"/>
        </w:rPr>
        <w:t xml:space="preserve">, 20(1). Available at: </w:t>
      </w:r>
      <w:hyperlink r:id="rId108" w:history="1">
        <w:r w:rsidRPr="00AC7BA4">
          <w:rPr>
            <w:rFonts w:ascii="Arial" w:eastAsia="Century Schoolbook" w:hAnsi="Arial" w:cs="Arial"/>
            <w:kern w:val="0"/>
            <w:lang w:eastAsia="en-US"/>
            <w14:ligatures w14:val="none"/>
          </w:rPr>
          <w:t>https://doi.org/10.1186/s12961-022-00876-5</w:t>
        </w:r>
      </w:hyperlink>
      <w:r w:rsidRPr="00AC7BA4">
        <w:rPr>
          <w:rFonts w:ascii="Arial" w:eastAsia="Century Schoolbook" w:hAnsi="Arial" w:cs="Arial"/>
          <w:kern w:val="0"/>
          <w:lang w:eastAsia="en-US"/>
          <w14:ligatures w14:val="none"/>
        </w:rPr>
        <w:t>.</w:t>
      </w:r>
    </w:p>
    <w:p w14:paraId="75784785"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Goniewicz, M., </w:t>
      </w:r>
      <w:proofErr w:type="spellStart"/>
      <w:r w:rsidRPr="00AC7BA4">
        <w:rPr>
          <w:rFonts w:ascii="Arial" w:eastAsia="Century Schoolbook" w:hAnsi="Arial" w:cs="Arial"/>
          <w:kern w:val="0"/>
          <w:lang w:eastAsia="en-US"/>
          <w14:ligatures w14:val="none"/>
        </w:rPr>
        <w:t>Włoszczak-Szubzda</w:t>
      </w:r>
      <w:proofErr w:type="spellEnd"/>
      <w:r w:rsidRPr="00AC7BA4">
        <w:rPr>
          <w:rFonts w:ascii="Arial" w:eastAsia="Century Schoolbook" w:hAnsi="Arial" w:cs="Arial"/>
          <w:kern w:val="0"/>
          <w:lang w:eastAsia="en-US"/>
          <w14:ligatures w14:val="none"/>
        </w:rPr>
        <w:t>, A., Al-</w:t>
      </w:r>
      <w:proofErr w:type="spellStart"/>
      <w:r w:rsidRPr="00AC7BA4">
        <w:rPr>
          <w:rFonts w:ascii="Arial" w:eastAsia="Century Schoolbook" w:hAnsi="Arial" w:cs="Arial"/>
          <w:kern w:val="0"/>
          <w:lang w:eastAsia="en-US"/>
          <w14:ligatures w14:val="none"/>
        </w:rPr>
        <w:t>Wathinani</w:t>
      </w:r>
      <w:proofErr w:type="spellEnd"/>
      <w:r w:rsidRPr="00AC7BA4">
        <w:rPr>
          <w:rFonts w:ascii="Arial" w:eastAsia="Century Schoolbook" w:hAnsi="Arial" w:cs="Arial"/>
          <w:kern w:val="0"/>
          <w:lang w:eastAsia="en-US"/>
          <w14:ligatures w14:val="none"/>
        </w:rPr>
        <w:t xml:space="preserve">, A.M. and Goniewicz, K. (2023) ‘Resilience in Emergency Medicine during COVID-19: Evaluating Staff Expectations and Preparedness’, </w:t>
      </w:r>
      <w:r w:rsidRPr="00AC7BA4">
        <w:rPr>
          <w:rFonts w:ascii="Arial" w:eastAsia="Century Schoolbook" w:hAnsi="Arial" w:cs="Arial"/>
          <w:i/>
          <w:iCs/>
          <w:kern w:val="0"/>
          <w:lang w:eastAsia="en-US"/>
          <w14:ligatures w14:val="none"/>
        </w:rPr>
        <w:t>Journal of Personalized Medicine</w:t>
      </w:r>
      <w:r w:rsidRPr="00AC7BA4">
        <w:rPr>
          <w:rFonts w:ascii="Arial" w:eastAsia="Century Schoolbook" w:hAnsi="Arial" w:cs="Arial"/>
          <w:kern w:val="0"/>
          <w:lang w:eastAsia="en-US"/>
          <w14:ligatures w14:val="none"/>
        </w:rPr>
        <w:t xml:space="preserve">, 13(11), p. 1545. Available at: </w:t>
      </w:r>
      <w:hyperlink r:id="rId109" w:history="1">
        <w:r w:rsidRPr="00AC7BA4">
          <w:rPr>
            <w:rFonts w:ascii="Arial" w:eastAsia="Century Schoolbook" w:hAnsi="Arial" w:cs="Arial"/>
            <w:kern w:val="0"/>
            <w:lang w:eastAsia="en-US"/>
            <w14:ligatures w14:val="none"/>
          </w:rPr>
          <w:t>https://doi.org/10.3390/jpm13111545</w:t>
        </w:r>
      </w:hyperlink>
      <w:r w:rsidRPr="00AC7BA4">
        <w:rPr>
          <w:rFonts w:ascii="Arial" w:eastAsia="Century Schoolbook" w:hAnsi="Arial" w:cs="Arial"/>
          <w:kern w:val="0"/>
          <w:lang w:eastAsia="en-US"/>
          <w14:ligatures w14:val="none"/>
        </w:rPr>
        <w:t>.</w:t>
      </w:r>
    </w:p>
    <w:p w14:paraId="225CA00C"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Hanusch, F. and </w:t>
      </w:r>
      <w:proofErr w:type="spellStart"/>
      <w:r w:rsidRPr="00AC7BA4">
        <w:rPr>
          <w:rFonts w:ascii="Arial" w:eastAsia="Century Schoolbook" w:hAnsi="Arial" w:cs="Arial"/>
          <w:kern w:val="0"/>
          <w:lang w:eastAsia="en-US"/>
          <w14:ligatures w14:val="none"/>
        </w:rPr>
        <w:t>Löhmann</w:t>
      </w:r>
      <w:proofErr w:type="spellEnd"/>
      <w:r w:rsidRPr="00AC7BA4">
        <w:rPr>
          <w:rFonts w:ascii="Arial" w:eastAsia="Century Schoolbook" w:hAnsi="Arial" w:cs="Arial"/>
          <w:kern w:val="0"/>
          <w:lang w:eastAsia="en-US"/>
          <w14:ligatures w14:val="none"/>
        </w:rPr>
        <w:t xml:space="preserve">, K. (2022) ‘Dimensions of Peripherality in Journalism: A Typology for Studying New Actors in the Journalistic Field’, </w:t>
      </w:r>
      <w:r w:rsidRPr="00AC7BA4">
        <w:rPr>
          <w:rFonts w:ascii="Arial" w:eastAsia="Century Schoolbook" w:hAnsi="Arial" w:cs="Arial"/>
          <w:i/>
          <w:iCs/>
          <w:kern w:val="0"/>
          <w:lang w:eastAsia="en-US"/>
          <w14:ligatures w14:val="none"/>
        </w:rPr>
        <w:t>Digital Journalism</w:t>
      </w:r>
      <w:r w:rsidRPr="00AC7BA4">
        <w:rPr>
          <w:rFonts w:ascii="Arial" w:eastAsia="Century Schoolbook" w:hAnsi="Arial" w:cs="Arial"/>
          <w:kern w:val="0"/>
          <w:lang w:eastAsia="en-US"/>
          <w14:ligatures w14:val="none"/>
        </w:rPr>
        <w:t xml:space="preserve">, pp. 1–19. Available at: </w:t>
      </w:r>
      <w:hyperlink r:id="rId110" w:history="1">
        <w:r w:rsidRPr="00AC7BA4">
          <w:rPr>
            <w:rFonts w:ascii="Arial" w:eastAsia="Century Schoolbook" w:hAnsi="Arial" w:cs="Arial"/>
            <w:kern w:val="0"/>
            <w:lang w:eastAsia="en-US"/>
            <w14:ligatures w14:val="none"/>
          </w:rPr>
          <w:t>https://doi.org/10.1080/21670811.2022.2148549</w:t>
        </w:r>
      </w:hyperlink>
      <w:r w:rsidRPr="00AC7BA4">
        <w:rPr>
          <w:rFonts w:ascii="Arial" w:eastAsia="Century Schoolbook" w:hAnsi="Arial" w:cs="Arial"/>
          <w:kern w:val="0"/>
          <w:lang w:eastAsia="en-US"/>
          <w14:ligatures w14:val="none"/>
        </w:rPr>
        <w:t>.</w:t>
      </w:r>
    </w:p>
    <w:p w14:paraId="5674A108"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Khazaei, A., Torabi, M., </w:t>
      </w:r>
      <w:proofErr w:type="spellStart"/>
      <w:r w:rsidRPr="00AC7BA4">
        <w:rPr>
          <w:rFonts w:ascii="Arial" w:eastAsia="Century Schoolbook" w:hAnsi="Arial" w:cs="Arial"/>
          <w:kern w:val="0"/>
          <w:lang w:eastAsia="en-US"/>
          <w14:ligatures w14:val="none"/>
        </w:rPr>
        <w:t>Shayganihonar</w:t>
      </w:r>
      <w:proofErr w:type="spellEnd"/>
      <w:r w:rsidRPr="00AC7BA4">
        <w:rPr>
          <w:rFonts w:ascii="Arial" w:eastAsia="Century Schoolbook" w:hAnsi="Arial" w:cs="Arial"/>
          <w:kern w:val="0"/>
          <w:lang w:eastAsia="en-US"/>
          <w14:ligatures w14:val="none"/>
        </w:rPr>
        <w:t xml:space="preserve">, M. and Bayat, A.R. (2024) ‘Exploring the challenges of emergency medical service providers in the initial phase of the COVID-19 pandemic: a qualitative content analysis’, </w:t>
      </w:r>
      <w:r w:rsidRPr="00AC7BA4">
        <w:rPr>
          <w:rFonts w:ascii="Arial" w:eastAsia="Century Schoolbook" w:hAnsi="Arial" w:cs="Arial"/>
          <w:i/>
          <w:iCs/>
          <w:kern w:val="0"/>
          <w:lang w:eastAsia="en-US"/>
          <w14:ligatures w14:val="none"/>
        </w:rPr>
        <w:t>BMC Emergency Medicine</w:t>
      </w:r>
      <w:r w:rsidRPr="00AC7BA4">
        <w:rPr>
          <w:rFonts w:ascii="Arial" w:eastAsia="Century Schoolbook" w:hAnsi="Arial" w:cs="Arial"/>
          <w:kern w:val="0"/>
          <w:lang w:eastAsia="en-US"/>
          <w14:ligatures w14:val="none"/>
        </w:rPr>
        <w:t xml:space="preserve">, 24(1). Available at: </w:t>
      </w:r>
      <w:hyperlink r:id="rId111" w:history="1">
        <w:r w:rsidRPr="00AC7BA4">
          <w:rPr>
            <w:rFonts w:ascii="Arial" w:eastAsia="Century Schoolbook" w:hAnsi="Arial" w:cs="Arial"/>
            <w:kern w:val="0"/>
            <w:lang w:eastAsia="en-US"/>
            <w14:ligatures w14:val="none"/>
          </w:rPr>
          <w:t>https://doi.org/10.1186/s12873-024-01079-7</w:t>
        </w:r>
      </w:hyperlink>
      <w:r w:rsidRPr="00AC7BA4">
        <w:rPr>
          <w:rFonts w:ascii="Arial" w:eastAsia="Century Schoolbook" w:hAnsi="Arial" w:cs="Arial"/>
          <w:kern w:val="0"/>
          <w:lang w:eastAsia="en-US"/>
          <w14:ligatures w14:val="none"/>
        </w:rPr>
        <w:t>.</w:t>
      </w:r>
    </w:p>
    <w:p w14:paraId="5352A458"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Martin, P., Tian, E., Kumar, S. and Lizarondo, L. (2022) ‘A rapid review of the impact of COVID</w:t>
      </w:r>
      <w:r w:rsidRPr="00AC7BA4">
        <w:rPr>
          <w:rFonts w:ascii="Cambria Math" w:eastAsia="Century Schoolbook" w:hAnsi="Cambria Math" w:cs="Cambria Math"/>
          <w:kern w:val="0"/>
          <w:lang w:eastAsia="en-US"/>
          <w14:ligatures w14:val="none"/>
        </w:rPr>
        <w:t>‐</w:t>
      </w:r>
      <w:r w:rsidRPr="00AC7BA4">
        <w:rPr>
          <w:rFonts w:ascii="Arial" w:eastAsia="Century Schoolbook" w:hAnsi="Arial" w:cs="Arial"/>
          <w:kern w:val="0"/>
          <w:lang w:eastAsia="en-US"/>
          <w14:ligatures w14:val="none"/>
        </w:rPr>
        <w:t xml:space="preserve">19 on clinical supervision practices of healthcare workers and students in healthcare settings’, </w:t>
      </w:r>
      <w:r w:rsidRPr="00AC7BA4">
        <w:rPr>
          <w:rFonts w:ascii="Arial" w:eastAsia="Century Schoolbook" w:hAnsi="Arial" w:cs="Arial"/>
          <w:i/>
          <w:iCs/>
          <w:kern w:val="0"/>
          <w:lang w:eastAsia="en-US"/>
          <w14:ligatures w14:val="none"/>
        </w:rPr>
        <w:t>Journal of Advanced Nursing</w:t>
      </w:r>
      <w:r w:rsidRPr="00AC7BA4">
        <w:rPr>
          <w:rFonts w:ascii="Arial" w:eastAsia="Century Schoolbook" w:hAnsi="Arial" w:cs="Arial"/>
          <w:kern w:val="0"/>
          <w:lang w:eastAsia="en-US"/>
          <w14:ligatures w14:val="none"/>
        </w:rPr>
        <w:t xml:space="preserve">, 78(11), pp. 3531–3539. Available at: </w:t>
      </w:r>
      <w:hyperlink r:id="rId112" w:history="1">
        <w:r w:rsidRPr="00AC7BA4">
          <w:rPr>
            <w:rFonts w:ascii="Arial" w:eastAsia="Century Schoolbook" w:hAnsi="Arial" w:cs="Arial"/>
            <w:kern w:val="0"/>
            <w:lang w:eastAsia="en-US"/>
            <w14:ligatures w14:val="none"/>
          </w:rPr>
          <w:t>https://doi.org/10.1111/jan.15360</w:t>
        </w:r>
      </w:hyperlink>
      <w:r w:rsidRPr="00AC7BA4">
        <w:rPr>
          <w:rFonts w:ascii="Arial" w:eastAsia="Century Schoolbook" w:hAnsi="Arial" w:cs="Arial"/>
          <w:kern w:val="0"/>
          <w:lang w:eastAsia="en-US"/>
          <w14:ligatures w14:val="none"/>
        </w:rPr>
        <w:t>.</w:t>
      </w:r>
    </w:p>
    <w:p w14:paraId="2477A826"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Mattar, M.Y. (2022) ‘Combating Academic Corruption and Enhancing Academic Integrity through International Accreditation Standards: The Model of Qatar University’, </w:t>
      </w:r>
      <w:r w:rsidRPr="00AC7BA4">
        <w:rPr>
          <w:rFonts w:ascii="Arial" w:eastAsia="Century Schoolbook" w:hAnsi="Arial" w:cs="Arial"/>
          <w:i/>
          <w:iCs/>
          <w:kern w:val="0"/>
          <w:lang w:eastAsia="en-US"/>
          <w14:ligatures w14:val="none"/>
        </w:rPr>
        <w:t>Journal of Academic Ethics</w:t>
      </w:r>
      <w:r w:rsidRPr="00AC7BA4">
        <w:rPr>
          <w:rFonts w:ascii="Arial" w:eastAsia="Century Schoolbook" w:hAnsi="Arial" w:cs="Arial"/>
          <w:kern w:val="0"/>
          <w:lang w:eastAsia="en-US"/>
          <w14:ligatures w14:val="none"/>
        </w:rPr>
        <w:t xml:space="preserve">, 20. Available at: </w:t>
      </w:r>
      <w:hyperlink r:id="rId113" w:history="1">
        <w:r w:rsidRPr="00AC7BA4">
          <w:rPr>
            <w:rFonts w:ascii="Arial" w:eastAsia="Century Schoolbook" w:hAnsi="Arial" w:cs="Arial"/>
            <w:kern w:val="0"/>
            <w:lang w:eastAsia="en-US"/>
            <w14:ligatures w14:val="none"/>
          </w:rPr>
          <w:t>https://doi.org/10.1007/s10805-021-09392-7</w:t>
        </w:r>
      </w:hyperlink>
      <w:r w:rsidRPr="00AC7BA4">
        <w:rPr>
          <w:rFonts w:ascii="Arial" w:eastAsia="Century Schoolbook" w:hAnsi="Arial" w:cs="Arial"/>
          <w:kern w:val="0"/>
          <w:lang w:eastAsia="en-US"/>
          <w14:ligatures w14:val="none"/>
        </w:rPr>
        <w:t>.</w:t>
      </w:r>
    </w:p>
    <w:p w14:paraId="1D7A8E07"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Munasinghe, D. and Ranasinghe, S. (2023) ‘How to conduct a literature review effectively using effective searching techniques’, </w:t>
      </w:r>
      <w:r w:rsidRPr="00AC7BA4">
        <w:rPr>
          <w:rFonts w:ascii="Arial" w:eastAsia="Century Schoolbook" w:hAnsi="Arial" w:cs="Arial"/>
          <w:i/>
          <w:iCs/>
          <w:kern w:val="0"/>
          <w:lang w:eastAsia="en-US"/>
          <w14:ligatures w14:val="none"/>
        </w:rPr>
        <w:t>The Sri Lankan Journal of Orthopaedic Surgery</w:t>
      </w:r>
      <w:r w:rsidRPr="00AC7BA4">
        <w:rPr>
          <w:rFonts w:ascii="Arial" w:eastAsia="Century Schoolbook" w:hAnsi="Arial" w:cs="Arial"/>
          <w:kern w:val="0"/>
          <w:lang w:eastAsia="en-US"/>
          <w14:ligatures w14:val="none"/>
        </w:rPr>
        <w:t xml:space="preserve">, 9(1), pp. 34–39. Available at: </w:t>
      </w:r>
      <w:hyperlink r:id="rId114" w:history="1">
        <w:r w:rsidRPr="00AC7BA4">
          <w:rPr>
            <w:rFonts w:ascii="Arial" w:eastAsia="Century Schoolbook" w:hAnsi="Arial" w:cs="Arial"/>
            <w:kern w:val="0"/>
            <w:lang w:eastAsia="en-US"/>
            <w14:ligatures w14:val="none"/>
          </w:rPr>
          <w:t>https://doi.org/10.4038/tsljos.v9i1.23</w:t>
        </w:r>
      </w:hyperlink>
      <w:r w:rsidRPr="00AC7BA4">
        <w:rPr>
          <w:rFonts w:ascii="Arial" w:eastAsia="Century Schoolbook" w:hAnsi="Arial" w:cs="Arial"/>
          <w:kern w:val="0"/>
          <w:lang w:eastAsia="en-US"/>
          <w14:ligatures w14:val="none"/>
        </w:rPr>
        <w:t>.</w:t>
      </w:r>
    </w:p>
    <w:p w14:paraId="01A75C51" w14:textId="77777777" w:rsidR="00AC7BA4" w:rsidRP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lastRenderedPageBreak/>
        <w:t xml:space="preserve">Pearse, C. and Scott, S. (2023) ‘A Review of Clinical Laboratory Education, Training and Progression: Historical Challenges, the Impact of COVID-19 and Future Considerations’, </w:t>
      </w:r>
      <w:r w:rsidRPr="00AC7BA4">
        <w:rPr>
          <w:rFonts w:ascii="Arial" w:eastAsia="Century Schoolbook" w:hAnsi="Arial" w:cs="Arial"/>
          <w:i/>
          <w:iCs/>
          <w:kern w:val="0"/>
          <w:lang w:eastAsia="en-US"/>
          <w14:ligatures w14:val="none"/>
        </w:rPr>
        <w:t>British Journal of Biomedical Science</w:t>
      </w:r>
      <w:r w:rsidRPr="00AC7BA4">
        <w:rPr>
          <w:rFonts w:ascii="Arial" w:eastAsia="Century Schoolbook" w:hAnsi="Arial" w:cs="Arial"/>
          <w:kern w:val="0"/>
          <w:lang w:eastAsia="en-US"/>
          <w14:ligatures w14:val="none"/>
        </w:rPr>
        <w:t xml:space="preserve">, 80. Available at: </w:t>
      </w:r>
      <w:hyperlink r:id="rId115" w:history="1">
        <w:r w:rsidRPr="00AC7BA4">
          <w:rPr>
            <w:rFonts w:ascii="Arial" w:eastAsia="Century Schoolbook" w:hAnsi="Arial" w:cs="Arial"/>
            <w:kern w:val="0"/>
            <w:lang w:eastAsia="en-US"/>
            <w14:ligatures w14:val="none"/>
          </w:rPr>
          <w:t>https://doi.org/10.3389/bjbs.2023.11266</w:t>
        </w:r>
      </w:hyperlink>
      <w:r w:rsidRPr="00AC7BA4">
        <w:rPr>
          <w:rFonts w:ascii="Arial" w:eastAsia="Century Schoolbook" w:hAnsi="Arial" w:cs="Arial"/>
          <w:kern w:val="0"/>
          <w:lang w:eastAsia="en-US"/>
          <w14:ligatures w14:val="none"/>
        </w:rPr>
        <w:t>.</w:t>
      </w:r>
    </w:p>
    <w:p w14:paraId="0C8D44A1" w14:textId="77777777" w:rsidR="00AC7BA4" w:rsidRDefault="00AC7BA4" w:rsidP="00AC7BA4">
      <w:pPr>
        <w:widowControl w:val="0"/>
        <w:autoSpaceDE w:val="0"/>
        <w:autoSpaceDN w:val="0"/>
        <w:adjustRightInd w:val="0"/>
        <w:spacing w:before="240" w:after="0"/>
        <w:rPr>
          <w:rFonts w:ascii="Arial" w:eastAsia="Century Schoolbook" w:hAnsi="Arial" w:cs="Arial"/>
          <w:kern w:val="0"/>
          <w:lang w:eastAsia="en-US"/>
          <w14:ligatures w14:val="none"/>
        </w:rPr>
      </w:pPr>
      <w:r w:rsidRPr="00AC7BA4">
        <w:rPr>
          <w:rFonts w:ascii="Arial" w:eastAsia="Century Schoolbook" w:hAnsi="Arial" w:cs="Arial"/>
          <w:kern w:val="0"/>
          <w:lang w:eastAsia="en-US"/>
          <w14:ligatures w14:val="none"/>
        </w:rPr>
        <w:t xml:space="preserve">Rosen, R.K., Gainey, M., Sabiha Nasrin, </w:t>
      </w:r>
      <w:proofErr w:type="spellStart"/>
      <w:r w:rsidRPr="00AC7BA4">
        <w:rPr>
          <w:rFonts w:ascii="Arial" w:eastAsia="Century Schoolbook" w:hAnsi="Arial" w:cs="Arial"/>
          <w:kern w:val="0"/>
          <w:lang w:eastAsia="en-US"/>
          <w14:ligatures w14:val="none"/>
        </w:rPr>
        <w:t>Garbern</w:t>
      </w:r>
      <w:proofErr w:type="spellEnd"/>
      <w:r w:rsidRPr="00AC7BA4">
        <w:rPr>
          <w:rFonts w:ascii="Arial" w:eastAsia="Century Schoolbook" w:hAnsi="Arial" w:cs="Arial"/>
          <w:kern w:val="0"/>
          <w:lang w:eastAsia="en-US"/>
          <w14:ligatures w14:val="none"/>
        </w:rPr>
        <w:t xml:space="preserve">, S.C., </w:t>
      </w:r>
      <w:proofErr w:type="spellStart"/>
      <w:r w:rsidRPr="00AC7BA4">
        <w:rPr>
          <w:rFonts w:ascii="Arial" w:eastAsia="Century Schoolbook" w:hAnsi="Arial" w:cs="Arial"/>
          <w:kern w:val="0"/>
          <w:lang w:eastAsia="en-US"/>
          <w14:ligatures w14:val="none"/>
        </w:rPr>
        <w:t>Lantini</w:t>
      </w:r>
      <w:proofErr w:type="spellEnd"/>
      <w:r w:rsidRPr="00AC7BA4">
        <w:rPr>
          <w:rFonts w:ascii="Arial" w:eastAsia="Century Schoolbook" w:hAnsi="Arial" w:cs="Arial"/>
          <w:kern w:val="0"/>
          <w:lang w:eastAsia="en-US"/>
          <w14:ligatures w14:val="none"/>
        </w:rPr>
        <w:t xml:space="preserve">, R., Nour </w:t>
      </w:r>
      <w:proofErr w:type="spellStart"/>
      <w:r w:rsidRPr="00AC7BA4">
        <w:rPr>
          <w:rFonts w:ascii="Arial" w:eastAsia="Century Schoolbook" w:hAnsi="Arial" w:cs="Arial"/>
          <w:kern w:val="0"/>
          <w:lang w:eastAsia="en-US"/>
          <w14:ligatures w14:val="none"/>
        </w:rPr>
        <w:t>Elshabassi</w:t>
      </w:r>
      <w:proofErr w:type="spellEnd"/>
      <w:r w:rsidRPr="00AC7BA4">
        <w:rPr>
          <w:rFonts w:ascii="Arial" w:eastAsia="Century Schoolbook" w:hAnsi="Arial" w:cs="Arial"/>
          <w:kern w:val="0"/>
          <w:lang w:eastAsia="en-US"/>
          <w14:ligatures w14:val="none"/>
        </w:rPr>
        <w:t xml:space="preserve">, Sultana, S., Tahmida Hasnin, Alam, N.H., Nelson, E.J. and Levine, A.C. (2023) ‘Use of Framework Matrix and Thematic Coding Methods in Qualitative Analysis for mHealth: The </w:t>
      </w:r>
      <w:proofErr w:type="spellStart"/>
      <w:r w:rsidRPr="00AC7BA4">
        <w:rPr>
          <w:rFonts w:ascii="Arial" w:eastAsia="Century Schoolbook" w:hAnsi="Arial" w:cs="Arial"/>
          <w:kern w:val="0"/>
          <w:lang w:eastAsia="en-US"/>
          <w14:ligatures w14:val="none"/>
        </w:rPr>
        <w:t>FluidCalc</w:t>
      </w:r>
      <w:proofErr w:type="spellEnd"/>
      <w:r w:rsidRPr="00AC7BA4">
        <w:rPr>
          <w:rFonts w:ascii="Arial" w:eastAsia="Century Schoolbook" w:hAnsi="Arial" w:cs="Arial"/>
          <w:kern w:val="0"/>
          <w:lang w:eastAsia="en-US"/>
          <w14:ligatures w14:val="none"/>
        </w:rPr>
        <w:t xml:space="preserve"> app’, </w:t>
      </w:r>
      <w:r w:rsidRPr="00AC7BA4">
        <w:rPr>
          <w:rFonts w:ascii="Arial" w:eastAsia="Century Schoolbook" w:hAnsi="Arial" w:cs="Arial"/>
          <w:i/>
          <w:iCs/>
          <w:kern w:val="0"/>
          <w:lang w:eastAsia="en-US"/>
          <w14:ligatures w14:val="none"/>
        </w:rPr>
        <w:t>International journal of qualitative methods</w:t>
      </w:r>
      <w:r w:rsidRPr="00AC7BA4">
        <w:rPr>
          <w:rFonts w:ascii="Arial" w:eastAsia="Century Schoolbook" w:hAnsi="Arial" w:cs="Arial"/>
          <w:kern w:val="0"/>
          <w:lang w:eastAsia="en-US"/>
          <w14:ligatures w14:val="none"/>
        </w:rPr>
        <w:t xml:space="preserve">, 22. Available at: </w:t>
      </w:r>
      <w:hyperlink r:id="rId116" w:history="1">
        <w:r w:rsidRPr="00AC7BA4">
          <w:rPr>
            <w:rFonts w:ascii="Arial" w:eastAsia="Century Schoolbook" w:hAnsi="Arial" w:cs="Arial"/>
            <w:kern w:val="0"/>
            <w:lang w:eastAsia="en-US"/>
            <w14:ligatures w14:val="none"/>
          </w:rPr>
          <w:t>https://doi.org/10.1177/16094069231184123</w:t>
        </w:r>
      </w:hyperlink>
      <w:r w:rsidRPr="00AC7BA4">
        <w:rPr>
          <w:rFonts w:ascii="Arial" w:eastAsia="Century Schoolbook" w:hAnsi="Arial" w:cs="Arial"/>
          <w:kern w:val="0"/>
          <w:lang w:eastAsia="en-US"/>
          <w14:ligatures w14:val="none"/>
        </w:rPr>
        <w:t>.</w:t>
      </w:r>
    </w:p>
    <w:p w14:paraId="719ECE21"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Brightwell, A. and Grant, J. (2022) ‘Competency-based training: who benefits?’ </w:t>
      </w:r>
      <w:r w:rsidRPr="00600D52">
        <w:rPr>
          <w:rFonts w:ascii="Arial" w:eastAsia="Times New Roman" w:hAnsi="Arial" w:cs="Arial"/>
          <w:i/>
          <w:iCs/>
          <w:kern w:val="0"/>
          <w:lang w:eastAsia="en-US"/>
          <w14:ligatures w14:val="none"/>
        </w:rPr>
        <w:t>Postgraduate Medical Journal</w:t>
      </w:r>
      <w:r w:rsidRPr="00600D52">
        <w:rPr>
          <w:rFonts w:ascii="Arial" w:eastAsia="Times New Roman" w:hAnsi="Arial" w:cs="Arial"/>
          <w:kern w:val="0"/>
          <w:lang w:eastAsia="en-US"/>
          <w14:ligatures w14:val="none"/>
        </w:rPr>
        <w:t xml:space="preserve">, 89(1048), pp.107–110. Available at: </w:t>
      </w:r>
      <w:hyperlink r:id="rId117" w:history="1">
        <w:r w:rsidRPr="00600D52">
          <w:rPr>
            <w:rFonts w:ascii="Arial" w:eastAsia="Times New Roman" w:hAnsi="Arial" w:cs="Arial"/>
            <w:color w:val="0563C1"/>
            <w:kern w:val="0"/>
            <w:u w:val="single"/>
            <w:lang w:eastAsia="en-US"/>
            <w14:ligatures w14:val="none"/>
          </w:rPr>
          <w:t>https://doi.org/10.1136/postgradmedj-2012-130881</w:t>
        </w:r>
      </w:hyperlink>
      <w:r w:rsidRPr="00600D52">
        <w:rPr>
          <w:rFonts w:ascii="Arial" w:eastAsia="Times New Roman" w:hAnsi="Arial" w:cs="Arial"/>
          <w:kern w:val="0"/>
          <w:lang w:eastAsia="en-US"/>
          <w14:ligatures w14:val="none"/>
        </w:rPr>
        <w:t xml:space="preserve"> </w:t>
      </w:r>
    </w:p>
    <w:p w14:paraId="7456B741"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Burau, V., Falkenbach, M., Neri, S., Peckham, S., Wallenburg, I. and Kuhlmann, E. (2022) ‘Health system resilience and health workforce capacities: Comparing health system responses during the COVID</w:t>
      </w:r>
      <w:r w:rsidRPr="00600D52">
        <w:rPr>
          <w:rFonts w:ascii="Cambria Math" w:eastAsia="Century Schoolbook" w:hAnsi="Cambria Math" w:cs="Cambria Math"/>
          <w:kern w:val="0"/>
          <w:lang w:eastAsia="en-US"/>
          <w14:ligatures w14:val="none"/>
        </w:rPr>
        <w:t>‐</w:t>
      </w:r>
      <w:r w:rsidRPr="00600D52">
        <w:rPr>
          <w:rFonts w:ascii="Arial" w:eastAsia="Century Schoolbook" w:hAnsi="Arial" w:cs="Arial"/>
          <w:kern w:val="0"/>
          <w:lang w:eastAsia="en-US"/>
          <w14:ligatures w14:val="none"/>
        </w:rPr>
        <w:t xml:space="preserve">19 pandemic in six European countries’, </w:t>
      </w:r>
      <w:r w:rsidRPr="00600D52">
        <w:rPr>
          <w:rFonts w:ascii="Arial" w:eastAsia="Century Schoolbook" w:hAnsi="Arial" w:cs="Arial"/>
          <w:i/>
          <w:iCs/>
          <w:kern w:val="0"/>
          <w:lang w:eastAsia="en-US"/>
          <w14:ligatures w14:val="none"/>
        </w:rPr>
        <w:t>The International Journal of Health Planning and Management</w:t>
      </w:r>
      <w:r w:rsidRPr="00600D52">
        <w:rPr>
          <w:rFonts w:ascii="Arial" w:eastAsia="Century Schoolbook" w:hAnsi="Arial" w:cs="Arial"/>
          <w:kern w:val="0"/>
          <w:lang w:eastAsia="en-US"/>
          <w14:ligatures w14:val="none"/>
        </w:rPr>
        <w:t xml:space="preserve">, 37(4). Available at: </w:t>
      </w:r>
      <w:hyperlink r:id="rId118" w:history="1">
        <w:r w:rsidRPr="00600D52">
          <w:rPr>
            <w:rFonts w:ascii="Arial" w:eastAsia="Century Schoolbook" w:hAnsi="Arial" w:cs="Arial"/>
            <w:kern w:val="0"/>
            <w:lang w:eastAsia="en-US"/>
            <w14:ligatures w14:val="none"/>
          </w:rPr>
          <w:t>https://doi.org/10.1002/hpm.3446</w:t>
        </w:r>
      </w:hyperlink>
      <w:r w:rsidRPr="00600D52">
        <w:rPr>
          <w:rFonts w:ascii="Arial" w:eastAsia="Century Schoolbook" w:hAnsi="Arial" w:cs="Arial"/>
          <w:kern w:val="0"/>
          <w:lang w:eastAsia="en-US"/>
          <w14:ligatures w14:val="none"/>
        </w:rPr>
        <w:t>.</w:t>
      </w:r>
    </w:p>
    <w:p w14:paraId="3DC12EC7"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Camilleri, M., Zhang, X., Norris, M., Monkhouse, A., Harvey, A., Wiseman, A., Sinha, P., Hemsley, A., Tang, S., Menon, A., </w:t>
      </w:r>
      <w:proofErr w:type="spellStart"/>
      <w:r w:rsidRPr="00600D52">
        <w:rPr>
          <w:rFonts w:ascii="Arial" w:eastAsia="Century Schoolbook" w:hAnsi="Arial" w:cs="Arial"/>
          <w:kern w:val="0"/>
          <w:lang w:eastAsia="en-US"/>
          <w14:ligatures w14:val="none"/>
        </w:rPr>
        <w:t>Sinmayee</w:t>
      </w:r>
      <w:proofErr w:type="spellEnd"/>
      <w:r w:rsidRPr="00600D52">
        <w:rPr>
          <w:rFonts w:ascii="Arial" w:eastAsia="Century Schoolbook" w:hAnsi="Arial" w:cs="Arial"/>
          <w:kern w:val="0"/>
          <w:lang w:eastAsia="en-US"/>
          <w14:ligatures w14:val="none"/>
        </w:rPr>
        <w:t xml:space="preserve">, S., Jones, M., Buckley, J., Johnson, R., Medici, T. and Corner, E. (2022) ‘Covid-19 ICU remote-learning course (CIRLC): Rapid ICU remote training for frontline health professionals during the COVID-19 pandemic in the UK’, </w:t>
      </w:r>
      <w:r w:rsidRPr="00600D52">
        <w:rPr>
          <w:rFonts w:ascii="Arial" w:eastAsia="Century Schoolbook" w:hAnsi="Arial" w:cs="Arial"/>
          <w:i/>
          <w:iCs/>
          <w:kern w:val="0"/>
          <w:lang w:eastAsia="en-US"/>
          <w14:ligatures w14:val="none"/>
        </w:rPr>
        <w:t>Journal of the Intensive Care Society</w:t>
      </w:r>
      <w:r w:rsidRPr="00600D52">
        <w:rPr>
          <w:rFonts w:ascii="Arial" w:eastAsia="Century Schoolbook" w:hAnsi="Arial" w:cs="Arial"/>
          <w:kern w:val="0"/>
          <w:lang w:eastAsia="en-US"/>
          <w14:ligatures w14:val="none"/>
        </w:rPr>
        <w:t xml:space="preserve">, p. 175114372097263. Available at: </w:t>
      </w:r>
      <w:hyperlink r:id="rId119" w:history="1">
        <w:r w:rsidRPr="00600D52">
          <w:rPr>
            <w:rFonts w:ascii="Arial" w:eastAsia="Century Schoolbook" w:hAnsi="Arial" w:cs="Arial"/>
            <w:kern w:val="0"/>
            <w:lang w:eastAsia="en-US"/>
            <w14:ligatures w14:val="none"/>
          </w:rPr>
          <w:t>https://doi.org/10.1177/1751143720972630</w:t>
        </w:r>
      </w:hyperlink>
      <w:r w:rsidRPr="00600D52">
        <w:rPr>
          <w:rFonts w:ascii="Arial" w:eastAsia="Century Schoolbook" w:hAnsi="Arial" w:cs="Arial"/>
          <w:kern w:val="0"/>
          <w:lang w:eastAsia="en-US"/>
          <w14:ligatures w14:val="none"/>
        </w:rPr>
        <w:t>.</w:t>
      </w:r>
    </w:p>
    <w:p w14:paraId="372C4D01"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Clarke, V. and Braun, V. (2020) ‘Thematic Analysis.’ </w:t>
      </w:r>
      <w:r w:rsidRPr="00600D52">
        <w:rPr>
          <w:rFonts w:ascii="Arial" w:eastAsia="Times New Roman" w:hAnsi="Arial" w:cs="Arial"/>
          <w:i/>
          <w:iCs/>
          <w:kern w:val="0"/>
          <w:lang w:eastAsia="en-US"/>
          <w14:ligatures w14:val="none"/>
        </w:rPr>
        <w:t>The Journal of Positive Psychology</w:t>
      </w:r>
      <w:r w:rsidRPr="00600D52">
        <w:rPr>
          <w:rFonts w:ascii="Arial" w:eastAsia="Times New Roman" w:hAnsi="Arial" w:cs="Arial"/>
          <w:kern w:val="0"/>
          <w:lang w:eastAsia="en-US"/>
          <w14:ligatures w14:val="none"/>
        </w:rPr>
        <w:t xml:space="preserve">, 12(3), pp.297–298. Available at: </w:t>
      </w:r>
      <w:hyperlink r:id="rId120" w:history="1">
        <w:r w:rsidRPr="00600D52">
          <w:rPr>
            <w:rFonts w:ascii="Arial" w:eastAsia="Times New Roman" w:hAnsi="Arial" w:cs="Arial"/>
            <w:color w:val="0563C1"/>
            <w:kern w:val="0"/>
            <w:u w:val="single"/>
            <w:lang w:eastAsia="en-US"/>
            <w14:ligatures w14:val="none"/>
          </w:rPr>
          <w:t>https://doi.org/10.1080/17439760.2016.1262613</w:t>
        </w:r>
      </w:hyperlink>
      <w:r w:rsidRPr="00600D52">
        <w:rPr>
          <w:rFonts w:ascii="Arial" w:eastAsia="Times New Roman" w:hAnsi="Arial" w:cs="Arial"/>
          <w:kern w:val="0"/>
          <w:lang w:eastAsia="en-US"/>
          <w14:ligatures w14:val="none"/>
        </w:rPr>
        <w:t xml:space="preserve"> </w:t>
      </w:r>
    </w:p>
    <w:p w14:paraId="3992E87E"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Dib, K. and </w:t>
      </w:r>
      <w:proofErr w:type="spellStart"/>
      <w:r w:rsidRPr="00600D52">
        <w:rPr>
          <w:rFonts w:ascii="Arial" w:eastAsia="Century Schoolbook" w:hAnsi="Arial" w:cs="Arial"/>
          <w:kern w:val="0"/>
          <w:lang w:eastAsia="en-US"/>
          <w14:ligatures w14:val="none"/>
        </w:rPr>
        <w:t>Belrhiti</w:t>
      </w:r>
      <w:proofErr w:type="spellEnd"/>
      <w:r w:rsidRPr="00600D52">
        <w:rPr>
          <w:rFonts w:ascii="Arial" w:eastAsia="Century Schoolbook" w:hAnsi="Arial" w:cs="Arial"/>
          <w:kern w:val="0"/>
          <w:lang w:eastAsia="en-US"/>
          <w14:ligatures w14:val="none"/>
        </w:rPr>
        <w:t xml:space="preserve">, Z. (2025) ‘Unpacking the black box of interprofessional collaboration within healthcare networks: a scoping review’, </w:t>
      </w:r>
      <w:r w:rsidRPr="00600D52">
        <w:rPr>
          <w:rFonts w:ascii="Arial" w:eastAsia="Century Schoolbook" w:hAnsi="Arial" w:cs="Arial"/>
          <w:i/>
          <w:iCs/>
          <w:kern w:val="0"/>
          <w:lang w:eastAsia="en-US"/>
          <w14:ligatures w14:val="none"/>
        </w:rPr>
        <w:t>BMJ Open</w:t>
      </w:r>
      <w:r w:rsidRPr="00600D52">
        <w:rPr>
          <w:rFonts w:ascii="Arial" w:eastAsia="Century Schoolbook" w:hAnsi="Arial" w:cs="Arial"/>
          <w:kern w:val="0"/>
          <w:lang w:eastAsia="en-US"/>
          <w14:ligatures w14:val="none"/>
        </w:rPr>
        <w:t xml:space="preserve">, 15(6), p. e101702. Available at: </w:t>
      </w:r>
      <w:hyperlink r:id="rId121" w:history="1">
        <w:r w:rsidRPr="00600D52">
          <w:rPr>
            <w:rFonts w:ascii="Arial" w:eastAsia="Century Schoolbook" w:hAnsi="Arial" w:cs="Arial"/>
            <w:kern w:val="0"/>
            <w:lang w:eastAsia="en-US"/>
            <w14:ligatures w14:val="none"/>
          </w:rPr>
          <w:t>https://doi.org/10.1136/bmjopen-2025-101702</w:t>
        </w:r>
      </w:hyperlink>
      <w:r w:rsidRPr="00600D52">
        <w:rPr>
          <w:rFonts w:ascii="Arial" w:eastAsia="Century Schoolbook" w:hAnsi="Arial" w:cs="Arial"/>
          <w:kern w:val="0"/>
          <w:lang w:eastAsia="en-US"/>
          <w14:ligatures w14:val="none"/>
        </w:rPr>
        <w:t>.</w:t>
      </w:r>
    </w:p>
    <w:p w14:paraId="53EE0E67"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Faisal, A. and Saleh, F. (2024) ‘Nursing Practice </w:t>
      </w:r>
      <w:proofErr w:type="gramStart"/>
      <w:r w:rsidRPr="00600D52">
        <w:rPr>
          <w:rFonts w:ascii="Arial" w:eastAsia="Century Schoolbook" w:hAnsi="Arial" w:cs="Arial"/>
          <w:kern w:val="0"/>
          <w:lang w:eastAsia="en-US"/>
          <w14:ligatures w14:val="none"/>
        </w:rPr>
        <w:t>In</w:t>
      </w:r>
      <w:proofErr w:type="gramEnd"/>
      <w:r w:rsidRPr="00600D52">
        <w:rPr>
          <w:rFonts w:ascii="Arial" w:eastAsia="Century Schoolbook" w:hAnsi="Arial" w:cs="Arial"/>
          <w:kern w:val="0"/>
          <w:lang w:eastAsia="en-US"/>
          <w14:ligatures w14:val="none"/>
        </w:rPr>
        <w:t xml:space="preserve"> Emergency Care Settings: Evidence-Based Approaches’, </w:t>
      </w:r>
      <w:r w:rsidRPr="00600D52">
        <w:rPr>
          <w:rFonts w:ascii="Arial" w:eastAsia="Century Schoolbook" w:hAnsi="Arial" w:cs="Arial"/>
          <w:i/>
          <w:iCs/>
          <w:kern w:val="0"/>
          <w:lang w:eastAsia="en-US"/>
          <w14:ligatures w14:val="none"/>
        </w:rPr>
        <w:t xml:space="preserve">The Review of Diabetic </w:t>
      </w:r>
      <w:proofErr w:type="gramStart"/>
      <w:r w:rsidRPr="00600D52">
        <w:rPr>
          <w:rFonts w:ascii="Arial" w:eastAsia="Century Schoolbook" w:hAnsi="Arial" w:cs="Arial"/>
          <w:i/>
          <w:iCs/>
          <w:kern w:val="0"/>
          <w:lang w:eastAsia="en-US"/>
          <w14:ligatures w14:val="none"/>
        </w:rPr>
        <w:t xml:space="preserve">Studies </w:t>
      </w:r>
      <w:r w:rsidRPr="00600D52">
        <w:rPr>
          <w:rFonts w:ascii="Arial" w:eastAsia="Century Schoolbook" w:hAnsi="Arial" w:cs="Arial"/>
          <w:kern w:val="0"/>
          <w:lang w:eastAsia="en-US"/>
          <w14:ligatures w14:val="none"/>
        </w:rPr>
        <w:t>,</w:t>
      </w:r>
      <w:proofErr w:type="gramEnd"/>
      <w:r w:rsidRPr="00600D52">
        <w:rPr>
          <w:rFonts w:ascii="Arial" w:eastAsia="Century Schoolbook" w:hAnsi="Arial" w:cs="Arial"/>
          <w:kern w:val="0"/>
          <w:lang w:eastAsia="en-US"/>
          <w14:ligatures w14:val="none"/>
        </w:rPr>
        <w:t xml:space="preserve"> pp. 253–268. Available at: </w:t>
      </w:r>
      <w:hyperlink r:id="rId122" w:history="1">
        <w:r w:rsidRPr="00600D52">
          <w:rPr>
            <w:rFonts w:ascii="Arial" w:eastAsia="Century Schoolbook" w:hAnsi="Arial" w:cs="Arial"/>
            <w:kern w:val="0"/>
            <w:lang w:eastAsia="en-US"/>
            <w14:ligatures w14:val="none"/>
          </w:rPr>
          <w:t>https://doi.org/10.70082/1q6pfy61</w:t>
        </w:r>
      </w:hyperlink>
      <w:r w:rsidRPr="00600D52">
        <w:rPr>
          <w:rFonts w:ascii="Arial" w:eastAsia="Century Schoolbook" w:hAnsi="Arial" w:cs="Arial"/>
          <w:kern w:val="0"/>
          <w:lang w:eastAsia="en-US"/>
          <w14:ligatures w14:val="none"/>
        </w:rPr>
        <w:t>.</w:t>
      </w:r>
    </w:p>
    <w:p w14:paraId="6EAB5D15"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Faulkner-Gurstein, R., Wyatt, D., Cowan, H., Hare, N., Harris, C. and Wolfe, C. (2022) ‘The </w:t>
      </w:r>
      <w:r w:rsidRPr="00600D52">
        <w:rPr>
          <w:rFonts w:ascii="Arial" w:eastAsia="Century Schoolbook" w:hAnsi="Arial" w:cs="Arial"/>
          <w:kern w:val="0"/>
          <w:lang w:eastAsia="en-US"/>
          <w14:ligatures w14:val="none"/>
        </w:rPr>
        <w:lastRenderedPageBreak/>
        <w:t xml:space="preserve">organization and impacts of clinical research delivery workforce redeployment during the COVID-19 pandemic: a qualitative case study of one research-intensive acute hospital trust’, </w:t>
      </w:r>
      <w:r w:rsidRPr="00600D52">
        <w:rPr>
          <w:rFonts w:ascii="Arial" w:eastAsia="Century Schoolbook" w:hAnsi="Arial" w:cs="Arial"/>
          <w:i/>
          <w:iCs/>
          <w:kern w:val="0"/>
          <w:lang w:eastAsia="en-US"/>
          <w14:ligatures w14:val="none"/>
        </w:rPr>
        <w:t>Health Research Policy and Systems</w:t>
      </w:r>
      <w:r w:rsidRPr="00600D52">
        <w:rPr>
          <w:rFonts w:ascii="Arial" w:eastAsia="Century Schoolbook" w:hAnsi="Arial" w:cs="Arial"/>
          <w:kern w:val="0"/>
          <w:lang w:eastAsia="en-US"/>
          <w14:ligatures w14:val="none"/>
        </w:rPr>
        <w:t xml:space="preserve">, 20(1). Available at: </w:t>
      </w:r>
      <w:hyperlink r:id="rId123" w:history="1">
        <w:r w:rsidRPr="00600D52">
          <w:rPr>
            <w:rFonts w:ascii="Arial" w:eastAsia="Century Schoolbook" w:hAnsi="Arial" w:cs="Arial"/>
            <w:kern w:val="0"/>
            <w:lang w:eastAsia="en-US"/>
            <w14:ligatures w14:val="none"/>
          </w:rPr>
          <w:t>https://doi.org/10.1186/s12961-022-00876-5</w:t>
        </w:r>
      </w:hyperlink>
      <w:r w:rsidRPr="00600D52">
        <w:rPr>
          <w:rFonts w:ascii="Arial" w:eastAsia="Century Schoolbook" w:hAnsi="Arial" w:cs="Arial"/>
          <w:kern w:val="0"/>
          <w:lang w:eastAsia="en-US"/>
          <w14:ligatures w14:val="none"/>
        </w:rPr>
        <w:t>.</w:t>
      </w:r>
    </w:p>
    <w:p w14:paraId="3F1EDC66"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Gottlieb, M., Chan, T.M., Zaver, F. and </w:t>
      </w:r>
      <w:proofErr w:type="spellStart"/>
      <w:r w:rsidRPr="00600D52">
        <w:rPr>
          <w:rFonts w:ascii="Arial" w:eastAsia="Times New Roman" w:hAnsi="Arial" w:cs="Arial"/>
          <w:kern w:val="0"/>
          <w:lang w:eastAsia="en-US"/>
          <w14:ligatures w14:val="none"/>
        </w:rPr>
        <w:t>Ellaway</w:t>
      </w:r>
      <w:proofErr w:type="spellEnd"/>
      <w:r w:rsidRPr="00600D52">
        <w:rPr>
          <w:rFonts w:ascii="Arial" w:eastAsia="Times New Roman" w:hAnsi="Arial" w:cs="Arial"/>
          <w:kern w:val="0"/>
          <w:lang w:eastAsia="en-US"/>
          <w14:ligatures w14:val="none"/>
        </w:rPr>
        <w:t>, R. (2021) ‘Confidence</w:t>
      </w:r>
      <w:r w:rsidRPr="00600D52">
        <w:rPr>
          <w:rFonts w:ascii="Cambria Math" w:eastAsia="Times New Roman" w:hAnsi="Cambria Math" w:cs="Cambria Math"/>
          <w:kern w:val="0"/>
          <w:lang w:eastAsia="en-US"/>
          <w14:ligatures w14:val="none"/>
        </w:rPr>
        <w:t>‐</w:t>
      </w:r>
      <w:r w:rsidRPr="00600D52">
        <w:rPr>
          <w:rFonts w:ascii="Arial" w:eastAsia="Times New Roman" w:hAnsi="Arial" w:cs="Arial"/>
          <w:kern w:val="0"/>
          <w:lang w:eastAsia="en-US"/>
          <w14:ligatures w14:val="none"/>
        </w:rPr>
        <w:t>competence alignment and the role of self</w:t>
      </w:r>
      <w:r w:rsidRPr="00600D52">
        <w:rPr>
          <w:rFonts w:ascii="Cambria Math" w:eastAsia="Times New Roman" w:hAnsi="Cambria Math" w:cs="Cambria Math"/>
          <w:kern w:val="0"/>
          <w:lang w:eastAsia="en-US"/>
          <w14:ligatures w14:val="none"/>
        </w:rPr>
        <w:t>‐</w:t>
      </w:r>
      <w:r w:rsidRPr="00600D52">
        <w:rPr>
          <w:rFonts w:ascii="Arial" w:eastAsia="Times New Roman" w:hAnsi="Arial" w:cs="Arial"/>
          <w:kern w:val="0"/>
          <w:lang w:eastAsia="en-US"/>
          <w14:ligatures w14:val="none"/>
        </w:rPr>
        <w:t xml:space="preserve">confidence in medical education: A conceptual review.’ </w:t>
      </w:r>
      <w:r w:rsidRPr="00600D52">
        <w:rPr>
          <w:rFonts w:ascii="Arial" w:eastAsia="Times New Roman" w:hAnsi="Arial" w:cs="Arial"/>
          <w:i/>
          <w:iCs/>
          <w:kern w:val="0"/>
          <w:lang w:eastAsia="en-US"/>
          <w14:ligatures w14:val="none"/>
        </w:rPr>
        <w:t>Medical Education</w:t>
      </w:r>
      <w:r w:rsidRPr="00600D52">
        <w:rPr>
          <w:rFonts w:ascii="Arial" w:eastAsia="Times New Roman" w:hAnsi="Arial" w:cs="Arial"/>
          <w:kern w:val="0"/>
          <w:lang w:eastAsia="en-US"/>
          <w14:ligatures w14:val="none"/>
        </w:rPr>
        <w:t xml:space="preserve">, [online] 56(1). Available at: </w:t>
      </w:r>
      <w:hyperlink r:id="rId124" w:history="1">
        <w:r w:rsidRPr="00600D52">
          <w:rPr>
            <w:rFonts w:ascii="Arial" w:eastAsia="Times New Roman" w:hAnsi="Arial" w:cs="Arial"/>
            <w:color w:val="0563C1"/>
            <w:kern w:val="0"/>
            <w:u w:val="single"/>
            <w:lang w:eastAsia="en-US"/>
            <w14:ligatures w14:val="none"/>
          </w:rPr>
          <w:t>https://doi.org/10.1111/medu.14592</w:t>
        </w:r>
      </w:hyperlink>
      <w:r w:rsidRPr="00600D52">
        <w:rPr>
          <w:rFonts w:ascii="Arial" w:eastAsia="Times New Roman" w:hAnsi="Arial" w:cs="Arial"/>
          <w:kern w:val="0"/>
          <w:lang w:eastAsia="en-US"/>
          <w14:ligatures w14:val="none"/>
        </w:rPr>
        <w:t xml:space="preserve"> </w:t>
      </w:r>
    </w:p>
    <w:p w14:paraId="1DFA12F1"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Hinchliffe, S., Bard, A., Kin Wing Chan, Adam, K., Bruce, A., Reyher, K. and Buller, H. (2023) ‘Regulating antimicrobial resistance: market intermediaries, poultry and the audit lock-in’, </w:t>
      </w:r>
      <w:r w:rsidRPr="00600D52">
        <w:rPr>
          <w:rFonts w:ascii="Arial" w:eastAsia="Century Schoolbook" w:hAnsi="Arial" w:cs="Arial"/>
          <w:i/>
          <w:iCs/>
          <w:kern w:val="0"/>
          <w:lang w:eastAsia="en-US"/>
          <w14:ligatures w14:val="none"/>
        </w:rPr>
        <w:t>Agriculture and Human Values</w:t>
      </w:r>
      <w:r w:rsidRPr="00600D52">
        <w:rPr>
          <w:rFonts w:ascii="Arial" w:eastAsia="Century Schoolbook" w:hAnsi="Arial" w:cs="Arial"/>
          <w:kern w:val="0"/>
          <w:lang w:eastAsia="en-US"/>
          <w14:ligatures w14:val="none"/>
        </w:rPr>
        <w:t xml:space="preserve"> [Preprint]. Available at: </w:t>
      </w:r>
      <w:hyperlink r:id="rId125" w:history="1">
        <w:r w:rsidRPr="00600D52">
          <w:rPr>
            <w:rFonts w:ascii="Arial" w:eastAsia="Century Schoolbook" w:hAnsi="Arial" w:cs="Arial"/>
            <w:kern w:val="0"/>
            <w:lang w:eastAsia="en-US"/>
            <w14:ligatures w14:val="none"/>
          </w:rPr>
          <w:t>https://doi.org/10.1007/s10460-023-10525-4</w:t>
        </w:r>
      </w:hyperlink>
      <w:r w:rsidRPr="00600D52">
        <w:rPr>
          <w:rFonts w:ascii="Arial" w:eastAsia="Century Schoolbook" w:hAnsi="Arial" w:cs="Arial"/>
          <w:kern w:val="0"/>
          <w:lang w:eastAsia="en-US"/>
          <w14:ligatures w14:val="none"/>
        </w:rPr>
        <w:t>.</w:t>
      </w:r>
    </w:p>
    <w:p w14:paraId="1DB571E2"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Houghton, C., Meskell, P., Delaney, H., </w:t>
      </w:r>
      <w:proofErr w:type="spellStart"/>
      <w:r w:rsidRPr="00600D52">
        <w:rPr>
          <w:rFonts w:ascii="Arial" w:eastAsia="Times New Roman" w:hAnsi="Arial" w:cs="Arial"/>
          <w:kern w:val="0"/>
          <w:lang w:eastAsia="en-US"/>
          <w14:ligatures w14:val="none"/>
        </w:rPr>
        <w:t>Smalle</w:t>
      </w:r>
      <w:proofErr w:type="spellEnd"/>
      <w:r w:rsidRPr="00600D52">
        <w:rPr>
          <w:rFonts w:ascii="Arial" w:eastAsia="Times New Roman" w:hAnsi="Arial" w:cs="Arial"/>
          <w:kern w:val="0"/>
          <w:lang w:eastAsia="en-US"/>
          <w14:ligatures w14:val="none"/>
        </w:rPr>
        <w:t xml:space="preserve">, M., Glenton, C., Booth, A., Chan, X.H.S., Devane, D. and </w:t>
      </w:r>
      <w:proofErr w:type="spellStart"/>
      <w:r w:rsidRPr="00600D52">
        <w:rPr>
          <w:rFonts w:ascii="Arial" w:eastAsia="Times New Roman" w:hAnsi="Arial" w:cs="Arial"/>
          <w:kern w:val="0"/>
          <w:lang w:eastAsia="en-US"/>
          <w14:ligatures w14:val="none"/>
        </w:rPr>
        <w:t>Biesty</w:t>
      </w:r>
      <w:proofErr w:type="spellEnd"/>
      <w:r w:rsidRPr="00600D52">
        <w:rPr>
          <w:rFonts w:ascii="Arial" w:eastAsia="Times New Roman" w:hAnsi="Arial" w:cs="Arial"/>
          <w:kern w:val="0"/>
          <w:lang w:eastAsia="en-US"/>
          <w14:ligatures w14:val="none"/>
        </w:rPr>
        <w:t xml:space="preserve">, L.M. (2020) ‘Barriers and facilitators to healthcare workers’ adherence with infection prevention and control (IPC) guidelines for respiratory infectious diseases: a rapid qualitative evidence synthesis.’ </w:t>
      </w:r>
      <w:r w:rsidRPr="00600D52">
        <w:rPr>
          <w:rFonts w:ascii="Arial" w:eastAsia="Times New Roman" w:hAnsi="Arial" w:cs="Arial"/>
          <w:i/>
          <w:iCs/>
          <w:kern w:val="0"/>
          <w:lang w:eastAsia="en-US"/>
          <w14:ligatures w14:val="none"/>
        </w:rPr>
        <w:t>Cochrane Database of Systematic Reviews</w:t>
      </w:r>
      <w:r w:rsidRPr="00600D52">
        <w:rPr>
          <w:rFonts w:ascii="Arial" w:eastAsia="Times New Roman" w:hAnsi="Arial" w:cs="Arial"/>
          <w:kern w:val="0"/>
          <w:lang w:eastAsia="en-US"/>
          <w14:ligatures w14:val="none"/>
        </w:rPr>
        <w:t xml:space="preserve">, [online] 4(4). Available at: </w:t>
      </w:r>
      <w:hyperlink r:id="rId126" w:history="1">
        <w:r w:rsidRPr="00600D52">
          <w:rPr>
            <w:rFonts w:ascii="Arial" w:eastAsia="Times New Roman" w:hAnsi="Arial" w:cs="Arial"/>
            <w:color w:val="0563C1"/>
            <w:kern w:val="0"/>
            <w:u w:val="single"/>
            <w:lang w:eastAsia="en-US"/>
            <w14:ligatures w14:val="none"/>
          </w:rPr>
          <w:t>https://doi.org/10.1002/14651858.cd013582</w:t>
        </w:r>
      </w:hyperlink>
      <w:r w:rsidRPr="00600D52">
        <w:rPr>
          <w:rFonts w:ascii="Arial" w:eastAsia="Times New Roman" w:hAnsi="Arial" w:cs="Arial"/>
          <w:kern w:val="0"/>
          <w:lang w:eastAsia="en-US"/>
          <w14:ligatures w14:val="none"/>
        </w:rPr>
        <w:t xml:space="preserve"> </w:t>
      </w:r>
    </w:p>
    <w:p w14:paraId="54DEA5C5"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Hyeon, Y. H., and Moon, K. J. (2024) ‘Development of an infection control competency scale for clinical nurses: an instrument design study.’ </w:t>
      </w:r>
      <w:r w:rsidRPr="00600D52">
        <w:rPr>
          <w:rFonts w:ascii="Arial" w:eastAsia="Times New Roman" w:hAnsi="Arial" w:cs="Arial"/>
          <w:i/>
          <w:iCs/>
          <w:kern w:val="0"/>
          <w:lang w:eastAsia="en-US"/>
          <w14:ligatures w14:val="none"/>
        </w:rPr>
        <w:t>BMC nursing</w:t>
      </w:r>
      <w:r w:rsidRPr="00600D52">
        <w:rPr>
          <w:rFonts w:ascii="Arial" w:eastAsia="Times New Roman" w:hAnsi="Arial" w:cs="Arial"/>
          <w:kern w:val="0"/>
          <w:lang w:eastAsia="en-US"/>
          <w14:ligatures w14:val="none"/>
        </w:rPr>
        <w:t xml:space="preserve">, 23(1). Available at: </w:t>
      </w:r>
      <w:hyperlink r:id="rId127" w:history="1">
        <w:r w:rsidRPr="00600D52">
          <w:rPr>
            <w:rFonts w:ascii="Arial" w:eastAsia="Times New Roman" w:hAnsi="Arial" w:cs="Arial"/>
            <w:color w:val="0563C1"/>
            <w:kern w:val="0"/>
            <w:u w:val="single"/>
            <w:lang w:eastAsia="en-US"/>
            <w14:ligatures w14:val="none"/>
          </w:rPr>
          <w:t>https://doi.org/10.1186/s12912-024-01904-1</w:t>
        </w:r>
      </w:hyperlink>
      <w:r w:rsidRPr="00600D52">
        <w:rPr>
          <w:rFonts w:ascii="Arial" w:eastAsia="Times New Roman" w:hAnsi="Arial" w:cs="Arial"/>
          <w:kern w:val="0"/>
          <w:lang w:eastAsia="en-US"/>
          <w14:ligatures w14:val="none"/>
        </w:rPr>
        <w:t xml:space="preserve"> </w:t>
      </w:r>
    </w:p>
    <w:p w14:paraId="7C8A5905"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Kempny, C., Tugba Aksakal, Yüce Yilmaz-Aslan and Brzoska, P. (2025). Competence development among healthcare professionals through an online diversity training - a scoping review. </w:t>
      </w:r>
      <w:r w:rsidRPr="00600D52">
        <w:rPr>
          <w:rFonts w:ascii="Arial" w:eastAsia="Times New Roman" w:hAnsi="Arial" w:cs="Arial"/>
          <w:i/>
          <w:iCs/>
          <w:kern w:val="0"/>
          <w:lang w:eastAsia="en-US"/>
          <w14:ligatures w14:val="none"/>
        </w:rPr>
        <w:t>BMC Medical Education</w:t>
      </w:r>
      <w:r w:rsidRPr="00600D52">
        <w:rPr>
          <w:rFonts w:ascii="Arial" w:eastAsia="Times New Roman" w:hAnsi="Arial" w:cs="Arial"/>
          <w:kern w:val="0"/>
          <w:lang w:eastAsia="en-US"/>
          <w14:ligatures w14:val="none"/>
        </w:rPr>
        <w:t xml:space="preserve">, 25(1). Available at: </w:t>
      </w:r>
      <w:hyperlink r:id="rId128" w:history="1">
        <w:r w:rsidRPr="00600D52">
          <w:rPr>
            <w:rFonts w:ascii="Arial" w:eastAsia="Times New Roman" w:hAnsi="Arial" w:cs="Arial"/>
            <w:color w:val="0563C1"/>
            <w:kern w:val="0"/>
            <w:u w:val="single"/>
            <w:lang w:eastAsia="en-US"/>
            <w14:ligatures w14:val="none"/>
          </w:rPr>
          <w:t>https://doi.org/10.1186/s12909-025-07745-z</w:t>
        </w:r>
      </w:hyperlink>
      <w:r w:rsidRPr="00600D52">
        <w:rPr>
          <w:rFonts w:ascii="Arial" w:eastAsia="Times New Roman" w:hAnsi="Arial" w:cs="Arial"/>
          <w:kern w:val="0"/>
          <w:lang w:eastAsia="en-US"/>
          <w14:ligatures w14:val="none"/>
        </w:rPr>
        <w:t xml:space="preserve"> </w:t>
      </w:r>
    </w:p>
    <w:p w14:paraId="62860894"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Khalid, K. and Al Zahrani, M.A.K. (2024) ‘Investigating the Dynamics of Workforce Stability: The Influence of Perceived Employability on Career Resilience, Task Performance, Learning Agility and Employee Retention’, </w:t>
      </w:r>
      <w:r w:rsidRPr="00600D52">
        <w:rPr>
          <w:rFonts w:ascii="Arial" w:eastAsia="Century Schoolbook" w:hAnsi="Arial" w:cs="Arial"/>
          <w:i/>
          <w:iCs/>
          <w:kern w:val="0"/>
          <w:lang w:eastAsia="en-US"/>
          <w14:ligatures w14:val="none"/>
        </w:rPr>
        <w:t>European Journal of Sustainable Development</w:t>
      </w:r>
      <w:r w:rsidRPr="00600D52">
        <w:rPr>
          <w:rFonts w:ascii="Arial" w:eastAsia="Century Schoolbook" w:hAnsi="Arial" w:cs="Arial"/>
          <w:kern w:val="0"/>
          <w:lang w:eastAsia="en-US"/>
          <w14:ligatures w14:val="none"/>
        </w:rPr>
        <w:t xml:space="preserve">, 13(3), p. 389. Available at: </w:t>
      </w:r>
      <w:hyperlink r:id="rId129" w:history="1">
        <w:r w:rsidRPr="00600D52">
          <w:rPr>
            <w:rFonts w:ascii="Arial" w:eastAsia="Century Schoolbook" w:hAnsi="Arial" w:cs="Arial"/>
            <w:kern w:val="0"/>
            <w:lang w:eastAsia="en-US"/>
            <w14:ligatures w14:val="none"/>
          </w:rPr>
          <w:t>https://doi.org/10.14207/ejsd.2024.v13n3p389</w:t>
        </w:r>
      </w:hyperlink>
      <w:r w:rsidRPr="00600D52">
        <w:rPr>
          <w:rFonts w:ascii="Arial" w:eastAsia="Century Schoolbook" w:hAnsi="Arial" w:cs="Arial"/>
          <w:kern w:val="0"/>
          <w:lang w:eastAsia="en-US"/>
          <w14:ligatures w14:val="none"/>
        </w:rPr>
        <w:t>.</w:t>
      </w:r>
    </w:p>
    <w:p w14:paraId="4B040808"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Kidanemariam, T.T., Raknes Sogstad, M.K., Wiig, S. and Haraldseid-</w:t>
      </w:r>
      <w:proofErr w:type="spellStart"/>
      <w:r w:rsidRPr="00600D52">
        <w:rPr>
          <w:rFonts w:ascii="Arial" w:eastAsia="Century Schoolbook" w:hAnsi="Arial" w:cs="Arial"/>
          <w:kern w:val="0"/>
          <w:lang w:eastAsia="en-US"/>
          <w14:ligatures w14:val="none"/>
        </w:rPr>
        <w:t>Driftland</w:t>
      </w:r>
      <w:proofErr w:type="spellEnd"/>
      <w:r w:rsidRPr="00600D52">
        <w:rPr>
          <w:rFonts w:ascii="Arial" w:eastAsia="Century Schoolbook" w:hAnsi="Arial" w:cs="Arial"/>
          <w:kern w:val="0"/>
          <w:lang w:eastAsia="en-US"/>
          <w14:ligatures w14:val="none"/>
        </w:rPr>
        <w:t xml:space="preserve">, C. (2026) ‘Factors supporting resilient performance and mental well-being among health care professionals in home care settings: a qualitative study’, </w:t>
      </w:r>
      <w:r w:rsidRPr="00600D52">
        <w:rPr>
          <w:rFonts w:ascii="Arial" w:eastAsia="Century Schoolbook" w:hAnsi="Arial" w:cs="Arial"/>
          <w:i/>
          <w:iCs/>
          <w:kern w:val="0"/>
          <w:lang w:eastAsia="en-US"/>
          <w14:ligatures w14:val="none"/>
        </w:rPr>
        <w:t>BMC Health Services Research</w:t>
      </w:r>
      <w:r w:rsidRPr="00600D52">
        <w:rPr>
          <w:rFonts w:ascii="Arial" w:eastAsia="Century Schoolbook" w:hAnsi="Arial" w:cs="Arial"/>
          <w:kern w:val="0"/>
          <w:lang w:eastAsia="en-US"/>
          <w14:ligatures w14:val="none"/>
        </w:rPr>
        <w:t xml:space="preserve">, 26(1). Available at: </w:t>
      </w:r>
      <w:hyperlink r:id="rId130" w:history="1">
        <w:r w:rsidRPr="00600D52">
          <w:rPr>
            <w:rFonts w:ascii="Arial" w:eastAsia="Century Schoolbook" w:hAnsi="Arial" w:cs="Arial"/>
            <w:kern w:val="0"/>
            <w:lang w:eastAsia="en-US"/>
            <w14:ligatures w14:val="none"/>
          </w:rPr>
          <w:t>https://doi.org/10.1186/s12913-025-13917-w</w:t>
        </w:r>
      </w:hyperlink>
      <w:r w:rsidRPr="00600D52">
        <w:rPr>
          <w:rFonts w:ascii="Arial" w:eastAsia="Century Schoolbook" w:hAnsi="Arial" w:cs="Arial"/>
          <w:kern w:val="0"/>
          <w:lang w:eastAsia="en-US"/>
          <w14:ligatures w14:val="none"/>
        </w:rPr>
        <w:t>.</w:t>
      </w:r>
    </w:p>
    <w:p w14:paraId="74B4F4D1"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Lal, Z.Z., Mayuri Gogoi, Qureshi, I., Amani Al-Oraibi, Chaloner, J., </w:t>
      </w:r>
      <w:proofErr w:type="spellStart"/>
      <w:r w:rsidRPr="00600D52">
        <w:rPr>
          <w:rFonts w:ascii="Arial" w:eastAsia="Century Schoolbook" w:hAnsi="Arial" w:cs="Arial"/>
          <w:kern w:val="0"/>
          <w:lang w:eastAsia="en-US"/>
          <w14:ligatures w14:val="none"/>
        </w:rPr>
        <w:t>Padmasayee</w:t>
      </w:r>
      <w:proofErr w:type="spellEnd"/>
      <w:r w:rsidRPr="00600D52">
        <w:rPr>
          <w:rFonts w:ascii="Arial" w:eastAsia="Century Schoolbook" w:hAnsi="Arial" w:cs="Arial"/>
          <w:kern w:val="0"/>
          <w:lang w:eastAsia="en-US"/>
          <w14:ligatures w14:val="none"/>
        </w:rPr>
        <w:t xml:space="preserve"> </w:t>
      </w:r>
      <w:proofErr w:type="spellStart"/>
      <w:r w:rsidRPr="00600D52">
        <w:rPr>
          <w:rFonts w:ascii="Arial" w:eastAsia="Century Schoolbook" w:hAnsi="Arial" w:cs="Arial"/>
          <w:kern w:val="0"/>
          <w:lang w:eastAsia="en-US"/>
          <w14:ligatures w14:val="none"/>
        </w:rPr>
        <w:t>Papineni</w:t>
      </w:r>
      <w:proofErr w:type="spellEnd"/>
      <w:r w:rsidRPr="00600D52">
        <w:rPr>
          <w:rFonts w:ascii="Arial" w:eastAsia="Century Schoolbook" w:hAnsi="Arial" w:cs="Arial"/>
          <w:kern w:val="0"/>
          <w:lang w:eastAsia="en-US"/>
          <w14:ligatures w14:val="none"/>
        </w:rPr>
        <w:t xml:space="preserve">, </w:t>
      </w:r>
      <w:proofErr w:type="spellStart"/>
      <w:r w:rsidRPr="00600D52">
        <w:rPr>
          <w:rFonts w:ascii="Arial" w:eastAsia="Century Schoolbook" w:hAnsi="Arial" w:cs="Arial"/>
          <w:kern w:val="0"/>
          <w:lang w:eastAsia="en-US"/>
          <w14:ligatures w14:val="none"/>
        </w:rPr>
        <w:lastRenderedPageBreak/>
        <w:t>Lagrata</w:t>
      </w:r>
      <w:proofErr w:type="spellEnd"/>
      <w:r w:rsidRPr="00600D52">
        <w:rPr>
          <w:rFonts w:ascii="Arial" w:eastAsia="Century Schoolbook" w:hAnsi="Arial" w:cs="Arial"/>
          <w:kern w:val="0"/>
          <w:lang w:eastAsia="en-US"/>
          <w14:ligatures w14:val="none"/>
        </w:rPr>
        <w:t xml:space="preserve">, S., Nellums, L.B., Martin, C.A., Woolf, K., Manish Pareek, Gray, L., Nellums, L., Guyatt, A.L., John, C., McManus, I.C., Abubakar, I., Gupta, A., Avinash Aujayeb and Bindu Gregary (2025) ‘Redeployment and changes in working patterns of healthcare workers during COVID-19 in the UK: a qualitative study’, </w:t>
      </w:r>
      <w:r w:rsidRPr="00600D52">
        <w:rPr>
          <w:rFonts w:ascii="Arial" w:eastAsia="Century Schoolbook" w:hAnsi="Arial" w:cs="Arial"/>
          <w:i/>
          <w:iCs/>
          <w:kern w:val="0"/>
          <w:lang w:eastAsia="en-US"/>
          <w14:ligatures w14:val="none"/>
        </w:rPr>
        <w:t>BMC Health Services Research</w:t>
      </w:r>
      <w:r w:rsidRPr="00600D52">
        <w:rPr>
          <w:rFonts w:ascii="Arial" w:eastAsia="Century Schoolbook" w:hAnsi="Arial" w:cs="Arial"/>
          <w:kern w:val="0"/>
          <w:lang w:eastAsia="en-US"/>
          <w14:ligatures w14:val="none"/>
        </w:rPr>
        <w:t xml:space="preserve">, 25(1). Available at: </w:t>
      </w:r>
      <w:hyperlink r:id="rId131" w:history="1">
        <w:r w:rsidRPr="00600D52">
          <w:rPr>
            <w:rFonts w:ascii="Arial" w:eastAsia="Century Schoolbook" w:hAnsi="Arial" w:cs="Arial"/>
            <w:kern w:val="0"/>
            <w:lang w:eastAsia="en-US"/>
            <w14:ligatures w14:val="none"/>
          </w:rPr>
          <w:t>https://doi.org/10.1186/s12913-025-12389-2</w:t>
        </w:r>
      </w:hyperlink>
      <w:r w:rsidRPr="00600D52">
        <w:rPr>
          <w:rFonts w:ascii="Arial" w:eastAsia="Century Schoolbook" w:hAnsi="Arial" w:cs="Arial"/>
          <w:kern w:val="0"/>
          <w:lang w:eastAsia="en-US"/>
          <w14:ligatures w14:val="none"/>
        </w:rPr>
        <w:t>.</w:t>
      </w:r>
    </w:p>
    <w:p w14:paraId="5D20F4EE"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Legislation.gov.uk (2024) </w:t>
      </w:r>
      <w:r w:rsidRPr="00600D52">
        <w:rPr>
          <w:rFonts w:ascii="Arial" w:eastAsia="Times New Roman" w:hAnsi="Arial" w:cs="Arial"/>
          <w:i/>
          <w:iCs/>
          <w:kern w:val="0"/>
          <w:lang w:eastAsia="en-US"/>
          <w14:ligatures w14:val="none"/>
        </w:rPr>
        <w:t>Care Act 2014</w:t>
      </w:r>
      <w:r w:rsidRPr="00600D52">
        <w:rPr>
          <w:rFonts w:ascii="Arial" w:eastAsia="Times New Roman" w:hAnsi="Arial" w:cs="Arial"/>
          <w:kern w:val="0"/>
          <w:lang w:eastAsia="en-US"/>
          <w14:ligatures w14:val="none"/>
        </w:rPr>
        <w:t xml:space="preserve">. [online] Legislation.gov.uk. Available at: </w:t>
      </w:r>
      <w:hyperlink r:id="rId132" w:history="1">
        <w:r w:rsidRPr="00600D52">
          <w:rPr>
            <w:rFonts w:ascii="Arial" w:eastAsia="Times New Roman" w:hAnsi="Arial" w:cs="Arial"/>
            <w:color w:val="0563C1"/>
            <w:kern w:val="0"/>
            <w:u w:val="single"/>
            <w:lang w:eastAsia="en-US"/>
            <w14:ligatures w14:val="none"/>
          </w:rPr>
          <w:t>https://www.legislation.gov.uk/ukpga/2014/23/contents</w:t>
        </w:r>
      </w:hyperlink>
      <w:r w:rsidRPr="00600D52">
        <w:rPr>
          <w:rFonts w:ascii="Arial" w:eastAsia="Times New Roman" w:hAnsi="Arial" w:cs="Arial"/>
          <w:kern w:val="0"/>
          <w:lang w:eastAsia="en-US"/>
          <w14:ligatures w14:val="none"/>
        </w:rPr>
        <w:t xml:space="preserve"> [Accessed 17 February 2026]</w:t>
      </w:r>
    </w:p>
    <w:p w14:paraId="546123CE"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MacKay, M., Ford, C., Grant, L.E., Papadopoulos, A. and McWhirter, J.E. (2024) ‘Developing competencies in public health: a scoping review of the literature on developing competency frameworks and student and workforce development.’ </w:t>
      </w:r>
      <w:r w:rsidRPr="00600D52">
        <w:rPr>
          <w:rFonts w:ascii="Arial" w:eastAsia="Times New Roman" w:hAnsi="Arial" w:cs="Arial"/>
          <w:i/>
          <w:iCs/>
          <w:kern w:val="0"/>
          <w:lang w:eastAsia="en-US"/>
          <w14:ligatures w14:val="none"/>
        </w:rPr>
        <w:t>Frontiers in public health</w:t>
      </w:r>
      <w:r w:rsidRPr="00600D52">
        <w:rPr>
          <w:rFonts w:ascii="Arial" w:eastAsia="Times New Roman" w:hAnsi="Arial" w:cs="Arial"/>
          <w:kern w:val="0"/>
          <w:lang w:eastAsia="en-US"/>
          <w14:ligatures w14:val="none"/>
        </w:rPr>
        <w:t xml:space="preserve">, 12. Available at: </w:t>
      </w:r>
      <w:hyperlink r:id="rId133" w:history="1">
        <w:r w:rsidRPr="00600D52">
          <w:rPr>
            <w:rFonts w:ascii="Arial" w:eastAsia="Times New Roman" w:hAnsi="Arial" w:cs="Arial"/>
            <w:color w:val="0563C1"/>
            <w:kern w:val="0"/>
            <w:u w:val="single"/>
            <w:lang w:eastAsia="en-US"/>
            <w14:ligatures w14:val="none"/>
          </w:rPr>
          <w:t>https://doi.org/10.3389/fpubh.2024.1332412</w:t>
        </w:r>
      </w:hyperlink>
      <w:r w:rsidRPr="00600D52">
        <w:rPr>
          <w:rFonts w:ascii="Arial" w:eastAsia="Times New Roman" w:hAnsi="Arial" w:cs="Arial"/>
          <w:kern w:val="0"/>
          <w:lang w:eastAsia="en-US"/>
          <w14:ligatures w14:val="none"/>
        </w:rPr>
        <w:t xml:space="preserve"> </w:t>
      </w:r>
    </w:p>
    <w:p w14:paraId="2DA76B68"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Mazzetti, G., Mehmet Çetin, Guglielmi, D. and </w:t>
      </w:r>
      <w:proofErr w:type="spellStart"/>
      <w:r w:rsidRPr="00600D52">
        <w:rPr>
          <w:rFonts w:ascii="Arial" w:eastAsia="Times New Roman" w:hAnsi="Arial" w:cs="Arial"/>
          <w:kern w:val="0"/>
          <w:lang w:eastAsia="en-US"/>
          <w14:ligatures w14:val="none"/>
        </w:rPr>
        <w:t>Simbula</w:t>
      </w:r>
      <w:proofErr w:type="spellEnd"/>
      <w:r w:rsidRPr="00600D52">
        <w:rPr>
          <w:rFonts w:ascii="Arial" w:eastAsia="Times New Roman" w:hAnsi="Arial" w:cs="Arial"/>
          <w:kern w:val="0"/>
          <w:lang w:eastAsia="en-US"/>
          <w14:ligatures w14:val="none"/>
        </w:rPr>
        <w:t>, S. (2024) ‘Resilience and the Dynamics of Job Demands: A Diary Study on Interactions in Healthcare Professionals During the COVID</w:t>
      </w:r>
      <w:r w:rsidRPr="00600D52">
        <w:rPr>
          <w:rFonts w:ascii="Cambria Math" w:eastAsia="Times New Roman" w:hAnsi="Cambria Math" w:cs="Cambria Math"/>
          <w:kern w:val="0"/>
          <w:lang w:eastAsia="en-US"/>
          <w14:ligatures w14:val="none"/>
        </w:rPr>
        <w:t>‐</w:t>
      </w:r>
      <w:r w:rsidRPr="00600D52">
        <w:rPr>
          <w:rFonts w:ascii="Arial" w:eastAsia="Times New Roman" w:hAnsi="Arial" w:cs="Arial"/>
          <w:kern w:val="0"/>
          <w:lang w:eastAsia="en-US"/>
          <w14:ligatures w14:val="none"/>
        </w:rPr>
        <w:t xml:space="preserve">19 Pandemic.’ </w:t>
      </w:r>
      <w:r w:rsidRPr="00600D52">
        <w:rPr>
          <w:rFonts w:ascii="Arial" w:eastAsia="Times New Roman" w:hAnsi="Arial" w:cs="Arial"/>
          <w:i/>
          <w:iCs/>
          <w:kern w:val="0"/>
          <w:lang w:eastAsia="en-US"/>
          <w14:ligatures w14:val="none"/>
        </w:rPr>
        <w:t>Journal of Advanced Nursing</w:t>
      </w:r>
      <w:r w:rsidRPr="00600D52">
        <w:rPr>
          <w:rFonts w:ascii="Arial" w:eastAsia="Times New Roman" w:hAnsi="Arial" w:cs="Arial"/>
          <w:kern w:val="0"/>
          <w:lang w:eastAsia="en-US"/>
          <w14:ligatures w14:val="none"/>
        </w:rPr>
        <w:t xml:space="preserve">. Available at: </w:t>
      </w:r>
      <w:hyperlink r:id="rId134" w:history="1">
        <w:r w:rsidRPr="00600D52">
          <w:rPr>
            <w:rFonts w:ascii="Arial" w:eastAsia="Times New Roman" w:hAnsi="Arial" w:cs="Arial"/>
            <w:color w:val="0563C1"/>
            <w:kern w:val="0"/>
            <w:u w:val="single"/>
            <w:lang w:eastAsia="en-US"/>
            <w14:ligatures w14:val="none"/>
          </w:rPr>
          <w:t>https://doi.org/10.1111/jan.16629</w:t>
        </w:r>
      </w:hyperlink>
      <w:r w:rsidRPr="00600D52">
        <w:rPr>
          <w:rFonts w:ascii="Arial" w:eastAsia="Times New Roman" w:hAnsi="Arial" w:cs="Arial"/>
          <w:kern w:val="0"/>
          <w:lang w:eastAsia="en-US"/>
          <w14:ligatures w14:val="none"/>
        </w:rPr>
        <w:t xml:space="preserve"> </w:t>
      </w:r>
    </w:p>
    <w:p w14:paraId="0AD038E5"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Pelli, J. and Nordquist, H. (2023) ‘Learning Lessons for Future Preparedness: Exploring Work Well-Being-Related Leadership Challenges among Paramedics during the Early Stage of the COVID-19 Pandemic—A Qualitative Study.’ </w:t>
      </w:r>
      <w:r w:rsidRPr="00600D52">
        <w:rPr>
          <w:rFonts w:ascii="Arial" w:eastAsia="Times New Roman" w:hAnsi="Arial" w:cs="Arial"/>
          <w:i/>
          <w:iCs/>
          <w:kern w:val="0"/>
          <w:lang w:eastAsia="en-US"/>
          <w14:ligatures w14:val="none"/>
        </w:rPr>
        <w:t>Nursing reports</w:t>
      </w:r>
      <w:r w:rsidRPr="00600D52">
        <w:rPr>
          <w:rFonts w:ascii="Arial" w:eastAsia="Times New Roman" w:hAnsi="Arial" w:cs="Arial"/>
          <w:kern w:val="0"/>
          <w:lang w:eastAsia="en-US"/>
          <w14:ligatures w14:val="none"/>
        </w:rPr>
        <w:t xml:space="preserve">, [online] 13(4), pp.1721–1730. Available at: </w:t>
      </w:r>
      <w:hyperlink r:id="rId135" w:history="1">
        <w:r w:rsidRPr="00600D52">
          <w:rPr>
            <w:rFonts w:ascii="Arial" w:eastAsia="Times New Roman" w:hAnsi="Arial" w:cs="Arial"/>
            <w:color w:val="0563C1"/>
            <w:kern w:val="0"/>
            <w:u w:val="single"/>
            <w:lang w:eastAsia="en-US"/>
            <w14:ligatures w14:val="none"/>
          </w:rPr>
          <w:t>https://doi.org/10.3390/nursrep13040142</w:t>
        </w:r>
      </w:hyperlink>
      <w:r w:rsidRPr="00600D52">
        <w:rPr>
          <w:rFonts w:ascii="Arial" w:eastAsia="Times New Roman" w:hAnsi="Arial" w:cs="Arial"/>
          <w:kern w:val="0"/>
          <w:lang w:eastAsia="en-US"/>
          <w14:ligatures w14:val="none"/>
        </w:rPr>
        <w:t xml:space="preserve"> </w:t>
      </w:r>
    </w:p>
    <w:p w14:paraId="712360EF"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Radovan, M. (2024) ‘Workplace Flexibility and Participation in Adult Learning’, </w:t>
      </w:r>
      <w:r w:rsidRPr="00600D52">
        <w:rPr>
          <w:rFonts w:ascii="Arial" w:eastAsia="Century Schoolbook" w:hAnsi="Arial" w:cs="Arial"/>
          <w:i/>
          <w:iCs/>
          <w:kern w:val="0"/>
          <w:lang w:eastAsia="en-US"/>
          <w14:ligatures w14:val="none"/>
        </w:rPr>
        <w:t>Sustainability</w:t>
      </w:r>
      <w:r w:rsidRPr="00600D52">
        <w:rPr>
          <w:rFonts w:ascii="Arial" w:eastAsia="Century Schoolbook" w:hAnsi="Arial" w:cs="Arial"/>
          <w:kern w:val="0"/>
          <w:lang w:eastAsia="en-US"/>
          <w14:ligatures w14:val="none"/>
        </w:rPr>
        <w:t xml:space="preserve">, 16(14), pp. 5950–5950. Available at: </w:t>
      </w:r>
      <w:hyperlink r:id="rId136" w:history="1">
        <w:r w:rsidRPr="00600D52">
          <w:rPr>
            <w:rFonts w:ascii="Arial" w:eastAsia="Century Schoolbook" w:hAnsi="Arial" w:cs="Arial"/>
            <w:kern w:val="0"/>
            <w:lang w:eastAsia="en-US"/>
            <w14:ligatures w14:val="none"/>
          </w:rPr>
          <w:t>https://doi.org/10.3390/su16145950</w:t>
        </w:r>
      </w:hyperlink>
      <w:r w:rsidRPr="00600D52">
        <w:rPr>
          <w:rFonts w:ascii="Arial" w:eastAsia="Century Schoolbook" w:hAnsi="Arial" w:cs="Arial"/>
          <w:kern w:val="0"/>
          <w:lang w:eastAsia="en-US"/>
          <w14:ligatures w14:val="none"/>
        </w:rPr>
        <w:t>.</w:t>
      </w:r>
    </w:p>
    <w:p w14:paraId="754AB66B"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Srikasem, S., </w:t>
      </w:r>
      <w:proofErr w:type="spellStart"/>
      <w:r w:rsidRPr="00600D52">
        <w:rPr>
          <w:rFonts w:ascii="Arial" w:eastAsia="Century Schoolbook" w:hAnsi="Arial" w:cs="Arial"/>
          <w:kern w:val="0"/>
          <w:lang w:eastAsia="en-US"/>
          <w14:ligatures w14:val="none"/>
        </w:rPr>
        <w:t>Seephom</w:t>
      </w:r>
      <w:proofErr w:type="spellEnd"/>
      <w:r w:rsidRPr="00600D52">
        <w:rPr>
          <w:rFonts w:ascii="Arial" w:eastAsia="Century Schoolbook" w:hAnsi="Arial" w:cs="Arial"/>
          <w:kern w:val="0"/>
          <w:lang w:eastAsia="en-US"/>
          <w14:ligatures w14:val="none"/>
        </w:rPr>
        <w:t xml:space="preserve">, S., </w:t>
      </w:r>
      <w:proofErr w:type="spellStart"/>
      <w:r w:rsidRPr="00600D52">
        <w:rPr>
          <w:rFonts w:ascii="Arial" w:eastAsia="Century Schoolbook" w:hAnsi="Arial" w:cs="Arial"/>
          <w:kern w:val="0"/>
          <w:lang w:eastAsia="en-US"/>
          <w14:ligatures w14:val="none"/>
        </w:rPr>
        <w:t>Viriyopase</w:t>
      </w:r>
      <w:proofErr w:type="spellEnd"/>
      <w:r w:rsidRPr="00600D52">
        <w:rPr>
          <w:rFonts w:ascii="Arial" w:eastAsia="Century Schoolbook" w:hAnsi="Arial" w:cs="Arial"/>
          <w:kern w:val="0"/>
          <w:lang w:eastAsia="en-US"/>
          <w14:ligatures w14:val="none"/>
        </w:rPr>
        <w:t xml:space="preserve">, A., </w:t>
      </w:r>
      <w:proofErr w:type="spellStart"/>
      <w:r w:rsidRPr="00600D52">
        <w:rPr>
          <w:rFonts w:ascii="Arial" w:eastAsia="Century Schoolbook" w:hAnsi="Arial" w:cs="Arial"/>
          <w:kern w:val="0"/>
          <w:lang w:eastAsia="en-US"/>
          <w14:ligatures w14:val="none"/>
        </w:rPr>
        <w:t>Phutrakool</w:t>
      </w:r>
      <w:proofErr w:type="spellEnd"/>
      <w:r w:rsidRPr="00600D52">
        <w:rPr>
          <w:rFonts w:ascii="Arial" w:eastAsia="Century Schoolbook" w:hAnsi="Arial" w:cs="Arial"/>
          <w:kern w:val="0"/>
          <w:lang w:eastAsia="en-US"/>
          <w14:ligatures w14:val="none"/>
        </w:rPr>
        <w:t xml:space="preserve">, P., </w:t>
      </w:r>
      <w:proofErr w:type="spellStart"/>
      <w:r w:rsidRPr="00600D52">
        <w:rPr>
          <w:rFonts w:ascii="Arial" w:eastAsia="Century Schoolbook" w:hAnsi="Arial" w:cs="Arial"/>
          <w:kern w:val="0"/>
          <w:lang w:eastAsia="en-US"/>
          <w14:ligatures w14:val="none"/>
        </w:rPr>
        <w:t>Khowinthaseth</w:t>
      </w:r>
      <w:proofErr w:type="spellEnd"/>
      <w:r w:rsidRPr="00600D52">
        <w:rPr>
          <w:rFonts w:ascii="Arial" w:eastAsia="Century Schoolbook" w:hAnsi="Arial" w:cs="Arial"/>
          <w:kern w:val="0"/>
          <w:lang w:eastAsia="en-US"/>
          <w14:ligatures w14:val="none"/>
        </w:rPr>
        <w:t xml:space="preserve">, S. and </w:t>
      </w:r>
      <w:proofErr w:type="spellStart"/>
      <w:r w:rsidRPr="00600D52">
        <w:rPr>
          <w:rFonts w:ascii="Arial" w:eastAsia="Century Schoolbook" w:hAnsi="Arial" w:cs="Arial"/>
          <w:kern w:val="0"/>
          <w:lang w:eastAsia="en-US"/>
          <w14:ligatures w14:val="none"/>
        </w:rPr>
        <w:t>Narajeenron</w:t>
      </w:r>
      <w:proofErr w:type="spellEnd"/>
      <w:r w:rsidRPr="00600D52">
        <w:rPr>
          <w:rFonts w:ascii="Arial" w:eastAsia="Century Schoolbook" w:hAnsi="Arial" w:cs="Arial"/>
          <w:kern w:val="0"/>
          <w:lang w:eastAsia="en-US"/>
          <w14:ligatures w14:val="none"/>
        </w:rPr>
        <w:t xml:space="preserve">, K. (2025) ‘Comparing the Effectiveness of Multimodal Learning Using Computer-Based and Immersive Virtual Reality Simulation–Based Interprofessional Education </w:t>
      </w:r>
      <w:proofErr w:type="gramStart"/>
      <w:r w:rsidRPr="00600D52">
        <w:rPr>
          <w:rFonts w:ascii="Arial" w:eastAsia="Century Schoolbook" w:hAnsi="Arial" w:cs="Arial"/>
          <w:kern w:val="0"/>
          <w:lang w:eastAsia="en-US"/>
          <w14:ligatures w14:val="none"/>
        </w:rPr>
        <w:t>With</w:t>
      </w:r>
      <w:proofErr w:type="gramEnd"/>
      <w:r w:rsidRPr="00600D52">
        <w:rPr>
          <w:rFonts w:ascii="Arial" w:eastAsia="Century Schoolbook" w:hAnsi="Arial" w:cs="Arial"/>
          <w:kern w:val="0"/>
          <w:lang w:eastAsia="en-US"/>
          <w14:ligatures w14:val="none"/>
        </w:rPr>
        <w:t xml:space="preserve"> Co-Debriefing, Medical Movies, and Massive Online Open Courses for Mitigating Stress and Long-Term Burnout in Medical Training: Quasi-Experimental Study’, </w:t>
      </w:r>
      <w:r w:rsidRPr="00600D52">
        <w:rPr>
          <w:rFonts w:ascii="Arial" w:eastAsia="Century Schoolbook" w:hAnsi="Arial" w:cs="Arial"/>
          <w:i/>
          <w:iCs/>
          <w:kern w:val="0"/>
          <w:lang w:eastAsia="en-US"/>
          <w14:ligatures w14:val="none"/>
        </w:rPr>
        <w:t>JMIR Medical Education</w:t>
      </w:r>
      <w:r w:rsidRPr="00600D52">
        <w:rPr>
          <w:rFonts w:ascii="Arial" w:eastAsia="Century Schoolbook" w:hAnsi="Arial" w:cs="Arial"/>
          <w:kern w:val="0"/>
          <w:lang w:eastAsia="en-US"/>
          <w14:ligatures w14:val="none"/>
        </w:rPr>
        <w:t xml:space="preserve">, 11, p. e70726. Available at: </w:t>
      </w:r>
      <w:hyperlink r:id="rId137" w:history="1">
        <w:r w:rsidRPr="00600D52">
          <w:rPr>
            <w:rFonts w:ascii="Arial" w:eastAsia="Century Schoolbook" w:hAnsi="Arial" w:cs="Arial"/>
            <w:kern w:val="0"/>
            <w:lang w:eastAsia="en-US"/>
            <w14:ligatures w14:val="none"/>
          </w:rPr>
          <w:t>https://doi.org/10.2196/70726</w:t>
        </w:r>
      </w:hyperlink>
      <w:r w:rsidRPr="00600D52">
        <w:rPr>
          <w:rFonts w:ascii="Arial" w:eastAsia="Century Schoolbook" w:hAnsi="Arial" w:cs="Arial"/>
          <w:kern w:val="0"/>
          <w:lang w:eastAsia="en-US"/>
          <w14:ligatures w14:val="none"/>
        </w:rPr>
        <w:t>.</w:t>
      </w:r>
    </w:p>
    <w:p w14:paraId="4E4521FA"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Staller, M.S., Koerner, S., Heil, V., Klemmer, I., Abraham, A. and </w:t>
      </w:r>
      <w:proofErr w:type="spellStart"/>
      <w:r w:rsidRPr="00600D52">
        <w:rPr>
          <w:rFonts w:ascii="Arial" w:eastAsia="Century Schoolbook" w:hAnsi="Arial" w:cs="Arial"/>
          <w:kern w:val="0"/>
          <w:lang w:eastAsia="en-US"/>
          <w14:ligatures w14:val="none"/>
        </w:rPr>
        <w:t>Poolton</w:t>
      </w:r>
      <w:proofErr w:type="spellEnd"/>
      <w:r w:rsidRPr="00600D52">
        <w:rPr>
          <w:rFonts w:ascii="Arial" w:eastAsia="Century Schoolbook" w:hAnsi="Arial" w:cs="Arial"/>
          <w:kern w:val="0"/>
          <w:lang w:eastAsia="en-US"/>
          <w14:ligatures w14:val="none"/>
        </w:rPr>
        <w:t xml:space="preserve">, J. (2022) ‘The Structure and Delivery of Police Use of Force Training: A German Case Study’, </w:t>
      </w:r>
      <w:r w:rsidRPr="00600D52">
        <w:rPr>
          <w:rFonts w:ascii="Arial" w:eastAsia="Century Schoolbook" w:hAnsi="Arial" w:cs="Arial"/>
          <w:i/>
          <w:iCs/>
          <w:kern w:val="0"/>
          <w:lang w:eastAsia="en-US"/>
          <w14:ligatures w14:val="none"/>
        </w:rPr>
        <w:t>European Journal for Security Research</w:t>
      </w:r>
      <w:r w:rsidRPr="00600D52">
        <w:rPr>
          <w:rFonts w:ascii="Arial" w:eastAsia="Century Schoolbook" w:hAnsi="Arial" w:cs="Arial"/>
          <w:kern w:val="0"/>
          <w:lang w:eastAsia="en-US"/>
          <w14:ligatures w14:val="none"/>
        </w:rPr>
        <w:t xml:space="preserve"> [Preprint]. Available at: </w:t>
      </w:r>
      <w:hyperlink r:id="rId138" w:history="1">
        <w:r w:rsidRPr="00600D52">
          <w:rPr>
            <w:rFonts w:ascii="Arial" w:eastAsia="Century Schoolbook" w:hAnsi="Arial" w:cs="Arial"/>
            <w:kern w:val="0"/>
            <w:lang w:eastAsia="en-US"/>
            <w14:ligatures w14:val="none"/>
          </w:rPr>
          <w:t>https://doi.org/10.1007/s41125-021-00073-5</w:t>
        </w:r>
      </w:hyperlink>
      <w:r w:rsidRPr="00600D52">
        <w:rPr>
          <w:rFonts w:ascii="Arial" w:eastAsia="Century Schoolbook" w:hAnsi="Arial" w:cs="Arial"/>
          <w:kern w:val="0"/>
          <w:lang w:eastAsia="en-US"/>
          <w14:ligatures w14:val="none"/>
        </w:rPr>
        <w:t>.</w:t>
      </w:r>
    </w:p>
    <w:p w14:paraId="4D355E71"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Stralen, A.C. van, Carvalho, C.L., Girardi, S.N., </w:t>
      </w:r>
      <w:proofErr w:type="spellStart"/>
      <w:r w:rsidRPr="00600D52">
        <w:rPr>
          <w:rFonts w:ascii="Arial" w:eastAsia="Century Schoolbook" w:hAnsi="Arial" w:cs="Arial"/>
          <w:kern w:val="0"/>
          <w:lang w:eastAsia="en-US"/>
          <w14:ligatures w14:val="none"/>
        </w:rPr>
        <w:t>Massote</w:t>
      </w:r>
      <w:proofErr w:type="spellEnd"/>
      <w:r w:rsidRPr="00600D52">
        <w:rPr>
          <w:rFonts w:ascii="Arial" w:eastAsia="Century Schoolbook" w:hAnsi="Arial" w:cs="Arial"/>
          <w:kern w:val="0"/>
          <w:lang w:eastAsia="en-US"/>
          <w14:ligatures w14:val="none"/>
        </w:rPr>
        <w:t xml:space="preserve">, A.W. and </w:t>
      </w:r>
      <w:proofErr w:type="spellStart"/>
      <w:r w:rsidRPr="00600D52">
        <w:rPr>
          <w:rFonts w:ascii="Arial" w:eastAsia="Century Schoolbook" w:hAnsi="Arial" w:cs="Arial"/>
          <w:kern w:val="0"/>
          <w:lang w:eastAsia="en-US"/>
          <w14:ligatures w14:val="none"/>
        </w:rPr>
        <w:t>Cherchiglia</w:t>
      </w:r>
      <w:proofErr w:type="spellEnd"/>
      <w:r w:rsidRPr="00600D52">
        <w:rPr>
          <w:rFonts w:ascii="Arial" w:eastAsia="Century Schoolbook" w:hAnsi="Arial" w:cs="Arial"/>
          <w:kern w:val="0"/>
          <w:lang w:eastAsia="en-US"/>
          <w14:ligatures w14:val="none"/>
        </w:rPr>
        <w:t xml:space="preserve">, M.L. (2022) </w:t>
      </w:r>
      <w:r w:rsidRPr="00600D52">
        <w:rPr>
          <w:rFonts w:ascii="Arial" w:eastAsia="Century Schoolbook" w:hAnsi="Arial" w:cs="Arial"/>
          <w:kern w:val="0"/>
          <w:lang w:eastAsia="en-US"/>
          <w14:ligatures w14:val="none"/>
        </w:rPr>
        <w:lastRenderedPageBreak/>
        <w:t>‘</w:t>
      </w:r>
      <w:proofErr w:type="spellStart"/>
      <w:r w:rsidRPr="00600D52">
        <w:rPr>
          <w:rFonts w:ascii="Arial" w:eastAsia="Century Schoolbook" w:hAnsi="Arial" w:cs="Arial"/>
          <w:kern w:val="0"/>
          <w:lang w:eastAsia="en-US"/>
          <w14:ligatures w14:val="none"/>
        </w:rPr>
        <w:t>Estratégias</w:t>
      </w:r>
      <w:proofErr w:type="spellEnd"/>
      <w:r w:rsidRPr="00600D52">
        <w:rPr>
          <w:rFonts w:ascii="Arial" w:eastAsia="Century Schoolbook" w:hAnsi="Arial" w:cs="Arial"/>
          <w:kern w:val="0"/>
          <w:lang w:eastAsia="en-US"/>
          <w14:ligatures w14:val="none"/>
        </w:rPr>
        <w:t xml:space="preserve"> </w:t>
      </w:r>
      <w:proofErr w:type="spellStart"/>
      <w:r w:rsidRPr="00600D52">
        <w:rPr>
          <w:rFonts w:ascii="Arial" w:eastAsia="Century Schoolbook" w:hAnsi="Arial" w:cs="Arial"/>
          <w:kern w:val="0"/>
          <w:lang w:eastAsia="en-US"/>
          <w14:ligatures w14:val="none"/>
        </w:rPr>
        <w:t>internacionais</w:t>
      </w:r>
      <w:proofErr w:type="spellEnd"/>
      <w:r w:rsidRPr="00600D52">
        <w:rPr>
          <w:rFonts w:ascii="Arial" w:eastAsia="Century Schoolbook" w:hAnsi="Arial" w:cs="Arial"/>
          <w:kern w:val="0"/>
          <w:lang w:eastAsia="en-US"/>
          <w14:ligatures w14:val="none"/>
        </w:rPr>
        <w:t xml:space="preserve"> de </w:t>
      </w:r>
      <w:proofErr w:type="spellStart"/>
      <w:r w:rsidRPr="00600D52">
        <w:rPr>
          <w:rFonts w:ascii="Arial" w:eastAsia="Century Schoolbook" w:hAnsi="Arial" w:cs="Arial"/>
          <w:kern w:val="0"/>
          <w:lang w:eastAsia="en-US"/>
          <w14:ligatures w14:val="none"/>
        </w:rPr>
        <w:t>flexibilização</w:t>
      </w:r>
      <w:proofErr w:type="spellEnd"/>
      <w:r w:rsidRPr="00600D52">
        <w:rPr>
          <w:rFonts w:ascii="Arial" w:eastAsia="Century Schoolbook" w:hAnsi="Arial" w:cs="Arial"/>
          <w:kern w:val="0"/>
          <w:lang w:eastAsia="en-US"/>
          <w14:ligatures w14:val="none"/>
        </w:rPr>
        <w:t xml:space="preserve"> da </w:t>
      </w:r>
      <w:proofErr w:type="spellStart"/>
      <w:r w:rsidRPr="00600D52">
        <w:rPr>
          <w:rFonts w:ascii="Arial" w:eastAsia="Century Schoolbook" w:hAnsi="Arial" w:cs="Arial"/>
          <w:kern w:val="0"/>
          <w:lang w:eastAsia="en-US"/>
          <w14:ligatures w14:val="none"/>
        </w:rPr>
        <w:t>regulação</w:t>
      </w:r>
      <w:proofErr w:type="spellEnd"/>
      <w:r w:rsidRPr="00600D52">
        <w:rPr>
          <w:rFonts w:ascii="Arial" w:eastAsia="Century Schoolbook" w:hAnsi="Arial" w:cs="Arial"/>
          <w:kern w:val="0"/>
          <w:lang w:eastAsia="en-US"/>
          <w14:ligatures w14:val="none"/>
        </w:rPr>
        <w:t xml:space="preserve"> da </w:t>
      </w:r>
      <w:proofErr w:type="spellStart"/>
      <w:r w:rsidRPr="00600D52">
        <w:rPr>
          <w:rFonts w:ascii="Arial" w:eastAsia="Century Schoolbook" w:hAnsi="Arial" w:cs="Arial"/>
          <w:kern w:val="0"/>
          <w:lang w:eastAsia="en-US"/>
          <w14:ligatures w14:val="none"/>
        </w:rPr>
        <w:t>prática</w:t>
      </w:r>
      <w:proofErr w:type="spellEnd"/>
      <w:r w:rsidRPr="00600D52">
        <w:rPr>
          <w:rFonts w:ascii="Arial" w:eastAsia="Century Schoolbook" w:hAnsi="Arial" w:cs="Arial"/>
          <w:kern w:val="0"/>
          <w:lang w:eastAsia="en-US"/>
          <w14:ligatures w14:val="none"/>
        </w:rPr>
        <w:t xml:space="preserve"> de </w:t>
      </w:r>
      <w:proofErr w:type="spellStart"/>
      <w:r w:rsidRPr="00600D52">
        <w:rPr>
          <w:rFonts w:ascii="Arial" w:eastAsia="Century Schoolbook" w:hAnsi="Arial" w:cs="Arial"/>
          <w:kern w:val="0"/>
          <w:lang w:eastAsia="en-US"/>
          <w14:ligatures w14:val="none"/>
        </w:rPr>
        <w:t>profissionais</w:t>
      </w:r>
      <w:proofErr w:type="spellEnd"/>
      <w:r w:rsidRPr="00600D52">
        <w:rPr>
          <w:rFonts w:ascii="Arial" w:eastAsia="Century Schoolbook" w:hAnsi="Arial" w:cs="Arial"/>
          <w:kern w:val="0"/>
          <w:lang w:eastAsia="en-US"/>
          <w14:ligatures w14:val="none"/>
        </w:rPr>
        <w:t xml:space="preserve"> de </w:t>
      </w:r>
      <w:proofErr w:type="spellStart"/>
      <w:r w:rsidRPr="00600D52">
        <w:rPr>
          <w:rFonts w:ascii="Arial" w:eastAsia="Century Schoolbook" w:hAnsi="Arial" w:cs="Arial"/>
          <w:kern w:val="0"/>
          <w:lang w:eastAsia="en-US"/>
          <w14:ligatures w14:val="none"/>
        </w:rPr>
        <w:t>saúde</w:t>
      </w:r>
      <w:proofErr w:type="spellEnd"/>
      <w:r w:rsidRPr="00600D52">
        <w:rPr>
          <w:rFonts w:ascii="Arial" w:eastAsia="Century Schoolbook" w:hAnsi="Arial" w:cs="Arial"/>
          <w:kern w:val="0"/>
          <w:lang w:eastAsia="en-US"/>
          <w14:ligatures w14:val="none"/>
        </w:rPr>
        <w:t xml:space="preserve"> </w:t>
      </w:r>
      <w:proofErr w:type="spellStart"/>
      <w:r w:rsidRPr="00600D52">
        <w:rPr>
          <w:rFonts w:ascii="Arial" w:eastAsia="Century Schoolbook" w:hAnsi="Arial" w:cs="Arial"/>
          <w:kern w:val="0"/>
          <w:lang w:eastAsia="en-US"/>
          <w14:ligatures w14:val="none"/>
        </w:rPr>
        <w:t>em</w:t>
      </w:r>
      <w:proofErr w:type="spellEnd"/>
      <w:r w:rsidRPr="00600D52">
        <w:rPr>
          <w:rFonts w:ascii="Arial" w:eastAsia="Century Schoolbook" w:hAnsi="Arial" w:cs="Arial"/>
          <w:kern w:val="0"/>
          <w:lang w:eastAsia="en-US"/>
          <w14:ligatures w14:val="none"/>
        </w:rPr>
        <w:t xml:space="preserve"> </w:t>
      </w:r>
      <w:proofErr w:type="spellStart"/>
      <w:r w:rsidRPr="00600D52">
        <w:rPr>
          <w:rFonts w:ascii="Arial" w:eastAsia="Century Schoolbook" w:hAnsi="Arial" w:cs="Arial"/>
          <w:kern w:val="0"/>
          <w:lang w:eastAsia="en-US"/>
          <w14:ligatures w14:val="none"/>
        </w:rPr>
        <w:t>resposta</w:t>
      </w:r>
      <w:proofErr w:type="spellEnd"/>
      <w:r w:rsidRPr="00600D52">
        <w:rPr>
          <w:rFonts w:ascii="Arial" w:eastAsia="Century Schoolbook" w:hAnsi="Arial" w:cs="Arial"/>
          <w:kern w:val="0"/>
          <w:lang w:eastAsia="en-US"/>
          <w14:ligatures w14:val="none"/>
        </w:rPr>
        <w:t xml:space="preserve"> à pandemia da COVID-19: </w:t>
      </w:r>
      <w:proofErr w:type="spellStart"/>
      <w:r w:rsidRPr="00600D52">
        <w:rPr>
          <w:rFonts w:ascii="Arial" w:eastAsia="Century Schoolbook" w:hAnsi="Arial" w:cs="Arial"/>
          <w:kern w:val="0"/>
          <w:lang w:eastAsia="en-US"/>
          <w14:ligatures w14:val="none"/>
        </w:rPr>
        <w:t>revisão</w:t>
      </w:r>
      <w:proofErr w:type="spellEnd"/>
      <w:r w:rsidRPr="00600D52">
        <w:rPr>
          <w:rFonts w:ascii="Arial" w:eastAsia="Century Schoolbook" w:hAnsi="Arial" w:cs="Arial"/>
          <w:kern w:val="0"/>
          <w:lang w:eastAsia="en-US"/>
          <w14:ligatures w14:val="none"/>
        </w:rPr>
        <w:t xml:space="preserve"> de </w:t>
      </w:r>
      <w:proofErr w:type="spellStart"/>
      <w:r w:rsidRPr="00600D52">
        <w:rPr>
          <w:rFonts w:ascii="Arial" w:eastAsia="Century Schoolbook" w:hAnsi="Arial" w:cs="Arial"/>
          <w:kern w:val="0"/>
          <w:lang w:eastAsia="en-US"/>
          <w14:ligatures w14:val="none"/>
        </w:rPr>
        <w:t>escopo</w:t>
      </w:r>
      <w:proofErr w:type="spellEnd"/>
      <w:r w:rsidRPr="00600D52">
        <w:rPr>
          <w:rFonts w:ascii="Arial" w:eastAsia="Century Schoolbook" w:hAnsi="Arial" w:cs="Arial"/>
          <w:kern w:val="0"/>
          <w:lang w:eastAsia="en-US"/>
          <w14:ligatures w14:val="none"/>
        </w:rPr>
        <w:t xml:space="preserve">’, </w:t>
      </w:r>
      <w:proofErr w:type="spellStart"/>
      <w:r w:rsidRPr="00600D52">
        <w:rPr>
          <w:rFonts w:ascii="Arial" w:eastAsia="Century Schoolbook" w:hAnsi="Arial" w:cs="Arial"/>
          <w:i/>
          <w:iCs/>
          <w:kern w:val="0"/>
          <w:lang w:eastAsia="en-US"/>
          <w14:ligatures w14:val="none"/>
        </w:rPr>
        <w:t>Cadernos</w:t>
      </w:r>
      <w:proofErr w:type="spellEnd"/>
      <w:r w:rsidRPr="00600D52">
        <w:rPr>
          <w:rFonts w:ascii="Arial" w:eastAsia="Century Schoolbook" w:hAnsi="Arial" w:cs="Arial"/>
          <w:i/>
          <w:iCs/>
          <w:kern w:val="0"/>
          <w:lang w:eastAsia="en-US"/>
          <w14:ligatures w14:val="none"/>
        </w:rPr>
        <w:t xml:space="preserve"> de </w:t>
      </w:r>
      <w:proofErr w:type="spellStart"/>
      <w:r w:rsidRPr="00600D52">
        <w:rPr>
          <w:rFonts w:ascii="Arial" w:eastAsia="Century Schoolbook" w:hAnsi="Arial" w:cs="Arial"/>
          <w:i/>
          <w:iCs/>
          <w:kern w:val="0"/>
          <w:lang w:eastAsia="en-US"/>
          <w14:ligatures w14:val="none"/>
        </w:rPr>
        <w:t>Saúde</w:t>
      </w:r>
      <w:proofErr w:type="spellEnd"/>
      <w:r w:rsidRPr="00600D52">
        <w:rPr>
          <w:rFonts w:ascii="Arial" w:eastAsia="Century Schoolbook" w:hAnsi="Arial" w:cs="Arial"/>
          <w:i/>
          <w:iCs/>
          <w:kern w:val="0"/>
          <w:lang w:eastAsia="en-US"/>
          <w14:ligatures w14:val="none"/>
        </w:rPr>
        <w:t xml:space="preserve"> Pública</w:t>
      </w:r>
      <w:r w:rsidRPr="00600D52">
        <w:rPr>
          <w:rFonts w:ascii="Arial" w:eastAsia="Century Schoolbook" w:hAnsi="Arial" w:cs="Arial"/>
          <w:kern w:val="0"/>
          <w:lang w:eastAsia="en-US"/>
          <w14:ligatures w14:val="none"/>
        </w:rPr>
        <w:t xml:space="preserve">, 38(2). Available at: </w:t>
      </w:r>
      <w:hyperlink r:id="rId139" w:history="1">
        <w:r w:rsidRPr="00600D52">
          <w:rPr>
            <w:rFonts w:ascii="Arial" w:eastAsia="Century Schoolbook" w:hAnsi="Arial" w:cs="Arial"/>
            <w:kern w:val="0"/>
            <w:lang w:eastAsia="en-US"/>
            <w14:ligatures w14:val="none"/>
          </w:rPr>
          <w:t>https://doi.org/10.1590/0102-311x00116321</w:t>
        </w:r>
      </w:hyperlink>
      <w:r w:rsidRPr="00600D52">
        <w:rPr>
          <w:rFonts w:ascii="Arial" w:eastAsia="Century Schoolbook" w:hAnsi="Arial" w:cs="Arial"/>
          <w:kern w:val="0"/>
          <w:lang w:eastAsia="en-US"/>
          <w14:ligatures w14:val="none"/>
        </w:rPr>
        <w:t>.</w:t>
      </w:r>
    </w:p>
    <w:p w14:paraId="1375011A"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proofErr w:type="spellStart"/>
      <w:r w:rsidRPr="00600D52">
        <w:rPr>
          <w:rFonts w:ascii="Arial" w:eastAsia="Century Schoolbook" w:hAnsi="Arial" w:cs="Arial"/>
          <w:kern w:val="0"/>
          <w:lang w:eastAsia="en-US"/>
          <w14:ligatures w14:val="none"/>
        </w:rPr>
        <w:t>Tabche</w:t>
      </w:r>
      <w:proofErr w:type="spellEnd"/>
      <w:r w:rsidRPr="00600D52">
        <w:rPr>
          <w:rFonts w:ascii="Arial" w:eastAsia="Century Schoolbook" w:hAnsi="Arial" w:cs="Arial"/>
          <w:kern w:val="0"/>
          <w:lang w:eastAsia="en-US"/>
          <w14:ligatures w14:val="none"/>
        </w:rPr>
        <w:t xml:space="preserve">, C., Atwan, Z. and </w:t>
      </w:r>
      <w:proofErr w:type="spellStart"/>
      <w:r w:rsidRPr="00600D52">
        <w:rPr>
          <w:rFonts w:ascii="Arial" w:eastAsia="Century Schoolbook" w:hAnsi="Arial" w:cs="Arial"/>
          <w:kern w:val="0"/>
          <w:lang w:eastAsia="en-US"/>
          <w14:ligatures w14:val="none"/>
        </w:rPr>
        <w:t>Rawaf</w:t>
      </w:r>
      <w:proofErr w:type="spellEnd"/>
      <w:r w:rsidRPr="00600D52">
        <w:rPr>
          <w:rFonts w:ascii="Arial" w:eastAsia="Century Schoolbook" w:hAnsi="Arial" w:cs="Arial"/>
          <w:kern w:val="0"/>
          <w:lang w:eastAsia="en-US"/>
          <w14:ligatures w14:val="none"/>
        </w:rPr>
        <w:t xml:space="preserve">, S. (2024) ‘Integrating emergency preparedness competency frameworks in workforce development training’, </w:t>
      </w:r>
      <w:r w:rsidRPr="00600D52">
        <w:rPr>
          <w:rFonts w:ascii="Arial" w:eastAsia="Century Schoolbook" w:hAnsi="Arial" w:cs="Arial"/>
          <w:i/>
          <w:iCs/>
          <w:kern w:val="0"/>
          <w:lang w:eastAsia="en-US"/>
          <w14:ligatures w14:val="none"/>
        </w:rPr>
        <w:t>Mass Gathering Medicine</w:t>
      </w:r>
      <w:r w:rsidRPr="00600D52">
        <w:rPr>
          <w:rFonts w:ascii="Arial" w:eastAsia="Century Schoolbook" w:hAnsi="Arial" w:cs="Arial"/>
          <w:kern w:val="0"/>
          <w:lang w:eastAsia="en-US"/>
          <w14:ligatures w14:val="none"/>
        </w:rPr>
        <w:t xml:space="preserve">, 2, p. 100008. Available at: </w:t>
      </w:r>
      <w:hyperlink r:id="rId140" w:history="1">
        <w:r w:rsidRPr="00600D52">
          <w:rPr>
            <w:rFonts w:ascii="Arial" w:eastAsia="Century Schoolbook" w:hAnsi="Arial" w:cs="Arial"/>
            <w:kern w:val="0"/>
            <w:lang w:eastAsia="en-US"/>
            <w14:ligatures w14:val="none"/>
          </w:rPr>
          <w:t>https://doi.org/10.1016/j.mgmed.2024.100008</w:t>
        </w:r>
      </w:hyperlink>
      <w:r w:rsidRPr="00600D52">
        <w:rPr>
          <w:rFonts w:ascii="Arial" w:eastAsia="Century Schoolbook" w:hAnsi="Arial" w:cs="Arial"/>
          <w:kern w:val="0"/>
          <w:lang w:eastAsia="en-US"/>
          <w14:ligatures w14:val="none"/>
        </w:rPr>
        <w:t>.</w:t>
      </w:r>
    </w:p>
    <w:p w14:paraId="0AB7F314" w14:textId="77777777" w:rsidR="00600D52" w:rsidRPr="00600D52" w:rsidRDefault="00600D52" w:rsidP="00600D52">
      <w:pPr>
        <w:spacing w:before="240" w:after="220"/>
        <w:rPr>
          <w:rFonts w:ascii="Arial" w:eastAsia="Times New Roman" w:hAnsi="Arial" w:cs="Arial"/>
          <w:kern w:val="0"/>
          <w:lang w:eastAsia="en-US"/>
          <w14:ligatures w14:val="none"/>
        </w:rPr>
      </w:pPr>
      <w:proofErr w:type="spellStart"/>
      <w:r w:rsidRPr="00600D52">
        <w:rPr>
          <w:rFonts w:ascii="Arial" w:eastAsia="Times New Roman" w:hAnsi="Arial" w:cs="Arial"/>
          <w:kern w:val="0"/>
          <w:lang w:eastAsia="en-US"/>
          <w14:ligatures w14:val="none"/>
        </w:rPr>
        <w:t>Taherdoost</w:t>
      </w:r>
      <w:proofErr w:type="spellEnd"/>
      <w:r w:rsidRPr="00600D52">
        <w:rPr>
          <w:rFonts w:ascii="Arial" w:eastAsia="Times New Roman" w:hAnsi="Arial" w:cs="Arial"/>
          <w:kern w:val="0"/>
          <w:lang w:eastAsia="en-US"/>
          <w14:ligatures w14:val="none"/>
        </w:rPr>
        <w:t xml:space="preserve">, H. (2021) ‘A review of technology acceptance and adoption models and theories.’ </w:t>
      </w:r>
      <w:r w:rsidRPr="00600D52">
        <w:rPr>
          <w:rFonts w:ascii="Arial" w:eastAsia="Times New Roman" w:hAnsi="Arial" w:cs="Arial"/>
          <w:i/>
          <w:iCs/>
          <w:kern w:val="0"/>
          <w:lang w:eastAsia="en-US"/>
          <w14:ligatures w14:val="none"/>
        </w:rPr>
        <w:t>Procedia Manufacturing</w:t>
      </w:r>
      <w:r w:rsidRPr="00600D52">
        <w:rPr>
          <w:rFonts w:ascii="Arial" w:eastAsia="Times New Roman" w:hAnsi="Arial" w:cs="Arial"/>
          <w:kern w:val="0"/>
          <w:lang w:eastAsia="en-US"/>
          <w14:ligatures w14:val="none"/>
        </w:rPr>
        <w:t xml:space="preserve">, 22, pp.960–967. Available at: </w:t>
      </w:r>
      <w:hyperlink r:id="rId141" w:history="1">
        <w:r w:rsidRPr="00600D52">
          <w:rPr>
            <w:rFonts w:ascii="Arial" w:eastAsia="Times New Roman" w:hAnsi="Arial" w:cs="Arial"/>
            <w:color w:val="0563C1"/>
            <w:kern w:val="0"/>
            <w:u w:val="single"/>
            <w:lang w:eastAsia="en-US"/>
            <w14:ligatures w14:val="none"/>
          </w:rPr>
          <w:t>https://doi.org/10.1016/j.promfg.2018.03.137</w:t>
        </w:r>
      </w:hyperlink>
      <w:r w:rsidRPr="00600D52">
        <w:rPr>
          <w:rFonts w:ascii="Arial" w:eastAsia="Times New Roman" w:hAnsi="Arial" w:cs="Arial"/>
          <w:kern w:val="0"/>
          <w:lang w:eastAsia="en-US"/>
          <w14:ligatures w14:val="none"/>
        </w:rPr>
        <w:t xml:space="preserve"> </w:t>
      </w:r>
    </w:p>
    <w:p w14:paraId="4DF4F552"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Troyer, L. and Brady, W. (2020) ‘Barriers to Effective EMS to Emergency Department Information Transfer at Patient handover: a Systematic Review.’ </w:t>
      </w:r>
      <w:r w:rsidRPr="00600D52">
        <w:rPr>
          <w:rFonts w:ascii="Arial" w:eastAsia="Times New Roman" w:hAnsi="Arial" w:cs="Arial"/>
          <w:i/>
          <w:iCs/>
          <w:kern w:val="0"/>
          <w:lang w:eastAsia="en-US"/>
          <w14:ligatures w14:val="none"/>
        </w:rPr>
        <w:t>The American Journal of Emergency Medicine</w:t>
      </w:r>
      <w:r w:rsidRPr="00600D52">
        <w:rPr>
          <w:rFonts w:ascii="Arial" w:eastAsia="Times New Roman" w:hAnsi="Arial" w:cs="Arial"/>
          <w:kern w:val="0"/>
          <w:lang w:eastAsia="en-US"/>
          <w14:ligatures w14:val="none"/>
        </w:rPr>
        <w:t xml:space="preserve">, [online] 38(7). Available at: </w:t>
      </w:r>
      <w:hyperlink r:id="rId142" w:history="1">
        <w:r w:rsidRPr="00600D52">
          <w:rPr>
            <w:rFonts w:ascii="Arial" w:eastAsia="Times New Roman" w:hAnsi="Arial" w:cs="Arial"/>
            <w:color w:val="0563C1"/>
            <w:kern w:val="0"/>
            <w:u w:val="single"/>
            <w:lang w:eastAsia="en-US"/>
            <w14:ligatures w14:val="none"/>
          </w:rPr>
          <w:t>https://doi.org/10.1016/j.ajem.2020.04.036</w:t>
        </w:r>
      </w:hyperlink>
      <w:r w:rsidRPr="00600D52">
        <w:rPr>
          <w:rFonts w:ascii="Arial" w:eastAsia="Times New Roman" w:hAnsi="Arial" w:cs="Arial"/>
          <w:kern w:val="0"/>
          <w:lang w:eastAsia="en-US"/>
          <w14:ligatures w14:val="none"/>
        </w:rPr>
        <w:t xml:space="preserve"> </w:t>
      </w:r>
    </w:p>
    <w:p w14:paraId="49742753" w14:textId="77777777" w:rsidR="00600D52" w:rsidRPr="00600D52" w:rsidRDefault="00600D52" w:rsidP="00600D52">
      <w:pPr>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Vera San Juan, N., Clark, S.E., Camilleri, M., Jeans, J.P., Monkhouse, A., Chisnall, G. and </w:t>
      </w:r>
      <w:proofErr w:type="spellStart"/>
      <w:r w:rsidRPr="00600D52">
        <w:rPr>
          <w:rFonts w:ascii="Arial" w:eastAsia="Century Schoolbook" w:hAnsi="Arial" w:cs="Arial"/>
          <w:kern w:val="0"/>
          <w:lang w:eastAsia="en-US"/>
          <w14:ligatures w14:val="none"/>
        </w:rPr>
        <w:t>Vindrola-Padros</w:t>
      </w:r>
      <w:proofErr w:type="spellEnd"/>
      <w:r w:rsidRPr="00600D52">
        <w:rPr>
          <w:rFonts w:ascii="Arial" w:eastAsia="Century Schoolbook" w:hAnsi="Arial" w:cs="Arial"/>
          <w:kern w:val="0"/>
          <w:lang w:eastAsia="en-US"/>
          <w14:ligatures w14:val="none"/>
        </w:rPr>
        <w:t xml:space="preserve">, C. (2022) ‘Training and redeployment of healthcare workers to intensive care units (ICUs) during the COVID-19 pandemic: a systematic review.’ </w:t>
      </w:r>
      <w:r w:rsidRPr="00600D52">
        <w:rPr>
          <w:rFonts w:ascii="Arial" w:eastAsia="Century Schoolbook" w:hAnsi="Arial" w:cs="Arial"/>
          <w:i/>
          <w:iCs/>
          <w:kern w:val="0"/>
          <w:lang w:eastAsia="en-US"/>
          <w14:ligatures w14:val="none"/>
        </w:rPr>
        <w:t>BMJ Open</w:t>
      </w:r>
      <w:r w:rsidRPr="00600D52">
        <w:rPr>
          <w:rFonts w:ascii="Arial" w:eastAsia="Century Schoolbook" w:hAnsi="Arial" w:cs="Arial"/>
          <w:kern w:val="0"/>
          <w:lang w:eastAsia="en-US"/>
          <w14:ligatures w14:val="none"/>
        </w:rPr>
        <w:t xml:space="preserve">, 12(1), p.e050038. pp. 56–59. Available at: </w:t>
      </w:r>
      <w:hyperlink r:id="rId143" w:history="1">
        <w:r w:rsidRPr="00600D52">
          <w:rPr>
            <w:rFonts w:ascii="Arial" w:eastAsia="Century Schoolbook" w:hAnsi="Arial" w:cs="Arial"/>
            <w:color w:val="0563C1"/>
            <w:kern w:val="0"/>
            <w:u w:val="single"/>
            <w:lang w:eastAsia="en-US"/>
            <w14:ligatures w14:val="none"/>
          </w:rPr>
          <w:t>https://doi.org/10.1136/bmjopen-2021-050038</w:t>
        </w:r>
      </w:hyperlink>
      <w:r w:rsidRPr="00600D52">
        <w:rPr>
          <w:rFonts w:ascii="Arial" w:eastAsia="Century Schoolbook" w:hAnsi="Arial" w:cs="Arial"/>
          <w:kern w:val="0"/>
          <w:lang w:eastAsia="en-US"/>
          <w14:ligatures w14:val="none"/>
        </w:rPr>
        <w:t xml:space="preserve"> </w:t>
      </w:r>
    </w:p>
    <w:p w14:paraId="08158182" w14:textId="77777777" w:rsidR="00600D52" w:rsidRPr="00600D52" w:rsidRDefault="00600D52" w:rsidP="00600D52">
      <w:pPr>
        <w:spacing w:before="240" w:after="220"/>
        <w:rPr>
          <w:rFonts w:ascii="Arial" w:eastAsia="Times New Roman" w:hAnsi="Arial" w:cs="Arial"/>
          <w:kern w:val="0"/>
          <w:lang w:eastAsia="en-US"/>
          <w14:ligatures w14:val="none"/>
        </w:rPr>
      </w:pPr>
      <w:proofErr w:type="spellStart"/>
      <w:r w:rsidRPr="00600D52">
        <w:rPr>
          <w:rFonts w:ascii="Arial" w:eastAsia="Times New Roman" w:hAnsi="Arial" w:cs="Arial"/>
          <w:kern w:val="0"/>
          <w:lang w:eastAsia="en-US"/>
          <w14:ligatures w14:val="none"/>
        </w:rPr>
        <w:t>Vindrola-Padros</w:t>
      </w:r>
      <w:proofErr w:type="spellEnd"/>
      <w:r w:rsidRPr="00600D52">
        <w:rPr>
          <w:rFonts w:ascii="Arial" w:eastAsia="Times New Roman" w:hAnsi="Arial" w:cs="Arial"/>
          <w:kern w:val="0"/>
          <w:lang w:eastAsia="en-US"/>
          <w14:ligatures w14:val="none"/>
        </w:rPr>
        <w:t xml:space="preserve">, C., Andrews, L., Dowrick, A., Djellouli, N., Fillmore, H., Bautista Gonzalez, E., Javadi, D., Lewis-Jackson, S., Manby, L., Mitchinson, L., Mulcahy Symmons, S., Martin, S., Regenold, N., Robinson, H., </w:t>
      </w:r>
      <w:proofErr w:type="spellStart"/>
      <w:r w:rsidRPr="00600D52">
        <w:rPr>
          <w:rFonts w:ascii="Arial" w:eastAsia="Times New Roman" w:hAnsi="Arial" w:cs="Arial"/>
          <w:kern w:val="0"/>
          <w:lang w:eastAsia="en-US"/>
          <w14:ligatures w14:val="none"/>
        </w:rPr>
        <w:t>Sumray</w:t>
      </w:r>
      <w:proofErr w:type="spellEnd"/>
      <w:r w:rsidRPr="00600D52">
        <w:rPr>
          <w:rFonts w:ascii="Arial" w:eastAsia="Times New Roman" w:hAnsi="Arial" w:cs="Arial"/>
          <w:kern w:val="0"/>
          <w:lang w:eastAsia="en-US"/>
          <w14:ligatures w14:val="none"/>
        </w:rPr>
        <w:t xml:space="preserve">, K., Singleton, G., Syversen, A., </w:t>
      </w:r>
      <w:proofErr w:type="spellStart"/>
      <w:r w:rsidRPr="00600D52">
        <w:rPr>
          <w:rFonts w:ascii="Arial" w:eastAsia="Times New Roman" w:hAnsi="Arial" w:cs="Arial"/>
          <w:kern w:val="0"/>
          <w:lang w:eastAsia="en-US"/>
          <w14:ligatures w14:val="none"/>
        </w:rPr>
        <w:t>Vanderslott</w:t>
      </w:r>
      <w:proofErr w:type="spellEnd"/>
      <w:r w:rsidRPr="00600D52">
        <w:rPr>
          <w:rFonts w:ascii="Arial" w:eastAsia="Times New Roman" w:hAnsi="Arial" w:cs="Arial"/>
          <w:kern w:val="0"/>
          <w:lang w:eastAsia="en-US"/>
          <w14:ligatures w14:val="none"/>
        </w:rPr>
        <w:t xml:space="preserve">, S. and Johnson, G. (2020) ‘Perceptions and Experiences of Healthcare Workers during the COVID-19 Pandemic in the UK.’ </w:t>
      </w:r>
      <w:r w:rsidRPr="00600D52">
        <w:rPr>
          <w:rFonts w:ascii="Arial" w:eastAsia="Times New Roman" w:hAnsi="Arial" w:cs="Arial"/>
          <w:i/>
          <w:iCs/>
          <w:kern w:val="0"/>
          <w:lang w:eastAsia="en-US"/>
          <w14:ligatures w14:val="none"/>
        </w:rPr>
        <w:t>BMJ Open</w:t>
      </w:r>
      <w:r w:rsidRPr="00600D52">
        <w:rPr>
          <w:rFonts w:ascii="Arial" w:eastAsia="Times New Roman" w:hAnsi="Arial" w:cs="Arial"/>
          <w:kern w:val="0"/>
          <w:lang w:eastAsia="en-US"/>
          <w14:ligatures w14:val="none"/>
        </w:rPr>
        <w:t xml:space="preserve">, 10(11), </w:t>
      </w:r>
      <w:proofErr w:type="gramStart"/>
      <w:r w:rsidRPr="00600D52">
        <w:rPr>
          <w:rFonts w:ascii="Arial" w:eastAsia="Times New Roman" w:hAnsi="Arial" w:cs="Arial"/>
          <w:kern w:val="0"/>
          <w:lang w:eastAsia="en-US"/>
          <w14:ligatures w14:val="none"/>
        </w:rPr>
        <w:t>pp.e</w:t>
      </w:r>
      <w:proofErr w:type="gramEnd"/>
      <w:r w:rsidRPr="00600D52">
        <w:rPr>
          <w:rFonts w:ascii="Arial" w:eastAsia="Times New Roman" w:hAnsi="Arial" w:cs="Arial"/>
          <w:kern w:val="0"/>
          <w:lang w:eastAsia="en-US"/>
          <w14:ligatures w14:val="none"/>
        </w:rPr>
        <w:t xml:space="preserve">040503- e040510. Available at: </w:t>
      </w:r>
      <w:hyperlink r:id="rId144" w:history="1">
        <w:r w:rsidRPr="00600D52">
          <w:rPr>
            <w:rFonts w:ascii="Arial" w:eastAsia="Times New Roman" w:hAnsi="Arial" w:cs="Arial"/>
            <w:color w:val="0563C1"/>
            <w:kern w:val="0"/>
            <w:u w:val="single"/>
            <w:lang w:eastAsia="en-US"/>
            <w14:ligatures w14:val="none"/>
          </w:rPr>
          <w:t>https://doi.org/10.1136/bmjopen-2020-040503</w:t>
        </w:r>
      </w:hyperlink>
      <w:r w:rsidRPr="00600D52">
        <w:rPr>
          <w:rFonts w:ascii="Arial" w:eastAsia="Times New Roman" w:hAnsi="Arial" w:cs="Arial"/>
          <w:kern w:val="0"/>
          <w:lang w:eastAsia="en-US"/>
          <w14:ligatures w14:val="none"/>
        </w:rPr>
        <w:t xml:space="preserve"> </w:t>
      </w:r>
    </w:p>
    <w:p w14:paraId="3C161059"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Wright, E.V., Haden, N.D. and Dalrymple, K. (2023) ‘Supervision of redeployed surgical trainees during the COVID-19 pandemic: what have we learnt and how can we improve?’, 23(1). Available at: </w:t>
      </w:r>
      <w:hyperlink r:id="rId145" w:history="1">
        <w:r w:rsidRPr="00600D52">
          <w:rPr>
            <w:rFonts w:ascii="Arial" w:eastAsia="Century Schoolbook" w:hAnsi="Arial" w:cs="Arial"/>
            <w:kern w:val="0"/>
            <w:lang w:eastAsia="en-US"/>
            <w14:ligatures w14:val="none"/>
          </w:rPr>
          <w:t>https://doi.org/10.1186/s12909-023-04275-4</w:t>
        </w:r>
      </w:hyperlink>
      <w:r w:rsidRPr="00600D52">
        <w:rPr>
          <w:rFonts w:ascii="Arial" w:eastAsia="Century Schoolbook" w:hAnsi="Arial" w:cs="Arial"/>
          <w:kern w:val="0"/>
          <w:lang w:eastAsia="en-US"/>
          <w14:ligatures w14:val="none"/>
        </w:rPr>
        <w:t>.</w:t>
      </w:r>
    </w:p>
    <w:p w14:paraId="357E020C" w14:textId="77777777" w:rsidR="00600D52" w:rsidRPr="00600D52" w:rsidRDefault="00600D52" w:rsidP="00600D52">
      <w:pPr>
        <w:widowControl w:val="0"/>
        <w:autoSpaceDE w:val="0"/>
        <w:autoSpaceDN w:val="0"/>
        <w:adjustRightInd w:val="0"/>
        <w:spacing w:before="240" w:after="0"/>
        <w:rPr>
          <w:rFonts w:ascii="Arial" w:eastAsia="Century Schoolbook" w:hAnsi="Arial" w:cs="Arial"/>
          <w:kern w:val="0"/>
          <w:lang w:eastAsia="en-US"/>
          <w14:ligatures w14:val="none"/>
        </w:rPr>
      </w:pPr>
      <w:r w:rsidRPr="00600D52">
        <w:rPr>
          <w:rFonts w:ascii="Arial" w:eastAsia="Century Schoolbook" w:hAnsi="Arial" w:cs="Arial"/>
          <w:kern w:val="0"/>
          <w:lang w:eastAsia="en-US"/>
          <w14:ligatures w14:val="none"/>
        </w:rPr>
        <w:t xml:space="preserve">Zhang, C. (2023) ‘A Literature Study of Medical Simulations for Non-Technical Skills Training in Emergency Medicine: Twenty Years of Progress, an Integrated Research Framework, and Future Research Avenues’, </w:t>
      </w:r>
      <w:r w:rsidRPr="00600D52">
        <w:rPr>
          <w:rFonts w:ascii="Arial" w:eastAsia="Century Schoolbook" w:hAnsi="Arial" w:cs="Arial"/>
          <w:i/>
          <w:iCs/>
          <w:kern w:val="0"/>
          <w:lang w:eastAsia="en-US"/>
          <w14:ligatures w14:val="none"/>
        </w:rPr>
        <w:t>International Journal of Environmental Research and Public Health</w:t>
      </w:r>
      <w:r w:rsidRPr="00600D52">
        <w:rPr>
          <w:rFonts w:ascii="Arial" w:eastAsia="Century Schoolbook" w:hAnsi="Arial" w:cs="Arial"/>
          <w:kern w:val="0"/>
          <w:lang w:eastAsia="en-US"/>
          <w14:ligatures w14:val="none"/>
        </w:rPr>
        <w:t xml:space="preserve">, 20(5), p. 4487. Available at: </w:t>
      </w:r>
      <w:hyperlink r:id="rId146" w:history="1">
        <w:r w:rsidRPr="00600D52">
          <w:rPr>
            <w:rFonts w:ascii="Arial" w:eastAsia="Century Schoolbook" w:hAnsi="Arial" w:cs="Arial"/>
            <w:kern w:val="0"/>
            <w:lang w:eastAsia="en-US"/>
            <w14:ligatures w14:val="none"/>
          </w:rPr>
          <w:t>https://doi.org/10.3390/ijerph20054487</w:t>
        </w:r>
      </w:hyperlink>
      <w:r w:rsidRPr="00600D52">
        <w:rPr>
          <w:rFonts w:ascii="Arial" w:eastAsia="Century Schoolbook" w:hAnsi="Arial" w:cs="Arial"/>
          <w:kern w:val="0"/>
          <w:lang w:eastAsia="en-US"/>
          <w14:ligatures w14:val="none"/>
        </w:rPr>
        <w:t xml:space="preserve"> </w:t>
      </w:r>
    </w:p>
    <w:p w14:paraId="3E21466C" w14:textId="77777777" w:rsidR="00600D52" w:rsidRPr="00600D52" w:rsidRDefault="00600D52" w:rsidP="00600D52">
      <w:pPr>
        <w:spacing w:before="240" w:after="220"/>
        <w:rPr>
          <w:rFonts w:ascii="Arial" w:eastAsia="Times New Roman" w:hAnsi="Arial" w:cs="Arial"/>
          <w:kern w:val="0"/>
          <w:lang w:eastAsia="en-US"/>
          <w14:ligatures w14:val="none"/>
        </w:rPr>
      </w:pPr>
      <w:r w:rsidRPr="00600D52">
        <w:rPr>
          <w:rFonts w:ascii="Arial" w:eastAsia="Times New Roman" w:hAnsi="Arial" w:cs="Arial"/>
          <w:kern w:val="0"/>
          <w:lang w:eastAsia="en-US"/>
          <w14:ligatures w14:val="none"/>
        </w:rPr>
        <w:t xml:space="preserve">Zimmerman, M.A. (2023) ‘Resiliency Theory: </w:t>
      </w:r>
      <w:proofErr w:type="gramStart"/>
      <w:r w:rsidRPr="00600D52">
        <w:rPr>
          <w:rFonts w:ascii="Arial" w:eastAsia="Times New Roman" w:hAnsi="Arial" w:cs="Arial"/>
          <w:kern w:val="0"/>
          <w:lang w:eastAsia="en-US"/>
          <w14:ligatures w14:val="none"/>
        </w:rPr>
        <w:t>a</w:t>
      </w:r>
      <w:proofErr w:type="gramEnd"/>
      <w:r w:rsidRPr="00600D52">
        <w:rPr>
          <w:rFonts w:ascii="Arial" w:eastAsia="Times New Roman" w:hAnsi="Arial" w:cs="Arial"/>
          <w:kern w:val="0"/>
          <w:lang w:eastAsia="en-US"/>
          <w14:ligatures w14:val="none"/>
        </w:rPr>
        <w:t xml:space="preserve"> Strengths-Based Approach to Research and Practice for Adolescent Health.’ </w:t>
      </w:r>
      <w:r w:rsidRPr="00600D52">
        <w:rPr>
          <w:rFonts w:ascii="Arial" w:eastAsia="Times New Roman" w:hAnsi="Arial" w:cs="Arial"/>
          <w:i/>
          <w:iCs/>
          <w:kern w:val="0"/>
          <w:lang w:eastAsia="en-US"/>
          <w14:ligatures w14:val="none"/>
        </w:rPr>
        <w:t xml:space="preserve">Health Education &amp; </w:t>
      </w:r>
      <w:proofErr w:type="spellStart"/>
      <w:r w:rsidRPr="00600D52">
        <w:rPr>
          <w:rFonts w:ascii="Arial" w:eastAsia="Times New Roman" w:hAnsi="Arial" w:cs="Arial"/>
          <w:i/>
          <w:iCs/>
          <w:kern w:val="0"/>
          <w:lang w:eastAsia="en-US"/>
          <w14:ligatures w14:val="none"/>
        </w:rPr>
        <w:t>Behavior</w:t>
      </w:r>
      <w:proofErr w:type="spellEnd"/>
      <w:r w:rsidRPr="00600D52">
        <w:rPr>
          <w:rFonts w:ascii="Arial" w:eastAsia="Times New Roman" w:hAnsi="Arial" w:cs="Arial"/>
          <w:kern w:val="0"/>
          <w:lang w:eastAsia="en-US"/>
          <w14:ligatures w14:val="none"/>
        </w:rPr>
        <w:t xml:space="preserve">, [online] 40(4), pp.381–383. Available at: </w:t>
      </w:r>
      <w:hyperlink r:id="rId147" w:history="1">
        <w:r w:rsidRPr="00600D52">
          <w:rPr>
            <w:rFonts w:ascii="Arial" w:eastAsia="Times New Roman" w:hAnsi="Arial" w:cs="Arial"/>
            <w:color w:val="0563C1"/>
            <w:kern w:val="0"/>
            <w:u w:val="single"/>
            <w:lang w:eastAsia="en-US"/>
            <w14:ligatures w14:val="none"/>
          </w:rPr>
          <w:t>https://doi.org/10.1177/1090198113493782</w:t>
        </w:r>
      </w:hyperlink>
      <w:r w:rsidRPr="00600D52">
        <w:rPr>
          <w:rFonts w:ascii="Arial" w:eastAsia="Times New Roman" w:hAnsi="Arial" w:cs="Arial"/>
          <w:kern w:val="0"/>
          <w:lang w:eastAsia="en-US"/>
          <w14:ligatures w14:val="none"/>
        </w:rPr>
        <w:t xml:space="preserve"> </w:t>
      </w:r>
    </w:p>
    <w:p w14:paraId="5AB6242D" w14:textId="77777777" w:rsidR="00600D52" w:rsidRPr="00AC7BA4" w:rsidRDefault="00600D52" w:rsidP="00AC7BA4">
      <w:pPr>
        <w:widowControl w:val="0"/>
        <w:autoSpaceDE w:val="0"/>
        <w:autoSpaceDN w:val="0"/>
        <w:adjustRightInd w:val="0"/>
        <w:spacing w:before="240" w:after="0"/>
        <w:rPr>
          <w:rFonts w:ascii="Arial" w:eastAsia="Century Schoolbook" w:hAnsi="Arial" w:cs="Arial"/>
          <w:kern w:val="0"/>
          <w:lang w:eastAsia="en-US"/>
          <w14:ligatures w14:val="none"/>
        </w:rPr>
      </w:pPr>
    </w:p>
    <w:p w14:paraId="241039AE" w14:textId="77777777" w:rsidR="00AC7BA4" w:rsidRDefault="00AC7BA4" w:rsidP="00AF78BA">
      <w:pPr>
        <w:widowControl w:val="0"/>
        <w:autoSpaceDE w:val="0"/>
        <w:autoSpaceDN w:val="0"/>
        <w:adjustRightInd w:val="0"/>
        <w:spacing w:before="240" w:after="0"/>
        <w:rPr>
          <w:rFonts w:ascii="Arial" w:eastAsia="Century Schoolbook" w:hAnsi="Arial" w:cs="Times New Roman"/>
          <w:kern w:val="0"/>
          <w:lang w:eastAsia="en-US"/>
          <w14:ligatures w14:val="none"/>
        </w:rPr>
      </w:pPr>
    </w:p>
    <w:p w14:paraId="6676A37A" w14:textId="77777777" w:rsidR="008B1048" w:rsidRPr="00AF78BA" w:rsidRDefault="008B1048" w:rsidP="00AF78BA">
      <w:pPr>
        <w:widowControl w:val="0"/>
        <w:autoSpaceDE w:val="0"/>
        <w:autoSpaceDN w:val="0"/>
        <w:adjustRightInd w:val="0"/>
        <w:spacing w:before="240" w:after="0"/>
        <w:rPr>
          <w:rFonts w:ascii="Arial" w:eastAsia="Century Schoolbook" w:hAnsi="Arial" w:cs="Times New Roman"/>
          <w:kern w:val="0"/>
          <w:lang w:eastAsia="en-US"/>
          <w14:ligatures w14:val="none"/>
        </w:rPr>
      </w:pPr>
    </w:p>
    <w:p w14:paraId="3C7AA80C" w14:textId="77777777" w:rsidR="00621776" w:rsidRDefault="00621776" w:rsidP="00621776"/>
    <w:p w14:paraId="75AAF140" w14:textId="77777777" w:rsidR="00AB77C6" w:rsidRDefault="00AB77C6" w:rsidP="00621776"/>
    <w:p w14:paraId="33F25BAD" w14:textId="77777777" w:rsidR="00AB77C6" w:rsidRDefault="00AB77C6" w:rsidP="00621776"/>
    <w:p w14:paraId="55F128E9" w14:textId="77777777" w:rsidR="00AB77C6" w:rsidRDefault="00AB77C6" w:rsidP="00621776"/>
    <w:p w14:paraId="6D7584F3" w14:textId="2BF13A34" w:rsidR="00621776"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1BB761FF" w14:textId="77777777" w:rsidR="008B1048" w:rsidRDefault="008B1048" w:rsidP="00621776">
      <w:pPr>
        <w:pStyle w:val="Heading1"/>
        <w:ind w:left="0"/>
        <w:rPr>
          <w:rFonts w:ascii="Aptos" w:hAnsi="Aptos"/>
          <w:sz w:val="28"/>
          <w:szCs w:val="28"/>
        </w:rPr>
      </w:pPr>
    </w:p>
    <w:p w14:paraId="55060A1F" w14:textId="77777777" w:rsidR="008B1048" w:rsidRPr="008B1048" w:rsidRDefault="008B1048" w:rsidP="008B1048">
      <w:pPr>
        <w:spacing w:after="0"/>
        <w:outlineLvl w:val="1"/>
        <w:rPr>
          <w:rFonts w:ascii="Arial" w:eastAsia="Century Schoolbook" w:hAnsi="Arial" w:cs="Times New Roman"/>
          <w:b/>
          <w:spacing w:val="10"/>
          <w:kern w:val="0"/>
          <w:sz w:val="24"/>
          <w:lang w:eastAsia="en-US"/>
          <w14:ligatures w14:val="none"/>
        </w:rPr>
      </w:pPr>
      <w:bookmarkStart w:id="17" w:name="_Toc218267707"/>
      <w:bookmarkStart w:id="18" w:name="_Toc232409303"/>
      <w:r w:rsidRPr="008B1048">
        <w:rPr>
          <w:rFonts w:ascii="Arial" w:eastAsia="Century Schoolbook" w:hAnsi="Arial" w:cs="Times New Roman"/>
          <w:b/>
          <w:spacing w:val="10"/>
          <w:kern w:val="0"/>
          <w:sz w:val="24"/>
          <w:lang w:eastAsia="en-US"/>
          <w14:ligatures w14:val="none"/>
        </w:rPr>
        <w:t>Appendix 1: Search Process Table</w:t>
      </w:r>
      <w:bookmarkEnd w:id="17"/>
      <w:bookmarkEnd w:id="18"/>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7"/>
        <w:gridCol w:w="2257"/>
        <w:gridCol w:w="2258"/>
        <w:gridCol w:w="2258"/>
      </w:tblGrid>
      <w:tr w:rsidR="008B1048" w:rsidRPr="008B1048" w14:paraId="1F823D17"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F2871" w14:textId="77777777" w:rsidR="008B1048" w:rsidRPr="008B1048" w:rsidRDefault="008B1048" w:rsidP="008B1048">
            <w:pPr>
              <w:widowControl w:val="0"/>
              <w:spacing w:after="0"/>
              <w:jc w:val="center"/>
              <w:rPr>
                <w:rFonts w:ascii="Arial" w:eastAsia="Century Schoolbook" w:hAnsi="Arial" w:cs="Arial"/>
                <w:b/>
                <w:bCs/>
                <w:kern w:val="0"/>
                <w:lang w:eastAsia="en-US"/>
                <w14:ligatures w14:val="none"/>
              </w:rPr>
            </w:pPr>
            <w:r w:rsidRPr="008B1048">
              <w:rPr>
                <w:rFonts w:ascii="Arial" w:eastAsia="Century Schoolbook" w:hAnsi="Arial" w:cs="Arial"/>
                <w:b/>
                <w:bCs/>
                <w:kern w:val="0"/>
                <w:lang w:eastAsia="en-US"/>
                <w14:ligatures w14:val="none"/>
              </w:rPr>
              <w:t>Source Category</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F6772" w14:textId="77777777" w:rsidR="008B1048" w:rsidRPr="008B1048" w:rsidRDefault="008B1048" w:rsidP="008B1048">
            <w:pPr>
              <w:widowControl w:val="0"/>
              <w:spacing w:after="0"/>
              <w:jc w:val="center"/>
              <w:rPr>
                <w:rFonts w:ascii="Arial" w:eastAsia="Century Schoolbook" w:hAnsi="Arial" w:cs="Arial"/>
                <w:b/>
                <w:bCs/>
                <w:kern w:val="0"/>
                <w:lang w:eastAsia="en-US"/>
                <w14:ligatures w14:val="none"/>
              </w:rPr>
            </w:pPr>
            <w:r w:rsidRPr="008B1048">
              <w:rPr>
                <w:rFonts w:ascii="Arial" w:eastAsia="Century Schoolbook" w:hAnsi="Arial" w:cs="Arial"/>
                <w:b/>
                <w:bCs/>
                <w:kern w:val="0"/>
                <w:lang w:eastAsia="en-US"/>
                <w14:ligatures w14:val="none"/>
              </w:rPr>
              <w:t>Number of Sources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04593" w14:textId="77777777" w:rsidR="008B1048" w:rsidRPr="008B1048" w:rsidRDefault="008B1048" w:rsidP="008B1048">
            <w:pPr>
              <w:widowControl w:val="0"/>
              <w:spacing w:after="0"/>
              <w:jc w:val="center"/>
              <w:rPr>
                <w:rFonts w:ascii="Arial" w:eastAsia="Century Schoolbook" w:hAnsi="Arial" w:cs="Arial"/>
                <w:b/>
                <w:bCs/>
                <w:kern w:val="0"/>
                <w:lang w:eastAsia="en-US"/>
                <w14:ligatures w14:val="none"/>
              </w:rPr>
            </w:pPr>
            <w:r w:rsidRPr="008B1048">
              <w:rPr>
                <w:rFonts w:ascii="Arial" w:eastAsia="Century Schoolbook" w:hAnsi="Arial" w:cs="Arial"/>
                <w:b/>
                <w:bCs/>
                <w:kern w:val="0"/>
                <w:lang w:eastAsia="en-US"/>
                <w14:ligatures w14:val="none"/>
              </w:rPr>
              <w:t>Keywords used</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9E4FA" w14:textId="77777777" w:rsidR="008B1048" w:rsidRPr="008B1048" w:rsidRDefault="008B1048" w:rsidP="008B1048">
            <w:pPr>
              <w:widowControl w:val="0"/>
              <w:spacing w:after="0"/>
              <w:jc w:val="center"/>
              <w:rPr>
                <w:rFonts w:ascii="Arial" w:eastAsia="Century Schoolbook" w:hAnsi="Arial" w:cs="Arial"/>
                <w:b/>
                <w:bCs/>
                <w:kern w:val="0"/>
                <w:lang w:eastAsia="en-US"/>
                <w14:ligatures w14:val="none"/>
              </w:rPr>
            </w:pPr>
            <w:r w:rsidRPr="008B1048">
              <w:rPr>
                <w:rFonts w:ascii="Arial" w:eastAsia="Century Schoolbook" w:hAnsi="Arial" w:cs="Arial"/>
                <w:b/>
                <w:bCs/>
                <w:kern w:val="0"/>
                <w:lang w:eastAsia="en-US"/>
                <w14:ligatures w14:val="none"/>
              </w:rPr>
              <w:t>Key Referenced Authors</w:t>
            </w:r>
          </w:p>
        </w:tc>
      </w:tr>
      <w:tr w:rsidR="008B1048" w:rsidRPr="008B1048" w14:paraId="21DB350A" w14:textId="77777777">
        <w:trPr>
          <w:trHeight w:val="1141"/>
        </w:trPr>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E4EE8"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Emergency medicine resilience and preparedness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5F2EC"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1</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51D00"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Resilience, preparedness, emergency training, COVID-19</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67DF6" w14:textId="77777777" w:rsidR="008B1048" w:rsidRPr="008B1048" w:rsidRDefault="008B1048" w:rsidP="008B1048">
            <w:pPr>
              <w:spacing w:after="0"/>
              <w:jc w:val="center"/>
              <w:rPr>
                <w:rFonts w:ascii="Arial" w:eastAsia="Century Schoolbook" w:hAnsi="Arial" w:cs="Times New Roman"/>
                <w:kern w:val="0"/>
                <w:lang w:eastAsia="en-US"/>
                <w14:ligatures w14:val="none"/>
              </w:rPr>
            </w:pPr>
            <w:proofErr w:type="spellStart"/>
            <w:r w:rsidRPr="008B1048">
              <w:rPr>
                <w:rFonts w:ascii="Arial" w:eastAsia="Century Schoolbook" w:hAnsi="Arial" w:cs="Arial"/>
                <w:kern w:val="0"/>
                <w:lang w:eastAsia="en-US"/>
                <w14:ligatures w14:val="none"/>
              </w:rPr>
              <w:t>Goniewicz</w:t>
            </w:r>
            <w:proofErr w:type="spellEnd"/>
            <w:r w:rsidRPr="008B1048">
              <w:rPr>
                <w:rFonts w:ascii="Arial" w:eastAsia="Century Schoolbook" w:hAnsi="Arial" w:cs="Arial"/>
                <w:kern w:val="0"/>
                <w:lang w:eastAsia="en-US"/>
                <w14:ligatures w14:val="none"/>
              </w:rPr>
              <w:t xml:space="preserve"> </w:t>
            </w:r>
            <w:r w:rsidRPr="008B1048">
              <w:rPr>
                <w:rFonts w:ascii="Arial" w:eastAsia="Century Schoolbook" w:hAnsi="Arial" w:cs="Arial"/>
                <w:i/>
                <w:kern w:val="0"/>
                <w:lang w:eastAsia="en-US"/>
                <w14:ligatures w14:val="none"/>
              </w:rPr>
              <w:t xml:space="preserve">et al., </w:t>
            </w:r>
            <w:r w:rsidRPr="008B1048">
              <w:rPr>
                <w:rFonts w:ascii="Arial" w:eastAsia="Century Schoolbook" w:hAnsi="Arial" w:cs="Arial"/>
                <w:kern w:val="0"/>
                <w:lang w:eastAsia="en-US"/>
                <w14:ligatures w14:val="none"/>
              </w:rPr>
              <w:t>(2023)</w:t>
            </w:r>
          </w:p>
        </w:tc>
      </w:tr>
      <w:tr w:rsidR="008B1048" w:rsidRPr="008B1048" w14:paraId="0738DAF6"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E7EF8"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Clinical education and laboratory training</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9F518"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1</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C5D14"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Clinical education, training progression, workforce development</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BAD6C"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Pearse and Scott (2023)</w:t>
            </w:r>
          </w:p>
        </w:tc>
      </w:tr>
      <w:tr w:rsidR="008B1048" w:rsidRPr="008B1048" w14:paraId="7102607B" w14:textId="77777777">
        <w:trPr>
          <w:trHeight w:val="672"/>
        </w:trPr>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34B0DD"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Workforce redeployment and flexibility</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1C92E"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2</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3FBAB5"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Redeployment, role adaptation, workforce organisation</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A9929"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Faulkner-</w:t>
            </w:r>
            <w:proofErr w:type="spellStart"/>
            <w:r w:rsidRPr="008B1048">
              <w:rPr>
                <w:rFonts w:ascii="Arial" w:eastAsia="Century Schoolbook" w:hAnsi="Arial" w:cs="Arial"/>
                <w:kern w:val="0"/>
                <w:lang w:eastAsia="en-US"/>
                <w14:ligatures w14:val="none"/>
              </w:rPr>
              <w:t>Gurstein</w:t>
            </w:r>
            <w:proofErr w:type="spellEnd"/>
            <w:r w:rsidRPr="008B1048">
              <w:rPr>
                <w:rFonts w:ascii="Arial" w:eastAsia="Century Schoolbook" w:hAnsi="Arial" w:cs="Arial"/>
                <w:kern w:val="0"/>
                <w:lang w:eastAsia="en-US"/>
                <w14:ligatures w14:val="none"/>
              </w:rPr>
              <w:t xml:space="preserve"> </w:t>
            </w:r>
            <w:r w:rsidRPr="008B1048">
              <w:rPr>
                <w:rFonts w:ascii="Arial" w:eastAsia="Century Schoolbook" w:hAnsi="Arial" w:cs="Arial"/>
                <w:i/>
                <w:kern w:val="0"/>
                <w:lang w:eastAsia="en-US"/>
                <w14:ligatures w14:val="none"/>
              </w:rPr>
              <w:t xml:space="preserve">et al., </w:t>
            </w:r>
            <w:r w:rsidRPr="008B1048">
              <w:rPr>
                <w:rFonts w:ascii="Arial" w:eastAsia="Century Schoolbook" w:hAnsi="Arial" w:cs="Arial"/>
                <w:kern w:val="0"/>
                <w:lang w:eastAsia="en-US"/>
                <w14:ligatures w14:val="none"/>
              </w:rPr>
              <w:t>(2023)</w:t>
            </w:r>
          </w:p>
        </w:tc>
      </w:tr>
      <w:tr w:rsidR="008B1048" w:rsidRPr="008B1048" w14:paraId="1FD51EC0" w14:textId="77777777">
        <w:trPr>
          <w:trHeight w:val="672"/>
        </w:trPr>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3C3D6F"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Health worker education innovations</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D6A6C"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1</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B87353"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Training adaptation, digital learning, pandemic response</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D0994" w14:textId="77777777" w:rsidR="008B1048" w:rsidRPr="008B1048" w:rsidRDefault="008B1048" w:rsidP="008B1048">
            <w:pPr>
              <w:spacing w:after="0"/>
              <w:jc w:val="center"/>
              <w:rPr>
                <w:rFonts w:ascii="Arial" w:eastAsia="Century Schoolbook" w:hAnsi="Arial" w:cs="Arial"/>
                <w:kern w:val="0"/>
                <w:u w:val="single"/>
                <w:lang w:eastAsia="en-US"/>
                <w14:ligatures w14:val="none"/>
              </w:rPr>
            </w:pPr>
            <w:r w:rsidRPr="008B1048">
              <w:rPr>
                <w:rFonts w:ascii="Arial" w:eastAsia="Century Schoolbook" w:hAnsi="Arial" w:cs="Arial"/>
                <w:kern w:val="0"/>
                <w:lang w:eastAsia="en-US"/>
                <w14:ligatures w14:val="none"/>
              </w:rPr>
              <w:t xml:space="preserve">Boutros </w:t>
            </w:r>
            <w:r w:rsidRPr="008B1048">
              <w:rPr>
                <w:rFonts w:ascii="Arial" w:eastAsia="Century Schoolbook" w:hAnsi="Arial" w:cs="Arial"/>
                <w:i/>
                <w:kern w:val="0"/>
                <w:lang w:eastAsia="en-US"/>
                <w14:ligatures w14:val="none"/>
              </w:rPr>
              <w:t xml:space="preserve">et al., </w:t>
            </w:r>
            <w:r w:rsidRPr="008B1048">
              <w:rPr>
                <w:rFonts w:ascii="Arial" w:eastAsia="Century Schoolbook" w:hAnsi="Arial" w:cs="Arial"/>
                <w:kern w:val="0"/>
                <w:lang w:eastAsia="en-US"/>
                <w14:ligatures w14:val="none"/>
              </w:rPr>
              <w:t>(2023)</w:t>
            </w:r>
          </w:p>
        </w:tc>
      </w:tr>
      <w:tr w:rsidR="008B1048" w:rsidRPr="008B1048" w14:paraId="51F7C1C2" w14:textId="77777777">
        <w:trPr>
          <w:trHeight w:val="672"/>
        </w:trPr>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97721"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Clinical supervision and competency support</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2BFC7C"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1</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821689" w14:textId="77777777" w:rsidR="008B1048" w:rsidRPr="008B1048" w:rsidRDefault="008B1048" w:rsidP="008B1048">
            <w:pPr>
              <w:spacing w:after="0"/>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t xml:space="preserve">Supervision, competency </w:t>
            </w:r>
            <w:r w:rsidRPr="008B1048">
              <w:rPr>
                <w:rFonts w:ascii="Arial" w:eastAsia="Century Schoolbook" w:hAnsi="Arial" w:cs="Arial"/>
                <w:kern w:val="0"/>
                <w:lang w:eastAsia="en-US"/>
                <w14:ligatures w14:val="none"/>
              </w:rPr>
              <w:lastRenderedPageBreak/>
              <w:t>development, workforce support</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75869" w14:textId="77777777" w:rsidR="008B1048" w:rsidRPr="008B1048" w:rsidRDefault="008B1048" w:rsidP="008B1048">
            <w:pPr>
              <w:spacing w:after="0"/>
              <w:jc w:val="center"/>
              <w:rPr>
                <w:rFonts w:ascii="Arial" w:eastAsia="Century Schoolbook" w:hAnsi="Arial" w:cs="Arial"/>
                <w:kern w:val="0"/>
                <w:lang w:eastAsia="en-US"/>
                <w14:ligatures w14:val="none"/>
              </w:rPr>
            </w:pPr>
            <w:r w:rsidRPr="008B1048">
              <w:rPr>
                <w:rFonts w:ascii="Arial" w:eastAsia="Century Schoolbook" w:hAnsi="Arial" w:cs="Arial"/>
                <w:kern w:val="0"/>
                <w:lang w:eastAsia="en-US"/>
                <w14:ligatures w14:val="none"/>
              </w:rPr>
              <w:lastRenderedPageBreak/>
              <w:t xml:space="preserve">Martin </w:t>
            </w:r>
            <w:r w:rsidRPr="008B1048">
              <w:rPr>
                <w:rFonts w:ascii="Arial" w:eastAsia="Century Schoolbook" w:hAnsi="Arial" w:cs="Arial"/>
                <w:i/>
                <w:kern w:val="0"/>
                <w:lang w:eastAsia="en-US"/>
                <w14:ligatures w14:val="none"/>
              </w:rPr>
              <w:t xml:space="preserve">et al., </w:t>
            </w:r>
            <w:r w:rsidRPr="008B1048">
              <w:rPr>
                <w:rFonts w:ascii="Arial" w:eastAsia="Century Schoolbook" w:hAnsi="Arial" w:cs="Arial"/>
                <w:kern w:val="0"/>
                <w:lang w:eastAsia="en-US"/>
                <w14:ligatures w14:val="none"/>
              </w:rPr>
              <w:t>(2022)</w:t>
            </w:r>
          </w:p>
        </w:tc>
      </w:tr>
    </w:tbl>
    <w:p w14:paraId="28D11502" w14:textId="77777777" w:rsidR="008B1048" w:rsidRPr="008B1048" w:rsidRDefault="008B1048" w:rsidP="008B1048">
      <w:pPr>
        <w:spacing w:after="0"/>
        <w:rPr>
          <w:rFonts w:ascii="Arial" w:eastAsia="Century Schoolbook" w:hAnsi="Arial" w:cs="Times New Roman"/>
          <w:kern w:val="0"/>
          <w:lang w:eastAsia="en-US"/>
          <w14:ligatures w14:val="none"/>
        </w:rPr>
      </w:pPr>
    </w:p>
    <w:p w14:paraId="781FA5EB" w14:textId="77777777" w:rsidR="008B1048" w:rsidRPr="008B1048" w:rsidRDefault="008B1048" w:rsidP="008B1048">
      <w:pPr>
        <w:spacing w:after="0"/>
        <w:rPr>
          <w:rFonts w:ascii="Arial" w:eastAsia="Century Schoolbook" w:hAnsi="Arial" w:cs="Times New Roman"/>
          <w:noProof/>
          <w:kern w:val="0"/>
          <w:lang w:eastAsia="en-US"/>
          <w14:ligatures w14:val="none"/>
        </w:rPr>
      </w:pPr>
    </w:p>
    <w:p w14:paraId="712D316A" w14:textId="77777777" w:rsidR="008B1048" w:rsidRPr="008B1048" w:rsidRDefault="008B1048" w:rsidP="008B1048">
      <w:pPr>
        <w:spacing w:after="0"/>
        <w:rPr>
          <w:rFonts w:ascii="Arial" w:eastAsia="Century Schoolbook" w:hAnsi="Arial" w:cs="Times New Roman"/>
          <w:noProof/>
          <w:kern w:val="0"/>
          <w:lang w:eastAsia="en-US"/>
          <w14:ligatures w14:val="none"/>
        </w:rPr>
      </w:pPr>
    </w:p>
    <w:p w14:paraId="6DCD91E3" w14:textId="77777777" w:rsidR="008B1048" w:rsidRPr="008B1048" w:rsidRDefault="008B1048" w:rsidP="008B1048">
      <w:pPr>
        <w:spacing w:after="0"/>
        <w:rPr>
          <w:rFonts w:ascii="Arial" w:eastAsia="Century Schoolbook" w:hAnsi="Arial" w:cs="Times New Roman"/>
          <w:noProof/>
          <w:kern w:val="0"/>
          <w:lang w:eastAsia="en-US"/>
          <w14:ligatures w14:val="none"/>
        </w:rPr>
      </w:pPr>
    </w:p>
    <w:p w14:paraId="02629E57" w14:textId="77777777" w:rsidR="008B1048" w:rsidRPr="008B1048" w:rsidRDefault="008B1048" w:rsidP="008B1048">
      <w:pPr>
        <w:spacing w:after="220" w:line="240" w:lineRule="auto"/>
        <w:jc w:val="left"/>
        <w:rPr>
          <w:rFonts w:eastAsia="Century Schoolbook" w:cs="Arial"/>
          <w:kern w:val="0"/>
          <w:sz w:val="28"/>
          <w:szCs w:val="28"/>
          <w:lang w:eastAsia="en-US"/>
          <w14:ligatures w14:val="none"/>
        </w:rPr>
      </w:pPr>
      <w:r w:rsidRPr="008B1048">
        <w:rPr>
          <w:rFonts w:eastAsia="Century Schoolbook" w:cs="Arial"/>
          <w:kern w:val="0"/>
          <w:sz w:val="28"/>
          <w:szCs w:val="28"/>
          <w:lang w:eastAsia="en-US"/>
          <w14:ligatures w14:val="none"/>
        </w:rPr>
        <w:br w:type="page"/>
      </w:r>
    </w:p>
    <w:p w14:paraId="1C61203D" w14:textId="77777777" w:rsidR="008B1048" w:rsidRPr="008B1048" w:rsidRDefault="008B1048" w:rsidP="008B1048">
      <w:pPr>
        <w:spacing w:after="0"/>
        <w:outlineLvl w:val="1"/>
        <w:rPr>
          <w:rFonts w:ascii="Arial" w:eastAsia="Century Schoolbook" w:hAnsi="Arial" w:cs="Times New Roman"/>
          <w:b/>
          <w:spacing w:val="10"/>
          <w:kern w:val="0"/>
          <w:sz w:val="24"/>
          <w:lang w:eastAsia="en-US"/>
          <w14:ligatures w14:val="none"/>
        </w:rPr>
      </w:pPr>
      <w:bookmarkStart w:id="19" w:name="_Toc232409304"/>
      <w:r w:rsidRPr="008B1048">
        <w:rPr>
          <w:rFonts w:ascii="Arial" w:eastAsia="Century Schoolbook" w:hAnsi="Arial" w:cs="Times New Roman"/>
          <w:b/>
          <w:spacing w:val="10"/>
          <w:kern w:val="0"/>
          <w:sz w:val="24"/>
          <w:lang w:eastAsia="en-US"/>
          <w14:ligatures w14:val="none"/>
        </w:rPr>
        <w:lastRenderedPageBreak/>
        <w:t xml:space="preserve">Appendix 2: </w:t>
      </w:r>
      <w:r w:rsidRPr="008B1048">
        <w:rPr>
          <w:rFonts w:ascii="Arial" w:eastAsia="Century Schoolbook" w:hAnsi="Arial" w:cs="Times New Roman"/>
          <w:b/>
          <w:spacing w:val="10"/>
          <w:kern w:val="0"/>
          <w:sz w:val="24"/>
          <w:lang w:val="en-US" w:eastAsia="en-US"/>
          <w14:ligatures w14:val="none"/>
        </w:rPr>
        <w:t>Independent Project Results Summary Table</w:t>
      </w:r>
      <w:bookmarkEnd w:id="19"/>
    </w:p>
    <w:tbl>
      <w:tblPr>
        <w:tblStyle w:val="TableGrid1"/>
        <w:tblW w:w="0" w:type="auto"/>
        <w:tblInd w:w="0" w:type="dxa"/>
        <w:tblLook w:val="04A0" w:firstRow="1" w:lastRow="0" w:firstColumn="1" w:lastColumn="0" w:noHBand="0" w:noVBand="1"/>
      </w:tblPr>
      <w:tblGrid>
        <w:gridCol w:w="919"/>
        <w:gridCol w:w="1199"/>
        <w:gridCol w:w="936"/>
        <w:gridCol w:w="1191"/>
        <w:gridCol w:w="1326"/>
        <w:gridCol w:w="1199"/>
        <w:gridCol w:w="1199"/>
        <w:gridCol w:w="1047"/>
      </w:tblGrid>
      <w:tr w:rsidR="008B1048" w:rsidRPr="008B1048" w14:paraId="6633FEB8" w14:textId="77777777">
        <w:trPr>
          <w:trHeight w:val="1475"/>
        </w:trPr>
        <w:tc>
          <w:tcPr>
            <w:tcW w:w="1168" w:type="dxa"/>
            <w:tcBorders>
              <w:top w:val="single" w:sz="4" w:space="0" w:color="auto"/>
              <w:left w:val="single" w:sz="4" w:space="0" w:color="auto"/>
              <w:bottom w:val="single" w:sz="4" w:space="0" w:color="auto"/>
              <w:right w:val="single" w:sz="4" w:space="0" w:color="auto"/>
            </w:tcBorders>
            <w:hideMark/>
          </w:tcPr>
          <w:p w14:paraId="551E7337" w14:textId="77777777" w:rsidR="008B1048" w:rsidRPr="008B1048" w:rsidRDefault="008B1048" w:rsidP="008B1048">
            <w:pPr>
              <w:spacing w:after="0"/>
              <w:rPr>
                <w:rFonts w:ascii="Arial" w:hAnsi="Arial"/>
                <w:b/>
              </w:rPr>
            </w:pPr>
            <w:r w:rsidRPr="008B1048">
              <w:rPr>
                <w:rFonts w:ascii="Arial" w:hAnsi="Arial"/>
                <w:b/>
              </w:rPr>
              <w:t>Author &amp; Year</w:t>
            </w:r>
          </w:p>
        </w:tc>
        <w:tc>
          <w:tcPr>
            <w:tcW w:w="1168" w:type="dxa"/>
            <w:tcBorders>
              <w:top w:val="single" w:sz="4" w:space="0" w:color="auto"/>
              <w:left w:val="single" w:sz="4" w:space="0" w:color="auto"/>
              <w:bottom w:val="single" w:sz="4" w:space="0" w:color="auto"/>
              <w:right w:val="single" w:sz="4" w:space="0" w:color="auto"/>
            </w:tcBorders>
            <w:hideMark/>
          </w:tcPr>
          <w:p w14:paraId="0C36F886" w14:textId="77777777" w:rsidR="008B1048" w:rsidRPr="008B1048" w:rsidRDefault="008B1048" w:rsidP="008B1048">
            <w:pPr>
              <w:spacing w:after="0"/>
              <w:rPr>
                <w:rFonts w:ascii="Arial" w:hAnsi="Arial"/>
                <w:b/>
              </w:rPr>
            </w:pPr>
            <w:r w:rsidRPr="008B1048">
              <w:rPr>
                <w:rFonts w:ascii="Arial" w:hAnsi="Arial"/>
                <w:b/>
              </w:rPr>
              <w:t>Article Title</w:t>
            </w:r>
          </w:p>
        </w:tc>
        <w:tc>
          <w:tcPr>
            <w:tcW w:w="1169" w:type="dxa"/>
            <w:tcBorders>
              <w:top w:val="single" w:sz="4" w:space="0" w:color="auto"/>
              <w:left w:val="single" w:sz="4" w:space="0" w:color="auto"/>
              <w:bottom w:val="single" w:sz="4" w:space="0" w:color="auto"/>
              <w:right w:val="single" w:sz="4" w:space="0" w:color="auto"/>
            </w:tcBorders>
            <w:hideMark/>
          </w:tcPr>
          <w:p w14:paraId="33E8E39A" w14:textId="77777777" w:rsidR="008B1048" w:rsidRPr="008B1048" w:rsidRDefault="008B1048" w:rsidP="008B1048">
            <w:pPr>
              <w:spacing w:after="0"/>
              <w:rPr>
                <w:rFonts w:ascii="Arial" w:hAnsi="Arial"/>
                <w:b/>
              </w:rPr>
            </w:pPr>
            <w:r w:rsidRPr="008B1048">
              <w:rPr>
                <w:rFonts w:ascii="Arial" w:hAnsi="Arial"/>
                <w:b/>
              </w:rPr>
              <w:t>Type of Study</w:t>
            </w:r>
          </w:p>
        </w:tc>
        <w:tc>
          <w:tcPr>
            <w:tcW w:w="1169" w:type="dxa"/>
            <w:tcBorders>
              <w:top w:val="single" w:sz="4" w:space="0" w:color="auto"/>
              <w:left w:val="single" w:sz="4" w:space="0" w:color="auto"/>
              <w:bottom w:val="single" w:sz="4" w:space="0" w:color="auto"/>
              <w:right w:val="single" w:sz="4" w:space="0" w:color="auto"/>
            </w:tcBorders>
            <w:hideMark/>
          </w:tcPr>
          <w:p w14:paraId="08706A42" w14:textId="77777777" w:rsidR="008B1048" w:rsidRPr="008B1048" w:rsidRDefault="008B1048" w:rsidP="008B1048">
            <w:pPr>
              <w:spacing w:after="0"/>
              <w:rPr>
                <w:rFonts w:ascii="Arial" w:hAnsi="Arial"/>
                <w:b/>
              </w:rPr>
            </w:pPr>
            <w:r w:rsidRPr="008B1048">
              <w:rPr>
                <w:rFonts w:ascii="Arial" w:hAnsi="Arial"/>
                <w:b/>
              </w:rPr>
              <w:t>Research Method &amp; Sample Size</w:t>
            </w:r>
          </w:p>
        </w:tc>
        <w:tc>
          <w:tcPr>
            <w:tcW w:w="1169" w:type="dxa"/>
            <w:tcBorders>
              <w:top w:val="single" w:sz="4" w:space="0" w:color="auto"/>
              <w:left w:val="single" w:sz="4" w:space="0" w:color="auto"/>
              <w:bottom w:val="single" w:sz="4" w:space="0" w:color="auto"/>
              <w:right w:val="single" w:sz="4" w:space="0" w:color="auto"/>
            </w:tcBorders>
            <w:hideMark/>
          </w:tcPr>
          <w:p w14:paraId="5BA91B40" w14:textId="77777777" w:rsidR="008B1048" w:rsidRPr="008B1048" w:rsidRDefault="008B1048" w:rsidP="008B1048">
            <w:pPr>
              <w:spacing w:after="0"/>
              <w:rPr>
                <w:rFonts w:ascii="Arial" w:hAnsi="Arial"/>
                <w:b/>
              </w:rPr>
            </w:pPr>
            <w:r w:rsidRPr="008B1048">
              <w:rPr>
                <w:rFonts w:ascii="Arial" w:hAnsi="Arial"/>
                <w:b/>
              </w:rPr>
              <w:t>Strengths &amp; Limitations</w:t>
            </w:r>
          </w:p>
        </w:tc>
        <w:tc>
          <w:tcPr>
            <w:tcW w:w="1169" w:type="dxa"/>
            <w:tcBorders>
              <w:top w:val="single" w:sz="4" w:space="0" w:color="auto"/>
              <w:left w:val="single" w:sz="4" w:space="0" w:color="auto"/>
              <w:bottom w:val="single" w:sz="4" w:space="0" w:color="auto"/>
              <w:right w:val="single" w:sz="4" w:space="0" w:color="auto"/>
            </w:tcBorders>
            <w:hideMark/>
          </w:tcPr>
          <w:p w14:paraId="018745B6" w14:textId="77777777" w:rsidR="008B1048" w:rsidRPr="008B1048" w:rsidRDefault="008B1048" w:rsidP="008B1048">
            <w:pPr>
              <w:spacing w:after="0"/>
              <w:rPr>
                <w:rFonts w:ascii="Arial" w:hAnsi="Arial"/>
                <w:b/>
              </w:rPr>
            </w:pPr>
            <w:r w:rsidRPr="008B1048">
              <w:rPr>
                <w:rFonts w:ascii="Arial" w:hAnsi="Arial"/>
                <w:b/>
              </w:rPr>
              <w:t>Main Findings</w:t>
            </w:r>
          </w:p>
        </w:tc>
        <w:tc>
          <w:tcPr>
            <w:tcW w:w="1169" w:type="dxa"/>
            <w:tcBorders>
              <w:top w:val="single" w:sz="4" w:space="0" w:color="auto"/>
              <w:left w:val="single" w:sz="4" w:space="0" w:color="auto"/>
              <w:bottom w:val="single" w:sz="4" w:space="0" w:color="auto"/>
              <w:right w:val="single" w:sz="4" w:space="0" w:color="auto"/>
            </w:tcBorders>
            <w:hideMark/>
          </w:tcPr>
          <w:p w14:paraId="3D8A1A54" w14:textId="77777777" w:rsidR="008B1048" w:rsidRPr="008B1048" w:rsidRDefault="008B1048" w:rsidP="008B1048">
            <w:pPr>
              <w:spacing w:after="0"/>
              <w:rPr>
                <w:rFonts w:ascii="Arial" w:hAnsi="Arial"/>
                <w:b/>
              </w:rPr>
            </w:pPr>
            <w:r w:rsidRPr="008B1048">
              <w:rPr>
                <w:rFonts w:ascii="Arial" w:hAnsi="Arial"/>
                <w:b/>
              </w:rPr>
              <w:t>Keywords &amp; Codes</w:t>
            </w:r>
          </w:p>
        </w:tc>
        <w:tc>
          <w:tcPr>
            <w:tcW w:w="1169" w:type="dxa"/>
            <w:tcBorders>
              <w:top w:val="single" w:sz="4" w:space="0" w:color="auto"/>
              <w:left w:val="single" w:sz="4" w:space="0" w:color="auto"/>
              <w:bottom w:val="single" w:sz="4" w:space="0" w:color="auto"/>
              <w:right w:val="single" w:sz="4" w:space="0" w:color="auto"/>
            </w:tcBorders>
            <w:hideMark/>
          </w:tcPr>
          <w:p w14:paraId="7620DFBB" w14:textId="77777777" w:rsidR="008B1048" w:rsidRPr="008B1048" w:rsidRDefault="008B1048" w:rsidP="008B1048">
            <w:pPr>
              <w:spacing w:after="0"/>
              <w:rPr>
                <w:rFonts w:ascii="Arial" w:hAnsi="Arial"/>
                <w:b/>
              </w:rPr>
            </w:pPr>
            <w:r w:rsidRPr="008B1048">
              <w:rPr>
                <w:rFonts w:ascii="Arial" w:hAnsi="Arial"/>
                <w:b/>
              </w:rPr>
              <w:t>Notes and Comments</w:t>
            </w:r>
          </w:p>
        </w:tc>
      </w:tr>
      <w:tr w:rsidR="008B1048" w:rsidRPr="008B1048" w14:paraId="02860CFF" w14:textId="77777777">
        <w:trPr>
          <w:trHeight w:val="125"/>
        </w:trPr>
        <w:tc>
          <w:tcPr>
            <w:tcW w:w="1168" w:type="dxa"/>
            <w:tcBorders>
              <w:top w:val="single" w:sz="4" w:space="0" w:color="auto"/>
              <w:left w:val="single" w:sz="4" w:space="0" w:color="auto"/>
              <w:bottom w:val="single" w:sz="4" w:space="0" w:color="auto"/>
              <w:right w:val="single" w:sz="4" w:space="0" w:color="auto"/>
            </w:tcBorders>
            <w:hideMark/>
          </w:tcPr>
          <w:p w14:paraId="73BFC75C" w14:textId="77777777" w:rsidR="008B1048" w:rsidRPr="008B1048" w:rsidRDefault="008B1048" w:rsidP="008B1048">
            <w:pPr>
              <w:spacing w:after="0"/>
              <w:rPr>
                <w:rFonts w:ascii="Arial" w:hAnsi="Arial"/>
              </w:rPr>
            </w:pPr>
            <w:proofErr w:type="spellStart"/>
            <w:r w:rsidRPr="008B1048">
              <w:rPr>
                <w:rFonts w:ascii="Arial" w:hAnsi="Arial"/>
              </w:rPr>
              <w:t>Goniewicz</w:t>
            </w:r>
            <w:proofErr w:type="spellEnd"/>
            <w:r w:rsidRPr="008B1048">
              <w:rPr>
                <w:rFonts w:ascii="Arial" w:hAnsi="Arial"/>
              </w:rPr>
              <w:t xml:space="preserve"> et al. (2023)</w:t>
            </w:r>
          </w:p>
        </w:tc>
        <w:tc>
          <w:tcPr>
            <w:tcW w:w="1168" w:type="dxa"/>
            <w:tcBorders>
              <w:top w:val="single" w:sz="4" w:space="0" w:color="auto"/>
              <w:left w:val="single" w:sz="4" w:space="0" w:color="auto"/>
              <w:bottom w:val="single" w:sz="4" w:space="0" w:color="auto"/>
              <w:right w:val="single" w:sz="4" w:space="0" w:color="auto"/>
            </w:tcBorders>
            <w:hideMark/>
          </w:tcPr>
          <w:p w14:paraId="1F50118E" w14:textId="77777777" w:rsidR="008B1048" w:rsidRPr="008B1048" w:rsidRDefault="008B1048" w:rsidP="008B1048">
            <w:pPr>
              <w:spacing w:after="0"/>
              <w:rPr>
                <w:rFonts w:ascii="Arial" w:hAnsi="Arial"/>
              </w:rPr>
            </w:pPr>
            <w:r w:rsidRPr="008B1048">
              <w:rPr>
                <w:rFonts w:ascii="Arial" w:hAnsi="Arial"/>
              </w:rPr>
              <w:t>Resilience in Emergency Medicine during COVID-19</w:t>
            </w:r>
          </w:p>
        </w:tc>
        <w:tc>
          <w:tcPr>
            <w:tcW w:w="1169" w:type="dxa"/>
            <w:tcBorders>
              <w:top w:val="single" w:sz="4" w:space="0" w:color="auto"/>
              <w:left w:val="single" w:sz="4" w:space="0" w:color="auto"/>
              <w:bottom w:val="single" w:sz="4" w:space="0" w:color="auto"/>
              <w:right w:val="single" w:sz="4" w:space="0" w:color="auto"/>
            </w:tcBorders>
            <w:hideMark/>
          </w:tcPr>
          <w:p w14:paraId="5DBE353F" w14:textId="77777777" w:rsidR="008B1048" w:rsidRPr="008B1048" w:rsidRDefault="008B1048" w:rsidP="008B1048">
            <w:pPr>
              <w:spacing w:after="0"/>
              <w:rPr>
                <w:rFonts w:ascii="Arial" w:hAnsi="Arial"/>
              </w:rPr>
            </w:pPr>
            <w:r w:rsidRPr="008B1048">
              <w:rPr>
                <w:rFonts w:ascii="Arial" w:hAnsi="Arial"/>
              </w:rPr>
              <w:t>Empirical study</w:t>
            </w:r>
          </w:p>
        </w:tc>
        <w:tc>
          <w:tcPr>
            <w:tcW w:w="1169" w:type="dxa"/>
            <w:tcBorders>
              <w:top w:val="single" w:sz="4" w:space="0" w:color="auto"/>
              <w:left w:val="single" w:sz="4" w:space="0" w:color="auto"/>
              <w:bottom w:val="single" w:sz="4" w:space="0" w:color="auto"/>
              <w:right w:val="single" w:sz="4" w:space="0" w:color="auto"/>
            </w:tcBorders>
            <w:hideMark/>
          </w:tcPr>
          <w:p w14:paraId="650DA8B9" w14:textId="77777777" w:rsidR="008B1048" w:rsidRPr="008B1048" w:rsidRDefault="008B1048" w:rsidP="008B1048">
            <w:pPr>
              <w:spacing w:after="0"/>
              <w:rPr>
                <w:rFonts w:ascii="Arial" w:hAnsi="Arial"/>
              </w:rPr>
            </w:pPr>
            <w:r w:rsidRPr="008B1048">
              <w:rPr>
                <w:rFonts w:ascii="Arial" w:hAnsi="Arial"/>
              </w:rPr>
              <w:t xml:space="preserve">Survey-based quantitative study; emergency medicine staff </w:t>
            </w:r>
            <w:proofErr w:type="gramStart"/>
            <w:r w:rsidRPr="008B1048">
              <w:rPr>
                <w:rFonts w:ascii="Arial" w:hAnsi="Arial"/>
              </w:rPr>
              <w:t>(n=</w:t>
            </w:r>
            <w:proofErr w:type="gramEnd"/>
            <w:r w:rsidRPr="008B1048">
              <w:rPr>
                <w:rFonts w:ascii="Arial" w:hAnsi="Arial"/>
              </w:rPr>
              <w:t>not specified)</w:t>
            </w:r>
          </w:p>
        </w:tc>
        <w:tc>
          <w:tcPr>
            <w:tcW w:w="1169" w:type="dxa"/>
            <w:tcBorders>
              <w:top w:val="single" w:sz="4" w:space="0" w:color="auto"/>
              <w:left w:val="single" w:sz="4" w:space="0" w:color="auto"/>
              <w:bottom w:val="single" w:sz="4" w:space="0" w:color="auto"/>
              <w:right w:val="single" w:sz="4" w:space="0" w:color="auto"/>
            </w:tcBorders>
            <w:hideMark/>
          </w:tcPr>
          <w:p w14:paraId="580E9E31" w14:textId="77777777" w:rsidR="008B1048" w:rsidRPr="008B1048" w:rsidRDefault="008B1048" w:rsidP="008B1048">
            <w:pPr>
              <w:spacing w:after="0"/>
              <w:rPr>
                <w:rFonts w:ascii="Arial" w:hAnsi="Arial"/>
              </w:rPr>
            </w:pPr>
            <w:r w:rsidRPr="008B1048">
              <w:rPr>
                <w:rFonts w:ascii="Arial" w:hAnsi="Arial"/>
              </w:rPr>
              <w:t>Real-world data; self-report bias</w:t>
            </w:r>
          </w:p>
        </w:tc>
        <w:tc>
          <w:tcPr>
            <w:tcW w:w="1169" w:type="dxa"/>
            <w:tcBorders>
              <w:top w:val="single" w:sz="4" w:space="0" w:color="auto"/>
              <w:left w:val="single" w:sz="4" w:space="0" w:color="auto"/>
              <w:bottom w:val="single" w:sz="4" w:space="0" w:color="auto"/>
              <w:right w:val="single" w:sz="4" w:space="0" w:color="auto"/>
            </w:tcBorders>
            <w:hideMark/>
          </w:tcPr>
          <w:p w14:paraId="43D7A79A" w14:textId="77777777" w:rsidR="008B1048" w:rsidRPr="008B1048" w:rsidRDefault="008B1048" w:rsidP="008B1048">
            <w:pPr>
              <w:spacing w:after="0"/>
              <w:rPr>
                <w:rFonts w:ascii="Arial" w:hAnsi="Arial"/>
              </w:rPr>
            </w:pPr>
            <w:r w:rsidRPr="008B1048">
              <w:rPr>
                <w:rFonts w:ascii="Arial" w:hAnsi="Arial"/>
              </w:rPr>
              <w:t>Improved preparedness and resilience</w:t>
            </w:r>
          </w:p>
        </w:tc>
        <w:tc>
          <w:tcPr>
            <w:tcW w:w="1169" w:type="dxa"/>
            <w:tcBorders>
              <w:top w:val="single" w:sz="4" w:space="0" w:color="auto"/>
              <w:left w:val="single" w:sz="4" w:space="0" w:color="auto"/>
              <w:bottom w:val="single" w:sz="4" w:space="0" w:color="auto"/>
              <w:right w:val="single" w:sz="4" w:space="0" w:color="auto"/>
            </w:tcBorders>
            <w:hideMark/>
          </w:tcPr>
          <w:p w14:paraId="434584B4" w14:textId="77777777" w:rsidR="008B1048" w:rsidRPr="008B1048" w:rsidRDefault="008B1048" w:rsidP="008B1048">
            <w:pPr>
              <w:spacing w:after="0"/>
              <w:rPr>
                <w:rFonts w:ascii="Arial" w:hAnsi="Arial"/>
              </w:rPr>
            </w:pPr>
            <w:r w:rsidRPr="008B1048">
              <w:rPr>
                <w:rFonts w:ascii="Arial" w:hAnsi="Arial"/>
              </w:rPr>
              <w:t>Resilience, preparedness</w:t>
            </w:r>
          </w:p>
        </w:tc>
        <w:tc>
          <w:tcPr>
            <w:tcW w:w="1169" w:type="dxa"/>
            <w:tcBorders>
              <w:top w:val="single" w:sz="4" w:space="0" w:color="auto"/>
              <w:left w:val="single" w:sz="4" w:space="0" w:color="auto"/>
              <w:bottom w:val="single" w:sz="4" w:space="0" w:color="auto"/>
              <w:right w:val="single" w:sz="4" w:space="0" w:color="auto"/>
            </w:tcBorders>
            <w:hideMark/>
          </w:tcPr>
          <w:p w14:paraId="5D00CB59" w14:textId="77777777" w:rsidR="008B1048" w:rsidRPr="008B1048" w:rsidRDefault="008B1048" w:rsidP="008B1048">
            <w:pPr>
              <w:spacing w:after="0"/>
              <w:rPr>
                <w:rFonts w:ascii="Arial" w:hAnsi="Arial"/>
              </w:rPr>
            </w:pPr>
            <w:r w:rsidRPr="008B1048">
              <w:rPr>
                <w:rFonts w:ascii="Arial" w:hAnsi="Arial"/>
              </w:rPr>
              <w:t>Useful for competency analysis</w:t>
            </w:r>
          </w:p>
        </w:tc>
      </w:tr>
      <w:tr w:rsidR="008B1048" w:rsidRPr="008B1048" w14:paraId="056AD4B4" w14:textId="77777777">
        <w:trPr>
          <w:trHeight w:val="125"/>
        </w:trPr>
        <w:tc>
          <w:tcPr>
            <w:tcW w:w="1168" w:type="dxa"/>
            <w:tcBorders>
              <w:top w:val="single" w:sz="4" w:space="0" w:color="auto"/>
              <w:left w:val="single" w:sz="4" w:space="0" w:color="auto"/>
              <w:bottom w:val="single" w:sz="4" w:space="0" w:color="auto"/>
              <w:right w:val="single" w:sz="4" w:space="0" w:color="auto"/>
            </w:tcBorders>
            <w:hideMark/>
          </w:tcPr>
          <w:p w14:paraId="6BAD492F" w14:textId="77777777" w:rsidR="008B1048" w:rsidRPr="008B1048" w:rsidRDefault="008B1048" w:rsidP="008B1048">
            <w:pPr>
              <w:spacing w:after="0"/>
              <w:rPr>
                <w:rFonts w:ascii="Arial" w:hAnsi="Arial"/>
              </w:rPr>
            </w:pPr>
            <w:r w:rsidRPr="008B1048">
              <w:rPr>
                <w:rFonts w:ascii="Arial" w:hAnsi="Arial"/>
              </w:rPr>
              <w:t>Pearse &amp; Scott (2023)</w:t>
            </w:r>
          </w:p>
        </w:tc>
        <w:tc>
          <w:tcPr>
            <w:tcW w:w="1168" w:type="dxa"/>
            <w:tcBorders>
              <w:top w:val="single" w:sz="4" w:space="0" w:color="auto"/>
              <w:left w:val="single" w:sz="4" w:space="0" w:color="auto"/>
              <w:bottom w:val="single" w:sz="4" w:space="0" w:color="auto"/>
              <w:right w:val="single" w:sz="4" w:space="0" w:color="auto"/>
            </w:tcBorders>
            <w:hideMark/>
          </w:tcPr>
          <w:p w14:paraId="71DD72E7" w14:textId="77777777" w:rsidR="008B1048" w:rsidRPr="008B1048" w:rsidRDefault="008B1048" w:rsidP="008B1048">
            <w:pPr>
              <w:spacing w:after="0"/>
              <w:rPr>
                <w:rFonts w:ascii="Arial" w:hAnsi="Arial"/>
              </w:rPr>
            </w:pPr>
            <w:r w:rsidRPr="008B1048">
              <w:rPr>
                <w:rFonts w:ascii="Arial" w:hAnsi="Arial"/>
              </w:rPr>
              <w:t>Clinical Laboratory Education, Training and Progression</w:t>
            </w:r>
          </w:p>
        </w:tc>
        <w:tc>
          <w:tcPr>
            <w:tcW w:w="1169" w:type="dxa"/>
            <w:tcBorders>
              <w:top w:val="single" w:sz="4" w:space="0" w:color="auto"/>
              <w:left w:val="single" w:sz="4" w:space="0" w:color="auto"/>
              <w:bottom w:val="single" w:sz="4" w:space="0" w:color="auto"/>
              <w:right w:val="single" w:sz="4" w:space="0" w:color="auto"/>
            </w:tcBorders>
            <w:hideMark/>
          </w:tcPr>
          <w:p w14:paraId="578E0F2A" w14:textId="77777777" w:rsidR="008B1048" w:rsidRPr="008B1048" w:rsidRDefault="008B1048" w:rsidP="008B1048">
            <w:pPr>
              <w:spacing w:after="0"/>
              <w:rPr>
                <w:rFonts w:ascii="Arial" w:hAnsi="Arial"/>
              </w:rPr>
            </w:pPr>
            <w:r w:rsidRPr="008B1048">
              <w:rPr>
                <w:rFonts w:ascii="Arial" w:hAnsi="Arial"/>
              </w:rPr>
              <w:t>Narrative review</w:t>
            </w:r>
          </w:p>
        </w:tc>
        <w:tc>
          <w:tcPr>
            <w:tcW w:w="1169" w:type="dxa"/>
            <w:tcBorders>
              <w:top w:val="single" w:sz="4" w:space="0" w:color="auto"/>
              <w:left w:val="single" w:sz="4" w:space="0" w:color="auto"/>
              <w:bottom w:val="single" w:sz="4" w:space="0" w:color="auto"/>
              <w:right w:val="single" w:sz="4" w:space="0" w:color="auto"/>
            </w:tcBorders>
            <w:hideMark/>
          </w:tcPr>
          <w:p w14:paraId="7FE892D9" w14:textId="77777777" w:rsidR="008B1048" w:rsidRPr="008B1048" w:rsidRDefault="008B1048" w:rsidP="008B1048">
            <w:pPr>
              <w:spacing w:after="0"/>
              <w:rPr>
                <w:rFonts w:ascii="Arial" w:hAnsi="Arial"/>
              </w:rPr>
            </w:pPr>
            <w:r w:rsidRPr="008B1048">
              <w:rPr>
                <w:rFonts w:ascii="Arial" w:hAnsi="Arial"/>
              </w:rPr>
              <w:t>Literature review; no sample size</w:t>
            </w:r>
          </w:p>
        </w:tc>
        <w:tc>
          <w:tcPr>
            <w:tcW w:w="1169" w:type="dxa"/>
            <w:tcBorders>
              <w:top w:val="single" w:sz="4" w:space="0" w:color="auto"/>
              <w:left w:val="single" w:sz="4" w:space="0" w:color="auto"/>
              <w:bottom w:val="single" w:sz="4" w:space="0" w:color="auto"/>
              <w:right w:val="single" w:sz="4" w:space="0" w:color="auto"/>
            </w:tcBorders>
            <w:hideMark/>
          </w:tcPr>
          <w:p w14:paraId="185691CF" w14:textId="77777777" w:rsidR="008B1048" w:rsidRPr="008B1048" w:rsidRDefault="008B1048" w:rsidP="008B1048">
            <w:pPr>
              <w:spacing w:after="0"/>
              <w:rPr>
                <w:rFonts w:ascii="Arial" w:hAnsi="Arial"/>
              </w:rPr>
            </w:pPr>
            <w:r w:rsidRPr="008B1048">
              <w:rPr>
                <w:rFonts w:ascii="Arial" w:hAnsi="Arial"/>
              </w:rPr>
              <w:t>Comprehensive; no primary data</w:t>
            </w:r>
          </w:p>
        </w:tc>
        <w:tc>
          <w:tcPr>
            <w:tcW w:w="1169" w:type="dxa"/>
            <w:tcBorders>
              <w:top w:val="single" w:sz="4" w:space="0" w:color="auto"/>
              <w:left w:val="single" w:sz="4" w:space="0" w:color="auto"/>
              <w:bottom w:val="single" w:sz="4" w:space="0" w:color="auto"/>
              <w:right w:val="single" w:sz="4" w:space="0" w:color="auto"/>
            </w:tcBorders>
            <w:hideMark/>
          </w:tcPr>
          <w:p w14:paraId="4C247928" w14:textId="77777777" w:rsidR="008B1048" w:rsidRPr="008B1048" w:rsidRDefault="008B1048" w:rsidP="008B1048">
            <w:pPr>
              <w:spacing w:after="0"/>
              <w:rPr>
                <w:rFonts w:ascii="Arial" w:hAnsi="Arial"/>
              </w:rPr>
            </w:pPr>
            <w:r w:rsidRPr="008B1048">
              <w:rPr>
                <w:rFonts w:ascii="Arial" w:hAnsi="Arial"/>
              </w:rPr>
              <w:t>Training innovations but reduced theoretical depth</w:t>
            </w:r>
          </w:p>
        </w:tc>
        <w:tc>
          <w:tcPr>
            <w:tcW w:w="1169" w:type="dxa"/>
            <w:tcBorders>
              <w:top w:val="single" w:sz="4" w:space="0" w:color="auto"/>
              <w:left w:val="single" w:sz="4" w:space="0" w:color="auto"/>
              <w:bottom w:val="single" w:sz="4" w:space="0" w:color="auto"/>
              <w:right w:val="single" w:sz="4" w:space="0" w:color="auto"/>
            </w:tcBorders>
            <w:hideMark/>
          </w:tcPr>
          <w:p w14:paraId="2E48CDE5" w14:textId="77777777" w:rsidR="008B1048" w:rsidRPr="008B1048" w:rsidRDefault="008B1048" w:rsidP="008B1048">
            <w:pPr>
              <w:spacing w:after="0"/>
              <w:rPr>
                <w:rFonts w:ascii="Arial" w:hAnsi="Arial"/>
              </w:rPr>
            </w:pPr>
            <w:r w:rsidRPr="008B1048">
              <w:rPr>
                <w:rFonts w:ascii="Arial" w:hAnsi="Arial"/>
              </w:rPr>
              <w:t>Education, workforce development</w:t>
            </w:r>
          </w:p>
        </w:tc>
        <w:tc>
          <w:tcPr>
            <w:tcW w:w="1169" w:type="dxa"/>
            <w:tcBorders>
              <w:top w:val="single" w:sz="4" w:space="0" w:color="auto"/>
              <w:left w:val="single" w:sz="4" w:space="0" w:color="auto"/>
              <w:bottom w:val="single" w:sz="4" w:space="0" w:color="auto"/>
              <w:right w:val="single" w:sz="4" w:space="0" w:color="auto"/>
            </w:tcBorders>
            <w:hideMark/>
          </w:tcPr>
          <w:p w14:paraId="3A0FA647" w14:textId="77777777" w:rsidR="008B1048" w:rsidRPr="008B1048" w:rsidRDefault="008B1048" w:rsidP="008B1048">
            <w:pPr>
              <w:spacing w:after="0"/>
              <w:rPr>
                <w:rFonts w:ascii="Arial" w:hAnsi="Arial"/>
              </w:rPr>
            </w:pPr>
            <w:r w:rsidRPr="008B1048">
              <w:rPr>
                <w:rFonts w:ascii="Arial" w:hAnsi="Arial"/>
              </w:rPr>
              <w:t>Long-term training implications</w:t>
            </w:r>
          </w:p>
        </w:tc>
      </w:tr>
      <w:tr w:rsidR="008B1048" w:rsidRPr="008B1048" w14:paraId="30AF189D" w14:textId="77777777">
        <w:trPr>
          <w:trHeight w:val="125"/>
        </w:trPr>
        <w:tc>
          <w:tcPr>
            <w:tcW w:w="1168" w:type="dxa"/>
            <w:tcBorders>
              <w:top w:val="single" w:sz="4" w:space="0" w:color="auto"/>
              <w:left w:val="single" w:sz="4" w:space="0" w:color="auto"/>
              <w:bottom w:val="single" w:sz="4" w:space="0" w:color="auto"/>
              <w:right w:val="single" w:sz="4" w:space="0" w:color="auto"/>
            </w:tcBorders>
            <w:hideMark/>
          </w:tcPr>
          <w:p w14:paraId="6E6EA7DF" w14:textId="77777777" w:rsidR="008B1048" w:rsidRPr="008B1048" w:rsidRDefault="008B1048" w:rsidP="008B1048">
            <w:pPr>
              <w:spacing w:after="0"/>
              <w:rPr>
                <w:rFonts w:ascii="Arial" w:hAnsi="Arial"/>
              </w:rPr>
            </w:pPr>
            <w:r w:rsidRPr="008B1048">
              <w:rPr>
                <w:rFonts w:ascii="Arial" w:hAnsi="Arial"/>
              </w:rPr>
              <w:t>Faulkner-</w:t>
            </w:r>
            <w:proofErr w:type="spellStart"/>
            <w:r w:rsidRPr="008B1048">
              <w:rPr>
                <w:rFonts w:ascii="Arial" w:hAnsi="Arial"/>
              </w:rPr>
              <w:t>Gurstein</w:t>
            </w:r>
            <w:proofErr w:type="spellEnd"/>
            <w:r w:rsidRPr="008B1048">
              <w:rPr>
                <w:rFonts w:ascii="Arial" w:hAnsi="Arial"/>
              </w:rPr>
              <w:t xml:space="preserve"> et al. (2022)</w:t>
            </w:r>
          </w:p>
        </w:tc>
        <w:tc>
          <w:tcPr>
            <w:tcW w:w="1168" w:type="dxa"/>
            <w:tcBorders>
              <w:top w:val="single" w:sz="4" w:space="0" w:color="auto"/>
              <w:left w:val="single" w:sz="4" w:space="0" w:color="auto"/>
              <w:bottom w:val="single" w:sz="4" w:space="0" w:color="auto"/>
              <w:right w:val="single" w:sz="4" w:space="0" w:color="auto"/>
            </w:tcBorders>
            <w:hideMark/>
          </w:tcPr>
          <w:p w14:paraId="262B15D7" w14:textId="77777777" w:rsidR="008B1048" w:rsidRPr="008B1048" w:rsidRDefault="008B1048" w:rsidP="008B1048">
            <w:pPr>
              <w:spacing w:after="0"/>
              <w:rPr>
                <w:rFonts w:ascii="Arial" w:hAnsi="Arial"/>
              </w:rPr>
            </w:pPr>
            <w:r w:rsidRPr="008B1048">
              <w:rPr>
                <w:rFonts w:ascii="Arial" w:hAnsi="Arial"/>
              </w:rPr>
              <w:t>Redeployment of Staff Members Amidst the COVID-19 Pandemic</w:t>
            </w:r>
          </w:p>
        </w:tc>
        <w:tc>
          <w:tcPr>
            <w:tcW w:w="1169" w:type="dxa"/>
            <w:tcBorders>
              <w:top w:val="single" w:sz="4" w:space="0" w:color="auto"/>
              <w:left w:val="single" w:sz="4" w:space="0" w:color="auto"/>
              <w:bottom w:val="single" w:sz="4" w:space="0" w:color="auto"/>
              <w:right w:val="single" w:sz="4" w:space="0" w:color="auto"/>
            </w:tcBorders>
            <w:hideMark/>
          </w:tcPr>
          <w:p w14:paraId="5DF1AE73" w14:textId="77777777" w:rsidR="008B1048" w:rsidRPr="008B1048" w:rsidRDefault="008B1048" w:rsidP="008B1048">
            <w:pPr>
              <w:spacing w:after="0"/>
              <w:rPr>
                <w:rFonts w:ascii="Arial" w:hAnsi="Arial"/>
              </w:rPr>
            </w:pPr>
            <w:r w:rsidRPr="008B1048">
              <w:rPr>
                <w:rFonts w:ascii="Arial" w:hAnsi="Arial"/>
              </w:rPr>
              <w:t>Qualitative case study</w:t>
            </w:r>
          </w:p>
        </w:tc>
        <w:tc>
          <w:tcPr>
            <w:tcW w:w="1169" w:type="dxa"/>
            <w:tcBorders>
              <w:top w:val="single" w:sz="4" w:space="0" w:color="auto"/>
              <w:left w:val="single" w:sz="4" w:space="0" w:color="auto"/>
              <w:bottom w:val="single" w:sz="4" w:space="0" w:color="auto"/>
              <w:right w:val="single" w:sz="4" w:space="0" w:color="auto"/>
            </w:tcBorders>
            <w:hideMark/>
          </w:tcPr>
          <w:p w14:paraId="1BBE4759" w14:textId="77777777" w:rsidR="008B1048" w:rsidRPr="008B1048" w:rsidRDefault="008B1048" w:rsidP="008B1048">
            <w:pPr>
              <w:spacing w:after="0"/>
              <w:rPr>
                <w:rFonts w:ascii="Arial" w:hAnsi="Arial"/>
              </w:rPr>
            </w:pPr>
            <w:r w:rsidRPr="008B1048">
              <w:rPr>
                <w:rFonts w:ascii="Arial" w:hAnsi="Arial"/>
              </w:rPr>
              <w:t>Interview/case study within one NHS Trust</w:t>
            </w:r>
          </w:p>
        </w:tc>
        <w:tc>
          <w:tcPr>
            <w:tcW w:w="1169" w:type="dxa"/>
            <w:tcBorders>
              <w:top w:val="single" w:sz="4" w:space="0" w:color="auto"/>
              <w:left w:val="single" w:sz="4" w:space="0" w:color="auto"/>
              <w:bottom w:val="single" w:sz="4" w:space="0" w:color="auto"/>
              <w:right w:val="single" w:sz="4" w:space="0" w:color="auto"/>
            </w:tcBorders>
            <w:hideMark/>
          </w:tcPr>
          <w:p w14:paraId="6DC3E570" w14:textId="77777777" w:rsidR="008B1048" w:rsidRPr="008B1048" w:rsidRDefault="008B1048" w:rsidP="008B1048">
            <w:pPr>
              <w:spacing w:after="0"/>
              <w:rPr>
                <w:rFonts w:ascii="Arial" w:hAnsi="Arial"/>
              </w:rPr>
            </w:pPr>
            <w:r w:rsidRPr="008B1048">
              <w:rPr>
                <w:rFonts w:ascii="Arial" w:hAnsi="Arial"/>
              </w:rPr>
              <w:t>Rich data; small sample size</w:t>
            </w:r>
          </w:p>
        </w:tc>
        <w:tc>
          <w:tcPr>
            <w:tcW w:w="1169" w:type="dxa"/>
            <w:tcBorders>
              <w:top w:val="single" w:sz="4" w:space="0" w:color="auto"/>
              <w:left w:val="single" w:sz="4" w:space="0" w:color="auto"/>
              <w:bottom w:val="single" w:sz="4" w:space="0" w:color="auto"/>
              <w:right w:val="single" w:sz="4" w:space="0" w:color="auto"/>
            </w:tcBorders>
            <w:hideMark/>
          </w:tcPr>
          <w:p w14:paraId="0F45FE2A" w14:textId="77777777" w:rsidR="008B1048" w:rsidRPr="008B1048" w:rsidRDefault="008B1048" w:rsidP="008B1048">
            <w:pPr>
              <w:spacing w:after="0"/>
              <w:rPr>
                <w:rFonts w:ascii="Arial" w:hAnsi="Arial"/>
              </w:rPr>
            </w:pPr>
            <w:r w:rsidRPr="008B1048">
              <w:rPr>
                <w:rFonts w:ascii="Arial" w:hAnsi="Arial"/>
              </w:rPr>
              <w:t>Redeployment promoted flexibility; required supervision</w:t>
            </w:r>
          </w:p>
        </w:tc>
        <w:tc>
          <w:tcPr>
            <w:tcW w:w="1169" w:type="dxa"/>
            <w:tcBorders>
              <w:top w:val="single" w:sz="4" w:space="0" w:color="auto"/>
              <w:left w:val="single" w:sz="4" w:space="0" w:color="auto"/>
              <w:bottom w:val="single" w:sz="4" w:space="0" w:color="auto"/>
              <w:right w:val="single" w:sz="4" w:space="0" w:color="auto"/>
            </w:tcBorders>
            <w:hideMark/>
          </w:tcPr>
          <w:p w14:paraId="0B344A22" w14:textId="77777777" w:rsidR="008B1048" w:rsidRPr="008B1048" w:rsidRDefault="008B1048" w:rsidP="008B1048">
            <w:pPr>
              <w:spacing w:after="0"/>
              <w:rPr>
                <w:rFonts w:ascii="Arial" w:hAnsi="Arial"/>
              </w:rPr>
            </w:pPr>
            <w:r w:rsidRPr="008B1048">
              <w:rPr>
                <w:rFonts w:ascii="Arial" w:hAnsi="Arial"/>
              </w:rPr>
              <w:t>Redeployment and Adaptability</w:t>
            </w:r>
          </w:p>
        </w:tc>
        <w:tc>
          <w:tcPr>
            <w:tcW w:w="1169" w:type="dxa"/>
            <w:tcBorders>
              <w:top w:val="single" w:sz="4" w:space="0" w:color="auto"/>
              <w:left w:val="single" w:sz="4" w:space="0" w:color="auto"/>
              <w:bottom w:val="single" w:sz="4" w:space="0" w:color="auto"/>
              <w:right w:val="single" w:sz="4" w:space="0" w:color="auto"/>
            </w:tcBorders>
            <w:hideMark/>
          </w:tcPr>
          <w:p w14:paraId="700CA8A8" w14:textId="77777777" w:rsidR="008B1048" w:rsidRPr="008B1048" w:rsidRDefault="008B1048" w:rsidP="008B1048">
            <w:pPr>
              <w:spacing w:after="0"/>
              <w:rPr>
                <w:rFonts w:ascii="Arial" w:hAnsi="Arial"/>
              </w:rPr>
            </w:pPr>
            <w:r w:rsidRPr="008B1048">
              <w:rPr>
                <w:rFonts w:ascii="Arial" w:hAnsi="Arial"/>
              </w:rPr>
              <w:t>Significant in competence changes</w:t>
            </w:r>
          </w:p>
        </w:tc>
      </w:tr>
      <w:tr w:rsidR="008B1048" w:rsidRPr="008B1048" w14:paraId="243CBB2A" w14:textId="77777777">
        <w:trPr>
          <w:trHeight w:val="125"/>
        </w:trPr>
        <w:tc>
          <w:tcPr>
            <w:tcW w:w="1168" w:type="dxa"/>
            <w:tcBorders>
              <w:top w:val="single" w:sz="4" w:space="0" w:color="auto"/>
              <w:left w:val="single" w:sz="4" w:space="0" w:color="auto"/>
              <w:bottom w:val="single" w:sz="4" w:space="0" w:color="auto"/>
              <w:right w:val="single" w:sz="4" w:space="0" w:color="auto"/>
            </w:tcBorders>
            <w:hideMark/>
          </w:tcPr>
          <w:p w14:paraId="485001F2" w14:textId="77777777" w:rsidR="008B1048" w:rsidRPr="008B1048" w:rsidRDefault="008B1048" w:rsidP="008B1048">
            <w:pPr>
              <w:spacing w:after="0"/>
              <w:rPr>
                <w:rFonts w:ascii="Arial" w:hAnsi="Arial"/>
              </w:rPr>
            </w:pPr>
            <w:r w:rsidRPr="008B1048">
              <w:rPr>
                <w:rFonts w:ascii="Arial" w:hAnsi="Arial"/>
              </w:rPr>
              <w:t>Boutros et al. (2023</w:t>
            </w:r>
          </w:p>
        </w:tc>
        <w:tc>
          <w:tcPr>
            <w:tcW w:w="1168" w:type="dxa"/>
            <w:tcBorders>
              <w:top w:val="single" w:sz="4" w:space="0" w:color="auto"/>
              <w:left w:val="single" w:sz="4" w:space="0" w:color="auto"/>
              <w:bottom w:val="single" w:sz="4" w:space="0" w:color="auto"/>
              <w:right w:val="single" w:sz="4" w:space="0" w:color="auto"/>
            </w:tcBorders>
            <w:hideMark/>
          </w:tcPr>
          <w:p w14:paraId="4067829F" w14:textId="77777777" w:rsidR="008B1048" w:rsidRPr="008B1048" w:rsidRDefault="008B1048" w:rsidP="008B1048">
            <w:pPr>
              <w:spacing w:after="0"/>
              <w:rPr>
                <w:rFonts w:ascii="Arial" w:hAnsi="Arial"/>
              </w:rPr>
            </w:pPr>
            <w:r w:rsidRPr="008B1048">
              <w:rPr>
                <w:rFonts w:ascii="Arial" w:hAnsi="Arial"/>
              </w:rPr>
              <w:t xml:space="preserve">Adaptation to Educate </w:t>
            </w:r>
            <w:r w:rsidRPr="008B1048">
              <w:rPr>
                <w:rFonts w:ascii="Arial" w:hAnsi="Arial"/>
              </w:rPr>
              <w:lastRenderedPageBreak/>
              <w:t>and Train Healthcare Professionals</w:t>
            </w:r>
          </w:p>
        </w:tc>
        <w:tc>
          <w:tcPr>
            <w:tcW w:w="1169" w:type="dxa"/>
            <w:tcBorders>
              <w:top w:val="single" w:sz="4" w:space="0" w:color="auto"/>
              <w:left w:val="single" w:sz="4" w:space="0" w:color="auto"/>
              <w:bottom w:val="single" w:sz="4" w:space="0" w:color="auto"/>
              <w:right w:val="single" w:sz="4" w:space="0" w:color="auto"/>
            </w:tcBorders>
            <w:hideMark/>
          </w:tcPr>
          <w:p w14:paraId="5E0AE234" w14:textId="77777777" w:rsidR="008B1048" w:rsidRPr="008B1048" w:rsidRDefault="008B1048" w:rsidP="008B1048">
            <w:pPr>
              <w:spacing w:after="0"/>
              <w:rPr>
                <w:rFonts w:ascii="Arial" w:hAnsi="Arial"/>
              </w:rPr>
            </w:pPr>
            <w:r w:rsidRPr="008B1048">
              <w:rPr>
                <w:rFonts w:ascii="Arial" w:hAnsi="Arial"/>
              </w:rPr>
              <w:lastRenderedPageBreak/>
              <w:t>Scoping review</w:t>
            </w:r>
          </w:p>
        </w:tc>
        <w:tc>
          <w:tcPr>
            <w:tcW w:w="1169" w:type="dxa"/>
            <w:tcBorders>
              <w:top w:val="single" w:sz="4" w:space="0" w:color="auto"/>
              <w:left w:val="single" w:sz="4" w:space="0" w:color="auto"/>
              <w:bottom w:val="single" w:sz="4" w:space="0" w:color="auto"/>
              <w:right w:val="single" w:sz="4" w:space="0" w:color="auto"/>
            </w:tcBorders>
            <w:hideMark/>
          </w:tcPr>
          <w:p w14:paraId="6294D9ED" w14:textId="77777777" w:rsidR="008B1048" w:rsidRPr="008B1048" w:rsidRDefault="008B1048" w:rsidP="008B1048">
            <w:pPr>
              <w:spacing w:after="0"/>
              <w:rPr>
                <w:rFonts w:ascii="Arial" w:hAnsi="Arial"/>
              </w:rPr>
            </w:pPr>
            <w:r w:rsidRPr="008B1048">
              <w:rPr>
                <w:rFonts w:ascii="Arial" w:hAnsi="Arial"/>
              </w:rPr>
              <w:t xml:space="preserve">Literature Review through </w:t>
            </w:r>
            <w:r w:rsidRPr="008B1048">
              <w:rPr>
                <w:rFonts w:ascii="Arial" w:hAnsi="Arial"/>
              </w:rPr>
              <w:lastRenderedPageBreak/>
              <w:t>existing literature</w:t>
            </w:r>
          </w:p>
        </w:tc>
        <w:tc>
          <w:tcPr>
            <w:tcW w:w="1169" w:type="dxa"/>
            <w:tcBorders>
              <w:top w:val="single" w:sz="4" w:space="0" w:color="auto"/>
              <w:left w:val="single" w:sz="4" w:space="0" w:color="auto"/>
              <w:bottom w:val="single" w:sz="4" w:space="0" w:color="auto"/>
              <w:right w:val="single" w:sz="4" w:space="0" w:color="auto"/>
            </w:tcBorders>
            <w:hideMark/>
          </w:tcPr>
          <w:p w14:paraId="03794EAA" w14:textId="77777777" w:rsidR="008B1048" w:rsidRPr="008B1048" w:rsidRDefault="008B1048" w:rsidP="008B1048">
            <w:pPr>
              <w:spacing w:after="0"/>
              <w:rPr>
                <w:rFonts w:ascii="Arial" w:hAnsi="Arial"/>
              </w:rPr>
            </w:pPr>
            <w:r w:rsidRPr="008B1048">
              <w:rPr>
                <w:rFonts w:ascii="Arial" w:hAnsi="Arial"/>
              </w:rPr>
              <w:lastRenderedPageBreak/>
              <w:t xml:space="preserve">Detailed analysis; lack of </w:t>
            </w:r>
            <w:r w:rsidRPr="008B1048">
              <w:rPr>
                <w:rFonts w:ascii="Arial" w:hAnsi="Arial"/>
              </w:rPr>
              <w:lastRenderedPageBreak/>
              <w:t>comparisons</w:t>
            </w:r>
          </w:p>
        </w:tc>
        <w:tc>
          <w:tcPr>
            <w:tcW w:w="1169" w:type="dxa"/>
            <w:tcBorders>
              <w:top w:val="single" w:sz="4" w:space="0" w:color="auto"/>
              <w:left w:val="single" w:sz="4" w:space="0" w:color="auto"/>
              <w:bottom w:val="single" w:sz="4" w:space="0" w:color="auto"/>
              <w:right w:val="single" w:sz="4" w:space="0" w:color="auto"/>
            </w:tcBorders>
            <w:hideMark/>
          </w:tcPr>
          <w:p w14:paraId="5FCB8302" w14:textId="77777777" w:rsidR="008B1048" w:rsidRPr="008B1048" w:rsidRDefault="008B1048" w:rsidP="008B1048">
            <w:pPr>
              <w:spacing w:after="0"/>
              <w:rPr>
                <w:rFonts w:ascii="Arial" w:hAnsi="Arial"/>
              </w:rPr>
            </w:pPr>
            <w:r w:rsidRPr="008B1048">
              <w:rPr>
                <w:rFonts w:ascii="Arial" w:hAnsi="Arial"/>
              </w:rPr>
              <w:lastRenderedPageBreak/>
              <w:t xml:space="preserve">E-learning prepared </w:t>
            </w:r>
            <w:r w:rsidRPr="008B1048">
              <w:rPr>
                <w:rFonts w:ascii="Arial" w:hAnsi="Arial"/>
              </w:rPr>
              <w:lastRenderedPageBreak/>
              <w:t>healthcare professionals</w:t>
            </w:r>
          </w:p>
        </w:tc>
        <w:tc>
          <w:tcPr>
            <w:tcW w:w="1169" w:type="dxa"/>
            <w:tcBorders>
              <w:top w:val="single" w:sz="4" w:space="0" w:color="auto"/>
              <w:left w:val="single" w:sz="4" w:space="0" w:color="auto"/>
              <w:bottom w:val="single" w:sz="4" w:space="0" w:color="auto"/>
              <w:right w:val="single" w:sz="4" w:space="0" w:color="auto"/>
            </w:tcBorders>
            <w:hideMark/>
          </w:tcPr>
          <w:p w14:paraId="1D6DC6DC" w14:textId="77777777" w:rsidR="008B1048" w:rsidRPr="008B1048" w:rsidRDefault="008B1048" w:rsidP="008B1048">
            <w:pPr>
              <w:spacing w:after="0"/>
              <w:rPr>
                <w:rFonts w:ascii="Arial" w:hAnsi="Arial"/>
              </w:rPr>
            </w:pPr>
            <w:r w:rsidRPr="008B1048">
              <w:rPr>
                <w:rFonts w:ascii="Arial" w:hAnsi="Arial"/>
              </w:rPr>
              <w:lastRenderedPageBreak/>
              <w:t xml:space="preserve">E-learning and </w:t>
            </w:r>
            <w:r w:rsidRPr="008B1048">
              <w:rPr>
                <w:rFonts w:ascii="Arial" w:hAnsi="Arial"/>
              </w:rPr>
              <w:lastRenderedPageBreak/>
              <w:t>Innovations</w:t>
            </w:r>
          </w:p>
        </w:tc>
        <w:tc>
          <w:tcPr>
            <w:tcW w:w="1169" w:type="dxa"/>
            <w:tcBorders>
              <w:top w:val="single" w:sz="4" w:space="0" w:color="auto"/>
              <w:left w:val="single" w:sz="4" w:space="0" w:color="auto"/>
              <w:bottom w:val="single" w:sz="4" w:space="0" w:color="auto"/>
              <w:right w:val="single" w:sz="4" w:space="0" w:color="auto"/>
            </w:tcBorders>
            <w:hideMark/>
          </w:tcPr>
          <w:p w14:paraId="1772A550" w14:textId="3C107E60" w:rsidR="008B1048" w:rsidRPr="008B1048" w:rsidRDefault="008B1048" w:rsidP="008B1048">
            <w:pPr>
              <w:spacing w:after="0"/>
              <w:rPr>
                <w:rFonts w:ascii="Arial" w:hAnsi="Arial"/>
              </w:rPr>
            </w:pPr>
            <w:r w:rsidRPr="008B1048">
              <w:rPr>
                <w:rFonts w:ascii="Arial" w:hAnsi="Arial"/>
              </w:rPr>
              <w:lastRenderedPageBreak/>
              <w:t xml:space="preserve">Help identify best </w:t>
            </w:r>
            <w:r w:rsidRPr="008B1048">
              <w:rPr>
                <w:rFonts w:ascii="Arial" w:hAnsi="Arial"/>
              </w:rPr>
              <w:lastRenderedPageBreak/>
              <w:t>practices</w:t>
            </w:r>
          </w:p>
        </w:tc>
      </w:tr>
      <w:tr w:rsidR="008B1048" w:rsidRPr="008B1048" w14:paraId="20552705" w14:textId="77777777">
        <w:trPr>
          <w:trHeight w:val="125"/>
        </w:trPr>
        <w:tc>
          <w:tcPr>
            <w:tcW w:w="1168" w:type="dxa"/>
            <w:tcBorders>
              <w:top w:val="single" w:sz="4" w:space="0" w:color="auto"/>
              <w:left w:val="single" w:sz="4" w:space="0" w:color="auto"/>
              <w:bottom w:val="single" w:sz="4" w:space="0" w:color="auto"/>
              <w:right w:val="single" w:sz="4" w:space="0" w:color="auto"/>
            </w:tcBorders>
            <w:hideMark/>
          </w:tcPr>
          <w:p w14:paraId="48E51093" w14:textId="77777777" w:rsidR="008B1048" w:rsidRPr="008B1048" w:rsidRDefault="008B1048" w:rsidP="008B1048">
            <w:pPr>
              <w:spacing w:after="0"/>
              <w:rPr>
                <w:rFonts w:ascii="Arial" w:hAnsi="Arial"/>
              </w:rPr>
            </w:pPr>
            <w:r w:rsidRPr="008B1048">
              <w:rPr>
                <w:rFonts w:ascii="Arial" w:hAnsi="Arial"/>
              </w:rPr>
              <w:lastRenderedPageBreak/>
              <w:t>Martin et al. (2022)</w:t>
            </w:r>
          </w:p>
        </w:tc>
        <w:tc>
          <w:tcPr>
            <w:tcW w:w="1168" w:type="dxa"/>
            <w:tcBorders>
              <w:top w:val="single" w:sz="4" w:space="0" w:color="auto"/>
              <w:left w:val="single" w:sz="4" w:space="0" w:color="auto"/>
              <w:bottom w:val="single" w:sz="4" w:space="0" w:color="auto"/>
              <w:right w:val="single" w:sz="4" w:space="0" w:color="auto"/>
            </w:tcBorders>
            <w:hideMark/>
          </w:tcPr>
          <w:p w14:paraId="16B9BAD6" w14:textId="77777777" w:rsidR="008B1048" w:rsidRPr="008B1048" w:rsidRDefault="008B1048" w:rsidP="008B1048">
            <w:pPr>
              <w:spacing w:after="0"/>
              <w:rPr>
                <w:rFonts w:ascii="Arial" w:hAnsi="Arial"/>
              </w:rPr>
            </w:pPr>
            <w:r w:rsidRPr="008B1048">
              <w:rPr>
                <w:rFonts w:ascii="Arial" w:hAnsi="Arial"/>
              </w:rPr>
              <w:t>Impact of COVID-19 on the Methods of Supervision within Healthcare</w:t>
            </w:r>
          </w:p>
        </w:tc>
        <w:tc>
          <w:tcPr>
            <w:tcW w:w="1169" w:type="dxa"/>
            <w:tcBorders>
              <w:top w:val="single" w:sz="4" w:space="0" w:color="auto"/>
              <w:left w:val="single" w:sz="4" w:space="0" w:color="auto"/>
              <w:bottom w:val="single" w:sz="4" w:space="0" w:color="auto"/>
              <w:right w:val="single" w:sz="4" w:space="0" w:color="auto"/>
            </w:tcBorders>
            <w:hideMark/>
          </w:tcPr>
          <w:p w14:paraId="6E4158A4" w14:textId="77777777" w:rsidR="008B1048" w:rsidRPr="008B1048" w:rsidRDefault="008B1048" w:rsidP="008B1048">
            <w:pPr>
              <w:spacing w:after="0"/>
              <w:rPr>
                <w:rFonts w:ascii="Arial" w:hAnsi="Arial"/>
              </w:rPr>
            </w:pPr>
            <w:r w:rsidRPr="008B1048">
              <w:rPr>
                <w:rFonts w:ascii="Arial" w:hAnsi="Arial"/>
              </w:rPr>
              <w:t>Rapid review</w:t>
            </w:r>
          </w:p>
        </w:tc>
        <w:tc>
          <w:tcPr>
            <w:tcW w:w="1169" w:type="dxa"/>
            <w:tcBorders>
              <w:top w:val="single" w:sz="4" w:space="0" w:color="auto"/>
              <w:left w:val="single" w:sz="4" w:space="0" w:color="auto"/>
              <w:bottom w:val="single" w:sz="4" w:space="0" w:color="auto"/>
              <w:right w:val="single" w:sz="4" w:space="0" w:color="auto"/>
            </w:tcBorders>
            <w:hideMark/>
          </w:tcPr>
          <w:p w14:paraId="5BF26E8F" w14:textId="77777777" w:rsidR="008B1048" w:rsidRPr="008B1048" w:rsidRDefault="008B1048" w:rsidP="008B1048">
            <w:pPr>
              <w:spacing w:after="0"/>
              <w:rPr>
                <w:rFonts w:ascii="Arial" w:hAnsi="Arial"/>
              </w:rPr>
            </w:pPr>
            <w:r w:rsidRPr="008B1048">
              <w:rPr>
                <w:rFonts w:ascii="Arial" w:hAnsi="Arial"/>
              </w:rPr>
              <w:t>Literature Review focusing on Supervisory Studies</w:t>
            </w:r>
          </w:p>
        </w:tc>
        <w:tc>
          <w:tcPr>
            <w:tcW w:w="1169" w:type="dxa"/>
            <w:tcBorders>
              <w:top w:val="single" w:sz="4" w:space="0" w:color="auto"/>
              <w:left w:val="single" w:sz="4" w:space="0" w:color="auto"/>
              <w:bottom w:val="single" w:sz="4" w:space="0" w:color="auto"/>
              <w:right w:val="single" w:sz="4" w:space="0" w:color="auto"/>
            </w:tcBorders>
            <w:hideMark/>
          </w:tcPr>
          <w:p w14:paraId="7E883BD6" w14:textId="77777777" w:rsidR="008B1048" w:rsidRPr="008B1048" w:rsidRDefault="008B1048" w:rsidP="008B1048">
            <w:pPr>
              <w:spacing w:after="0"/>
              <w:rPr>
                <w:rFonts w:ascii="Arial" w:hAnsi="Arial"/>
              </w:rPr>
            </w:pPr>
            <w:r w:rsidRPr="008B1048">
              <w:rPr>
                <w:rFonts w:ascii="Arial" w:hAnsi="Arial"/>
              </w:rPr>
              <w:t>Up-to-date information; lacks depth</w:t>
            </w:r>
          </w:p>
        </w:tc>
        <w:tc>
          <w:tcPr>
            <w:tcW w:w="1169" w:type="dxa"/>
            <w:tcBorders>
              <w:top w:val="single" w:sz="4" w:space="0" w:color="auto"/>
              <w:left w:val="single" w:sz="4" w:space="0" w:color="auto"/>
              <w:bottom w:val="single" w:sz="4" w:space="0" w:color="auto"/>
              <w:right w:val="single" w:sz="4" w:space="0" w:color="auto"/>
            </w:tcBorders>
            <w:hideMark/>
          </w:tcPr>
          <w:p w14:paraId="4B6C836B" w14:textId="77777777" w:rsidR="008B1048" w:rsidRPr="008B1048" w:rsidRDefault="008B1048" w:rsidP="008B1048">
            <w:pPr>
              <w:spacing w:after="0"/>
              <w:rPr>
                <w:rFonts w:ascii="Arial" w:hAnsi="Arial"/>
              </w:rPr>
            </w:pPr>
            <w:r w:rsidRPr="008B1048">
              <w:rPr>
                <w:rFonts w:ascii="Arial" w:hAnsi="Arial"/>
              </w:rPr>
              <w:t>Changes in supervision impacted competence</w:t>
            </w:r>
          </w:p>
        </w:tc>
        <w:tc>
          <w:tcPr>
            <w:tcW w:w="1169" w:type="dxa"/>
            <w:tcBorders>
              <w:top w:val="single" w:sz="4" w:space="0" w:color="auto"/>
              <w:left w:val="single" w:sz="4" w:space="0" w:color="auto"/>
              <w:bottom w:val="single" w:sz="4" w:space="0" w:color="auto"/>
              <w:right w:val="single" w:sz="4" w:space="0" w:color="auto"/>
            </w:tcBorders>
            <w:hideMark/>
          </w:tcPr>
          <w:p w14:paraId="1CFA7152" w14:textId="77777777" w:rsidR="008B1048" w:rsidRPr="008B1048" w:rsidRDefault="008B1048" w:rsidP="008B1048">
            <w:pPr>
              <w:spacing w:after="0"/>
              <w:rPr>
                <w:rFonts w:ascii="Arial" w:hAnsi="Arial"/>
              </w:rPr>
            </w:pPr>
            <w:r w:rsidRPr="008B1048">
              <w:rPr>
                <w:rFonts w:ascii="Arial" w:hAnsi="Arial"/>
              </w:rPr>
              <w:t>Supervision and Competence</w:t>
            </w:r>
          </w:p>
        </w:tc>
        <w:tc>
          <w:tcPr>
            <w:tcW w:w="1169" w:type="dxa"/>
            <w:tcBorders>
              <w:top w:val="single" w:sz="4" w:space="0" w:color="auto"/>
              <w:left w:val="single" w:sz="4" w:space="0" w:color="auto"/>
              <w:bottom w:val="single" w:sz="4" w:space="0" w:color="auto"/>
              <w:right w:val="single" w:sz="4" w:space="0" w:color="auto"/>
            </w:tcBorders>
            <w:hideMark/>
          </w:tcPr>
          <w:p w14:paraId="4EDA1B46" w14:textId="77777777" w:rsidR="008B1048" w:rsidRPr="008B1048" w:rsidRDefault="008B1048" w:rsidP="008B1048">
            <w:pPr>
              <w:spacing w:after="0"/>
              <w:rPr>
                <w:rFonts w:ascii="Arial" w:hAnsi="Arial"/>
              </w:rPr>
            </w:pPr>
            <w:r w:rsidRPr="008B1048">
              <w:rPr>
                <w:rFonts w:ascii="Arial" w:hAnsi="Arial"/>
              </w:rPr>
              <w:t>Highlights the need for support</w:t>
            </w:r>
          </w:p>
        </w:tc>
      </w:tr>
    </w:tbl>
    <w:p w14:paraId="0F34FD19" w14:textId="77777777" w:rsidR="008B1048" w:rsidRPr="008C38C3" w:rsidRDefault="008B1048" w:rsidP="00621776">
      <w:pPr>
        <w:pStyle w:val="Heading1"/>
        <w:ind w:left="0"/>
        <w:rPr>
          <w:rFonts w:ascii="Aptos" w:hAnsi="Aptos"/>
          <w:sz w:val="28"/>
          <w:szCs w:val="28"/>
        </w:rPr>
      </w:pPr>
    </w:p>
    <w:p w14:paraId="5E02AF15" w14:textId="63884053" w:rsidR="00621776" w:rsidRDefault="00621776" w:rsidP="00621776"/>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6F10471D" w14:textId="77777777" w:rsidR="00AB77C6" w:rsidRDefault="00AB77C6" w:rsidP="00621776"/>
    <w:p w14:paraId="32A7F334" w14:textId="77777777" w:rsidR="00AB77C6" w:rsidRDefault="00AB77C6" w:rsidP="00621776"/>
    <w:p w14:paraId="12E65AE0" w14:textId="77777777" w:rsidR="00AB77C6" w:rsidRDefault="00AB77C6"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lastRenderedPageBreak/>
        <w:t xml:space="preserve">Additional Information </w:t>
      </w:r>
    </w:p>
    <w:p w14:paraId="2843727D" w14:textId="77777777" w:rsidR="008C38C3" w:rsidRDefault="008C38C3" w:rsidP="00621776"/>
    <w:p w14:paraId="231C6501" w14:textId="61EB1B81" w:rsidR="008C38C3" w:rsidRPr="008C38C3" w:rsidRDefault="008C38C3">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pPr>
        <w:pStyle w:val="ListParagraph"/>
        <w:widowControl/>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pPr>
        <w:numPr>
          <w:ilvl w:val="0"/>
          <w:numId w:val="1"/>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7503E" w14:textId="77777777" w:rsidR="005248AE" w:rsidRDefault="005248AE" w:rsidP="00211184">
      <w:pPr>
        <w:spacing w:after="0" w:line="240" w:lineRule="auto"/>
      </w:pPr>
      <w:r>
        <w:separator/>
      </w:r>
    </w:p>
  </w:endnote>
  <w:endnote w:type="continuationSeparator" w:id="0">
    <w:p w14:paraId="7A225DF4" w14:textId="77777777" w:rsidR="005248AE" w:rsidRDefault="005248A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entury Schoolbook">
    <w:panose1 w:val="02040604050505020304"/>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53EB8" w14:textId="77777777" w:rsidR="005248AE" w:rsidRDefault="005248AE" w:rsidP="00211184">
      <w:pPr>
        <w:spacing w:after="0" w:line="240" w:lineRule="auto"/>
      </w:pPr>
      <w:r>
        <w:separator/>
      </w:r>
    </w:p>
  </w:footnote>
  <w:footnote w:type="continuationSeparator" w:id="0">
    <w:p w14:paraId="2DA9B2CE" w14:textId="77777777" w:rsidR="005248AE" w:rsidRDefault="005248A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6480B"/>
    <w:multiLevelType w:val="multilevel"/>
    <w:tmpl w:val="038C8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37641D"/>
    <w:multiLevelType w:val="multilevel"/>
    <w:tmpl w:val="D26C3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397EBD"/>
    <w:multiLevelType w:val="multilevel"/>
    <w:tmpl w:val="C706B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805841"/>
    <w:multiLevelType w:val="multilevel"/>
    <w:tmpl w:val="E7BCA76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19CD7383"/>
    <w:multiLevelType w:val="multilevel"/>
    <w:tmpl w:val="5726E71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1C5775E3"/>
    <w:multiLevelType w:val="multilevel"/>
    <w:tmpl w:val="AFE80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BF0EB1"/>
    <w:multiLevelType w:val="multilevel"/>
    <w:tmpl w:val="83968FD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3116526D"/>
    <w:multiLevelType w:val="multilevel"/>
    <w:tmpl w:val="C5B07E5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37125B11"/>
    <w:multiLevelType w:val="multilevel"/>
    <w:tmpl w:val="EBBAF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A342CF0"/>
    <w:multiLevelType w:val="multilevel"/>
    <w:tmpl w:val="38E04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19952CE"/>
    <w:multiLevelType w:val="multilevel"/>
    <w:tmpl w:val="E90E4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873A61"/>
    <w:multiLevelType w:val="multilevel"/>
    <w:tmpl w:val="D242E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F442F02"/>
    <w:multiLevelType w:val="multilevel"/>
    <w:tmpl w:val="3BB86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3FE4B6D"/>
    <w:multiLevelType w:val="multilevel"/>
    <w:tmpl w:val="B5063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5F41D07"/>
    <w:multiLevelType w:val="multilevel"/>
    <w:tmpl w:val="843C7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4556F8"/>
    <w:multiLevelType w:val="multilevel"/>
    <w:tmpl w:val="4C141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0B51AB8"/>
    <w:multiLevelType w:val="multilevel"/>
    <w:tmpl w:val="6336A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7A654B81"/>
    <w:multiLevelType w:val="multilevel"/>
    <w:tmpl w:val="ADECC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DA04611"/>
    <w:multiLevelType w:val="multilevel"/>
    <w:tmpl w:val="9ECA4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0121260">
    <w:abstractNumId w:val="11"/>
  </w:num>
  <w:num w:numId="2" w16cid:durableId="438111508">
    <w:abstractNumId w:val="20"/>
  </w:num>
  <w:num w:numId="3" w16cid:durableId="1573662111">
    <w:abstractNumId w:val="21"/>
  </w:num>
  <w:num w:numId="4" w16cid:durableId="1810784339">
    <w:abstractNumId w:val="14"/>
  </w:num>
  <w:num w:numId="5" w16cid:durableId="1042821728">
    <w:abstractNumId w:val="17"/>
  </w:num>
  <w:num w:numId="6" w16cid:durableId="491526292">
    <w:abstractNumId w:val="4"/>
  </w:num>
  <w:num w:numId="7" w16cid:durableId="1514949749">
    <w:abstractNumId w:val="7"/>
  </w:num>
  <w:num w:numId="8" w16cid:durableId="1437406820">
    <w:abstractNumId w:val="3"/>
  </w:num>
  <w:num w:numId="9" w16cid:durableId="1001618837">
    <w:abstractNumId w:val="6"/>
  </w:num>
  <w:num w:numId="10" w16cid:durableId="1252542298">
    <w:abstractNumId w:val="12"/>
  </w:num>
  <w:num w:numId="11" w16cid:durableId="945188792">
    <w:abstractNumId w:val="5"/>
  </w:num>
  <w:num w:numId="12" w16cid:durableId="976447101">
    <w:abstractNumId w:val="22"/>
  </w:num>
  <w:num w:numId="13" w16cid:durableId="1747611159">
    <w:abstractNumId w:val="1"/>
  </w:num>
  <w:num w:numId="14" w16cid:durableId="1120539374">
    <w:abstractNumId w:val="13"/>
  </w:num>
  <w:num w:numId="15" w16cid:durableId="1918008437">
    <w:abstractNumId w:val="10"/>
  </w:num>
  <w:num w:numId="16" w16cid:durableId="207304482">
    <w:abstractNumId w:val="2"/>
  </w:num>
  <w:num w:numId="17" w16cid:durableId="999114595">
    <w:abstractNumId w:val="15"/>
  </w:num>
  <w:num w:numId="18" w16cid:durableId="794714262">
    <w:abstractNumId w:val="0"/>
  </w:num>
  <w:num w:numId="19" w16cid:durableId="349450643">
    <w:abstractNumId w:val="9"/>
  </w:num>
  <w:num w:numId="20" w16cid:durableId="1872766574">
    <w:abstractNumId w:val="8"/>
  </w:num>
  <w:num w:numId="21" w16cid:durableId="1938244404">
    <w:abstractNumId w:val="16"/>
  </w:num>
  <w:num w:numId="22" w16cid:durableId="271397883">
    <w:abstractNumId w:val="18"/>
  </w:num>
  <w:num w:numId="23" w16cid:durableId="1515802530">
    <w:abstractNumId w:val="23"/>
  </w:num>
  <w:num w:numId="24" w16cid:durableId="2041472589">
    <w:abstractNumId w:val="19"/>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27E2"/>
    <w:rsid w:val="00063B4C"/>
    <w:rsid w:val="000D05D8"/>
    <w:rsid w:val="000D0641"/>
    <w:rsid w:val="000D2B00"/>
    <w:rsid w:val="00115D68"/>
    <w:rsid w:val="00137F6F"/>
    <w:rsid w:val="001601E6"/>
    <w:rsid w:val="001655AB"/>
    <w:rsid w:val="00175A37"/>
    <w:rsid w:val="001C3AF6"/>
    <w:rsid w:val="001D1485"/>
    <w:rsid w:val="001D2E71"/>
    <w:rsid w:val="001F17CD"/>
    <w:rsid w:val="001F19A6"/>
    <w:rsid w:val="00211184"/>
    <w:rsid w:val="0021364B"/>
    <w:rsid w:val="0025020C"/>
    <w:rsid w:val="00256951"/>
    <w:rsid w:val="002865F5"/>
    <w:rsid w:val="00292A36"/>
    <w:rsid w:val="00296806"/>
    <w:rsid w:val="002D64A3"/>
    <w:rsid w:val="002F5E53"/>
    <w:rsid w:val="00312A5A"/>
    <w:rsid w:val="003135AD"/>
    <w:rsid w:val="0039055F"/>
    <w:rsid w:val="00393F39"/>
    <w:rsid w:val="003A2B8D"/>
    <w:rsid w:val="003A66FD"/>
    <w:rsid w:val="003B1E32"/>
    <w:rsid w:val="004D4021"/>
    <w:rsid w:val="005119DE"/>
    <w:rsid w:val="005248AE"/>
    <w:rsid w:val="005446BF"/>
    <w:rsid w:val="0055147E"/>
    <w:rsid w:val="00575D70"/>
    <w:rsid w:val="005B3EDE"/>
    <w:rsid w:val="005B6E67"/>
    <w:rsid w:val="005C5E80"/>
    <w:rsid w:val="005D7A1E"/>
    <w:rsid w:val="005E1650"/>
    <w:rsid w:val="00600D52"/>
    <w:rsid w:val="00603BF0"/>
    <w:rsid w:val="00604A87"/>
    <w:rsid w:val="00621776"/>
    <w:rsid w:val="00621872"/>
    <w:rsid w:val="00636D9A"/>
    <w:rsid w:val="006A09B8"/>
    <w:rsid w:val="006A3F0D"/>
    <w:rsid w:val="006A4515"/>
    <w:rsid w:val="006B4F09"/>
    <w:rsid w:val="006C78AA"/>
    <w:rsid w:val="006F04D4"/>
    <w:rsid w:val="006F285C"/>
    <w:rsid w:val="006F4AB2"/>
    <w:rsid w:val="007063BA"/>
    <w:rsid w:val="00730C3C"/>
    <w:rsid w:val="0073280B"/>
    <w:rsid w:val="00750B5B"/>
    <w:rsid w:val="0077163A"/>
    <w:rsid w:val="00785752"/>
    <w:rsid w:val="007959C1"/>
    <w:rsid w:val="007A59C8"/>
    <w:rsid w:val="007A712E"/>
    <w:rsid w:val="007C246B"/>
    <w:rsid w:val="007C3947"/>
    <w:rsid w:val="007C685B"/>
    <w:rsid w:val="007F7847"/>
    <w:rsid w:val="00804B94"/>
    <w:rsid w:val="00807B11"/>
    <w:rsid w:val="00816373"/>
    <w:rsid w:val="00820746"/>
    <w:rsid w:val="0082760D"/>
    <w:rsid w:val="00880B2D"/>
    <w:rsid w:val="00883AB0"/>
    <w:rsid w:val="008908AF"/>
    <w:rsid w:val="00894108"/>
    <w:rsid w:val="008B1048"/>
    <w:rsid w:val="008B1DFA"/>
    <w:rsid w:val="008C38C3"/>
    <w:rsid w:val="008D6F0F"/>
    <w:rsid w:val="008E7B2E"/>
    <w:rsid w:val="00916814"/>
    <w:rsid w:val="00995444"/>
    <w:rsid w:val="009D06C5"/>
    <w:rsid w:val="009D534C"/>
    <w:rsid w:val="009D728C"/>
    <w:rsid w:val="009E5B14"/>
    <w:rsid w:val="00A14D31"/>
    <w:rsid w:val="00A768A9"/>
    <w:rsid w:val="00A90A7A"/>
    <w:rsid w:val="00AA437C"/>
    <w:rsid w:val="00AB77C6"/>
    <w:rsid w:val="00AB78F0"/>
    <w:rsid w:val="00AC7BA4"/>
    <w:rsid w:val="00AF78BA"/>
    <w:rsid w:val="00B01396"/>
    <w:rsid w:val="00B2418B"/>
    <w:rsid w:val="00B26973"/>
    <w:rsid w:val="00B575E2"/>
    <w:rsid w:val="00B7073C"/>
    <w:rsid w:val="00B858A1"/>
    <w:rsid w:val="00BB65AC"/>
    <w:rsid w:val="00BD2909"/>
    <w:rsid w:val="00C17A49"/>
    <w:rsid w:val="00C91479"/>
    <w:rsid w:val="00CB3AF6"/>
    <w:rsid w:val="00CB3C13"/>
    <w:rsid w:val="00CC6345"/>
    <w:rsid w:val="00CE3FD1"/>
    <w:rsid w:val="00CE620E"/>
    <w:rsid w:val="00CF1ED5"/>
    <w:rsid w:val="00D01D54"/>
    <w:rsid w:val="00D13A82"/>
    <w:rsid w:val="00D13DB7"/>
    <w:rsid w:val="00DB71AC"/>
    <w:rsid w:val="00DC00D1"/>
    <w:rsid w:val="00DD02A4"/>
    <w:rsid w:val="00DE1A02"/>
    <w:rsid w:val="00E05C6C"/>
    <w:rsid w:val="00E157E1"/>
    <w:rsid w:val="00E2182C"/>
    <w:rsid w:val="00E243E0"/>
    <w:rsid w:val="00E325CF"/>
    <w:rsid w:val="00E40B0D"/>
    <w:rsid w:val="00E71420"/>
    <w:rsid w:val="00E903CA"/>
    <w:rsid w:val="00E94DA0"/>
    <w:rsid w:val="00EA5CC3"/>
    <w:rsid w:val="00ED3144"/>
    <w:rsid w:val="00EF6341"/>
    <w:rsid w:val="00F0560A"/>
    <w:rsid w:val="00F158D7"/>
    <w:rsid w:val="00F20EE5"/>
    <w:rsid w:val="00F44833"/>
    <w:rsid w:val="00F544B0"/>
    <w:rsid w:val="00F602D3"/>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semiHidden/>
    <w:unhideWhenUsed/>
    <w:rsid w:val="00115D68"/>
    <w:pPr>
      <w:spacing w:after="100"/>
    </w:pPr>
    <w:rPr>
      <w:rFonts w:ascii="Arial" w:eastAsiaTheme="minorHAnsi" w:hAnsi="Arial"/>
      <w:kern w:val="0"/>
      <w:lang w:val="en-US" w:eastAsia="en-US"/>
      <w14:ligatures w14:val="none"/>
    </w:rPr>
  </w:style>
  <w:style w:type="paragraph" w:styleId="TOC2">
    <w:name w:val="toc 2"/>
    <w:basedOn w:val="Normal"/>
    <w:next w:val="Normal"/>
    <w:autoRedefine/>
    <w:uiPriority w:val="39"/>
    <w:semiHidden/>
    <w:unhideWhenUsed/>
    <w:rsid w:val="00115D68"/>
    <w:pPr>
      <w:spacing w:after="100"/>
      <w:ind w:left="220"/>
    </w:pPr>
    <w:rPr>
      <w:rFonts w:ascii="Arial" w:eastAsiaTheme="minorHAnsi" w:hAnsi="Arial"/>
      <w:kern w:val="0"/>
      <w:lang w:val="en-US" w:eastAsia="en-US"/>
      <w14:ligatures w14:val="none"/>
    </w:rPr>
  </w:style>
  <w:style w:type="paragraph" w:styleId="TOC3">
    <w:name w:val="toc 3"/>
    <w:basedOn w:val="Normal"/>
    <w:next w:val="Normal"/>
    <w:autoRedefine/>
    <w:uiPriority w:val="39"/>
    <w:semiHidden/>
    <w:unhideWhenUsed/>
    <w:rsid w:val="00115D68"/>
    <w:pPr>
      <w:spacing w:after="100"/>
      <w:ind w:left="440"/>
    </w:pPr>
    <w:rPr>
      <w:rFonts w:ascii="Arial" w:eastAsiaTheme="minorHAnsi" w:hAnsi="Arial"/>
      <w:kern w:val="0"/>
      <w:lang w:val="en-US" w:eastAsia="en-US"/>
      <w14:ligatures w14:val="none"/>
    </w:rPr>
  </w:style>
  <w:style w:type="table" w:customStyle="1" w:styleId="TableGrid1">
    <w:name w:val="Table Grid1"/>
    <w:basedOn w:val="TableNormal"/>
    <w:next w:val="TableGrid"/>
    <w:uiPriority w:val="39"/>
    <w:rsid w:val="008B1048"/>
    <w:pPr>
      <w:spacing w:after="220" w:line="240" w:lineRule="auto"/>
    </w:pPr>
    <w:rPr>
      <w:rFonts w:ascii="Century Schoolbook" w:eastAsia="Century Schoolbook" w:hAnsi="Century Schoolbook" w:cs="Times New Roman"/>
      <w:kern w:val="0"/>
      <w:lang w:val="en-US"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36/postgradmedj-2012-130881" TargetMode="External"/><Relationship Id="rId21" Type="http://schemas.openxmlformats.org/officeDocument/2006/relationships/hyperlink" Target="file:///C:\Users\User\Downloads\Jacqueline%20Lawrence%20BMHP6020%20Independent%20Project%20,%20Component%201_%20Portfolio%20(Element%203)%20(1).docx" TargetMode="External"/><Relationship Id="rId42" Type="http://schemas.openxmlformats.org/officeDocument/2006/relationships/hyperlink" Target="file:///C:\Users\User\Downloads\Jacqueline%20Lawrence%20BMHP6020%20Independent%20Project%20,%20Component%201_%20Portfolio%20(Element%203)%20(1).docx" TargetMode="External"/><Relationship Id="rId63" Type="http://schemas.openxmlformats.org/officeDocument/2006/relationships/image" Target="media/image13.png"/><Relationship Id="rId84" Type="http://schemas.openxmlformats.org/officeDocument/2006/relationships/hyperlink" Target="https://doi.org/10.3389/fpubh.2022.1034196" TargetMode="External"/><Relationship Id="rId138" Type="http://schemas.openxmlformats.org/officeDocument/2006/relationships/hyperlink" Target="https://doi.org/10.1007/s41125-021-00073-5" TargetMode="External"/><Relationship Id="rId107" Type="http://schemas.openxmlformats.org/officeDocument/2006/relationships/hyperlink" Target="https://doi.org/10.1186/s12913-023-09839-0" TargetMode="External"/><Relationship Id="rId11" Type="http://schemas.openxmlformats.org/officeDocument/2006/relationships/hyperlink" Target="file:///C:\Users\User\Downloads\Jacqueline%20Lawrence%20BMHP6020%20Independent%20Project%20,%20Component%201_%20Portfolio%20(Element%203)%20(1).docx" TargetMode="External"/><Relationship Id="rId32" Type="http://schemas.openxmlformats.org/officeDocument/2006/relationships/hyperlink" Target="file:///C:\Users\User\Downloads\Jacqueline%20Lawrence%20BMHP6020%20Independent%20Project%20,%20Component%201_%20Portfolio%20(Element%203)%20(1).docx" TargetMode="External"/><Relationship Id="rId53" Type="http://schemas.openxmlformats.org/officeDocument/2006/relationships/image" Target="media/image3.png"/><Relationship Id="rId74" Type="http://schemas.openxmlformats.org/officeDocument/2006/relationships/hyperlink" Target="https://doi.org/10.2147/PRBM.S391403" TargetMode="External"/><Relationship Id="rId128" Type="http://schemas.openxmlformats.org/officeDocument/2006/relationships/hyperlink" Target="https://doi.org/10.1186/s12909-025-07745-z" TargetMode="External"/><Relationship Id="rId149" Type="http://schemas.openxmlformats.org/officeDocument/2006/relationships/theme" Target="theme/theme1.xml"/><Relationship Id="rId5" Type="http://schemas.openxmlformats.org/officeDocument/2006/relationships/webSettings" Target="webSettings.xml"/><Relationship Id="rId95" Type="http://schemas.openxmlformats.org/officeDocument/2006/relationships/hyperlink" Target="https://doi.org/10.1089/apb.2022.0017" TargetMode="External"/><Relationship Id="rId22" Type="http://schemas.openxmlformats.org/officeDocument/2006/relationships/hyperlink" Target="file:///C:\Users\User\Downloads\Jacqueline%20Lawrence%20BMHP6020%20Independent%20Project%20,%20Component%201_%20Portfolio%20(Element%203)%20(1).docx" TargetMode="External"/><Relationship Id="rId27" Type="http://schemas.openxmlformats.org/officeDocument/2006/relationships/hyperlink" Target="file:///C:\Users\User\Downloads\Jacqueline%20Lawrence%20BMHP6020%20Independent%20Project%20,%20Component%201_%20Portfolio%20(Element%203)%20(1).docx" TargetMode="External"/><Relationship Id="rId43" Type="http://schemas.openxmlformats.org/officeDocument/2006/relationships/hyperlink" Target="file:///C:\Users\User\Downloads\Jacqueline%20Lawrence%20BMHP6020%20Independent%20Project%20,%20Component%201_%20Portfolio%20(Element%203)%20(1).docx" TargetMode="External"/><Relationship Id="rId48" Type="http://schemas.openxmlformats.org/officeDocument/2006/relationships/hyperlink" Target="file:///C:\Users\User\Downloads\Jacqueline%20Lawrence%20BMHP6020%20Independent%20Project%20,%20Component%201_%20Portfolio%20(Element%203)%20(1).docx" TargetMode="External"/><Relationship Id="rId64" Type="http://schemas.openxmlformats.org/officeDocument/2006/relationships/image" Target="media/image14.png"/><Relationship Id="rId69" Type="http://schemas.openxmlformats.org/officeDocument/2006/relationships/hyperlink" Target="https://doi.org/10.3390/healthcare11212902" TargetMode="External"/><Relationship Id="rId113" Type="http://schemas.openxmlformats.org/officeDocument/2006/relationships/hyperlink" Target="https://doi.org/10.1007/s10805-021-09392-7" TargetMode="External"/><Relationship Id="rId118" Type="http://schemas.openxmlformats.org/officeDocument/2006/relationships/hyperlink" Target="https://doi.org/10.1002/hpm.3446" TargetMode="External"/><Relationship Id="rId134" Type="http://schemas.openxmlformats.org/officeDocument/2006/relationships/hyperlink" Target="https://doi.org/10.1111/jan.16629" TargetMode="External"/><Relationship Id="rId139" Type="http://schemas.openxmlformats.org/officeDocument/2006/relationships/hyperlink" Target="https://doi.org/10.1590/0102-311x00116321" TargetMode="External"/><Relationship Id="rId80" Type="http://schemas.openxmlformats.org/officeDocument/2006/relationships/hyperlink" Target="https://doi.org/10.3310/ewpe7103" TargetMode="External"/><Relationship Id="rId85" Type="http://schemas.openxmlformats.org/officeDocument/2006/relationships/hyperlink" Target="https://doi.org/10.1007/s10459-023-10297-w" TargetMode="External"/><Relationship Id="rId12" Type="http://schemas.openxmlformats.org/officeDocument/2006/relationships/hyperlink" Target="file:///C:\Users\User\Downloads\Jacqueline%20Lawrence%20BMHP6020%20Independent%20Project%20,%20Component%201_%20Portfolio%20(Element%203)%20(1).docx" TargetMode="External"/><Relationship Id="rId17" Type="http://schemas.openxmlformats.org/officeDocument/2006/relationships/hyperlink" Target="file:///C:\Users\User\Downloads\Jacqueline%20Lawrence%20BMHP6020%20Independent%20Project%20,%20Component%201_%20Portfolio%20(Element%203)%20(1).docx" TargetMode="External"/><Relationship Id="rId33" Type="http://schemas.openxmlformats.org/officeDocument/2006/relationships/hyperlink" Target="file:///C:\Users\User\Downloads\Jacqueline%20Lawrence%20BMHP6020%20Independent%20Project%20,%20Component%201_%20Portfolio%20(Element%203)%20(1).docx" TargetMode="External"/><Relationship Id="rId38" Type="http://schemas.openxmlformats.org/officeDocument/2006/relationships/hyperlink" Target="file:///C:\Users\User\Downloads\Jacqueline%20Lawrence%20BMHP6020%20Independent%20Project%20,%20Component%201_%20Portfolio%20(Element%203)%20(1).docx" TargetMode="External"/><Relationship Id="rId59" Type="http://schemas.openxmlformats.org/officeDocument/2006/relationships/image" Target="media/image9.png"/><Relationship Id="rId103" Type="http://schemas.openxmlformats.org/officeDocument/2006/relationships/hyperlink" Target="https://openwho.org/" TargetMode="External"/><Relationship Id="rId108" Type="http://schemas.openxmlformats.org/officeDocument/2006/relationships/hyperlink" Target="https://doi.org/10.1186/s12961-022-00876-5" TargetMode="External"/><Relationship Id="rId124" Type="http://schemas.openxmlformats.org/officeDocument/2006/relationships/hyperlink" Target="https://doi.org/10.1111/medu.14592" TargetMode="External"/><Relationship Id="rId129" Type="http://schemas.openxmlformats.org/officeDocument/2006/relationships/hyperlink" Target="https://doi.org/10.14207/ejsd.2024.v13n3p389" TargetMode="External"/><Relationship Id="rId54" Type="http://schemas.openxmlformats.org/officeDocument/2006/relationships/image" Target="media/image4.png"/><Relationship Id="rId70" Type="http://schemas.openxmlformats.org/officeDocument/2006/relationships/hyperlink" Target="https://doi.org/10.2196/64125" TargetMode="External"/><Relationship Id="rId75" Type="http://schemas.openxmlformats.org/officeDocument/2006/relationships/hyperlink" Target="https://doi.org/10.1016/j.ienj.2022.101146" TargetMode="External"/><Relationship Id="rId91" Type="http://schemas.openxmlformats.org/officeDocument/2006/relationships/hyperlink" Target="https://doi.org/10.1186/s12909-023-04730-2" TargetMode="External"/><Relationship Id="rId96" Type="http://schemas.openxmlformats.org/officeDocument/2006/relationships/hyperlink" Target="https://www.rcog.org.uk/media/r5mjf400/tef-2021-report-covid-19.pdf" TargetMode="External"/><Relationship Id="rId140" Type="http://schemas.openxmlformats.org/officeDocument/2006/relationships/hyperlink" Target="https://doi.org/10.1016/j.mgmed.2024.100008" TargetMode="External"/><Relationship Id="rId145" Type="http://schemas.openxmlformats.org/officeDocument/2006/relationships/hyperlink" Target="https://doi.org/10.1186/s12909-023-04275-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C:\Users\User\Downloads\Jacqueline%20Lawrence%20BMHP6020%20Independent%20Project%20,%20Component%201_%20Portfolio%20(Element%203)%20(1).docx" TargetMode="External"/><Relationship Id="rId28" Type="http://schemas.openxmlformats.org/officeDocument/2006/relationships/hyperlink" Target="file:///C:\Users\User\Downloads\Jacqueline%20Lawrence%20BMHP6020%20Independent%20Project%20,%20Component%201_%20Portfolio%20(Element%203)%20(1).docx" TargetMode="External"/><Relationship Id="rId49" Type="http://schemas.openxmlformats.org/officeDocument/2006/relationships/hyperlink" Target="file:///C:\Users\User\Downloads\Jacqueline%20Lawrence%20BMHP6020%20Independent%20Project%20,%20Component%201_%20Portfolio%20(Element%203)%20(1).docx" TargetMode="External"/><Relationship Id="rId114" Type="http://schemas.openxmlformats.org/officeDocument/2006/relationships/hyperlink" Target="https://doi.org/10.4038/tsljos.v9i1.23" TargetMode="External"/><Relationship Id="rId119" Type="http://schemas.openxmlformats.org/officeDocument/2006/relationships/hyperlink" Target="https://doi.org/10.1177/1751143720972630" TargetMode="External"/><Relationship Id="rId44" Type="http://schemas.openxmlformats.org/officeDocument/2006/relationships/hyperlink" Target="file:///C:\Users\User\Downloads\Jacqueline%20Lawrence%20BMHP6020%20Independent%20Project%20,%20Component%201_%20Portfolio%20(Element%203)%20(1).docx" TargetMode="External"/><Relationship Id="rId60" Type="http://schemas.openxmlformats.org/officeDocument/2006/relationships/image" Target="media/image10.png"/><Relationship Id="rId65" Type="http://schemas.openxmlformats.org/officeDocument/2006/relationships/footer" Target="footer1.xml"/><Relationship Id="rId81" Type="http://schemas.openxmlformats.org/officeDocument/2006/relationships/hyperlink" Target="https://doi.org/10.3390/ijerph18179065" TargetMode="External"/><Relationship Id="rId86" Type="http://schemas.openxmlformats.org/officeDocument/2006/relationships/hyperlink" Target="https://www.legislation.gov.uk/id/ukpga/2012/7" TargetMode="External"/><Relationship Id="rId130" Type="http://schemas.openxmlformats.org/officeDocument/2006/relationships/hyperlink" Target="https://doi.org/10.1186/s12913-025-13917-w" TargetMode="External"/><Relationship Id="rId135" Type="http://schemas.openxmlformats.org/officeDocument/2006/relationships/hyperlink" Target="https://doi.org/10.3390/nursrep13040142" TargetMode="External"/><Relationship Id="rId13" Type="http://schemas.openxmlformats.org/officeDocument/2006/relationships/hyperlink" Target="file:///C:\Users\User\Downloads\Jacqueline%20Lawrence%20BMHP6020%20Independent%20Project%20,%20Component%201_%20Portfolio%20(Element%203)%20(1).docx" TargetMode="External"/><Relationship Id="rId18" Type="http://schemas.openxmlformats.org/officeDocument/2006/relationships/hyperlink" Target="file:///C:\Users\User\Downloads\Jacqueline%20Lawrence%20BMHP6020%20Independent%20Project%20,%20Component%201_%20Portfolio%20(Element%203)%20(1).docx" TargetMode="External"/><Relationship Id="rId39" Type="http://schemas.openxmlformats.org/officeDocument/2006/relationships/hyperlink" Target="file:///C:\Users\User\Downloads\Jacqueline%20Lawrence%20BMHP6020%20Independent%20Project%20,%20Component%201_%20Portfolio%20(Element%203)%20(1).docx" TargetMode="External"/><Relationship Id="rId109" Type="http://schemas.openxmlformats.org/officeDocument/2006/relationships/hyperlink" Target="https://doi.org/10.3390/jpm13111545" TargetMode="External"/><Relationship Id="rId34" Type="http://schemas.openxmlformats.org/officeDocument/2006/relationships/hyperlink" Target="file:///C:\Users\User\Downloads\Jacqueline%20Lawrence%20BMHP6020%20Independent%20Project%20,%20Component%201_%20Portfolio%20(Element%203)%20(1).docx" TargetMode="External"/><Relationship Id="rId50" Type="http://schemas.openxmlformats.org/officeDocument/2006/relationships/hyperlink" Target="file:///C:\Users\User\Downloads\Jacqueline%20Lawrence%20BMHP6020%20Independent%20Project%20,%20Component%201_%20Portfolio%20(Element%203)%20(1).docx" TargetMode="External"/><Relationship Id="rId55" Type="http://schemas.openxmlformats.org/officeDocument/2006/relationships/image" Target="media/image5.png"/><Relationship Id="rId76" Type="http://schemas.openxmlformats.org/officeDocument/2006/relationships/hyperlink" Target="https://doi.org/10.3390/jpm12081295" TargetMode="External"/><Relationship Id="rId97" Type="http://schemas.openxmlformats.org/officeDocument/2006/relationships/hyperlink" Target="https://doi.org/10.1016/j.chest.2019.07.011" TargetMode="External"/><Relationship Id="rId104" Type="http://schemas.openxmlformats.org/officeDocument/2006/relationships/hyperlink" Target="https://doi.org/10.1136/bmj.o1796" TargetMode="External"/><Relationship Id="rId120" Type="http://schemas.openxmlformats.org/officeDocument/2006/relationships/hyperlink" Target="https://doi.org/10.1080/17439760.2016.1262613" TargetMode="External"/><Relationship Id="rId125" Type="http://schemas.openxmlformats.org/officeDocument/2006/relationships/hyperlink" Target="https://doi.org/10.1007/s10460-023-10525-4" TargetMode="External"/><Relationship Id="rId141" Type="http://schemas.openxmlformats.org/officeDocument/2006/relationships/hyperlink" Target="https://doi.org/10.1016/j.promfg.2018.03.137" TargetMode="External"/><Relationship Id="rId146" Type="http://schemas.openxmlformats.org/officeDocument/2006/relationships/hyperlink" Target="https://doi.org/10.3390/ijerph20054487" TargetMode="External"/><Relationship Id="rId7" Type="http://schemas.openxmlformats.org/officeDocument/2006/relationships/endnotes" Target="endnotes.xml"/><Relationship Id="rId71" Type="http://schemas.openxmlformats.org/officeDocument/2006/relationships/hyperlink" Target="https://doi.org/10.21428/8c225f6e.a48744da" TargetMode="External"/><Relationship Id="rId92" Type="http://schemas.openxmlformats.org/officeDocument/2006/relationships/hyperlink" Target="https://www.hee.nhs.uk/our-work/infection-management-hee" TargetMode="External"/><Relationship Id="rId2" Type="http://schemas.openxmlformats.org/officeDocument/2006/relationships/numbering" Target="numbering.xml"/><Relationship Id="rId29" Type="http://schemas.openxmlformats.org/officeDocument/2006/relationships/hyperlink" Target="file:///C:\Users\User\Downloads\Jacqueline%20Lawrence%20BMHP6020%20Independent%20Project%20,%20Component%201_%20Portfolio%20(Element%203)%20(1).docx" TargetMode="External"/><Relationship Id="rId24" Type="http://schemas.openxmlformats.org/officeDocument/2006/relationships/hyperlink" Target="file:///C:\Users\User\Downloads\Jacqueline%20Lawrence%20BMHP6020%20Independent%20Project%20,%20Component%201_%20Portfolio%20(Element%203)%20(1).docx" TargetMode="External"/><Relationship Id="rId40" Type="http://schemas.openxmlformats.org/officeDocument/2006/relationships/hyperlink" Target="file:///C:\Users\User\Downloads\Jacqueline%20Lawrence%20BMHP6020%20Independent%20Project%20,%20Component%201_%20Portfolio%20(Element%203)%20(1).docx" TargetMode="External"/><Relationship Id="rId45" Type="http://schemas.openxmlformats.org/officeDocument/2006/relationships/hyperlink" Target="file:///C:\Users\User\Downloads\Jacqueline%20Lawrence%20BMHP6020%20Independent%20Project%20,%20Component%201_%20Portfolio%20(Element%203)%20(1).docx" TargetMode="External"/><Relationship Id="rId66" Type="http://schemas.openxmlformats.org/officeDocument/2006/relationships/image" Target="media/image15.png"/><Relationship Id="rId87" Type="http://schemas.openxmlformats.org/officeDocument/2006/relationships/hyperlink" Target="https://doi.org/10.1186/s12913-022-08009-y" TargetMode="External"/><Relationship Id="rId110" Type="http://schemas.openxmlformats.org/officeDocument/2006/relationships/hyperlink" Target="https://doi.org/10.1080/21670811.2022.2148549" TargetMode="External"/><Relationship Id="rId115" Type="http://schemas.openxmlformats.org/officeDocument/2006/relationships/hyperlink" Target="https://doi.org/10.3389/bjbs.2023.11266" TargetMode="External"/><Relationship Id="rId131" Type="http://schemas.openxmlformats.org/officeDocument/2006/relationships/hyperlink" Target="https://doi.org/10.1186/s12913-025-12389-2" TargetMode="External"/><Relationship Id="rId136" Type="http://schemas.openxmlformats.org/officeDocument/2006/relationships/hyperlink" Target="https://doi.org/10.3390/su16145950" TargetMode="External"/><Relationship Id="rId61" Type="http://schemas.openxmlformats.org/officeDocument/2006/relationships/image" Target="media/image11.png"/><Relationship Id="rId82" Type="http://schemas.openxmlformats.org/officeDocument/2006/relationships/hyperlink" Target="https://www.researchgate.net/publication/382594147_Competency-Based_Training_Skills_Development" TargetMode="External"/><Relationship Id="rId19" Type="http://schemas.openxmlformats.org/officeDocument/2006/relationships/hyperlink" Target="file:///C:\Users\User\Downloads\Jacqueline%20Lawrence%20BMHP6020%20Independent%20Project%20,%20Component%201_%20Portfolio%20(Element%203)%20(1).docx" TargetMode="External"/><Relationship Id="rId14" Type="http://schemas.openxmlformats.org/officeDocument/2006/relationships/hyperlink" Target="file:///C:\Users\User\Downloads\Jacqueline%20Lawrence%20BMHP6020%20Independent%20Project%20,%20Component%201_%20Portfolio%20(Element%203)%20(1).docx" TargetMode="External"/><Relationship Id="rId30" Type="http://schemas.openxmlformats.org/officeDocument/2006/relationships/hyperlink" Target="file:///C:\Users\User\Downloads\Jacqueline%20Lawrence%20BMHP6020%20Independent%20Project%20,%20Component%201_%20Portfolio%20(Element%203)%20(1).docx" TargetMode="External"/><Relationship Id="rId35" Type="http://schemas.openxmlformats.org/officeDocument/2006/relationships/hyperlink" Target="file:///C:\Users\User\Downloads\Jacqueline%20Lawrence%20BMHP6020%20Independent%20Project%20,%20Component%201_%20Portfolio%20(Element%203)%20(1).docx" TargetMode="External"/><Relationship Id="rId56" Type="http://schemas.openxmlformats.org/officeDocument/2006/relationships/image" Target="media/image6.png"/><Relationship Id="rId77" Type="http://schemas.openxmlformats.org/officeDocument/2006/relationships/hyperlink" Target="https://www.gmc-uk.org/" TargetMode="External"/><Relationship Id="rId100" Type="http://schemas.openxmlformats.org/officeDocument/2006/relationships/hyperlink" Target="https://www.thefederation.uk/sites/default/files/HEE_Report_FINAL.pdf" TargetMode="External"/><Relationship Id="rId105" Type="http://schemas.openxmlformats.org/officeDocument/2006/relationships/hyperlink" Target="https://doi.org/10.1016/j.is.2023.102231" TargetMode="External"/><Relationship Id="rId126" Type="http://schemas.openxmlformats.org/officeDocument/2006/relationships/hyperlink" Target="https://doi.org/10.1002/14651858.cd013582" TargetMode="External"/><Relationship Id="rId147" Type="http://schemas.openxmlformats.org/officeDocument/2006/relationships/hyperlink" Target="https://doi.org/10.1177/1090198113493782" TargetMode="External"/><Relationship Id="rId8" Type="http://schemas.openxmlformats.org/officeDocument/2006/relationships/image" Target="media/image1.png"/><Relationship Id="rId51" Type="http://schemas.openxmlformats.org/officeDocument/2006/relationships/hyperlink" Target="file:///C:\Users\User\Downloads\Jacqueline%20Lawrence%20BMHP6020%20Independent%20Project%20,%20Component%201_%20Portfolio%20(Element%203)%20(1).docx" TargetMode="External"/><Relationship Id="rId72" Type="http://schemas.openxmlformats.org/officeDocument/2006/relationships/hyperlink" Target="https://www.chelwest.nhs.uk/professionals/clinical-learning-development/simulation" TargetMode="External"/><Relationship Id="rId93" Type="http://schemas.openxmlformats.org/officeDocument/2006/relationships/hyperlink" Target="https://www.england.nhs.uk/long-read/nhs-long-term-workforce-plan-2/" TargetMode="External"/><Relationship Id="rId98" Type="http://schemas.openxmlformats.org/officeDocument/2006/relationships/hyperlink" Target="https://www.skillsforhealth.org.uk/images/services/cstf/Mental%20Health%20CSTF.pdf" TargetMode="External"/><Relationship Id="rId121" Type="http://schemas.openxmlformats.org/officeDocument/2006/relationships/hyperlink" Target="https://doi.org/10.1136/bmjopen-2025-101702" TargetMode="External"/><Relationship Id="rId142" Type="http://schemas.openxmlformats.org/officeDocument/2006/relationships/hyperlink" Target="https://doi.org/10.1016/j.ajem.2020.04.036" TargetMode="External"/><Relationship Id="rId3" Type="http://schemas.openxmlformats.org/officeDocument/2006/relationships/styles" Target="styles.xml"/><Relationship Id="rId25" Type="http://schemas.openxmlformats.org/officeDocument/2006/relationships/hyperlink" Target="file:///C:\Users\User\Downloads\Jacqueline%20Lawrence%20BMHP6020%20Independent%20Project%20,%20Component%201_%20Portfolio%20(Element%203)%20(1).docx" TargetMode="External"/><Relationship Id="rId46" Type="http://schemas.openxmlformats.org/officeDocument/2006/relationships/hyperlink" Target="file:///C:\Users\User\Downloads\Jacqueline%20Lawrence%20BMHP6020%20Independent%20Project%20,%20Component%201_%20Portfolio%20(Element%203)%20(1).docx" TargetMode="External"/><Relationship Id="rId67" Type="http://schemas.openxmlformats.org/officeDocument/2006/relationships/image" Target="media/image16.emf"/><Relationship Id="rId116" Type="http://schemas.openxmlformats.org/officeDocument/2006/relationships/hyperlink" Target="https://doi.org/10.1177/16094069231184123" TargetMode="External"/><Relationship Id="rId137" Type="http://schemas.openxmlformats.org/officeDocument/2006/relationships/hyperlink" Target="https://doi.org/10.2196/70726" TargetMode="External"/><Relationship Id="rId20" Type="http://schemas.openxmlformats.org/officeDocument/2006/relationships/hyperlink" Target="file:///C:\Users\User\Downloads\Jacqueline%20Lawrence%20BMHP6020%20Independent%20Project%20,%20Component%201_%20Portfolio%20(Element%203)%20(1).docx" TargetMode="External"/><Relationship Id="rId41" Type="http://schemas.openxmlformats.org/officeDocument/2006/relationships/hyperlink" Target="file:///C:\Users\User\Downloads\Jacqueline%20Lawrence%20BMHP6020%20Independent%20Project%20,%20Component%201_%20Portfolio%20(Element%203)%20(1).docx" TargetMode="External"/><Relationship Id="rId62" Type="http://schemas.openxmlformats.org/officeDocument/2006/relationships/image" Target="media/image12.png"/><Relationship Id="rId83" Type="http://schemas.openxmlformats.org/officeDocument/2006/relationships/hyperlink" Target="https://doi.org/10.3389/fpubh.2023.1152862" TargetMode="External"/><Relationship Id="rId88" Type="http://schemas.openxmlformats.org/officeDocument/2006/relationships/hyperlink" Target="https://doi.org/10.3389/fpubh.2025.1702059" TargetMode="External"/><Relationship Id="rId111" Type="http://schemas.openxmlformats.org/officeDocument/2006/relationships/hyperlink" Target="https://doi.org/10.1186/s12873-024-01079-7" TargetMode="External"/><Relationship Id="rId132" Type="http://schemas.openxmlformats.org/officeDocument/2006/relationships/hyperlink" Target="https://www.legislation.gov.uk/ukpga/2014/23/contents" TargetMode="External"/><Relationship Id="rId15" Type="http://schemas.openxmlformats.org/officeDocument/2006/relationships/hyperlink" Target="file:///C:\Users\User\Downloads\Jacqueline%20Lawrence%20BMHP6020%20Independent%20Project%20,%20Component%201_%20Portfolio%20(Element%203)%20(1).docx" TargetMode="External"/><Relationship Id="rId36" Type="http://schemas.openxmlformats.org/officeDocument/2006/relationships/hyperlink" Target="file:///C:\Users\User\Downloads\Jacqueline%20Lawrence%20BMHP6020%20Independent%20Project%20,%20Component%201_%20Portfolio%20(Element%203)%20(1).docx" TargetMode="External"/><Relationship Id="rId57" Type="http://schemas.openxmlformats.org/officeDocument/2006/relationships/image" Target="media/image7.png"/><Relationship Id="rId106" Type="http://schemas.openxmlformats.org/officeDocument/2006/relationships/hyperlink" Target="https://doi.org/10.3390/healthcare11212902" TargetMode="External"/><Relationship Id="rId127" Type="http://schemas.openxmlformats.org/officeDocument/2006/relationships/hyperlink" Target="https://doi.org/10.1186/s12912-024-01904-1" TargetMode="External"/><Relationship Id="rId10" Type="http://schemas.openxmlformats.org/officeDocument/2006/relationships/hyperlink" Target="file:///C:\Users\User\Downloads\Jacqueline%20Lawrence%20BMHP6020%20Independent%20Project%20,%20Component%201_%20Portfolio%20(Element%203)%20(1).docx" TargetMode="External"/><Relationship Id="rId31" Type="http://schemas.openxmlformats.org/officeDocument/2006/relationships/hyperlink" Target="file:///C:\Users\User\Downloads\Jacqueline%20Lawrence%20BMHP6020%20Independent%20Project%20,%20Component%201_%20Portfolio%20(Element%203)%20(1).docx" TargetMode="External"/><Relationship Id="rId52" Type="http://schemas.openxmlformats.org/officeDocument/2006/relationships/image" Target="media/image2.jpeg"/><Relationship Id="rId73" Type="http://schemas.openxmlformats.org/officeDocument/2006/relationships/hyperlink" Target="https://doi.org/10.7861/futurehosp.3-3-211" TargetMode="External"/><Relationship Id="rId78" Type="http://schemas.openxmlformats.org/officeDocument/2006/relationships/hyperlink" Target="https://www.legislation.gov.uk/id/ukpga/2014/23" TargetMode="External"/><Relationship Id="rId94" Type="http://schemas.openxmlformats.org/officeDocument/2006/relationships/hyperlink" Target="https://lordslibrary.parliament.uk/staff-shortages-in-the-nhs-and-social-care-sectors/" TargetMode="External"/><Relationship Id="rId99" Type="http://schemas.openxmlformats.org/officeDocument/2006/relationships/hyperlink" Target="https://doi.org/10.1016/j.annemergmed.2022.01.022" TargetMode="External"/><Relationship Id="rId101" Type="http://schemas.openxmlformats.org/officeDocument/2006/relationships/hyperlink" Target="https://doi.org/10.1136/bmjopen-2021-050038" TargetMode="External"/><Relationship Id="rId122" Type="http://schemas.openxmlformats.org/officeDocument/2006/relationships/hyperlink" Target="https://doi.org/10.70082/1q6pfy61" TargetMode="External"/><Relationship Id="rId143" Type="http://schemas.openxmlformats.org/officeDocument/2006/relationships/hyperlink" Target="https://doi.org/10.1136/bmjopen-2021-050038" TargetMode="External"/><Relationship Id="rId14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User\Downloads\Jacqueline%20Lawrence%20BMHP6020%20Independent%20Project%20,%20Component%201_%20Portfolio%20(Element%203)%20(1).docx" TargetMode="External"/><Relationship Id="rId26" Type="http://schemas.openxmlformats.org/officeDocument/2006/relationships/hyperlink" Target="file:///C:\Users\User\Downloads\Jacqueline%20Lawrence%20BMHP6020%20Independent%20Project%20,%20Component%201_%20Portfolio%20(Element%203)%20(1).docx" TargetMode="External"/><Relationship Id="rId47" Type="http://schemas.openxmlformats.org/officeDocument/2006/relationships/hyperlink" Target="file:///C:\Users\User\Downloads\Jacqueline%20Lawrence%20BMHP6020%20Independent%20Project%20,%20Component%201_%20Portfolio%20(Element%203)%20(1).docx" TargetMode="External"/><Relationship Id="rId68" Type="http://schemas.openxmlformats.org/officeDocument/2006/relationships/hyperlink" Target="https://www.accipio.com/case-studies/department-of-health-and-social-care/" TargetMode="External"/><Relationship Id="rId89" Type="http://schemas.openxmlformats.org/officeDocument/2006/relationships/hyperlink" Target="https://doi.org/10.1136/bmjopen-2022-064981" TargetMode="External"/><Relationship Id="rId112" Type="http://schemas.openxmlformats.org/officeDocument/2006/relationships/hyperlink" Target="https://doi.org/10.1111/jan.15360" TargetMode="External"/><Relationship Id="rId133" Type="http://schemas.openxmlformats.org/officeDocument/2006/relationships/hyperlink" Target="https://doi.org/10.3389/fpubh.2024.1332412" TargetMode="External"/><Relationship Id="rId16" Type="http://schemas.openxmlformats.org/officeDocument/2006/relationships/hyperlink" Target="file:///C:\Users\User\Downloads\Jacqueline%20Lawrence%20BMHP6020%20Independent%20Project%20,%20Component%201_%20Portfolio%20(Element%203)%20(1).docx" TargetMode="External"/><Relationship Id="rId37" Type="http://schemas.openxmlformats.org/officeDocument/2006/relationships/hyperlink" Target="file:///C:\Users\User\Downloads\Jacqueline%20Lawrence%20BMHP6020%20Independent%20Project%20,%20Component%201_%20Portfolio%20(Element%203)%20(1).docx" TargetMode="External"/><Relationship Id="rId58" Type="http://schemas.openxmlformats.org/officeDocument/2006/relationships/image" Target="media/image8.png"/><Relationship Id="rId79" Type="http://schemas.openxmlformats.org/officeDocument/2006/relationships/hyperlink" Target="https://www.gov.uk/government/organisations/health-education-england" TargetMode="External"/><Relationship Id="rId102" Type="http://schemas.openxmlformats.org/officeDocument/2006/relationships/hyperlink" Target="https://www.who.int/teams/mental-health-and-substance-use/treatment-care/equip-ensuring-quality-in-psychological-support" TargetMode="External"/><Relationship Id="rId123" Type="http://schemas.openxmlformats.org/officeDocument/2006/relationships/hyperlink" Target="https://doi.org/10.1186/s12961-022-00876-5" TargetMode="External"/><Relationship Id="rId144" Type="http://schemas.openxmlformats.org/officeDocument/2006/relationships/hyperlink" Target="https://doi.org/10.1136/bmjopen-2020-040503" TargetMode="External"/><Relationship Id="rId90" Type="http://schemas.openxmlformats.org/officeDocument/2006/relationships/hyperlink" Target="https://doi.org/10.4135/97814462009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70</Pages>
  <Words>19339</Words>
  <Characters>110235</Characters>
  <Application>Microsoft Office Word</Application>
  <DocSecurity>0</DocSecurity>
  <Lines>918</Lines>
  <Paragraphs>258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Jacqueline Lawrence (2315750)</cp:lastModifiedBy>
  <cp:revision>12</cp:revision>
  <dcterms:created xsi:type="dcterms:W3CDTF">2026-06-23T13:43:00Z</dcterms:created>
  <dcterms:modified xsi:type="dcterms:W3CDTF">2026-07-04T19:40:00Z</dcterms:modified>
</cp:coreProperties>
</file>