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A2C6A" w14:textId="6DB48BDB" w:rsidR="00387ACF" w:rsidRDefault="00921949" w:rsidP="00402DED">
      <w:pPr>
        <w:jc w:val="center"/>
        <w:rPr>
          <w:b/>
          <w:bCs/>
          <w:sz w:val="32"/>
          <w:szCs w:val="32"/>
        </w:rPr>
      </w:pPr>
      <w:r w:rsidRPr="00BD4C5E">
        <w:rPr>
          <w:rFonts w:asciiTheme="majorBidi" w:hAnsiTheme="majorBidi" w:cstheme="majorBidi"/>
          <w:noProof/>
        </w:rPr>
        <w:drawing>
          <wp:inline distT="0" distB="0" distL="0" distR="0" wp14:anchorId="426633B0" wp14:editId="65D9CCC3">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5821FC19" w14:textId="77777777" w:rsidR="0047714D" w:rsidRDefault="0047714D">
      <w:pPr>
        <w:jc w:val="center"/>
        <w:rPr>
          <w:b/>
          <w:bCs/>
          <w:sz w:val="32"/>
          <w:szCs w:val="32"/>
        </w:rPr>
      </w:pPr>
    </w:p>
    <w:p w14:paraId="4EB26A3F" w14:textId="77777777" w:rsidR="006818BB" w:rsidRPr="00BD4C5E" w:rsidRDefault="006818BB" w:rsidP="006818BB">
      <w:pPr>
        <w:jc w:val="center"/>
        <w:rPr>
          <w:rFonts w:asciiTheme="majorBidi" w:hAnsiTheme="majorBidi" w:cstheme="majorBidi"/>
          <w:b/>
          <w:bCs/>
          <w:sz w:val="38"/>
          <w:szCs w:val="38"/>
        </w:rPr>
      </w:pPr>
      <w:r w:rsidRPr="00BD4C5E">
        <w:rPr>
          <w:rFonts w:asciiTheme="majorBidi" w:hAnsiTheme="majorBidi" w:cstheme="majorBidi"/>
          <w:b/>
          <w:bCs/>
          <w:sz w:val="38"/>
          <w:szCs w:val="38"/>
        </w:rPr>
        <w:t>Master of Business Administration</w:t>
      </w:r>
    </w:p>
    <w:p w14:paraId="3E344263" w14:textId="4593E30A" w:rsidR="0047714D" w:rsidRDefault="006818BB" w:rsidP="006818BB">
      <w:pPr>
        <w:jc w:val="center"/>
        <w:rPr>
          <w:rFonts w:asciiTheme="majorBidi" w:hAnsiTheme="majorBidi" w:cstheme="majorBidi"/>
          <w:b/>
          <w:bCs/>
          <w:sz w:val="32"/>
          <w:szCs w:val="32"/>
        </w:rPr>
      </w:pPr>
      <w:r w:rsidRPr="00BD4C5E">
        <w:rPr>
          <w:rFonts w:asciiTheme="majorBidi" w:hAnsiTheme="majorBidi" w:cstheme="majorBidi"/>
          <w:b/>
          <w:bCs/>
          <w:sz w:val="32"/>
          <w:szCs w:val="32"/>
        </w:rPr>
        <w:t>International Business</w:t>
      </w:r>
    </w:p>
    <w:p w14:paraId="3CB589D6" w14:textId="77777777" w:rsidR="006818BB" w:rsidRPr="006818BB" w:rsidRDefault="006818BB" w:rsidP="006818BB">
      <w:pPr>
        <w:jc w:val="center"/>
        <w:rPr>
          <w:rFonts w:asciiTheme="majorBidi" w:hAnsiTheme="majorBidi" w:cstheme="majorBidi"/>
          <w:b/>
          <w:bCs/>
          <w:sz w:val="32"/>
          <w:szCs w:val="32"/>
        </w:rPr>
      </w:pPr>
    </w:p>
    <w:p w14:paraId="20194507" w14:textId="6793D527" w:rsidR="0047714D" w:rsidRPr="0047714D" w:rsidRDefault="0047714D" w:rsidP="0047714D">
      <w:pPr>
        <w:jc w:val="center"/>
        <w:rPr>
          <w:color w:val="282828"/>
          <w:sz w:val="32"/>
          <w:szCs w:val="32"/>
        </w:rPr>
      </w:pPr>
      <w:r w:rsidRPr="0047714D">
        <w:rPr>
          <w:b/>
          <w:bCs/>
          <w:color w:val="282828"/>
          <w:sz w:val="32"/>
          <w:szCs w:val="32"/>
        </w:rPr>
        <w:t>Module Title:</w:t>
      </w:r>
      <w:r>
        <w:rPr>
          <w:color w:val="282828"/>
          <w:sz w:val="32"/>
          <w:szCs w:val="32"/>
        </w:rPr>
        <w:t xml:space="preserve"> </w:t>
      </w:r>
      <w:r>
        <w:rPr>
          <w:b/>
          <w:bCs/>
          <w:color w:val="282828"/>
          <w:sz w:val="32"/>
          <w:szCs w:val="32"/>
        </w:rPr>
        <w:t>Strategic Management</w:t>
      </w:r>
    </w:p>
    <w:p w14:paraId="3FA1DEF6" w14:textId="7D924362" w:rsidR="00387ACF" w:rsidRDefault="0047714D">
      <w:pPr>
        <w:jc w:val="center"/>
        <w:rPr>
          <w:b/>
          <w:bCs/>
          <w:color w:val="282828"/>
          <w:sz w:val="32"/>
          <w:szCs w:val="32"/>
        </w:rPr>
      </w:pPr>
      <w:r>
        <w:rPr>
          <w:b/>
          <w:bCs/>
          <w:color w:val="282828"/>
          <w:sz w:val="32"/>
          <w:szCs w:val="32"/>
        </w:rPr>
        <w:t xml:space="preserve">Module Code: </w:t>
      </w:r>
      <w:r w:rsidR="00B5775D">
        <w:rPr>
          <w:b/>
          <w:bCs/>
          <w:color w:val="282828"/>
          <w:sz w:val="32"/>
          <w:szCs w:val="32"/>
        </w:rPr>
        <w:t xml:space="preserve">LCMB7003 </w:t>
      </w:r>
    </w:p>
    <w:p w14:paraId="14C525EA" w14:textId="77777777" w:rsidR="0047714D" w:rsidRDefault="0047714D" w:rsidP="0047714D">
      <w:pPr>
        <w:jc w:val="center"/>
        <w:rPr>
          <w:sz w:val="32"/>
          <w:szCs w:val="32"/>
        </w:rPr>
      </w:pPr>
      <w:r>
        <w:rPr>
          <w:b/>
          <w:bCs/>
          <w:sz w:val="32"/>
          <w:szCs w:val="32"/>
        </w:rPr>
        <w:t>Assessment:</w:t>
      </w:r>
      <w:r>
        <w:rPr>
          <w:sz w:val="32"/>
          <w:szCs w:val="32"/>
        </w:rPr>
        <w:t xml:space="preserve"> </w:t>
      </w:r>
      <w:r w:rsidRPr="0047714D">
        <w:rPr>
          <w:b/>
          <w:bCs/>
          <w:sz w:val="32"/>
          <w:szCs w:val="32"/>
        </w:rPr>
        <w:t>Individual Report</w:t>
      </w:r>
    </w:p>
    <w:p w14:paraId="6F2FF485" w14:textId="77777777" w:rsidR="0047714D" w:rsidRDefault="0047714D">
      <w:pPr>
        <w:jc w:val="center"/>
        <w:rPr>
          <w:b/>
          <w:bCs/>
          <w:color w:val="282828"/>
          <w:sz w:val="32"/>
          <w:szCs w:val="32"/>
        </w:rPr>
      </w:pPr>
    </w:p>
    <w:p w14:paraId="6756165E" w14:textId="77777777" w:rsidR="0047714D" w:rsidRDefault="0047714D" w:rsidP="0047714D">
      <w:pPr>
        <w:jc w:val="center"/>
        <w:rPr>
          <w:b/>
          <w:bCs/>
          <w:sz w:val="32"/>
          <w:szCs w:val="32"/>
        </w:rPr>
      </w:pPr>
      <w:r w:rsidRPr="0047714D">
        <w:rPr>
          <w:b/>
          <w:bCs/>
          <w:sz w:val="32"/>
          <w:szCs w:val="32"/>
        </w:rPr>
        <w:t>Assignment Title:</w:t>
      </w:r>
      <w:r w:rsidRPr="0047714D">
        <w:rPr>
          <w:sz w:val="32"/>
          <w:szCs w:val="32"/>
        </w:rPr>
        <w:t xml:space="preserve"> </w:t>
      </w:r>
      <w:r>
        <w:rPr>
          <w:b/>
          <w:bCs/>
          <w:sz w:val="32"/>
          <w:szCs w:val="32"/>
        </w:rPr>
        <w:t>Strategic Management Analysis of Sanofi SA (France)</w:t>
      </w:r>
    </w:p>
    <w:p w14:paraId="3FF3594F" w14:textId="6CA4FD7F" w:rsidR="00387ACF" w:rsidRPr="0047714D" w:rsidRDefault="00387ACF">
      <w:pPr>
        <w:jc w:val="center"/>
        <w:rPr>
          <w:sz w:val="32"/>
          <w:szCs w:val="32"/>
        </w:rPr>
      </w:pPr>
    </w:p>
    <w:p w14:paraId="75B612A6" w14:textId="77777777" w:rsidR="00387ACF" w:rsidRDefault="00B5775D">
      <w:pPr>
        <w:jc w:val="center"/>
        <w:rPr>
          <w:b/>
          <w:bCs/>
          <w:sz w:val="32"/>
          <w:szCs w:val="32"/>
        </w:rPr>
      </w:pPr>
      <w:r>
        <w:rPr>
          <w:b/>
          <w:bCs/>
          <w:sz w:val="32"/>
          <w:szCs w:val="32"/>
        </w:rPr>
        <w:t xml:space="preserve">Student name: </w:t>
      </w:r>
      <w:r w:rsidRPr="0047714D">
        <w:rPr>
          <w:b/>
          <w:bCs/>
          <w:sz w:val="32"/>
          <w:szCs w:val="32"/>
        </w:rPr>
        <w:t>Minuddin Sarker</w:t>
      </w:r>
    </w:p>
    <w:p w14:paraId="64F65A2C" w14:textId="77777777" w:rsidR="00387ACF" w:rsidRDefault="00B5775D">
      <w:pPr>
        <w:jc w:val="center"/>
        <w:rPr>
          <w:b/>
          <w:bCs/>
          <w:sz w:val="32"/>
          <w:szCs w:val="32"/>
        </w:rPr>
      </w:pPr>
      <w:r>
        <w:rPr>
          <w:b/>
          <w:bCs/>
          <w:sz w:val="32"/>
          <w:szCs w:val="32"/>
        </w:rPr>
        <w:t>Student Id: 2503533</w:t>
      </w:r>
    </w:p>
    <w:p w14:paraId="59EE2B2A" w14:textId="77777777" w:rsidR="00387ACF" w:rsidRDefault="00387ACF">
      <w:pPr>
        <w:jc w:val="center"/>
        <w:rPr>
          <w:sz w:val="32"/>
          <w:szCs w:val="32"/>
        </w:rPr>
      </w:pPr>
    </w:p>
    <w:p w14:paraId="20FADAA7" w14:textId="77777777" w:rsidR="00387ACF" w:rsidRDefault="00387ACF">
      <w:pPr>
        <w:jc w:val="center"/>
        <w:rPr>
          <w:sz w:val="32"/>
          <w:szCs w:val="32"/>
        </w:rPr>
      </w:pPr>
    </w:p>
    <w:p w14:paraId="51F07A97" w14:textId="5088B09B" w:rsidR="00387ACF" w:rsidRDefault="00B5775D" w:rsidP="0047714D">
      <w:pPr>
        <w:jc w:val="center"/>
        <w:rPr>
          <w:sz w:val="32"/>
          <w:szCs w:val="32"/>
        </w:rPr>
      </w:pPr>
      <w:r>
        <w:rPr>
          <w:b/>
          <w:bCs/>
          <w:sz w:val="32"/>
          <w:szCs w:val="32"/>
        </w:rPr>
        <w:t>Module lecturer(s):</w:t>
      </w:r>
      <w:r>
        <w:rPr>
          <w:sz w:val="32"/>
          <w:szCs w:val="32"/>
        </w:rPr>
        <w:t xml:space="preserve"> </w:t>
      </w:r>
      <w:r w:rsidR="00DA75FA" w:rsidRPr="0047714D">
        <w:rPr>
          <w:b/>
          <w:bCs/>
          <w:sz w:val="32"/>
          <w:szCs w:val="32"/>
        </w:rPr>
        <w:t>Hoang</w:t>
      </w:r>
      <w:r w:rsidR="0035542C">
        <w:rPr>
          <w:b/>
          <w:bCs/>
          <w:sz w:val="32"/>
          <w:szCs w:val="32"/>
        </w:rPr>
        <w:t xml:space="preserve"> Nguyen</w:t>
      </w:r>
    </w:p>
    <w:p w14:paraId="119BE520" w14:textId="77777777" w:rsidR="00387ACF" w:rsidRDefault="00387ACF">
      <w:pPr>
        <w:jc w:val="center"/>
        <w:rPr>
          <w:sz w:val="32"/>
          <w:szCs w:val="32"/>
        </w:rPr>
      </w:pPr>
    </w:p>
    <w:p w14:paraId="28076D2E" w14:textId="77777777" w:rsidR="00387ACF" w:rsidRDefault="00387ACF">
      <w:pPr>
        <w:jc w:val="center"/>
        <w:rPr>
          <w:sz w:val="32"/>
          <w:szCs w:val="32"/>
        </w:rPr>
      </w:pPr>
    </w:p>
    <w:p w14:paraId="3FF44C50" w14:textId="77777777" w:rsidR="00387ACF" w:rsidRDefault="00387ACF">
      <w:pPr>
        <w:jc w:val="center"/>
        <w:rPr>
          <w:sz w:val="32"/>
          <w:szCs w:val="32"/>
        </w:rPr>
      </w:pPr>
    </w:p>
    <w:p w14:paraId="1A5916DE" w14:textId="597DB3CC" w:rsidR="00536326" w:rsidRPr="0013403B" w:rsidRDefault="00B5775D" w:rsidP="0013403B">
      <w:pPr>
        <w:jc w:val="center"/>
        <w:rPr>
          <w:b/>
          <w:bCs/>
          <w:sz w:val="32"/>
          <w:szCs w:val="32"/>
        </w:rPr>
      </w:pPr>
      <w:r>
        <w:rPr>
          <w:b/>
          <w:bCs/>
          <w:sz w:val="32"/>
          <w:szCs w:val="32"/>
        </w:rPr>
        <w:t>Word count: 5</w:t>
      </w:r>
      <w:r w:rsidR="00A07D88">
        <w:rPr>
          <w:b/>
          <w:bCs/>
          <w:sz w:val="32"/>
          <w:szCs w:val="32"/>
        </w:rPr>
        <w:t>445</w:t>
      </w:r>
    </w:p>
    <w:p w14:paraId="7F9971C2" w14:textId="77777777" w:rsidR="00E82E48" w:rsidRDefault="00E82E48">
      <w:pPr>
        <w:rPr>
          <w:b/>
          <w:bCs/>
          <w:sz w:val="32"/>
          <w:szCs w:val="32"/>
        </w:rPr>
      </w:pPr>
      <w:r>
        <w:rPr>
          <w:b/>
          <w:bCs/>
          <w:sz w:val="32"/>
          <w:szCs w:val="32"/>
        </w:rPr>
        <w:br w:type="page"/>
      </w:r>
    </w:p>
    <w:p w14:paraId="249C9F63" w14:textId="42652012" w:rsidR="00E82E48" w:rsidRDefault="00E82E48" w:rsidP="00E82E48">
      <w:pPr>
        <w:pStyle w:val="Heading1"/>
      </w:pPr>
      <w:bookmarkStart w:id="0" w:name="_Toc228487483"/>
      <w:r w:rsidRPr="00E82E48">
        <w:lastRenderedPageBreak/>
        <w:t>AI Use Acknowledgement</w:t>
      </w:r>
      <w:bookmarkEnd w:id="0"/>
    </w:p>
    <w:p w14:paraId="434E1BDF" w14:textId="3C43969A" w:rsidR="00E82E48" w:rsidRDefault="009844B4" w:rsidP="00E82E48">
      <w:r w:rsidRPr="009844B4">
        <w:t>I recognize that the university will be required to report the use or non-use of artificial intelligence tools. I attest that I have not employed AI to create, compose, paraphrase, analyse or substantially edit this assignment. The submitted work is my own work and all sources applied have been referenced and cited in a proper manner.</w:t>
      </w:r>
    </w:p>
    <w:p w14:paraId="674157FB" w14:textId="1103367D" w:rsidR="00387ACF" w:rsidRDefault="00B5775D" w:rsidP="00E82E48">
      <w:r>
        <w:br w:type="page"/>
      </w:r>
    </w:p>
    <w:p w14:paraId="50D91AF0" w14:textId="77777777" w:rsidR="00387ACF" w:rsidRDefault="00B5775D">
      <w:pPr>
        <w:keepNext/>
        <w:keepLines/>
        <w:pBdr>
          <w:top w:val="nil"/>
          <w:left w:val="nil"/>
          <w:bottom w:val="nil"/>
          <w:right w:val="nil"/>
          <w:between w:val="nil"/>
        </w:pBdr>
        <w:jc w:val="center"/>
        <w:rPr>
          <w:b/>
          <w:bCs/>
          <w:color w:val="000000"/>
          <w:sz w:val="32"/>
          <w:szCs w:val="32"/>
        </w:rPr>
      </w:pPr>
      <w:r>
        <w:rPr>
          <w:b/>
          <w:bCs/>
          <w:color w:val="000000"/>
          <w:sz w:val="32"/>
          <w:szCs w:val="32"/>
        </w:rPr>
        <w:lastRenderedPageBreak/>
        <w:t>Table of Contents</w:t>
      </w:r>
    </w:p>
    <w:sdt>
      <w:sdtPr>
        <w:id w:val="-37443372"/>
        <w:docPartObj>
          <w:docPartGallery w:val="Table of Contents"/>
          <w:docPartUnique/>
        </w:docPartObj>
      </w:sdtPr>
      <w:sdtContent>
        <w:p w14:paraId="109046E4" w14:textId="535B4E4A" w:rsidR="009021BA" w:rsidRDefault="00B5775D">
          <w:pPr>
            <w:pStyle w:val="TOC1"/>
            <w:tabs>
              <w:tab w:val="right" w:leader="dot" w:pos="9638"/>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w:instrText>
          </w:r>
          <w:r>
            <w:fldChar w:fldCharType="separate"/>
          </w:r>
          <w:hyperlink w:anchor="_Toc228487484" w:history="1">
            <w:r w:rsidR="009021BA" w:rsidRPr="00F4767D">
              <w:rPr>
                <w:rStyle w:val="Hyperlink"/>
                <w:noProof/>
              </w:rPr>
              <w:t>Section - 1</w:t>
            </w:r>
            <w:r w:rsidR="009021BA">
              <w:rPr>
                <w:noProof/>
                <w:webHidden/>
              </w:rPr>
              <w:tab/>
            </w:r>
            <w:r w:rsidR="009021BA">
              <w:rPr>
                <w:noProof/>
                <w:webHidden/>
              </w:rPr>
              <w:fldChar w:fldCharType="begin"/>
            </w:r>
            <w:r w:rsidR="009021BA">
              <w:rPr>
                <w:noProof/>
                <w:webHidden/>
              </w:rPr>
              <w:instrText xml:space="preserve"> PAGEREF _Toc228487484 \h </w:instrText>
            </w:r>
            <w:r w:rsidR="009021BA">
              <w:rPr>
                <w:noProof/>
                <w:webHidden/>
              </w:rPr>
            </w:r>
            <w:r w:rsidR="009021BA">
              <w:rPr>
                <w:noProof/>
                <w:webHidden/>
              </w:rPr>
              <w:fldChar w:fldCharType="separate"/>
            </w:r>
            <w:r w:rsidR="009021BA">
              <w:rPr>
                <w:noProof/>
                <w:webHidden/>
              </w:rPr>
              <w:t>5</w:t>
            </w:r>
            <w:r w:rsidR="009021BA">
              <w:rPr>
                <w:noProof/>
                <w:webHidden/>
              </w:rPr>
              <w:fldChar w:fldCharType="end"/>
            </w:r>
          </w:hyperlink>
        </w:p>
        <w:p w14:paraId="09FC4231" w14:textId="5BE0134B"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485" w:history="1">
            <w:r w:rsidRPr="00F4767D">
              <w:rPr>
                <w:rStyle w:val="Hyperlink"/>
                <w:noProof/>
              </w:rPr>
              <w:t>Introduction</w:t>
            </w:r>
            <w:r>
              <w:rPr>
                <w:noProof/>
                <w:webHidden/>
              </w:rPr>
              <w:tab/>
            </w:r>
            <w:r>
              <w:rPr>
                <w:noProof/>
                <w:webHidden/>
              </w:rPr>
              <w:fldChar w:fldCharType="begin"/>
            </w:r>
            <w:r>
              <w:rPr>
                <w:noProof/>
                <w:webHidden/>
              </w:rPr>
              <w:instrText xml:space="preserve"> PAGEREF _Toc228487485 \h </w:instrText>
            </w:r>
            <w:r>
              <w:rPr>
                <w:noProof/>
                <w:webHidden/>
              </w:rPr>
            </w:r>
            <w:r>
              <w:rPr>
                <w:noProof/>
                <w:webHidden/>
              </w:rPr>
              <w:fldChar w:fldCharType="separate"/>
            </w:r>
            <w:r>
              <w:rPr>
                <w:noProof/>
                <w:webHidden/>
              </w:rPr>
              <w:t>5</w:t>
            </w:r>
            <w:r>
              <w:rPr>
                <w:noProof/>
                <w:webHidden/>
              </w:rPr>
              <w:fldChar w:fldCharType="end"/>
            </w:r>
          </w:hyperlink>
        </w:p>
        <w:p w14:paraId="2D840F78" w14:textId="47C83A48"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486" w:history="1">
            <w:r w:rsidRPr="00F4767D">
              <w:rPr>
                <w:rStyle w:val="Hyperlink"/>
                <w:noProof/>
              </w:rPr>
              <w:t>1. Organisational Context and Overview</w:t>
            </w:r>
            <w:r>
              <w:rPr>
                <w:noProof/>
                <w:webHidden/>
              </w:rPr>
              <w:tab/>
            </w:r>
            <w:r>
              <w:rPr>
                <w:noProof/>
                <w:webHidden/>
              </w:rPr>
              <w:fldChar w:fldCharType="begin"/>
            </w:r>
            <w:r>
              <w:rPr>
                <w:noProof/>
                <w:webHidden/>
              </w:rPr>
              <w:instrText xml:space="preserve"> PAGEREF _Toc228487486 \h </w:instrText>
            </w:r>
            <w:r>
              <w:rPr>
                <w:noProof/>
                <w:webHidden/>
              </w:rPr>
            </w:r>
            <w:r>
              <w:rPr>
                <w:noProof/>
                <w:webHidden/>
              </w:rPr>
              <w:fldChar w:fldCharType="separate"/>
            </w:r>
            <w:r>
              <w:rPr>
                <w:noProof/>
                <w:webHidden/>
              </w:rPr>
              <w:t>6</w:t>
            </w:r>
            <w:r>
              <w:rPr>
                <w:noProof/>
                <w:webHidden/>
              </w:rPr>
              <w:fldChar w:fldCharType="end"/>
            </w:r>
          </w:hyperlink>
        </w:p>
        <w:p w14:paraId="3E5234E0" w14:textId="67C9A2EA"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487" w:history="1">
            <w:r w:rsidRPr="00F4767D">
              <w:rPr>
                <w:rStyle w:val="Hyperlink"/>
                <w:noProof/>
              </w:rPr>
              <w:t>2. External and Internal Environment Analysis</w:t>
            </w:r>
            <w:r>
              <w:rPr>
                <w:noProof/>
                <w:webHidden/>
              </w:rPr>
              <w:tab/>
            </w:r>
            <w:r>
              <w:rPr>
                <w:noProof/>
                <w:webHidden/>
              </w:rPr>
              <w:fldChar w:fldCharType="begin"/>
            </w:r>
            <w:r>
              <w:rPr>
                <w:noProof/>
                <w:webHidden/>
              </w:rPr>
              <w:instrText xml:space="preserve"> PAGEREF _Toc228487487 \h </w:instrText>
            </w:r>
            <w:r>
              <w:rPr>
                <w:noProof/>
                <w:webHidden/>
              </w:rPr>
            </w:r>
            <w:r>
              <w:rPr>
                <w:noProof/>
                <w:webHidden/>
              </w:rPr>
              <w:fldChar w:fldCharType="separate"/>
            </w:r>
            <w:r>
              <w:rPr>
                <w:noProof/>
                <w:webHidden/>
              </w:rPr>
              <w:t>8</w:t>
            </w:r>
            <w:r>
              <w:rPr>
                <w:noProof/>
                <w:webHidden/>
              </w:rPr>
              <w:fldChar w:fldCharType="end"/>
            </w:r>
          </w:hyperlink>
        </w:p>
        <w:p w14:paraId="72C35DBF" w14:textId="51B6F96F"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88" w:history="1">
            <w:r w:rsidRPr="00F4767D">
              <w:rPr>
                <w:rStyle w:val="Hyperlink"/>
                <w:noProof/>
              </w:rPr>
              <w:t>2.1 What is PESTLE and why it is used in strategic decision-making</w:t>
            </w:r>
            <w:r>
              <w:rPr>
                <w:noProof/>
                <w:webHidden/>
              </w:rPr>
              <w:tab/>
            </w:r>
            <w:r>
              <w:rPr>
                <w:noProof/>
                <w:webHidden/>
              </w:rPr>
              <w:fldChar w:fldCharType="begin"/>
            </w:r>
            <w:r>
              <w:rPr>
                <w:noProof/>
                <w:webHidden/>
              </w:rPr>
              <w:instrText xml:space="preserve"> PAGEREF _Toc228487488 \h </w:instrText>
            </w:r>
            <w:r>
              <w:rPr>
                <w:noProof/>
                <w:webHidden/>
              </w:rPr>
            </w:r>
            <w:r>
              <w:rPr>
                <w:noProof/>
                <w:webHidden/>
              </w:rPr>
              <w:fldChar w:fldCharType="separate"/>
            </w:r>
            <w:r>
              <w:rPr>
                <w:noProof/>
                <w:webHidden/>
              </w:rPr>
              <w:t>8</w:t>
            </w:r>
            <w:r>
              <w:rPr>
                <w:noProof/>
                <w:webHidden/>
              </w:rPr>
              <w:fldChar w:fldCharType="end"/>
            </w:r>
          </w:hyperlink>
        </w:p>
        <w:p w14:paraId="4BF06990" w14:textId="5995F69A"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89" w:history="1">
            <w:r w:rsidRPr="00F4767D">
              <w:rPr>
                <w:rStyle w:val="Hyperlink"/>
                <w:noProof/>
              </w:rPr>
              <w:t>2.2 Critical success factors and strategic challenges in the external environment</w:t>
            </w:r>
            <w:r>
              <w:rPr>
                <w:noProof/>
                <w:webHidden/>
              </w:rPr>
              <w:tab/>
            </w:r>
            <w:r>
              <w:rPr>
                <w:noProof/>
                <w:webHidden/>
              </w:rPr>
              <w:fldChar w:fldCharType="begin"/>
            </w:r>
            <w:r>
              <w:rPr>
                <w:noProof/>
                <w:webHidden/>
              </w:rPr>
              <w:instrText xml:space="preserve"> PAGEREF _Toc228487489 \h </w:instrText>
            </w:r>
            <w:r>
              <w:rPr>
                <w:noProof/>
                <w:webHidden/>
              </w:rPr>
            </w:r>
            <w:r>
              <w:rPr>
                <w:noProof/>
                <w:webHidden/>
              </w:rPr>
              <w:fldChar w:fldCharType="separate"/>
            </w:r>
            <w:r>
              <w:rPr>
                <w:noProof/>
                <w:webHidden/>
              </w:rPr>
              <w:t>11</w:t>
            </w:r>
            <w:r>
              <w:rPr>
                <w:noProof/>
                <w:webHidden/>
              </w:rPr>
              <w:fldChar w:fldCharType="end"/>
            </w:r>
          </w:hyperlink>
        </w:p>
        <w:p w14:paraId="610E98D8" w14:textId="66B90D8C"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0" w:history="1">
            <w:r w:rsidRPr="00F4767D">
              <w:rPr>
                <w:rStyle w:val="Hyperlink"/>
                <w:noProof/>
              </w:rPr>
              <w:t>2.3 Internal environment: resources, capabilities and core competencies</w:t>
            </w:r>
            <w:r>
              <w:rPr>
                <w:noProof/>
                <w:webHidden/>
              </w:rPr>
              <w:tab/>
            </w:r>
            <w:r>
              <w:rPr>
                <w:noProof/>
                <w:webHidden/>
              </w:rPr>
              <w:fldChar w:fldCharType="begin"/>
            </w:r>
            <w:r>
              <w:rPr>
                <w:noProof/>
                <w:webHidden/>
              </w:rPr>
              <w:instrText xml:space="preserve"> PAGEREF _Toc228487490 \h </w:instrText>
            </w:r>
            <w:r>
              <w:rPr>
                <w:noProof/>
                <w:webHidden/>
              </w:rPr>
            </w:r>
            <w:r>
              <w:rPr>
                <w:noProof/>
                <w:webHidden/>
              </w:rPr>
              <w:fldChar w:fldCharType="separate"/>
            </w:r>
            <w:r>
              <w:rPr>
                <w:noProof/>
                <w:webHidden/>
              </w:rPr>
              <w:t>11</w:t>
            </w:r>
            <w:r>
              <w:rPr>
                <w:noProof/>
                <w:webHidden/>
              </w:rPr>
              <w:fldChar w:fldCharType="end"/>
            </w:r>
          </w:hyperlink>
        </w:p>
        <w:p w14:paraId="080A8704" w14:textId="786B740E"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1" w:history="1">
            <w:r w:rsidRPr="00F4767D">
              <w:rPr>
                <w:rStyle w:val="Hyperlink"/>
                <w:noProof/>
              </w:rPr>
              <w:t>2.4 VRIO analysis of strategic capabilities</w:t>
            </w:r>
            <w:r>
              <w:rPr>
                <w:noProof/>
                <w:webHidden/>
              </w:rPr>
              <w:tab/>
            </w:r>
            <w:r>
              <w:rPr>
                <w:noProof/>
                <w:webHidden/>
              </w:rPr>
              <w:fldChar w:fldCharType="begin"/>
            </w:r>
            <w:r>
              <w:rPr>
                <w:noProof/>
                <w:webHidden/>
              </w:rPr>
              <w:instrText xml:space="preserve"> PAGEREF _Toc228487491 \h </w:instrText>
            </w:r>
            <w:r>
              <w:rPr>
                <w:noProof/>
                <w:webHidden/>
              </w:rPr>
            </w:r>
            <w:r>
              <w:rPr>
                <w:noProof/>
                <w:webHidden/>
              </w:rPr>
              <w:fldChar w:fldCharType="separate"/>
            </w:r>
            <w:r>
              <w:rPr>
                <w:noProof/>
                <w:webHidden/>
              </w:rPr>
              <w:t>13</w:t>
            </w:r>
            <w:r>
              <w:rPr>
                <w:noProof/>
                <w:webHidden/>
              </w:rPr>
              <w:fldChar w:fldCharType="end"/>
            </w:r>
          </w:hyperlink>
        </w:p>
        <w:p w14:paraId="16EA5130" w14:textId="16D6B977"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2" w:history="1">
            <w:r w:rsidRPr="00F4767D">
              <w:rPr>
                <w:rStyle w:val="Hyperlink"/>
                <w:noProof/>
              </w:rPr>
              <w:t>2.5 Internal strengths and competitive advantage</w:t>
            </w:r>
            <w:r>
              <w:rPr>
                <w:noProof/>
                <w:webHidden/>
              </w:rPr>
              <w:tab/>
            </w:r>
            <w:r>
              <w:rPr>
                <w:noProof/>
                <w:webHidden/>
              </w:rPr>
              <w:fldChar w:fldCharType="begin"/>
            </w:r>
            <w:r>
              <w:rPr>
                <w:noProof/>
                <w:webHidden/>
              </w:rPr>
              <w:instrText xml:space="preserve"> PAGEREF _Toc228487492 \h </w:instrText>
            </w:r>
            <w:r>
              <w:rPr>
                <w:noProof/>
                <w:webHidden/>
              </w:rPr>
            </w:r>
            <w:r>
              <w:rPr>
                <w:noProof/>
                <w:webHidden/>
              </w:rPr>
              <w:fldChar w:fldCharType="separate"/>
            </w:r>
            <w:r>
              <w:rPr>
                <w:noProof/>
                <w:webHidden/>
              </w:rPr>
              <w:t>14</w:t>
            </w:r>
            <w:r>
              <w:rPr>
                <w:noProof/>
                <w:webHidden/>
              </w:rPr>
              <w:fldChar w:fldCharType="end"/>
            </w:r>
          </w:hyperlink>
        </w:p>
        <w:p w14:paraId="363962C6" w14:textId="7B14297B"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493" w:history="1">
            <w:r w:rsidRPr="00F4767D">
              <w:rPr>
                <w:rStyle w:val="Hyperlink"/>
                <w:noProof/>
              </w:rPr>
              <w:t>3. CSR Strategy and Sustainability Objectives</w:t>
            </w:r>
            <w:r>
              <w:rPr>
                <w:noProof/>
                <w:webHidden/>
              </w:rPr>
              <w:tab/>
            </w:r>
            <w:r>
              <w:rPr>
                <w:noProof/>
                <w:webHidden/>
              </w:rPr>
              <w:fldChar w:fldCharType="begin"/>
            </w:r>
            <w:r>
              <w:rPr>
                <w:noProof/>
                <w:webHidden/>
              </w:rPr>
              <w:instrText xml:space="preserve"> PAGEREF _Toc228487493 \h </w:instrText>
            </w:r>
            <w:r>
              <w:rPr>
                <w:noProof/>
                <w:webHidden/>
              </w:rPr>
            </w:r>
            <w:r>
              <w:rPr>
                <w:noProof/>
                <w:webHidden/>
              </w:rPr>
              <w:fldChar w:fldCharType="separate"/>
            </w:r>
            <w:r>
              <w:rPr>
                <w:noProof/>
                <w:webHidden/>
              </w:rPr>
              <w:t>15</w:t>
            </w:r>
            <w:r>
              <w:rPr>
                <w:noProof/>
                <w:webHidden/>
              </w:rPr>
              <w:fldChar w:fldCharType="end"/>
            </w:r>
          </w:hyperlink>
        </w:p>
        <w:p w14:paraId="528F1295" w14:textId="3B8B62B3"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494" w:history="1">
            <w:r w:rsidRPr="00F4767D">
              <w:rPr>
                <w:rStyle w:val="Hyperlink"/>
                <w:noProof/>
              </w:rPr>
              <w:t>4. Comprehensive and Holistic View Sanofi</w:t>
            </w:r>
            <w:r>
              <w:rPr>
                <w:noProof/>
                <w:webHidden/>
              </w:rPr>
              <w:tab/>
            </w:r>
            <w:r>
              <w:rPr>
                <w:noProof/>
                <w:webHidden/>
              </w:rPr>
              <w:fldChar w:fldCharType="begin"/>
            </w:r>
            <w:r>
              <w:rPr>
                <w:noProof/>
                <w:webHidden/>
              </w:rPr>
              <w:instrText xml:space="preserve"> PAGEREF _Toc228487494 \h </w:instrText>
            </w:r>
            <w:r>
              <w:rPr>
                <w:noProof/>
                <w:webHidden/>
              </w:rPr>
            </w:r>
            <w:r>
              <w:rPr>
                <w:noProof/>
                <w:webHidden/>
              </w:rPr>
              <w:fldChar w:fldCharType="separate"/>
            </w:r>
            <w:r>
              <w:rPr>
                <w:noProof/>
                <w:webHidden/>
              </w:rPr>
              <w:t>17</w:t>
            </w:r>
            <w:r>
              <w:rPr>
                <w:noProof/>
                <w:webHidden/>
              </w:rPr>
              <w:fldChar w:fldCharType="end"/>
            </w:r>
          </w:hyperlink>
        </w:p>
        <w:p w14:paraId="55C8B100" w14:textId="1FA7BE51"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5" w:history="1">
            <w:r w:rsidRPr="00F4767D">
              <w:rPr>
                <w:rStyle w:val="Hyperlink"/>
                <w:noProof/>
              </w:rPr>
              <w:t>4.1 Financial Perspective</w:t>
            </w:r>
            <w:r>
              <w:rPr>
                <w:noProof/>
                <w:webHidden/>
              </w:rPr>
              <w:tab/>
            </w:r>
            <w:r>
              <w:rPr>
                <w:noProof/>
                <w:webHidden/>
              </w:rPr>
              <w:fldChar w:fldCharType="begin"/>
            </w:r>
            <w:r>
              <w:rPr>
                <w:noProof/>
                <w:webHidden/>
              </w:rPr>
              <w:instrText xml:space="preserve"> PAGEREF _Toc228487495 \h </w:instrText>
            </w:r>
            <w:r>
              <w:rPr>
                <w:noProof/>
                <w:webHidden/>
              </w:rPr>
            </w:r>
            <w:r>
              <w:rPr>
                <w:noProof/>
                <w:webHidden/>
              </w:rPr>
              <w:fldChar w:fldCharType="separate"/>
            </w:r>
            <w:r>
              <w:rPr>
                <w:noProof/>
                <w:webHidden/>
              </w:rPr>
              <w:t>17</w:t>
            </w:r>
            <w:r>
              <w:rPr>
                <w:noProof/>
                <w:webHidden/>
              </w:rPr>
              <w:fldChar w:fldCharType="end"/>
            </w:r>
          </w:hyperlink>
        </w:p>
        <w:p w14:paraId="0F3B22CC" w14:textId="1A4BF50E"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6" w:history="1">
            <w:r w:rsidRPr="00F4767D">
              <w:rPr>
                <w:rStyle w:val="Hyperlink"/>
                <w:noProof/>
              </w:rPr>
              <w:t>4.2 Customer Perspective</w:t>
            </w:r>
            <w:r>
              <w:rPr>
                <w:noProof/>
                <w:webHidden/>
              </w:rPr>
              <w:tab/>
            </w:r>
            <w:r>
              <w:rPr>
                <w:noProof/>
                <w:webHidden/>
              </w:rPr>
              <w:fldChar w:fldCharType="begin"/>
            </w:r>
            <w:r>
              <w:rPr>
                <w:noProof/>
                <w:webHidden/>
              </w:rPr>
              <w:instrText xml:space="preserve"> PAGEREF _Toc228487496 \h </w:instrText>
            </w:r>
            <w:r>
              <w:rPr>
                <w:noProof/>
                <w:webHidden/>
              </w:rPr>
            </w:r>
            <w:r>
              <w:rPr>
                <w:noProof/>
                <w:webHidden/>
              </w:rPr>
              <w:fldChar w:fldCharType="separate"/>
            </w:r>
            <w:r>
              <w:rPr>
                <w:noProof/>
                <w:webHidden/>
              </w:rPr>
              <w:t>18</w:t>
            </w:r>
            <w:r>
              <w:rPr>
                <w:noProof/>
                <w:webHidden/>
              </w:rPr>
              <w:fldChar w:fldCharType="end"/>
            </w:r>
          </w:hyperlink>
        </w:p>
        <w:p w14:paraId="6AB29EC2" w14:textId="262C6C0A"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7" w:history="1">
            <w:r w:rsidRPr="00F4767D">
              <w:rPr>
                <w:rStyle w:val="Hyperlink"/>
                <w:noProof/>
              </w:rPr>
              <w:t>4.3 Internal Business Processes Perspective</w:t>
            </w:r>
            <w:r>
              <w:rPr>
                <w:noProof/>
                <w:webHidden/>
              </w:rPr>
              <w:tab/>
            </w:r>
            <w:r>
              <w:rPr>
                <w:noProof/>
                <w:webHidden/>
              </w:rPr>
              <w:fldChar w:fldCharType="begin"/>
            </w:r>
            <w:r>
              <w:rPr>
                <w:noProof/>
                <w:webHidden/>
              </w:rPr>
              <w:instrText xml:space="preserve"> PAGEREF _Toc228487497 \h </w:instrText>
            </w:r>
            <w:r>
              <w:rPr>
                <w:noProof/>
                <w:webHidden/>
              </w:rPr>
            </w:r>
            <w:r>
              <w:rPr>
                <w:noProof/>
                <w:webHidden/>
              </w:rPr>
              <w:fldChar w:fldCharType="separate"/>
            </w:r>
            <w:r>
              <w:rPr>
                <w:noProof/>
                <w:webHidden/>
              </w:rPr>
              <w:t>18</w:t>
            </w:r>
            <w:r>
              <w:rPr>
                <w:noProof/>
                <w:webHidden/>
              </w:rPr>
              <w:fldChar w:fldCharType="end"/>
            </w:r>
          </w:hyperlink>
        </w:p>
        <w:p w14:paraId="61817096" w14:textId="6733EB21"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498" w:history="1">
            <w:r w:rsidRPr="00F4767D">
              <w:rPr>
                <w:rStyle w:val="Hyperlink"/>
                <w:noProof/>
              </w:rPr>
              <w:t>4.4 Learning and Growth Perspective</w:t>
            </w:r>
            <w:r>
              <w:rPr>
                <w:noProof/>
                <w:webHidden/>
              </w:rPr>
              <w:tab/>
            </w:r>
            <w:r>
              <w:rPr>
                <w:noProof/>
                <w:webHidden/>
              </w:rPr>
              <w:fldChar w:fldCharType="begin"/>
            </w:r>
            <w:r>
              <w:rPr>
                <w:noProof/>
                <w:webHidden/>
              </w:rPr>
              <w:instrText xml:space="preserve"> PAGEREF _Toc228487498 \h </w:instrText>
            </w:r>
            <w:r>
              <w:rPr>
                <w:noProof/>
                <w:webHidden/>
              </w:rPr>
            </w:r>
            <w:r>
              <w:rPr>
                <w:noProof/>
                <w:webHidden/>
              </w:rPr>
              <w:fldChar w:fldCharType="separate"/>
            </w:r>
            <w:r>
              <w:rPr>
                <w:noProof/>
                <w:webHidden/>
              </w:rPr>
              <w:t>19</w:t>
            </w:r>
            <w:r>
              <w:rPr>
                <w:noProof/>
                <w:webHidden/>
              </w:rPr>
              <w:fldChar w:fldCharType="end"/>
            </w:r>
          </w:hyperlink>
        </w:p>
        <w:p w14:paraId="3DC90ADA" w14:textId="49F02BAF"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499" w:history="1">
            <w:r w:rsidRPr="00F4767D">
              <w:rPr>
                <w:rStyle w:val="Hyperlink"/>
                <w:noProof/>
              </w:rPr>
              <w:t>5. Strategic Choices and Implementation</w:t>
            </w:r>
            <w:r>
              <w:rPr>
                <w:noProof/>
                <w:webHidden/>
              </w:rPr>
              <w:tab/>
            </w:r>
            <w:r>
              <w:rPr>
                <w:noProof/>
                <w:webHidden/>
              </w:rPr>
              <w:fldChar w:fldCharType="begin"/>
            </w:r>
            <w:r>
              <w:rPr>
                <w:noProof/>
                <w:webHidden/>
              </w:rPr>
              <w:instrText xml:space="preserve"> PAGEREF _Toc228487499 \h </w:instrText>
            </w:r>
            <w:r>
              <w:rPr>
                <w:noProof/>
                <w:webHidden/>
              </w:rPr>
            </w:r>
            <w:r>
              <w:rPr>
                <w:noProof/>
                <w:webHidden/>
              </w:rPr>
              <w:fldChar w:fldCharType="separate"/>
            </w:r>
            <w:r>
              <w:rPr>
                <w:noProof/>
                <w:webHidden/>
              </w:rPr>
              <w:t>20</w:t>
            </w:r>
            <w:r>
              <w:rPr>
                <w:noProof/>
                <w:webHidden/>
              </w:rPr>
              <w:fldChar w:fldCharType="end"/>
            </w:r>
          </w:hyperlink>
        </w:p>
        <w:p w14:paraId="64B2174C" w14:textId="352CB84E"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500" w:history="1">
            <w:r w:rsidRPr="00F4767D">
              <w:rPr>
                <w:rStyle w:val="Hyperlink"/>
                <w:noProof/>
              </w:rPr>
              <w:t>5.1 Business-Level Strategy: Differentiation and Innovation</w:t>
            </w:r>
            <w:r>
              <w:rPr>
                <w:noProof/>
                <w:webHidden/>
              </w:rPr>
              <w:tab/>
            </w:r>
            <w:r>
              <w:rPr>
                <w:noProof/>
                <w:webHidden/>
              </w:rPr>
              <w:fldChar w:fldCharType="begin"/>
            </w:r>
            <w:r>
              <w:rPr>
                <w:noProof/>
                <w:webHidden/>
              </w:rPr>
              <w:instrText xml:space="preserve"> PAGEREF _Toc228487500 \h </w:instrText>
            </w:r>
            <w:r>
              <w:rPr>
                <w:noProof/>
                <w:webHidden/>
              </w:rPr>
            </w:r>
            <w:r>
              <w:rPr>
                <w:noProof/>
                <w:webHidden/>
              </w:rPr>
              <w:fldChar w:fldCharType="separate"/>
            </w:r>
            <w:r>
              <w:rPr>
                <w:noProof/>
                <w:webHidden/>
              </w:rPr>
              <w:t>20</w:t>
            </w:r>
            <w:r>
              <w:rPr>
                <w:noProof/>
                <w:webHidden/>
              </w:rPr>
              <w:fldChar w:fldCharType="end"/>
            </w:r>
          </w:hyperlink>
        </w:p>
        <w:p w14:paraId="1F34B11A" w14:textId="21A23EB7"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501" w:history="1">
            <w:r w:rsidRPr="00F4767D">
              <w:rPr>
                <w:rStyle w:val="Hyperlink"/>
                <w:noProof/>
              </w:rPr>
              <w:t>5.2 Corporate-Level Strategy: Focused Diversification</w:t>
            </w:r>
            <w:r>
              <w:rPr>
                <w:noProof/>
                <w:webHidden/>
              </w:rPr>
              <w:tab/>
            </w:r>
            <w:r>
              <w:rPr>
                <w:noProof/>
                <w:webHidden/>
              </w:rPr>
              <w:fldChar w:fldCharType="begin"/>
            </w:r>
            <w:r>
              <w:rPr>
                <w:noProof/>
                <w:webHidden/>
              </w:rPr>
              <w:instrText xml:space="preserve"> PAGEREF _Toc228487501 \h </w:instrText>
            </w:r>
            <w:r>
              <w:rPr>
                <w:noProof/>
                <w:webHidden/>
              </w:rPr>
            </w:r>
            <w:r>
              <w:rPr>
                <w:noProof/>
                <w:webHidden/>
              </w:rPr>
              <w:fldChar w:fldCharType="separate"/>
            </w:r>
            <w:r>
              <w:rPr>
                <w:noProof/>
                <w:webHidden/>
              </w:rPr>
              <w:t>21</w:t>
            </w:r>
            <w:r>
              <w:rPr>
                <w:noProof/>
                <w:webHidden/>
              </w:rPr>
              <w:fldChar w:fldCharType="end"/>
            </w:r>
          </w:hyperlink>
        </w:p>
        <w:p w14:paraId="437AFAE7" w14:textId="608A2E09"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502" w:history="1">
            <w:r w:rsidRPr="00F4767D">
              <w:rPr>
                <w:rStyle w:val="Hyperlink"/>
                <w:noProof/>
              </w:rPr>
              <w:t>5.3 Change Management: Lewin’s Unfreeze-Change-Refreeze Model</w:t>
            </w:r>
            <w:r>
              <w:rPr>
                <w:noProof/>
                <w:webHidden/>
              </w:rPr>
              <w:tab/>
            </w:r>
            <w:r>
              <w:rPr>
                <w:noProof/>
                <w:webHidden/>
              </w:rPr>
              <w:fldChar w:fldCharType="begin"/>
            </w:r>
            <w:r>
              <w:rPr>
                <w:noProof/>
                <w:webHidden/>
              </w:rPr>
              <w:instrText xml:space="preserve"> PAGEREF _Toc228487502 \h </w:instrText>
            </w:r>
            <w:r>
              <w:rPr>
                <w:noProof/>
                <w:webHidden/>
              </w:rPr>
            </w:r>
            <w:r>
              <w:rPr>
                <w:noProof/>
                <w:webHidden/>
              </w:rPr>
              <w:fldChar w:fldCharType="separate"/>
            </w:r>
            <w:r>
              <w:rPr>
                <w:noProof/>
                <w:webHidden/>
              </w:rPr>
              <w:t>21</w:t>
            </w:r>
            <w:r>
              <w:rPr>
                <w:noProof/>
                <w:webHidden/>
              </w:rPr>
              <w:fldChar w:fldCharType="end"/>
            </w:r>
          </w:hyperlink>
        </w:p>
        <w:p w14:paraId="5FF83C31" w14:textId="2F1713A3"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503" w:history="1">
            <w:r w:rsidRPr="00F4767D">
              <w:rPr>
                <w:rStyle w:val="Hyperlink"/>
                <w:noProof/>
              </w:rPr>
              <w:t>6. Strategic Evaluation and Recommendations</w:t>
            </w:r>
            <w:r>
              <w:rPr>
                <w:noProof/>
                <w:webHidden/>
              </w:rPr>
              <w:tab/>
            </w:r>
            <w:r>
              <w:rPr>
                <w:noProof/>
                <w:webHidden/>
              </w:rPr>
              <w:fldChar w:fldCharType="begin"/>
            </w:r>
            <w:r>
              <w:rPr>
                <w:noProof/>
                <w:webHidden/>
              </w:rPr>
              <w:instrText xml:space="preserve"> PAGEREF _Toc228487503 \h </w:instrText>
            </w:r>
            <w:r>
              <w:rPr>
                <w:noProof/>
                <w:webHidden/>
              </w:rPr>
            </w:r>
            <w:r>
              <w:rPr>
                <w:noProof/>
                <w:webHidden/>
              </w:rPr>
              <w:fldChar w:fldCharType="separate"/>
            </w:r>
            <w:r>
              <w:rPr>
                <w:noProof/>
                <w:webHidden/>
              </w:rPr>
              <w:t>23</w:t>
            </w:r>
            <w:r>
              <w:rPr>
                <w:noProof/>
                <w:webHidden/>
              </w:rPr>
              <w:fldChar w:fldCharType="end"/>
            </w:r>
          </w:hyperlink>
        </w:p>
        <w:p w14:paraId="512A208E" w14:textId="2BAB0A67"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504" w:history="1">
            <w:r w:rsidRPr="00F4767D">
              <w:rPr>
                <w:rStyle w:val="Hyperlink"/>
                <w:noProof/>
              </w:rPr>
              <w:t>6.1 SWOT Analysis of Sanofi</w:t>
            </w:r>
            <w:r>
              <w:rPr>
                <w:noProof/>
                <w:webHidden/>
              </w:rPr>
              <w:tab/>
            </w:r>
            <w:r>
              <w:rPr>
                <w:noProof/>
                <w:webHidden/>
              </w:rPr>
              <w:fldChar w:fldCharType="begin"/>
            </w:r>
            <w:r>
              <w:rPr>
                <w:noProof/>
                <w:webHidden/>
              </w:rPr>
              <w:instrText xml:space="preserve"> PAGEREF _Toc228487504 \h </w:instrText>
            </w:r>
            <w:r>
              <w:rPr>
                <w:noProof/>
                <w:webHidden/>
              </w:rPr>
            </w:r>
            <w:r>
              <w:rPr>
                <w:noProof/>
                <w:webHidden/>
              </w:rPr>
              <w:fldChar w:fldCharType="separate"/>
            </w:r>
            <w:r>
              <w:rPr>
                <w:noProof/>
                <w:webHidden/>
              </w:rPr>
              <w:t>23</w:t>
            </w:r>
            <w:r>
              <w:rPr>
                <w:noProof/>
                <w:webHidden/>
              </w:rPr>
              <w:fldChar w:fldCharType="end"/>
            </w:r>
          </w:hyperlink>
        </w:p>
        <w:p w14:paraId="582FD1FC" w14:textId="2A733096"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505" w:history="1">
            <w:r w:rsidRPr="00F4767D">
              <w:rPr>
                <w:rStyle w:val="Hyperlink"/>
                <w:noProof/>
              </w:rPr>
              <w:t>6.2 Ansoff Matrix Application</w:t>
            </w:r>
            <w:r>
              <w:rPr>
                <w:noProof/>
                <w:webHidden/>
              </w:rPr>
              <w:tab/>
            </w:r>
            <w:r>
              <w:rPr>
                <w:noProof/>
                <w:webHidden/>
              </w:rPr>
              <w:fldChar w:fldCharType="begin"/>
            </w:r>
            <w:r>
              <w:rPr>
                <w:noProof/>
                <w:webHidden/>
              </w:rPr>
              <w:instrText xml:space="preserve"> PAGEREF _Toc228487505 \h </w:instrText>
            </w:r>
            <w:r>
              <w:rPr>
                <w:noProof/>
                <w:webHidden/>
              </w:rPr>
            </w:r>
            <w:r>
              <w:rPr>
                <w:noProof/>
                <w:webHidden/>
              </w:rPr>
              <w:fldChar w:fldCharType="separate"/>
            </w:r>
            <w:r>
              <w:rPr>
                <w:noProof/>
                <w:webHidden/>
              </w:rPr>
              <w:t>24</w:t>
            </w:r>
            <w:r>
              <w:rPr>
                <w:noProof/>
                <w:webHidden/>
              </w:rPr>
              <w:fldChar w:fldCharType="end"/>
            </w:r>
          </w:hyperlink>
        </w:p>
        <w:p w14:paraId="3D9787B0" w14:textId="5FA1B817" w:rsidR="009021BA" w:rsidRDefault="009021BA">
          <w:pPr>
            <w:pStyle w:val="TOC3"/>
            <w:tabs>
              <w:tab w:val="right" w:leader="dot" w:pos="9638"/>
            </w:tabs>
            <w:rPr>
              <w:rFonts w:asciiTheme="minorHAnsi" w:eastAsiaTheme="minorEastAsia" w:hAnsiTheme="minorHAnsi" w:cstheme="minorBidi"/>
              <w:noProof/>
              <w:kern w:val="2"/>
              <w:lang w:eastAsia="en-GB"/>
              <w14:ligatures w14:val="standardContextual"/>
            </w:rPr>
          </w:pPr>
          <w:hyperlink w:anchor="_Toc228487506" w:history="1">
            <w:r w:rsidRPr="00F4767D">
              <w:rPr>
                <w:rStyle w:val="Hyperlink"/>
                <w:noProof/>
              </w:rPr>
              <w:t>6.3 Recommendations</w:t>
            </w:r>
            <w:r>
              <w:rPr>
                <w:noProof/>
                <w:webHidden/>
              </w:rPr>
              <w:tab/>
            </w:r>
            <w:r>
              <w:rPr>
                <w:noProof/>
                <w:webHidden/>
              </w:rPr>
              <w:fldChar w:fldCharType="begin"/>
            </w:r>
            <w:r>
              <w:rPr>
                <w:noProof/>
                <w:webHidden/>
              </w:rPr>
              <w:instrText xml:space="preserve"> PAGEREF _Toc228487506 \h </w:instrText>
            </w:r>
            <w:r>
              <w:rPr>
                <w:noProof/>
                <w:webHidden/>
              </w:rPr>
            </w:r>
            <w:r>
              <w:rPr>
                <w:noProof/>
                <w:webHidden/>
              </w:rPr>
              <w:fldChar w:fldCharType="separate"/>
            </w:r>
            <w:r>
              <w:rPr>
                <w:noProof/>
                <w:webHidden/>
              </w:rPr>
              <w:t>25</w:t>
            </w:r>
            <w:r>
              <w:rPr>
                <w:noProof/>
                <w:webHidden/>
              </w:rPr>
              <w:fldChar w:fldCharType="end"/>
            </w:r>
          </w:hyperlink>
        </w:p>
        <w:p w14:paraId="793D4E4A" w14:textId="20BFC551"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507" w:history="1">
            <w:r w:rsidRPr="00F4767D">
              <w:rPr>
                <w:rStyle w:val="Hyperlink"/>
                <w:noProof/>
              </w:rPr>
              <w:t>Conclusion</w:t>
            </w:r>
            <w:r>
              <w:rPr>
                <w:noProof/>
                <w:webHidden/>
              </w:rPr>
              <w:tab/>
            </w:r>
            <w:r>
              <w:rPr>
                <w:noProof/>
                <w:webHidden/>
              </w:rPr>
              <w:fldChar w:fldCharType="begin"/>
            </w:r>
            <w:r>
              <w:rPr>
                <w:noProof/>
                <w:webHidden/>
              </w:rPr>
              <w:instrText xml:space="preserve"> PAGEREF _Toc228487507 \h </w:instrText>
            </w:r>
            <w:r>
              <w:rPr>
                <w:noProof/>
                <w:webHidden/>
              </w:rPr>
            </w:r>
            <w:r>
              <w:rPr>
                <w:noProof/>
                <w:webHidden/>
              </w:rPr>
              <w:fldChar w:fldCharType="separate"/>
            </w:r>
            <w:r>
              <w:rPr>
                <w:noProof/>
                <w:webHidden/>
              </w:rPr>
              <w:t>26</w:t>
            </w:r>
            <w:r>
              <w:rPr>
                <w:noProof/>
                <w:webHidden/>
              </w:rPr>
              <w:fldChar w:fldCharType="end"/>
            </w:r>
          </w:hyperlink>
        </w:p>
        <w:p w14:paraId="3FF1678A" w14:textId="6CA4F06D" w:rsidR="009021BA" w:rsidRDefault="009021BA">
          <w:pPr>
            <w:pStyle w:val="TOC1"/>
            <w:tabs>
              <w:tab w:val="right" w:leader="dot" w:pos="9638"/>
            </w:tabs>
            <w:rPr>
              <w:rFonts w:asciiTheme="minorHAnsi" w:eastAsiaTheme="minorEastAsia" w:hAnsiTheme="minorHAnsi" w:cstheme="minorBidi"/>
              <w:noProof/>
              <w:kern w:val="2"/>
              <w:lang w:eastAsia="en-GB"/>
              <w14:ligatures w14:val="standardContextual"/>
            </w:rPr>
          </w:pPr>
          <w:hyperlink w:anchor="_Toc228487508" w:history="1">
            <w:r w:rsidRPr="00F4767D">
              <w:rPr>
                <w:rStyle w:val="Hyperlink"/>
                <w:noProof/>
              </w:rPr>
              <w:t>Section 2 Reflection using Gibbs Cycle</w:t>
            </w:r>
            <w:r>
              <w:rPr>
                <w:noProof/>
                <w:webHidden/>
              </w:rPr>
              <w:tab/>
            </w:r>
            <w:r>
              <w:rPr>
                <w:noProof/>
                <w:webHidden/>
              </w:rPr>
              <w:fldChar w:fldCharType="begin"/>
            </w:r>
            <w:r>
              <w:rPr>
                <w:noProof/>
                <w:webHidden/>
              </w:rPr>
              <w:instrText xml:space="preserve"> PAGEREF _Toc228487508 \h </w:instrText>
            </w:r>
            <w:r>
              <w:rPr>
                <w:noProof/>
                <w:webHidden/>
              </w:rPr>
            </w:r>
            <w:r>
              <w:rPr>
                <w:noProof/>
                <w:webHidden/>
              </w:rPr>
              <w:fldChar w:fldCharType="separate"/>
            </w:r>
            <w:r>
              <w:rPr>
                <w:noProof/>
                <w:webHidden/>
              </w:rPr>
              <w:t>27</w:t>
            </w:r>
            <w:r>
              <w:rPr>
                <w:noProof/>
                <w:webHidden/>
              </w:rPr>
              <w:fldChar w:fldCharType="end"/>
            </w:r>
          </w:hyperlink>
        </w:p>
        <w:p w14:paraId="2B1E0050" w14:textId="71F3DD49" w:rsidR="009021BA" w:rsidRDefault="009021BA">
          <w:pPr>
            <w:pStyle w:val="TOC1"/>
            <w:tabs>
              <w:tab w:val="right" w:leader="dot" w:pos="9638"/>
            </w:tabs>
            <w:rPr>
              <w:rFonts w:asciiTheme="minorHAnsi" w:eastAsiaTheme="minorEastAsia" w:hAnsiTheme="minorHAnsi" w:cstheme="minorBidi"/>
              <w:noProof/>
              <w:kern w:val="2"/>
              <w:lang w:eastAsia="en-GB"/>
              <w14:ligatures w14:val="standardContextual"/>
            </w:rPr>
          </w:pPr>
          <w:hyperlink w:anchor="_Toc228487509" w:history="1">
            <w:r w:rsidRPr="00F4767D">
              <w:rPr>
                <w:rStyle w:val="Hyperlink"/>
                <w:noProof/>
              </w:rPr>
              <w:t>References</w:t>
            </w:r>
            <w:r>
              <w:rPr>
                <w:noProof/>
                <w:webHidden/>
              </w:rPr>
              <w:tab/>
            </w:r>
            <w:r>
              <w:rPr>
                <w:noProof/>
                <w:webHidden/>
              </w:rPr>
              <w:fldChar w:fldCharType="begin"/>
            </w:r>
            <w:r>
              <w:rPr>
                <w:noProof/>
                <w:webHidden/>
              </w:rPr>
              <w:instrText xml:space="preserve"> PAGEREF _Toc228487509 \h </w:instrText>
            </w:r>
            <w:r>
              <w:rPr>
                <w:noProof/>
                <w:webHidden/>
              </w:rPr>
            </w:r>
            <w:r>
              <w:rPr>
                <w:noProof/>
                <w:webHidden/>
              </w:rPr>
              <w:fldChar w:fldCharType="separate"/>
            </w:r>
            <w:r>
              <w:rPr>
                <w:noProof/>
                <w:webHidden/>
              </w:rPr>
              <w:t>30</w:t>
            </w:r>
            <w:r>
              <w:rPr>
                <w:noProof/>
                <w:webHidden/>
              </w:rPr>
              <w:fldChar w:fldCharType="end"/>
            </w:r>
          </w:hyperlink>
        </w:p>
        <w:p w14:paraId="38FEB51C" w14:textId="65786766" w:rsidR="009021BA" w:rsidRDefault="009021BA">
          <w:pPr>
            <w:pStyle w:val="TOC1"/>
            <w:tabs>
              <w:tab w:val="right" w:leader="dot" w:pos="9638"/>
            </w:tabs>
            <w:rPr>
              <w:rFonts w:asciiTheme="minorHAnsi" w:eastAsiaTheme="minorEastAsia" w:hAnsiTheme="minorHAnsi" w:cstheme="minorBidi"/>
              <w:noProof/>
              <w:kern w:val="2"/>
              <w:lang w:eastAsia="en-GB"/>
              <w14:ligatures w14:val="standardContextual"/>
            </w:rPr>
          </w:pPr>
          <w:hyperlink w:anchor="_Toc228487510" w:history="1">
            <w:r w:rsidRPr="00F4767D">
              <w:rPr>
                <w:rStyle w:val="Hyperlink"/>
                <w:noProof/>
              </w:rPr>
              <w:t>Appendices</w:t>
            </w:r>
            <w:r>
              <w:rPr>
                <w:noProof/>
                <w:webHidden/>
              </w:rPr>
              <w:tab/>
            </w:r>
            <w:r>
              <w:rPr>
                <w:noProof/>
                <w:webHidden/>
              </w:rPr>
              <w:fldChar w:fldCharType="begin"/>
            </w:r>
            <w:r>
              <w:rPr>
                <w:noProof/>
                <w:webHidden/>
              </w:rPr>
              <w:instrText xml:space="preserve"> PAGEREF _Toc228487510 \h </w:instrText>
            </w:r>
            <w:r>
              <w:rPr>
                <w:noProof/>
                <w:webHidden/>
              </w:rPr>
            </w:r>
            <w:r>
              <w:rPr>
                <w:noProof/>
                <w:webHidden/>
              </w:rPr>
              <w:fldChar w:fldCharType="separate"/>
            </w:r>
            <w:r>
              <w:rPr>
                <w:noProof/>
                <w:webHidden/>
              </w:rPr>
              <w:t>34</w:t>
            </w:r>
            <w:r>
              <w:rPr>
                <w:noProof/>
                <w:webHidden/>
              </w:rPr>
              <w:fldChar w:fldCharType="end"/>
            </w:r>
          </w:hyperlink>
        </w:p>
        <w:p w14:paraId="1E76C7EB" w14:textId="0CC1DC71"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511" w:history="1">
            <w:r w:rsidRPr="00F4767D">
              <w:rPr>
                <w:rStyle w:val="Hyperlink"/>
                <w:noProof/>
              </w:rPr>
              <w:t>Appendix 1: PESTLE Analysis</w:t>
            </w:r>
            <w:r>
              <w:rPr>
                <w:noProof/>
                <w:webHidden/>
              </w:rPr>
              <w:tab/>
            </w:r>
            <w:r>
              <w:rPr>
                <w:noProof/>
                <w:webHidden/>
              </w:rPr>
              <w:fldChar w:fldCharType="begin"/>
            </w:r>
            <w:r>
              <w:rPr>
                <w:noProof/>
                <w:webHidden/>
              </w:rPr>
              <w:instrText xml:space="preserve"> PAGEREF _Toc228487511 \h </w:instrText>
            </w:r>
            <w:r>
              <w:rPr>
                <w:noProof/>
                <w:webHidden/>
              </w:rPr>
            </w:r>
            <w:r>
              <w:rPr>
                <w:noProof/>
                <w:webHidden/>
              </w:rPr>
              <w:fldChar w:fldCharType="separate"/>
            </w:r>
            <w:r>
              <w:rPr>
                <w:noProof/>
                <w:webHidden/>
              </w:rPr>
              <w:t>34</w:t>
            </w:r>
            <w:r>
              <w:rPr>
                <w:noProof/>
                <w:webHidden/>
              </w:rPr>
              <w:fldChar w:fldCharType="end"/>
            </w:r>
          </w:hyperlink>
        </w:p>
        <w:p w14:paraId="4DE0468E" w14:textId="21E90A59"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512" w:history="1">
            <w:r w:rsidRPr="00F4767D">
              <w:rPr>
                <w:rStyle w:val="Hyperlink"/>
                <w:noProof/>
              </w:rPr>
              <w:t>Appendix 2: Critical Success Factors</w:t>
            </w:r>
            <w:r>
              <w:rPr>
                <w:noProof/>
                <w:webHidden/>
              </w:rPr>
              <w:tab/>
            </w:r>
            <w:r>
              <w:rPr>
                <w:noProof/>
                <w:webHidden/>
              </w:rPr>
              <w:fldChar w:fldCharType="begin"/>
            </w:r>
            <w:r>
              <w:rPr>
                <w:noProof/>
                <w:webHidden/>
              </w:rPr>
              <w:instrText xml:space="preserve"> PAGEREF _Toc228487512 \h </w:instrText>
            </w:r>
            <w:r>
              <w:rPr>
                <w:noProof/>
                <w:webHidden/>
              </w:rPr>
            </w:r>
            <w:r>
              <w:rPr>
                <w:noProof/>
                <w:webHidden/>
              </w:rPr>
              <w:fldChar w:fldCharType="separate"/>
            </w:r>
            <w:r>
              <w:rPr>
                <w:noProof/>
                <w:webHidden/>
              </w:rPr>
              <w:t>35</w:t>
            </w:r>
            <w:r>
              <w:rPr>
                <w:noProof/>
                <w:webHidden/>
              </w:rPr>
              <w:fldChar w:fldCharType="end"/>
            </w:r>
          </w:hyperlink>
        </w:p>
        <w:p w14:paraId="2FFF9AAA" w14:textId="75320045" w:rsidR="009021BA" w:rsidRDefault="009021BA">
          <w:pPr>
            <w:pStyle w:val="TOC2"/>
            <w:tabs>
              <w:tab w:val="right" w:leader="dot" w:pos="9638"/>
            </w:tabs>
            <w:rPr>
              <w:rFonts w:asciiTheme="minorHAnsi" w:eastAsiaTheme="minorEastAsia" w:hAnsiTheme="minorHAnsi" w:cstheme="minorBidi"/>
              <w:noProof/>
              <w:kern w:val="2"/>
              <w:lang w:eastAsia="en-GB"/>
              <w14:ligatures w14:val="standardContextual"/>
            </w:rPr>
          </w:pPr>
          <w:hyperlink w:anchor="_Toc228487513" w:history="1">
            <w:r w:rsidRPr="00F4767D">
              <w:rPr>
                <w:rStyle w:val="Hyperlink"/>
                <w:noProof/>
              </w:rPr>
              <w:t>Appendix 3: VRIO</w:t>
            </w:r>
            <w:r>
              <w:rPr>
                <w:noProof/>
                <w:webHidden/>
              </w:rPr>
              <w:tab/>
            </w:r>
            <w:r>
              <w:rPr>
                <w:noProof/>
                <w:webHidden/>
              </w:rPr>
              <w:fldChar w:fldCharType="begin"/>
            </w:r>
            <w:r>
              <w:rPr>
                <w:noProof/>
                <w:webHidden/>
              </w:rPr>
              <w:instrText xml:space="preserve"> PAGEREF _Toc228487513 \h </w:instrText>
            </w:r>
            <w:r>
              <w:rPr>
                <w:noProof/>
                <w:webHidden/>
              </w:rPr>
            </w:r>
            <w:r>
              <w:rPr>
                <w:noProof/>
                <w:webHidden/>
              </w:rPr>
              <w:fldChar w:fldCharType="separate"/>
            </w:r>
            <w:r>
              <w:rPr>
                <w:noProof/>
                <w:webHidden/>
              </w:rPr>
              <w:t>36</w:t>
            </w:r>
            <w:r>
              <w:rPr>
                <w:noProof/>
                <w:webHidden/>
              </w:rPr>
              <w:fldChar w:fldCharType="end"/>
            </w:r>
          </w:hyperlink>
        </w:p>
        <w:p w14:paraId="3EA68BDD" w14:textId="7BDD46DE" w:rsidR="003D730B" w:rsidRDefault="00B5775D">
          <w:r>
            <w:fldChar w:fldCharType="end"/>
          </w:r>
        </w:p>
      </w:sdtContent>
    </w:sdt>
    <w:p w14:paraId="24A9289B" w14:textId="29F532B1" w:rsidR="00387ACF" w:rsidRDefault="00A3775D">
      <w:r>
        <w:br w:type="page"/>
      </w:r>
    </w:p>
    <w:p w14:paraId="40503C1F" w14:textId="07C7BF2C" w:rsidR="003D730B" w:rsidRDefault="003D730B" w:rsidP="003D730B">
      <w:pPr>
        <w:pStyle w:val="Heading1"/>
      </w:pPr>
      <w:bookmarkStart w:id="1" w:name="_Toc228487484"/>
      <w:r>
        <w:lastRenderedPageBreak/>
        <w:t>Section - 1</w:t>
      </w:r>
      <w:bookmarkEnd w:id="1"/>
    </w:p>
    <w:p w14:paraId="08877B2F" w14:textId="6A00EB50" w:rsidR="00387ACF" w:rsidRDefault="00B5775D" w:rsidP="003D730B">
      <w:pPr>
        <w:pStyle w:val="Heading2"/>
      </w:pPr>
      <w:bookmarkStart w:id="2" w:name="_Toc228487485"/>
      <w:r>
        <w:t>Introduction</w:t>
      </w:r>
      <w:bookmarkEnd w:id="2"/>
    </w:p>
    <w:p w14:paraId="508D6861" w14:textId="77777777" w:rsidR="00387ACF" w:rsidRDefault="00B5775D">
      <w:r>
        <w:t>Sanofi SA is a French multinational biopharmaceutical company with the current strategic identity of an R&amp;D-driven, AI-assisted innovator, engaged in medicines and vaccines to address global health requirements (Sanofi, 2026a).</w:t>
      </w:r>
    </w:p>
    <w:p w14:paraId="5BEA34D1" w14:textId="77777777" w:rsidR="00387ACF" w:rsidRDefault="00B5775D">
      <w:pPr>
        <w:keepNext/>
        <w:jc w:val="center"/>
      </w:pPr>
      <w:r>
        <w:rPr>
          <w:noProof/>
        </w:rPr>
        <w:drawing>
          <wp:inline distT="0" distB="0" distL="0" distR="0" wp14:anchorId="00B8A98E" wp14:editId="474D60E3">
            <wp:extent cx="2152650" cy="8953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152650" cy="895350"/>
                    </a:xfrm>
                    <a:prstGeom prst="rect">
                      <a:avLst/>
                    </a:prstGeom>
                    <a:ln/>
                  </pic:spPr>
                </pic:pic>
              </a:graphicData>
            </a:graphic>
          </wp:inline>
        </w:drawing>
      </w:r>
    </w:p>
    <w:p w14:paraId="42F91F20" w14:textId="77777777" w:rsidR="00387ACF" w:rsidRDefault="00B5775D">
      <w:pPr>
        <w:pBdr>
          <w:top w:val="nil"/>
          <w:left w:val="nil"/>
          <w:bottom w:val="nil"/>
          <w:right w:val="nil"/>
          <w:between w:val="nil"/>
        </w:pBdr>
        <w:spacing w:line="240" w:lineRule="auto"/>
        <w:jc w:val="center"/>
        <w:rPr>
          <w:b/>
          <w:bCs/>
          <w:color w:val="4F81BD"/>
          <w:sz w:val="18"/>
          <w:szCs w:val="18"/>
        </w:rPr>
      </w:pPr>
      <w:r>
        <w:rPr>
          <w:b/>
          <w:bCs/>
          <w:color w:val="4F81BD"/>
          <w:sz w:val="18"/>
          <w:szCs w:val="18"/>
        </w:rPr>
        <w:t>Figure 1: Sanofi Branding (Sanofi, 2026a)</w:t>
      </w:r>
    </w:p>
    <w:p w14:paraId="6A2BE95C" w14:textId="77777777" w:rsidR="00387ACF" w:rsidRDefault="00B5775D">
      <w:r>
        <w:t>This report evaluates critically how Sanofi develops and maintains competitive advantage in a highly volatile, highly regulated industry. It analyses the organisational overview, external environment, internal environment, strategic capabilities, CSR and sustainability, balanced scorecard performance, strategic choices and implementation, and strategic evaluation and recommendations of the company. Part 2 is the analytical heart of the report in that it evaluates the manner in which the macro-environmental pressures and internal resources, capabilities and core competencies influence the current strategic position of Sanofi and its future choices. In line with the literature on strategic management, the discussion incorporates both the external and internal analysis to evaluate the coherence, effectiveness, and sustainability of the strategy used by Sanofi in the long term (Whittington et al., 2020).</w:t>
      </w:r>
    </w:p>
    <w:p w14:paraId="31A46D5A" w14:textId="77777777" w:rsidR="00387ACF" w:rsidRDefault="00387ACF">
      <w:pPr>
        <w:rPr>
          <w:b/>
          <w:bCs/>
        </w:rPr>
      </w:pPr>
    </w:p>
    <w:p w14:paraId="0C03E400" w14:textId="77777777" w:rsidR="00387ACF" w:rsidRDefault="00387ACF"/>
    <w:p w14:paraId="0C4E805C" w14:textId="77777777" w:rsidR="00387ACF" w:rsidRDefault="00B5775D">
      <w:pPr>
        <w:spacing w:after="200" w:line="276" w:lineRule="auto"/>
        <w:jc w:val="left"/>
      </w:pPr>
      <w:r>
        <w:br w:type="page"/>
      </w:r>
    </w:p>
    <w:p w14:paraId="0366B20E" w14:textId="77777777" w:rsidR="00387ACF" w:rsidRDefault="00B5775D">
      <w:pPr>
        <w:pStyle w:val="Heading2"/>
      </w:pPr>
      <w:bookmarkStart w:id="3" w:name="_Toc228487486"/>
      <w:r>
        <w:lastRenderedPageBreak/>
        <w:t>1. Organisational Context and Overview</w:t>
      </w:r>
      <w:bookmarkEnd w:id="3"/>
    </w:p>
    <w:p w14:paraId="15C96DB9" w14:textId="77777777" w:rsidR="00387ACF" w:rsidRDefault="00B5775D">
      <w:r>
        <w:t>Sanofi SA is a French multinational biopharmaceutical corporation with its headquarters in Paris. Established in 1973, it has grown by big mergers, including Sanofi-</w:t>
      </w:r>
      <w:proofErr w:type="spellStart"/>
      <w:r>
        <w:t>Synthélabo</w:t>
      </w:r>
      <w:proofErr w:type="spellEnd"/>
      <w:r>
        <w:t xml:space="preserve"> and Aventis, and by the 2025 Opella deal, which has made it more strategic, focusing on innovative medicine and vaccines, as opposed to wider consumer healthcare operations (Sanofi, 2026a).</w:t>
      </w:r>
    </w:p>
    <w:p w14:paraId="6B83133E" w14:textId="77777777" w:rsidR="00387ACF" w:rsidRDefault="00B5775D">
      <w:r>
        <w:t>The mission of Sanofi is to pursue the wonders of science and enhance the lives of people, and its strategic direction focuses on science-led growth, breakthrough innovation, patient impact and long-term value creation. Its business model is a blend of high R&amp;D investment, clinical development, regulatory approval, global production and global commercialisation, and returns generated through patented therapies, vaccines, partnership and lifecycle management (Sanofi, 2026b).</w:t>
      </w:r>
    </w:p>
    <w:p w14:paraId="1E8624D7" w14:textId="77777777" w:rsidR="00387ACF" w:rsidRDefault="00B5775D">
      <w:pPr>
        <w:keepNext/>
        <w:spacing w:after="200" w:line="276" w:lineRule="auto"/>
        <w:jc w:val="center"/>
      </w:pPr>
      <w:r>
        <w:rPr>
          <w:noProof/>
        </w:rPr>
        <w:drawing>
          <wp:inline distT="0" distB="0" distL="0" distR="0" wp14:anchorId="7E8AB60F" wp14:editId="2A7761B3">
            <wp:extent cx="4516045" cy="3171248"/>
            <wp:effectExtent l="0" t="0" r="0" b="0"/>
            <wp:docPr id="2" name="image2.png" descr="Top 12 Companies By 2024 Pharma Sales"/>
            <wp:cNvGraphicFramePr/>
            <a:graphic xmlns:a="http://schemas.openxmlformats.org/drawingml/2006/main">
              <a:graphicData uri="http://schemas.openxmlformats.org/drawingml/2006/picture">
                <pic:pic xmlns:pic="http://schemas.openxmlformats.org/drawingml/2006/picture">
                  <pic:nvPicPr>
                    <pic:cNvPr id="0" name="image2.png" descr="Top 12 Companies By 2024 Pharma Sales"/>
                    <pic:cNvPicPr preferRelativeResize="0"/>
                  </pic:nvPicPr>
                  <pic:blipFill>
                    <a:blip r:embed="rId9"/>
                    <a:srcRect/>
                    <a:stretch>
                      <a:fillRect/>
                    </a:stretch>
                  </pic:blipFill>
                  <pic:spPr>
                    <a:xfrm>
                      <a:off x="0" y="0"/>
                      <a:ext cx="4516045" cy="3171248"/>
                    </a:xfrm>
                    <a:prstGeom prst="rect">
                      <a:avLst/>
                    </a:prstGeom>
                    <a:ln/>
                  </pic:spPr>
                </pic:pic>
              </a:graphicData>
            </a:graphic>
          </wp:inline>
        </w:drawing>
      </w:r>
    </w:p>
    <w:p w14:paraId="1B401490" w14:textId="77777777" w:rsidR="00387ACF" w:rsidRDefault="00B5775D">
      <w:pPr>
        <w:pBdr>
          <w:top w:val="nil"/>
          <w:left w:val="nil"/>
          <w:bottom w:val="nil"/>
          <w:right w:val="nil"/>
          <w:between w:val="nil"/>
        </w:pBdr>
        <w:spacing w:line="240" w:lineRule="auto"/>
        <w:jc w:val="center"/>
        <w:rPr>
          <w:color w:val="4F81BD"/>
          <w:sz w:val="18"/>
          <w:szCs w:val="18"/>
        </w:rPr>
      </w:pPr>
      <w:r>
        <w:rPr>
          <w:b/>
          <w:bCs/>
          <w:color w:val="4F81BD"/>
          <w:sz w:val="18"/>
          <w:szCs w:val="18"/>
        </w:rPr>
        <w:t>Figure 2: Rank of Pharma Companies (</w:t>
      </w:r>
      <w:proofErr w:type="spellStart"/>
      <w:r>
        <w:rPr>
          <w:b/>
          <w:bCs/>
          <w:color w:val="4F81BD"/>
          <w:sz w:val="18"/>
          <w:szCs w:val="18"/>
        </w:rPr>
        <w:t>Citeline</w:t>
      </w:r>
      <w:proofErr w:type="spellEnd"/>
      <w:r>
        <w:rPr>
          <w:b/>
          <w:bCs/>
          <w:color w:val="4F81BD"/>
          <w:sz w:val="18"/>
          <w:szCs w:val="18"/>
        </w:rPr>
        <w:t>, 2025)</w:t>
      </w:r>
    </w:p>
    <w:p w14:paraId="0461A498" w14:textId="77777777" w:rsidR="00387ACF" w:rsidRDefault="00B5775D">
      <w:r>
        <w:t>Sanofi engages in the world pharmaceutical and biopharmaceutical market, particularly in the specialty care and vaccines, where competition is extremely controlled, research-based, and innovation-related (Teece, 2010). According to Figure 2, Sanofi was number nine among the top 12 pharma companies by 2024 sales, with a figure of 47.9 billion, which is second only to Pfizer, Merck, Roche and AstraZeneca, but still confirms the major global scale (</w:t>
      </w:r>
      <w:proofErr w:type="spellStart"/>
      <w:r>
        <w:t>Citeline</w:t>
      </w:r>
      <w:proofErr w:type="spellEnd"/>
      <w:r>
        <w:t>, 2025).</w:t>
      </w:r>
    </w:p>
    <w:p w14:paraId="30F40B40" w14:textId="77777777" w:rsidR="00387ACF" w:rsidRDefault="00B5775D">
      <w:pPr>
        <w:keepNext/>
        <w:jc w:val="center"/>
      </w:pPr>
      <w:r>
        <w:rPr>
          <w:noProof/>
        </w:rPr>
        <w:lastRenderedPageBreak/>
        <w:drawing>
          <wp:inline distT="0" distB="0" distL="0" distR="0" wp14:anchorId="40EBDA6E" wp14:editId="332795F6">
            <wp:extent cx="4299927" cy="4275579"/>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299927" cy="4275579"/>
                    </a:xfrm>
                    <a:prstGeom prst="rect">
                      <a:avLst/>
                    </a:prstGeom>
                    <a:ln/>
                  </pic:spPr>
                </pic:pic>
              </a:graphicData>
            </a:graphic>
          </wp:inline>
        </w:drawing>
      </w:r>
    </w:p>
    <w:p w14:paraId="1D605A4A" w14:textId="77777777" w:rsidR="00387ACF" w:rsidRDefault="00B5775D">
      <w:pPr>
        <w:pBdr>
          <w:top w:val="nil"/>
          <w:left w:val="nil"/>
          <w:bottom w:val="nil"/>
          <w:right w:val="nil"/>
          <w:between w:val="nil"/>
        </w:pBdr>
        <w:spacing w:line="240" w:lineRule="auto"/>
        <w:jc w:val="center"/>
        <w:rPr>
          <w:b/>
          <w:bCs/>
          <w:color w:val="4F81BD"/>
          <w:sz w:val="18"/>
          <w:szCs w:val="18"/>
        </w:rPr>
      </w:pPr>
      <w:r>
        <w:rPr>
          <w:b/>
          <w:bCs/>
          <w:color w:val="4F81BD"/>
          <w:sz w:val="18"/>
          <w:szCs w:val="18"/>
        </w:rPr>
        <w:t>Figure 3: Perceptual Map (Libraries for the Future, 2025)</w:t>
      </w:r>
    </w:p>
    <w:p w14:paraId="147479AA" w14:textId="77777777" w:rsidR="00387ACF" w:rsidRDefault="00B5775D">
      <w:r>
        <w:t>According to Figure 3, Sanofi is closer to the treatment and status-quo modalities quadrant of the pharma on aging landscape than Eli Lilly, AstraZeneca or Novartis. This implies that, in spite of Sanofi being a large-scale innovator, it is viewed as less prevention-driven and less linked with new modalities in the ageing-related competition. Its unique status thus consists in integrating global scale with vaccines and specialty biopharma capabilities, as opposed to being at the forefront of every frontier of modality innovation (Libraries for the Future, 2025). After defining the strategic status of Sanofi in the global biopharmaceutical industry, the report will now examine the external and internal forces that influence its strategic choices and competitiveness (Whittington et al., 2020).</w:t>
      </w:r>
    </w:p>
    <w:p w14:paraId="536C2BC0" w14:textId="77777777" w:rsidR="00387ACF" w:rsidRDefault="00B5775D">
      <w:pPr>
        <w:spacing w:after="200" w:line="276" w:lineRule="auto"/>
        <w:jc w:val="left"/>
      </w:pPr>
      <w:r>
        <w:br w:type="page"/>
      </w:r>
    </w:p>
    <w:p w14:paraId="77D7390B" w14:textId="77777777" w:rsidR="00387ACF" w:rsidRDefault="00B5775D">
      <w:pPr>
        <w:pStyle w:val="Heading2"/>
      </w:pPr>
      <w:bookmarkStart w:id="4" w:name="_Toc228487487"/>
      <w:r>
        <w:lastRenderedPageBreak/>
        <w:t>2. External and Internal Environment Analysis</w:t>
      </w:r>
      <w:bookmarkEnd w:id="4"/>
    </w:p>
    <w:p w14:paraId="16B4421A" w14:textId="77777777" w:rsidR="00387ACF" w:rsidRDefault="00B5775D">
      <w:r>
        <w:t>The external environment is the forces not within the organisation that influence strategic choice, and the internal environment is the resources, capabilities, systems and competences that influence the responsiveness of the firm. To Sanofi, both are important since regulation, science, public-health priorities, technology and stiff global competition shape pharmaceuticals (Whittington et al., 2020).</w:t>
      </w:r>
    </w:p>
    <w:p w14:paraId="1C589087" w14:textId="77777777" w:rsidR="00387ACF" w:rsidRDefault="00B5775D">
      <w:pPr>
        <w:pStyle w:val="Heading3"/>
      </w:pPr>
      <w:bookmarkStart w:id="5" w:name="_Toc228487488"/>
      <w:r>
        <w:t>2.1 What is PESTLE and why it is used in strategic decision-making</w:t>
      </w:r>
      <w:bookmarkEnd w:id="5"/>
    </w:p>
    <w:p w14:paraId="0CAD3D8C" w14:textId="22FBC9A9" w:rsidR="00387ACF" w:rsidRDefault="00C43421">
      <w:r w:rsidRPr="00C43421">
        <w:t xml:space="preserve">PESTLE is a macro-environmental analysis tool that assesses the political, economic, social, technological, legal and environmental factors that influence an organisation's strategy and implementation (Whittington et al., 2020). </w:t>
      </w:r>
      <w:r>
        <w:t xml:space="preserve"> It helps in making strategic decisions on R&amp;D priorities, market entry, pricing, compliance, investment, supply chain redesign and sustainability action. In the case of Sanofi, PESTLE is particularly applicable since scientific power alone is not enough to determine the performance of a pharmaceutical company; healthcare policy, reimbursement regulations, patient demands, technological shifts and legal safeguarding of innovation (Barney and Hesterly, 2021).</w:t>
      </w:r>
    </w:p>
    <w:p w14:paraId="6D1EE7AB" w14:textId="77777777" w:rsidR="00387ACF" w:rsidRDefault="00B5775D">
      <w:pPr>
        <w:keepNext/>
        <w:spacing w:after="200" w:line="276" w:lineRule="auto"/>
        <w:jc w:val="center"/>
      </w:pPr>
      <w:r>
        <w:rPr>
          <w:noProof/>
        </w:rPr>
        <w:drawing>
          <wp:inline distT="0" distB="0" distL="0" distR="0" wp14:anchorId="10B0DCB5" wp14:editId="10D224E3">
            <wp:extent cx="6084328" cy="1860698"/>
            <wp:effectExtent l="0" t="0" r="0" b="635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6088786" cy="1862061"/>
                    </a:xfrm>
                    <a:prstGeom prst="rect">
                      <a:avLst/>
                    </a:prstGeom>
                    <a:ln/>
                  </pic:spPr>
                </pic:pic>
              </a:graphicData>
            </a:graphic>
          </wp:inline>
        </w:drawing>
      </w:r>
    </w:p>
    <w:p w14:paraId="55AA73B8" w14:textId="77777777" w:rsidR="00387ACF" w:rsidRDefault="00B5775D">
      <w:pPr>
        <w:pBdr>
          <w:top w:val="nil"/>
          <w:left w:val="nil"/>
          <w:bottom w:val="nil"/>
          <w:right w:val="nil"/>
          <w:between w:val="nil"/>
        </w:pBdr>
        <w:spacing w:line="240" w:lineRule="auto"/>
        <w:jc w:val="center"/>
        <w:rPr>
          <w:b/>
          <w:bCs/>
          <w:color w:val="4F81BD"/>
          <w:sz w:val="18"/>
          <w:szCs w:val="18"/>
        </w:rPr>
      </w:pPr>
      <w:r>
        <w:rPr>
          <w:b/>
          <w:bCs/>
          <w:color w:val="4F81BD"/>
          <w:sz w:val="18"/>
          <w:szCs w:val="18"/>
        </w:rPr>
        <w:t xml:space="preserve">Figure 4: PESTLE Analysis (NMBL Strategies, </w:t>
      </w:r>
      <w:r>
        <w:rPr>
          <w:color w:val="4F81BD"/>
          <w:sz w:val="18"/>
          <w:szCs w:val="18"/>
        </w:rPr>
        <w:t>2023</w:t>
      </w:r>
      <w:r>
        <w:rPr>
          <w:b/>
          <w:bCs/>
          <w:color w:val="4F81BD"/>
          <w:sz w:val="18"/>
          <w:szCs w:val="18"/>
        </w:rPr>
        <w:t>)</w:t>
      </w:r>
    </w:p>
    <w:p w14:paraId="07264991" w14:textId="77777777" w:rsidR="00387ACF" w:rsidRDefault="00B5775D">
      <w:r>
        <w:rPr>
          <w:b/>
          <w:bCs/>
        </w:rPr>
        <w:t>Political:</w:t>
      </w:r>
      <w:r>
        <w:t xml:space="preserve"> European pharmaceutical reform and ongoing state control of access to medicine and prices are transforming incentives throughout the industry. This is both a threat and an opportunity to Sanofi: newer EU regulations can help in the innovation and competitiveness, but a stricter policy can also limit pricing flexibility. This has a strategic impact on investment distribution, sequencing of launches, localisation of manufacturing and decision on public-private collaboration (European Commission, 2025).</w:t>
      </w:r>
    </w:p>
    <w:p w14:paraId="62E0EC7B" w14:textId="77777777" w:rsidR="00387ACF" w:rsidRDefault="00B5775D">
      <w:pPr>
        <w:keepNext/>
        <w:spacing w:after="200" w:line="276" w:lineRule="auto"/>
        <w:jc w:val="center"/>
      </w:pPr>
      <w:r>
        <w:rPr>
          <w:noProof/>
        </w:rPr>
        <w:lastRenderedPageBreak/>
        <w:drawing>
          <wp:inline distT="0" distB="0" distL="0" distR="0" wp14:anchorId="315940EE" wp14:editId="481CA8E0">
            <wp:extent cx="4185971" cy="3095224"/>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185971" cy="3095224"/>
                    </a:xfrm>
                    <a:prstGeom prst="rect">
                      <a:avLst/>
                    </a:prstGeom>
                    <a:ln/>
                  </pic:spPr>
                </pic:pic>
              </a:graphicData>
            </a:graphic>
          </wp:inline>
        </w:drawing>
      </w:r>
    </w:p>
    <w:p w14:paraId="69DD1C59" w14:textId="77777777" w:rsidR="00387ACF" w:rsidRDefault="00B5775D">
      <w:pPr>
        <w:pBdr>
          <w:top w:val="nil"/>
          <w:left w:val="nil"/>
          <w:bottom w:val="nil"/>
          <w:right w:val="nil"/>
          <w:between w:val="nil"/>
        </w:pBdr>
        <w:spacing w:line="240" w:lineRule="auto"/>
        <w:jc w:val="center"/>
        <w:rPr>
          <w:color w:val="4F81BD"/>
          <w:sz w:val="18"/>
          <w:szCs w:val="18"/>
        </w:rPr>
      </w:pPr>
      <w:r>
        <w:rPr>
          <w:b/>
          <w:bCs/>
          <w:color w:val="4F81BD"/>
          <w:sz w:val="18"/>
          <w:szCs w:val="18"/>
        </w:rPr>
        <w:t>Figure 5: Revenue of Sanofi (Statista, 2026a)</w:t>
      </w:r>
    </w:p>
    <w:p w14:paraId="62957139" w14:textId="77777777" w:rsidR="00387ACF" w:rsidRDefault="00B5775D">
      <w:r>
        <w:rPr>
          <w:b/>
          <w:bCs/>
        </w:rPr>
        <w:t>Economic:</w:t>
      </w:r>
      <w:r>
        <w:t xml:space="preserve"> Figure 5 indicates that in 2025, Sanofi increased its revenue compared to 2021 (43.626 billion vs. 37.761 billion) and Figure 6 indicates that in 2022, Sanofi grew its sales by 7.0% and its business EPS by 17.1%. This is an expression of scale and strength, but still inflation, exposure to exchange rates and payer pressure impose discipline. The strategic impact is increased prioritisation of high-margin innovative resources and stricter regional portfolio management (Statista, 2026a).</w:t>
      </w:r>
    </w:p>
    <w:p w14:paraId="1A259151" w14:textId="77777777" w:rsidR="00387ACF" w:rsidRDefault="00B5775D">
      <w:pPr>
        <w:keepNext/>
        <w:spacing w:after="200" w:line="276" w:lineRule="auto"/>
        <w:jc w:val="center"/>
      </w:pPr>
      <w:r>
        <w:rPr>
          <w:noProof/>
        </w:rPr>
        <w:drawing>
          <wp:inline distT="0" distB="0" distL="0" distR="0" wp14:anchorId="0E877EFB" wp14:editId="7F1F2258">
            <wp:extent cx="5043568" cy="2832315"/>
            <wp:effectExtent l="0" t="0" r="0" b="0"/>
            <wp:docPr id="6" name="image6.png" descr="Sanofi: Segment Results for fiscal 2022"/>
            <wp:cNvGraphicFramePr/>
            <a:graphic xmlns:a="http://schemas.openxmlformats.org/drawingml/2006/main">
              <a:graphicData uri="http://schemas.openxmlformats.org/drawingml/2006/picture">
                <pic:pic xmlns:pic="http://schemas.openxmlformats.org/drawingml/2006/picture">
                  <pic:nvPicPr>
                    <pic:cNvPr id="0" name="image6.png" descr="Sanofi: Segment Results for fiscal 2022"/>
                    <pic:cNvPicPr preferRelativeResize="0"/>
                  </pic:nvPicPr>
                  <pic:blipFill>
                    <a:blip r:embed="rId13"/>
                    <a:srcRect/>
                    <a:stretch>
                      <a:fillRect/>
                    </a:stretch>
                  </pic:blipFill>
                  <pic:spPr>
                    <a:xfrm>
                      <a:off x="0" y="0"/>
                      <a:ext cx="5043568" cy="2832315"/>
                    </a:xfrm>
                    <a:prstGeom prst="rect">
                      <a:avLst/>
                    </a:prstGeom>
                    <a:ln/>
                  </pic:spPr>
                </pic:pic>
              </a:graphicData>
            </a:graphic>
          </wp:inline>
        </w:drawing>
      </w:r>
    </w:p>
    <w:p w14:paraId="2E44A2B3" w14:textId="77777777" w:rsidR="00387ACF" w:rsidRDefault="00B5775D">
      <w:pPr>
        <w:pBdr>
          <w:top w:val="nil"/>
          <w:left w:val="nil"/>
          <w:bottom w:val="nil"/>
          <w:right w:val="nil"/>
          <w:between w:val="nil"/>
        </w:pBdr>
        <w:spacing w:line="240" w:lineRule="auto"/>
        <w:jc w:val="center"/>
        <w:rPr>
          <w:color w:val="4F81BD"/>
          <w:sz w:val="18"/>
          <w:szCs w:val="18"/>
        </w:rPr>
      </w:pPr>
      <w:r>
        <w:rPr>
          <w:b/>
          <w:bCs/>
          <w:color w:val="4F81BD"/>
          <w:sz w:val="18"/>
          <w:szCs w:val="18"/>
        </w:rPr>
        <w:t xml:space="preserve">Figure 6: FY 2022 performance (Seeking Alpha, </w:t>
      </w:r>
      <w:r>
        <w:rPr>
          <w:color w:val="4F81BD"/>
          <w:sz w:val="18"/>
          <w:szCs w:val="18"/>
        </w:rPr>
        <w:t>2023</w:t>
      </w:r>
      <w:r>
        <w:rPr>
          <w:b/>
          <w:bCs/>
          <w:color w:val="4F81BD"/>
          <w:sz w:val="18"/>
          <w:szCs w:val="18"/>
        </w:rPr>
        <w:t>)</w:t>
      </w:r>
    </w:p>
    <w:p w14:paraId="1540B8E2" w14:textId="6F016E4C" w:rsidR="00AF7C9B" w:rsidRDefault="00B5775D">
      <w:r>
        <w:rPr>
          <w:b/>
          <w:bCs/>
        </w:rPr>
        <w:t>Socio-cultural:</w:t>
      </w:r>
      <w:r>
        <w:t xml:space="preserve"> The ageing populations, the growth of patient expectations and the uneven levels of the trust towards the vaccines drive demand and at the same time bring the </w:t>
      </w:r>
      <w:r>
        <w:lastRenderedPageBreak/>
        <w:t>pressure of the legitimacy. Applying the Hofstede prism, the more uncertainty avoidance in France in comparison to the United States contributes to the stronger procedural control, whereas cultural diversity in different markets influences the style of partnership, communication, and acceptance of change. This not only opens growth opportunities in chronic and age-related disease (Sanofi), but also necessitates culturally sensitive access and trust-building approaches (The Culture Factor, 2026).</w:t>
      </w:r>
    </w:p>
    <w:p w14:paraId="3666A94F" w14:textId="77777777" w:rsidR="00387ACF" w:rsidRDefault="00B5775D">
      <w:pPr>
        <w:keepNext/>
        <w:spacing w:after="200" w:line="276" w:lineRule="auto"/>
        <w:jc w:val="center"/>
      </w:pPr>
      <w:r>
        <w:rPr>
          <w:noProof/>
        </w:rPr>
        <w:drawing>
          <wp:inline distT="0" distB="0" distL="0" distR="0" wp14:anchorId="68758EE4" wp14:editId="00F7A3AA">
            <wp:extent cx="4725191" cy="2964999"/>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725191" cy="2964999"/>
                    </a:xfrm>
                    <a:prstGeom prst="rect">
                      <a:avLst/>
                    </a:prstGeom>
                    <a:ln/>
                  </pic:spPr>
                </pic:pic>
              </a:graphicData>
            </a:graphic>
          </wp:inline>
        </w:drawing>
      </w:r>
    </w:p>
    <w:p w14:paraId="1B7A0A74" w14:textId="77777777" w:rsidR="00387ACF" w:rsidRDefault="00B5775D">
      <w:pPr>
        <w:pBdr>
          <w:top w:val="nil"/>
          <w:left w:val="nil"/>
          <w:bottom w:val="nil"/>
          <w:right w:val="nil"/>
          <w:between w:val="nil"/>
        </w:pBdr>
        <w:spacing w:line="240" w:lineRule="auto"/>
        <w:jc w:val="center"/>
        <w:rPr>
          <w:color w:val="4F81BD"/>
          <w:sz w:val="18"/>
          <w:szCs w:val="18"/>
        </w:rPr>
      </w:pPr>
      <w:r>
        <w:rPr>
          <w:b/>
          <w:bCs/>
          <w:color w:val="4F81BD"/>
          <w:sz w:val="18"/>
          <w:szCs w:val="18"/>
        </w:rPr>
        <w:t>Figure 7: R&amp;D Expenditure of Sanofi (Statista, 2026b)</w:t>
      </w:r>
    </w:p>
    <w:p w14:paraId="33EFB3F2" w14:textId="77777777" w:rsidR="00387ACF" w:rsidRDefault="00B5775D">
      <w:r>
        <w:rPr>
          <w:b/>
          <w:bCs/>
        </w:rPr>
        <w:t xml:space="preserve">Technological: </w:t>
      </w:r>
      <w:r>
        <w:t xml:space="preserve">Figure 7 indicates that in the year 2025, the R&amp;D expenditure reached a high of17.842 billion, demonstrating that the company had continued to invest in discovery and development. The AI-driven approach of Sanofi is designed to reduce the distance between discovery and therapy, and biotech, digital trials and manufacturing automation are reshaping industry economics. It is a huge opportunity, yet also a partnering capability that demands continuous upgrading and selective partnership (Statista, 2026b). </w:t>
      </w:r>
    </w:p>
    <w:p w14:paraId="0DD72069" w14:textId="77777777" w:rsidR="00387ACF" w:rsidRDefault="00B5775D">
      <w:r>
        <w:rPr>
          <w:b/>
          <w:bCs/>
        </w:rPr>
        <w:t xml:space="preserve">Environmental: </w:t>
      </w:r>
      <w:r>
        <w:t xml:space="preserve">The environmental demands of sustainability now go beyond carbon to wastewater, solvents, and drug use in the environment. Sanofi 2025 sustainability disclosures indicate a 49% drop in Scope 1 and 2 emissions since 2019 and achieve -55% by 2030 and net zero by 2045. This plays a strategic role as environmental performance is becoming a determining factor of investor confidence, site investment and supply-chain redesign (Sanofi, 2025b). </w:t>
      </w:r>
    </w:p>
    <w:p w14:paraId="593B313D" w14:textId="3A069898" w:rsidR="00435830" w:rsidRDefault="00B5775D">
      <w:r>
        <w:rPr>
          <w:b/>
          <w:bCs/>
        </w:rPr>
        <w:t xml:space="preserve">Legal: </w:t>
      </w:r>
      <w:r>
        <w:t xml:space="preserve">The protection of patents, pharmacovigilance, clinical-trial regulation, data control and product liability are core to value capture. Simultaneously, the Medicare drug-price </w:t>
      </w:r>
      <w:r>
        <w:lastRenderedPageBreak/>
        <w:t xml:space="preserve">negotiation in the United States demonstrates that legal reform can have a direct impact on pricing power and lifecycle strategy. In the case of Sanofi, legal pressures are not merely compliance concerns; they define market access, exclusivity management and long-term returns on R&amp;D (Martin, 2025). </w:t>
      </w:r>
    </w:p>
    <w:p w14:paraId="29D60B7E" w14:textId="21A407F0" w:rsidR="0037598B" w:rsidRDefault="0037598B">
      <w:r>
        <w:t>The main opportunities and threats identified from this PESTLE analysis include in the Appendix 1.</w:t>
      </w:r>
    </w:p>
    <w:p w14:paraId="47E08F9C" w14:textId="77777777" w:rsidR="00387ACF" w:rsidRDefault="00B5775D">
      <w:pPr>
        <w:pStyle w:val="Heading3"/>
      </w:pPr>
      <w:bookmarkStart w:id="6" w:name="_Toc228487489"/>
      <w:r>
        <w:t>2.2 Critical success factors and strategic challenges in the external environment</w:t>
      </w:r>
      <w:bookmarkEnd w:id="6"/>
    </w:p>
    <w:p w14:paraId="0CF22BDE" w14:textId="40B1D774" w:rsidR="00387ACF" w:rsidRPr="0037598B" w:rsidRDefault="00C43421">
      <w:pPr>
        <w:rPr>
          <w:b/>
          <w:bCs/>
        </w:rPr>
      </w:pPr>
      <w:r w:rsidRPr="00C43421">
        <w:t>Critical success factors are the few activities, capabilities or conditions that must be performed well by a firm if it is to achieve success in its industry and strategic goals (Whittington et al., 2020).</w:t>
      </w:r>
      <w:r>
        <w:t xml:space="preserve"> Strategic challenges are those conditions that undermine performance or complicate strategy implementation, and critical success factors are the small number of conditions that need to be handled effectively </w:t>
      </w:r>
      <w:r w:rsidR="00E97314">
        <w:t>to</w:t>
      </w:r>
      <w:r>
        <w:t xml:space="preserve"> succeed in an industry. R&amp;D productivity, pipeline quality, regulatory approval capability, IP strength, manufacturing reliability, market access, scientific trust and distribution reach are the primary critical success factors in pharmaceuticals, since these determine whether innovation can be translated into commercial and patient value (Debnath et al., 2023). </w:t>
      </w:r>
    </w:p>
    <w:p w14:paraId="41898F1B" w14:textId="77777777" w:rsidR="00387ACF" w:rsidRDefault="00B5775D">
      <w:r>
        <w:t xml:space="preserve">High cost and risk of failure in R&amp;D, patent cliffs, pricing and reimbursement pressure, tightening of regulations, vulnerability of supply, disruption and competition in specialty therapeutics, are the key strategic issues. The recent industry data indicates that low R&amp;D productivity is a structural issue, and patent expiry and reimbursement reform are slowly putting a pinch on margins and future funding of innovation (Schuhmacher et al., 2025). </w:t>
      </w:r>
    </w:p>
    <w:p w14:paraId="75B52103" w14:textId="6F79AB72" w:rsidR="0037598B" w:rsidRDefault="00B5775D">
      <w:r>
        <w:t>In the case of Sanofi, critical success factors are most important and include strong immunology and vaccines innovation, global launch capability and reliable manufacturing. The most significant strategic issues it faces include the ability to maintain pipeline productivity, returns protection amidst evolving pricing regulations, and not over-depending on a few growth drivers in a fast-changing biopharma environment (Sanofi, 2026a).</w:t>
      </w:r>
      <w:r w:rsidR="0037598B">
        <w:t xml:space="preserve"> The relevant success factors are identified in the Appendix 2.</w:t>
      </w:r>
    </w:p>
    <w:p w14:paraId="28E092B3" w14:textId="77777777" w:rsidR="00387ACF" w:rsidRDefault="00B5775D">
      <w:pPr>
        <w:pStyle w:val="Heading3"/>
      </w:pPr>
      <w:bookmarkStart w:id="7" w:name="_Toc228487490"/>
      <w:r>
        <w:t>2.3 Internal environment: resources, capabilities and core competencies</w:t>
      </w:r>
      <w:bookmarkEnd w:id="7"/>
    </w:p>
    <w:p w14:paraId="4A68A987" w14:textId="64C3B439" w:rsidR="00387ACF" w:rsidRDefault="00B5775D">
      <w:r>
        <w:t xml:space="preserve">The micro-environment or internal environment in terms of strategy is the internal capabilities and organisational attributes that the organisation possesses and affect performance. </w:t>
      </w:r>
      <w:r w:rsidR="00C43421" w:rsidRPr="00C43421">
        <w:t xml:space="preserve">Resources are the assets that a firm controls, and capabilities are the firm's ability to deploy </w:t>
      </w:r>
      <w:r w:rsidR="00C43421" w:rsidRPr="00C43421">
        <w:lastRenderedPageBreak/>
        <w:t>resources. Core competencies are capabilities that are important in creating value and achieving competitive advantage (Barney and Hesterly, 2021).</w:t>
      </w:r>
    </w:p>
    <w:p w14:paraId="2C3C8B58" w14:textId="77777777" w:rsidR="00387ACF" w:rsidRDefault="00B5775D">
      <w:pPr>
        <w:keepNext/>
        <w:spacing w:after="200" w:line="276" w:lineRule="auto"/>
        <w:jc w:val="center"/>
      </w:pPr>
      <w:r>
        <w:rPr>
          <w:noProof/>
        </w:rPr>
        <w:drawing>
          <wp:inline distT="0" distB="0" distL="0" distR="0" wp14:anchorId="374E5446" wp14:editId="5303DF04">
            <wp:extent cx="3453111" cy="2506358"/>
            <wp:effectExtent l="0" t="0" r="0" b="0"/>
            <wp:docPr id="8" name="image8.png" descr="Core Competence"/>
            <wp:cNvGraphicFramePr/>
            <a:graphic xmlns:a="http://schemas.openxmlformats.org/drawingml/2006/main">
              <a:graphicData uri="http://schemas.openxmlformats.org/drawingml/2006/picture">
                <pic:pic xmlns:pic="http://schemas.openxmlformats.org/drawingml/2006/picture">
                  <pic:nvPicPr>
                    <pic:cNvPr id="0" name="image8.png" descr="Core Competence"/>
                    <pic:cNvPicPr preferRelativeResize="0"/>
                  </pic:nvPicPr>
                  <pic:blipFill>
                    <a:blip r:embed="rId15"/>
                    <a:srcRect/>
                    <a:stretch>
                      <a:fillRect/>
                    </a:stretch>
                  </pic:blipFill>
                  <pic:spPr>
                    <a:xfrm>
                      <a:off x="0" y="0"/>
                      <a:ext cx="3453111" cy="2506358"/>
                    </a:xfrm>
                    <a:prstGeom prst="rect">
                      <a:avLst/>
                    </a:prstGeom>
                    <a:ln/>
                  </pic:spPr>
                </pic:pic>
              </a:graphicData>
            </a:graphic>
          </wp:inline>
        </w:drawing>
      </w:r>
    </w:p>
    <w:p w14:paraId="29BA66A4" w14:textId="77777777" w:rsidR="00387ACF" w:rsidRDefault="00B5775D">
      <w:pPr>
        <w:pBdr>
          <w:top w:val="nil"/>
          <w:left w:val="nil"/>
          <w:bottom w:val="nil"/>
          <w:right w:val="nil"/>
          <w:between w:val="nil"/>
        </w:pBdr>
        <w:spacing w:line="240" w:lineRule="auto"/>
        <w:jc w:val="center"/>
        <w:rPr>
          <w:b/>
          <w:bCs/>
          <w:color w:val="4F81BD"/>
          <w:sz w:val="18"/>
          <w:szCs w:val="18"/>
        </w:rPr>
      </w:pPr>
      <w:r>
        <w:rPr>
          <w:b/>
          <w:bCs/>
          <w:color w:val="4F81BD"/>
          <w:sz w:val="18"/>
          <w:szCs w:val="18"/>
        </w:rPr>
        <w:t xml:space="preserve">Figure 8: Resource-capability-core competence (Business Jargons, </w:t>
      </w:r>
      <w:r>
        <w:rPr>
          <w:color w:val="4F81BD"/>
          <w:sz w:val="18"/>
          <w:szCs w:val="18"/>
        </w:rPr>
        <w:t>2026</w:t>
      </w:r>
      <w:r>
        <w:rPr>
          <w:b/>
          <w:bCs/>
          <w:color w:val="4F81BD"/>
          <w:sz w:val="18"/>
          <w:szCs w:val="18"/>
        </w:rPr>
        <w:t>)</w:t>
      </w:r>
    </w:p>
    <w:p w14:paraId="6F0079D7" w14:textId="77777777" w:rsidR="00387ACF" w:rsidRDefault="00B5775D">
      <w:r>
        <w:rPr>
          <w:b/>
          <w:bCs/>
        </w:rPr>
        <w:t xml:space="preserve">Key resources: </w:t>
      </w:r>
      <w:r>
        <w:t xml:space="preserve">The first significant resource of Sanofi is its tangible one, i.e. the global manufacturing and supply chain. Sanofi says that it produces approximately 2 billion doses of medicines and vaccines each year with 37 production facilities and spends over 1billion each year to modernise and digitalise this network. This provides Sanofi with physical scale, reliability and flexibility that most competitors cannot easily imitate (Sanofi, 2026d). </w:t>
      </w:r>
    </w:p>
    <w:p w14:paraId="004F2C43" w14:textId="48EA4D1B" w:rsidR="00387ACF" w:rsidRDefault="00B5775D">
      <w:r>
        <w:t>Its second significant source is intellectual, its accrued intellectual property, scientific reputation and R&amp;D knowledge base. Figure 7 shows R&amp;D spending rising to €7.842 billion in 2025, which reflects not only expenditure but the continuing build-up of scientific learning, patents, data and regulatory know-how</w:t>
      </w:r>
      <w:r w:rsidR="00E97314">
        <w:t xml:space="preserve"> </w:t>
      </w:r>
      <w:r>
        <w:t xml:space="preserve">(Sanofi, 2026c). </w:t>
      </w:r>
    </w:p>
    <w:p w14:paraId="7861C341" w14:textId="77777777" w:rsidR="00387ACF" w:rsidRDefault="00B5775D">
      <w:r>
        <w:rPr>
          <w:b/>
          <w:bCs/>
        </w:rPr>
        <w:t>Key capabilities:</w:t>
      </w:r>
      <w:r>
        <w:t xml:space="preserve"> The first strength of Sanofi is the ability to develop drugs and vaccines end to end: the company can transition between discovery and clinical development, approval and large-scale commercialisation. The second is its partnership capability: Sanofi has been explicit in external innovation to establish value-creating collaborations to speed up R&amp;D and access to state-of-the-art science. They are capabilities since they are things that Sanofi can do many times, rather than merely things it possesses (Sanofi, 2026e). </w:t>
      </w:r>
    </w:p>
    <w:p w14:paraId="7F55EB94" w14:textId="2C6095B9" w:rsidR="00387ACF" w:rsidRDefault="00B5775D">
      <w:r>
        <w:rPr>
          <w:b/>
          <w:bCs/>
        </w:rPr>
        <w:t xml:space="preserve">Core competencies: </w:t>
      </w:r>
      <w:r>
        <w:t xml:space="preserve">The first core competence of Sanofi is immunology where the company integrates real-life, molecular and clinical data to build precision medicine in a range of immune-mediated diseases. The second is its expertise in vaccines, with a 100-year history of leadership, 500 million people vaccinated each year and about €1 billion yearly vaccine R&amp;D. These are core competencies in the sense that they combine </w:t>
      </w:r>
      <w:r>
        <w:lastRenderedPageBreak/>
        <w:t xml:space="preserve">knowledge, data, platforms, manufacturing and global reach in ways that can hardly be </w:t>
      </w:r>
      <w:proofErr w:type="spellStart"/>
      <w:r>
        <w:t>competed</w:t>
      </w:r>
      <w:proofErr w:type="spellEnd"/>
      <w:r>
        <w:t xml:space="preserve"> by rivals (Statista, 2026b). </w:t>
      </w:r>
    </w:p>
    <w:p w14:paraId="1E3B8567" w14:textId="77777777" w:rsidR="00387ACF" w:rsidRDefault="00B5775D">
      <w:pPr>
        <w:pStyle w:val="Heading3"/>
      </w:pPr>
      <w:bookmarkStart w:id="8" w:name="_Toc228487491"/>
      <w:r>
        <w:t>2.4 VRIO analysis of strategic capabilities</w:t>
      </w:r>
      <w:bookmarkEnd w:id="8"/>
    </w:p>
    <w:p w14:paraId="6C7984FA" w14:textId="11696CC8" w:rsidR="00387ACF" w:rsidRPr="00C43421" w:rsidRDefault="00C43421">
      <w:r w:rsidRPr="00C43421">
        <w:t>VRIO is a resource-based strategy analysis tool that assesses whether a company's resources and capabilities are valuable, rare, difficult to imitate and are organised to capture value. Resources and capabilities that are valuable, rare, costly to imitate and organised to capture value can be a source of sustainable competitive advantage (Barney and Hesterly, 2021).</w:t>
      </w:r>
    </w:p>
    <w:p w14:paraId="0CEF4C61" w14:textId="77777777" w:rsidR="00387ACF" w:rsidRDefault="00B5775D">
      <w:pPr>
        <w:keepNext/>
        <w:spacing w:after="200" w:line="276" w:lineRule="auto"/>
        <w:jc w:val="center"/>
      </w:pPr>
      <w:r>
        <w:rPr>
          <w:b/>
          <w:bCs/>
          <w:noProof/>
        </w:rPr>
        <w:drawing>
          <wp:inline distT="0" distB="0" distL="0" distR="0" wp14:anchorId="568F7CBC" wp14:editId="59B121CB">
            <wp:extent cx="3012930" cy="2931199"/>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3012930" cy="2931199"/>
                    </a:xfrm>
                    <a:prstGeom prst="rect">
                      <a:avLst/>
                    </a:prstGeom>
                    <a:ln/>
                  </pic:spPr>
                </pic:pic>
              </a:graphicData>
            </a:graphic>
          </wp:inline>
        </w:drawing>
      </w:r>
    </w:p>
    <w:p w14:paraId="5351EBE5" w14:textId="77777777" w:rsidR="00387ACF" w:rsidRDefault="00B5775D">
      <w:pPr>
        <w:pBdr>
          <w:top w:val="nil"/>
          <w:left w:val="nil"/>
          <w:bottom w:val="nil"/>
          <w:right w:val="nil"/>
          <w:between w:val="nil"/>
        </w:pBdr>
        <w:spacing w:line="240" w:lineRule="auto"/>
        <w:jc w:val="center"/>
        <w:rPr>
          <w:b/>
          <w:bCs/>
          <w:color w:val="4F81BD"/>
          <w:sz w:val="18"/>
          <w:szCs w:val="18"/>
        </w:rPr>
      </w:pPr>
      <w:r>
        <w:rPr>
          <w:b/>
          <w:bCs/>
          <w:color w:val="4F81BD"/>
          <w:sz w:val="18"/>
          <w:szCs w:val="18"/>
        </w:rPr>
        <w:t>Figure 9: VRIO Analysis (</w:t>
      </w:r>
      <w:proofErr w:type="spellStart"/>
      <w:r>
        <w:rPr>
          <w:b/>
          <w:bCs/>
          <w:color w:val="4F81BD"/>
          <w:sz w:val="18"/>
          <w:szCs w:val="18"/>
        </w:rPr>
        <w:t>OnStrategy</w:t>
      </w:r>
      <w:proofErr w:type="spellEnd"/>
      <w:r>
        <w:rPr>
          <w:b/>
          <w:bCs/>
          <w:color w:val="4F81BD"/>
          <w:sz w:val="18"/>
          <w:szCs w:val="18"/>
        </w:rPr>
        <w:t xml:space="preserve">, </w:t>
      </w:r>
      <w:r>
        <w:rPr>
          <w:color w:val="4F81BD"/>
          <w:sz w:val="18"/>
          <w:szCs w:val="18"/>
        </w:rPr>
        <w:t>2026</w:t>
      </w:r>
      <w:r>
        <w:rPr>
          <w:b/>
          <w:bCs/>
          <w:color w:val="4F81BD"/>
          <w:sz w:val="18"/>
          <w:szCs w:val="18"/>
        </w:rPr>
        <w:t>)</w:t>
      </w:r>
    </w:p>
    <w:p w14:paraId="08D3950C" w14:textId="77777777" w:rsidR="00387ACF" w:rsidRDefault="00B5775D">
      <w:r>
        <w:t xml:space="preserve">The ability of Sanofi to manufacture and supply vaccines to quality, reach and reliability on a global scale is of great value as it is relatively scarce due to the few firms able to integrate 37 locations and lead in the vaccine domain; it is difficult to replicate because it relies on the accumulated know-how, regulatory framework and capital expenditure; and Sanofi is structured in a way that it can use it by digitising </w:t>
      </w:r>
      <w:proofErr w:type="spellStart"/>
      <w:r>
        <w:t>its</w:t>
      </w:r>
      <w:proofErr w:type="spellEnd"/>
      <w:r>
        <w:t xml:space="preserve"> This implies potential long-term benefit (Sanofi, 2026d). </w:t>
      </w:r>
    </w:p>
    <w:p w14:paraId="3809B391" w14:textId="77777777" w:rsidR="00387ACF" w:rsidRDefault="00B5775D">
      <w:r>
        <w:t xml:space="preserve">Its core competency R&amp;D and pipeline ability is useful as it leads to future expansion, uncommon since it builds on rigorous immunology expertise, and un-copyable since competitors cannot replicate entrenched scientific information and protocols rapidly. Another model that Sanofi is structured around is an R&amp;D-driven, AI-powered model that enhances appropriation; this is a strong but execution-dependent advantage (Sanofi, 2026a). </w:t>
      </w:r>
    </w:p>
    <w:p w14:paraId="673AA315" w14:textId="497F5B8B" w:rsidR="00387ACF" w:rsidRDefault="00B5775D">
      <w:r>
        <w:lastRenderedPageBreak/>
        <w:t>Its regulatory and launch potential are globally valuable, but not as unusual, as a number of large peers have similar systems, so this is more akin to competitive parity with some differentiating strength. In comparison, intellectual property and scientific reputation are unique and hard to replicate, whereas strategic partnership capability is becoming more significant as Sanofi rushes to use partnerships in order to speed up innovation and bridge capability gaps (Sanofi, 2026e).</w:t>
      </w:r>
      <w:r w:rsidR="0037598B">
        <w:t xml:space="preserve"> </w:t>
      </w:r>
      <w:proofErr w:type="gramStart"/>
      <w:r w:rsidR="0037598B">
        <w:t>Also</w:t>
      </w:r>
      <w:proofErr w:type="gramEnd"/>
      <w:r w:rsidR="0037598B">
        <w:t xml:space="preserve"> the key capabilities analysed in this VRIO analysis are included in the Appendix 3.</w:t>
      </w:r>
    </w:p>
    <w:p w14:paraId="4F8F3B90" w14:textId="77777777" w:rsidR="00387ACF" w:rsidRDefault="00B5775D">
      <w:pPr>
        <w:pStyle w:val="Heading3"/>
      </w:pPr>
      <w:bookmarkStart w:id="9" w:name="_Toc228487492"/>
      <w:r>
        <w:t>2.5 Internal strengths and competitive advantage</w:t>
      </w:r>
      <w:bookmarkEnd w:id="9"/>
    </w:p>
    <w:p w14:paraId="44ECE279" w14:textId="77777777" w:rsidR="00387ACF" w:rsidRDefault="00B5775D">
      <w:r>
        <w:t xml:space="preserve">Internal strengths refer to the internal factors that enhance performance and assist the firm to take advantage of opportunities or counter threats. The science base, scale of manufacturing, vaccines heritage, partnering reach and regulatory-commercial implementation are the most crucial strengths of Sanofi in its case. These capabilities enable the company to address regulatory complexity, differentiated innovation to compete, lower external risk by being global and translating research into global patient impact (Sanofi, 2026a). </w:t>
      </w:r>
    </w:p>
    <w:p w14:paraId="024798F7" w14:textId="77777777" w:rsidR="0087558F" w:rsidRDefault="00B5775D">
      <w:r>
        <w:t>Nonetheless, the strengths are not equally resilient. Manufacturing scale and vaccines expertise are deeply embedded, whereas some innovation advantages depend on continued pipeline productivity and successful launch execution in a sector where R&amp;D productivity remains structurally difficult (Schuhmacher et al., 2025).</w:t>
      </w:r>
    </w:p>
    <w:p w14:paraId="4EB909A8" w14:textId="48BC7E57" w:rsidR="00387ACF" w:rsidRDefault="00B5775D">
      <w:r>
        <w:br w:type="page"/>
      </w:r>
    </w:p>
    <w:p w14:paraId="2BB459BC" w14:textId="77777777" w:rsidR="00387ACF" w:rsidRDefault="00B5775D">
      <w:pPr>
        <w:pStyle w:val="Heading2"/>
      </w:pPr>
      <w:bookmarkStart w:id="10" w:name="_Toc228487493"/>
      <w:r>
        <w:lastRenderedPageBreak/>
        <w:t>3. CSR Strategy and Sustainability Objectives</w:t>
      </w:r>
      <w:bookmarkEnd w:id="10"/>
    </w:p>
    <w:p w14:paraId="40E343C2" w14:textId="44AD9625" w:rsidR="00387ACF" w:rsidRDefault="00C43421">
      <w:r w:rsidRPr="00C43421">
        <w:t xml:space="preserve">Corporate social responsibility is the consideration of ethical, social and environmental factors in business practices and relationships with stakeholders. Sustainability is the capacity of organisations to generate long-term economic, social and environmental benefits without compromising future resources and stakeholder interests (Ahmed et al., 2021). </w:t>
      </w:r>
      <w:r>
        <w:t xml:space="preserve"> Strategically in the pharmaceutical sector, companies are under intense scrutiny of the public regarding access, prices, trust and environmental concerns. Pharmaceutical research indicates that CSR has a greater impact on organisational performance when it is a part of strategy, stakeholder confidence and long-term value creation than when it is seen as mere reputation management (Ahmed et al., 2021).</w:t>
      </w:r>
    </w:p>
    <w:p w14:paraId="69AB47BC" w14:textId="77777777" w:rsidR="00387ACF" w:rsidRDefault="00B5775D">
      <w:pPr>
        <w:keepNext/>
        <w:spacing w:after="200" w:line="276" w:lineRule="auto"/>
        <w:jc w:val="center"/>
      </w:pPr>
      <w:r>
        <w:rPr>
          <w:noProof/>
        </w:rPr>
        <w:drawing>
          <wp:inline distT="0" distB="0" distL="0" distR="0" wp14:anchorId="7B6A5F5B" wp14:editId="3AD91481">
            <wp:extent cx="5418161" cy="2925852"/>
            <wp:effectExtent l="0" t="0" r="0" b="0"/>
            <wp:docPr id="10" name="image10.png" descr="Infographic: 'Impact in 2025' highlighting Sanofi's key achievements - 119K+ patients reached, $12.4M+ community investment, 15,000+ volunteer hours,  75%+ of pipeline targets addressing climate-exacerbated diseases. and also 3.9k Employees participated in volunteer programs."/>
            <wp:cNvGraphicFramePr/>
            <a:graphic xmlns:a="http://schemas.openxmlformats.org/drawingml/2006/main">
              <a:graphicData uri="http://schemas.openxmlformats.org/drawingml/2006/picture">
                <pic:pic xmlns:pic="http://schemas.openxmlformats.org/drawingml/2006/picture">
                  <pic:nvPicPr>
                    <pic:cNvPr id="0" name="image10.png" descr="Infographic: 'Impact in 2025' highlighting Sanofi's key achievements - 119K+ patients reached, $12.4M+ community investment, 15,000+ volunteer hours,  75%+ of pipeline targets addressing climate-exacerbated diseases. and also 3.9k Employees participated in volunteer programs."/>
                    <pic:cNvPicPr preferRelativeResize="0"/>
                  </pic:nvPicPr>
                  <pic:blipFill>
                    <a:blip r:embed="rId17"/>
                    <a:srcRect/>
                    <a:stretch>
                      <a:fillRect/>
                    </a:stretch>
                  </pic:blipFill>
                  <pic:spPr>
                    <a:xfrm>
                      <a:off x="0" y="0"/>
                      <a:ext cx="5418161" cy="2925852"/>
                    </a:xfrm>
                    <a:prstGeom prst="rect">
                      <a:avLst/>
                    </a:prstGeom>
                    <a:ln/>
                  </pic:spPr>
                </pic:pic>
              </a:graphicData>
            </a:graphic>
          </wp:inline>
        </w:drawing>
      </w:r>
    </w:p>
    <w:p w14:paraId="6AEBE477" w14:textId="77777777" w:rsidR="00387ACF" w:rsidRDefault="00B5775D">
      <w:pPr>
        <w:pBdr>
          <w:top w:val="nil"/>
          <w:left w:val="nil"/>
          <w:bottom w:val="nil"/>
          <w:right w:val="nil"/>
          <w:between w:val="nil"/>
        </w:pBdr>
        <w:spacing w:line="240" w:lineRule="auto"/>
        <w:jc w:val="center"/>
        <w:rPr>
          <w:color w:val="4F81BD"/>
          <w:sz w:val="18"/>
          <w:szCs w:val="18"/>
        </w:rPr>
      </w:pPr>
      <w:r>
        <w:rPr>
          <w:b/>
          <w:bCs/>
          <w:color w:val="4F81BD"/>
          <w:sz w:val="18"/>
          <w:szCs w:val="18"/>
        </w:rPr>
        <w:t>Figure 10: CSR Impact (Sanofi, 2025a)</w:t>
      </w:r>
    </w:p>
    <w:p w14:paraId="76A89C05" w14:textId="77777777" w:rsidR="00387ACF" w:rsidRDefault="00B5775D">
      <w:r>
        <w:t>The present CSR agenda of Sanofi is conspicuously integrated into its model of operation. Figure 10 reveals quantifiable 2025 results, such as 119K+ patients served, $12.4M+ community investment, 15,000+ volunteer hours, 3.9K employees participating in volunteer programmes and 75%+ of pipeline targets associated with diseases exacerbated by climate change. These results correspond to the renewed AIR sustainability strategy of Sanofi, which revolves around Access to healthcare, Environmental impact, and Resilience of healthcare systems. This implies that the company is not marketing CSR as a stand-alone philanthropic programme, but as a model that links access, climate, operations and health-system resilience to business continuity and legitimacy (Sanofi, 2025a).</w:t>
      </w:r>
    </w:p>
    <w:p w14:paraId="3D765025" w14:textId="1E158557" w:rsidR="00387ACF" w:rsidRDefault="00B5775D">
      <w:r>
        <w:lastRenderedPageBreak/>
        <w:t>The fundamental business strategies of Sanofi are innovation-driven expansion, pipeline growth, expansion in priority therapeutic focus, long term shareholder value, brand trust and stakeholder legitimacy. Its CSR strategy seems to be widely consistent with these goals since the enhancement of accessibility enhances legitimacy, environmental intervention safeguards the resilience of operations, and responsible governance promotes the trust in a science-oriented industry</w:t>
      </w:r>
      <w:r w:rsidR="003D730B">
        <w:t xml:space="preserve"> </w:t>
      </w:r>
      <w:r>
        <w:t xml:space="preserve">(Sanofi, 2025c).  </w:t>
      </w:r>
    </w:p>
    <w:p w14:paraId="7EED7DAB" w14:textId="77777777" w:rsidR="00387ACF" w:rsidRDefault="00B5775D">
      <w:pPr>
        <w:spacing w:after="200" w:line="276" w:lineRule="auto"/>
        <w:jc w:val="left"/>
      </w:pPr>
      <w:r>
        <w:br w:type="page"/>
      </w:r>
    </w:p>
    <w:p w14:paraId="77FB0E57" w14:textId="77777777" w:rsidR="00387ACF" w:rsidRDefault="00B5775D">
      <w:pPr>
        <w:pStyle w:val="Heading2"/>
      </w:pPr>
      <w:bookmarkStart w:id="11" w:name="_Toc228487494"/>
      <w:r>
        <w:lastRenderedPageBreak/>
        <w:t>4. Comprehensive and Holistic View Sanofi</w:t>
      </w:r>
      <w:bookmarkEnd w:id="11"/>
    </w:p>
    <w:p w14:paraId="75621E4E" w14:textId="59414685" w:rsidR="00387ACF" w:rsidRDefault="003D730B">
      <w:r w:rsidRPr="003D730B">
        <w:t>The Balanced Scorecard (Kaplan and Norton, 1992) is the strategic management model that aims at converting the organizational strategy into quantifiable objectives in four main perspectives: financial, customer, internal business processes and learning and growth. It is particularly useful for biopharmaceutical companies like Sanofi, where success cannot be solely measured by financial outcomes but must also include scientific productivity, patient access, launch effectiveness, and organizational learning.</w:t>
      </w:r>
    </w:p>
    <w:p w14:paraId="0EC419D7" w14:textId="1AEE502C" w:rsidR="009161EB" w:rsidRPr="009161EB" w:rsidRDefault="003D730B" w:rsidP="003D730B">
      <w:pPr>
        <w:pStyle w:val="Heading3"/>
      </w:pPr>
      <w:bookmarkStart w:id="12" w:name="_Toc228487495"/>
      <w:r>
        <w:t xml:space="preserve">4.1 </w:t>
      </w:r>
      <w:r w:rsidR="009161EB" w:rsidRPr="009161EB">
        <w:t>Financial Perspective</w:t>
      </w:r>
      <w:bookmarkEnd w:id="12"/>
    </w:p>
    <w:p w14:paraId="142005C1" w14:textId="3A3B17FE" w:rsidR="009161EB" w:rsidRDefault="003D730B" w:rsidP="009161EB">
      <w:r w:rsidRPr="003D730B">
        <w:t>Sanofi financial perspective is concerned with the capacity of the company to earn revenue, raise profitability and shareholder value by implementing strategic investments in R&amp;D and innovation. The biopharmaceutical industry heavily depends on financial performance, yet it should not be considered independently, metrics of innovation, market penetration, and patient outcomes should also be combined.</w:t>
      </w:r>
    </w:p>
    <w:p w14:paraId="2F32A5E3" w14:textId="77777777" w:rsidR="009161EB" w:rsidRDefault="009161EB" w:rsidP="009161EB">
      <w:pPr>
        <w:keepNext/>
        <w:spacing w:after="200" w:line="276" w:lineRule="auto"/>
        <w:jc w:val="center"/>
      </w:pPr>
      <w:r>
        <w:rPr>
          <w:noProof/>
        </w:rPr>
        <w:drawing>
          <wp:inline distT="0" distB="0" distL="0" distR="0" wp14:anchorId="7B65FA80" wp14:editId="1247FF48">
            <wp:extent cx="4185971" cy="3095224"/>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185971" cy="3095224"/>
                    </a:xfrm>
                    <a:prstGeom prst="rect">
                      <a:avLst/>
                    </a:prstGeom>
                    <a:ln/>
                  </pic:spPr>
                </pic:pic>
              </a:graphicData>
            </a:graphic>
          </wp:inline>
        </w:drawing>
      </w:r>
    </w:p>
    <w:p w14:paraId="00CC0D9B" w14:textId="6F192D84" w:rsidR="009161EB" w:rsidRPr="009161EB" w:rsidRDefault="009161EB" w:rsidP="009161EB">
      <w:pPr>
        <w:pBdr>
          <w:top w:val="nil"/>
          <w:left w:val="nil"/>
          <w:bottom w:val="nil"/>
          <w:right w:val="nil"/>
          <w:between w:val="nil"/>
        </w:pBdr>
        <w:spacing w:line="240" w:lineRule="auto"/>
        <w:jc w:val="center"/>
        <w:rPr>
          <w:color w:val="4F81BD"/>
          <w:sz w:val="18"/>
          <w:szCs w:val="18"/>
        </w:rPr>
      </w:pPr>
      <w:r>
        <w:rPr>
          <w:b/>
          <w:bCs/>
          <w:color w:val="4F81BD"/>
          <w:sz w:val="18"/>
          <w:szCs w:val="18"/>
        </w:rPr>
        <w:t>Figure 5: Revenue of Sanofi (Statista, 2026a)</w:t>
      </w:r>
    </w:p>
    <w:p w14:paraId="08336AA7" w14:textId="0BE98583" w:rsidR="00387ACF" w:rsidRDefault="003D730B">
      <w:r w:rsidRPr="003D730B">
        <w:t xml:space="preserve">The revenue of the company has increased to reach to €43.6 billion in the year 2025 as compared to the year 2021 since the firm has been able to merge innovation and financial discipline as seen in Figure 5. Moreover, Figure 6 demonstrates that in 2022, sales increased by 7.0% and EPS by 17.1, which is a good result due to the high-margin therapeutic areas and selective partnerships (Statista, 2026a). Some of the key KPIs are </w:t>
      </w:r>
      <w:r w:rsidRPr="003D730B">
        <w:lastRenderedPageBreak/>
        <w:t>revenue growth, operating margin, business EPS, cash flow, and R&amp;D productivity. Sanofi has financial strategy oriented towards its mission of generating long-term shareholder value and it is supported by strategic focus on high-growth therapeutic areas like immunology, vaccines.</w:t>
      </w:r>
    </w:p>
    <w:p w14:paraId="0D75F9FA" w14:textId="31F1FFB6" w:rsidR="00C30E9E" w:rsidRPr="00C30E9E" w:rsidRDefault="003D730B" w:rsidP="003D730B">
      <w:pPr>
        <w:pStyle w:val="Heading3"/>
      </w:pPr>
      <w:bookmarkStart w:id="13" w:name="_Toc228487496"/>
      <w:r>
        <w:t xml:space="preserve">4.2 </w:t>
      </w:r>
      <w:r w:rsidR="00C30E9E" w:rsidRPr="00C30E9E">
        <w:t>Customer Perspective</w:t>
      </w:r>
      <w:bookmarkEnd w:id="13"/>
    </w:p>
    <w:p w14:paraId="7D48AD33" w14:textId="77777777" w:rsidR="003D730B" w:rsidRDefault="003D730B" w:rsidP="003D730B">
      <w:r>
        <w:t xml:space="preserve">The Balanced Scorecard of Sanofi </w:t>
      </w:r>
      <w:proofErr w:type="spellStart"/>
      <w:r>
        <w:t>analyzes</w:t>
      </w:r>
      <w:proofErr w:type="spellEnd"/>
      <w:r>
        <w:t xml:space="preserve"> the customer perspective, which evaluates how the company can enhance the patient outcomes, access to treatments and the trust of the stakeholders. With the changing landscape of the healthcare industry, it is imperative that pharmaceutical companies such as Sanofi should not only offer effective remedies but also make them accessible and socially acceptable in a variety of markets.</w:t>
      </w:r>
    </w:p>
    <w:p w14:paraId="61B224E1" w14:textId="682977E2" w:rsidR="00C30E9E" w:rsidRPr="00C30E9E" w:rsidRDefault="003D730B" w:rsidP="003D730B">
      <w:r>
        <w:t>Figure 10 shows that Sanofi has provided patient support to more than 119,000 patients around the world with its patient support programs and invested 12.4M in community programs (Sanofi, 2025a). This shows how the firm incorporates social impact in its business plan. The main KPIs are access to patients, use of novel therapies, trust among the stakeholders and market share in priority treatment. Patient assistance programs, affordability support, and greater scientific interaction with healthcare professionals are some of the initiatives that ensure that the products of Sanofi are accessible to the individuals that will benefit the most, building brand loyalty and market adoption.</w:t>
      </w:r>
    </w:p>
    <w:p w14:paraId="2E117F78" w14:textId="518A3268" w:rsidR="00C30E9E" w:rsidRPr="00C30E9E" w:rsidRDefault="003D730B" w:rsidP="003D730B">
      <w:pPr>
        <w:pStyle w:val="Heading3"/>
      </w:pPr>
      <w:bookmarkStart w:id="14" w:name="_Toc228487497"/>
      <w:r>
        <w:t xml:space="preserve">4.3 </w:t>
      </w:r>
      <w:r w:rsidR="00C30E9E" w:rsidRPr="00C30E9E">
        <w:t>Internal Business Processes Perspective</w:t>
      </w:r>
      <w:bookmarkEnd w:id="14"/>
    </w:p>
    <w:p w14:paraId="40AAF5F5" w14:textId="77777777" w:rsidR="003D730B" w:rsidRDefault="003D730B" w:rsidP="003D730B">
      <w:r>
        <w:t>The internal business processes approach analyses the effectiveness with which Sanofi can transform its scientific innovations in scalable, compliant, and commercially viable products. The R&amp;D productivity, regulatory approvals, manufacturing reliability and time-to-market of new products are some of the factors that have ensured the company sustains competitive edge.</w:t>
      </w:r>
    </w:p>
    <w:p w14:paraId="5E4928B9" w14:textId="79AA992F" w:rsidR="00C30E9E" w:rsidRPr="00C30E9E" w:rsidRDefault="003D730B" w:rsidP="003D730B">
      <w:r>
        <w:t>The R&amp;D spending of Sanofi has increased to 7.84 billion in 2025 (Figure 7), which reflects its interest in scientific discovery. Also, the rate of regulatory approvals at Sanofi is on the increase, as six approvals have been announced in the first quarter of 2025, which means that internal procedures bear the final fruits (Sanofi, 2025b). KPIs for this perspective include clinical progression rates, manufacturing reliability, time-to-market, and product quality. Ongoing investment in digital R&amp;D and AI-based drug discovery will also propel the company to become efficient and innovative in the product development pipeline.</w:t>
      </w:r>
    </w:p>
    <w:p w14:paraId="35878077" w14:textId="7507318B" w:rsidR="00C30E9E" w:rsidRPr="00C30E9E" w:rsidRDefault="003D730B" w:rsidP="003D730B">
      <w:pPr>
        <w:pStyle w:val="Heading3"/>
      </w:pPr>
      <w:bookmarkStart w:id="15" w:name="_Toc228487498"/>
      <w:r>
        <w:lastRenderedPageBreak/>
        <w:t xml:space="preserve">4.4 </w:t>
      </w:r>
      <w:r w:rsidR="00C30E9E" w:rsidRPr="00C30E9E">
        <w:t>Learning and Growth Perspective</w:t>
      </w:r>
      <w:bookmarkEnd w:id="15"/>
    </w:p>
    <w:p w14:paraId="4A64232D" w14:textId="77777777" w:rsidR="003D730B" w:rsidRDefault="003D730B" w:rsidP="003D730B">
      <w:r>
        <w:t>Learning and growth perspective is aimed at long-term human capital, digital skills, and organizational culture development. Sanofi understands that to be competitive, it should encourage a culture of innovation and cooperation with other organizations and perennial learning, particularly, in the face of the growing role of AI and digital transformation.</w:t>
      </w:r>
    </w:p>
    <w:p w14:paraId="0FE82732" w14:textId="4F357C92" w:rsidR="00C30E9E" w:rsidRPr="00C30E9E" w:rsidRDefault="003D730B" w:rsidP="003D730B">
      <w:r>
        <w:t xml:space="preserve">Sanofi’s emphasis on enhancing scientific talent, building a culture of innovation, and increasing cross-functional collaboration aligns with its long-term goals. This perception has KPIs such as employee growth, leadership diversity, digital competency, and employee engagement. Sanofi has made significant investments in its leadership, AI and data training, and redesigning of its organization to stay agile and the leader in biopharma innovation (Sanofi, 2026). </w:t>
      </w:r>
    </w:p>
    <w:p w14:paraId="28505DF7" w14:textId="77777777" w:rsidR="00387ACF" w:rsidRDefault="00B5775D">
      <w:pPr>
        <w:spacing w:after="200" w:line="276" w:lineRule="auto"/>
        <w:jc w:val="left"/>
      </w:pPr>
      <w:r>
        <w:br w:type="page"/>
      </w:r>
    </w:p>
    <w:p w14:paraId="2E3191E4" w14:textId="77777777" w:rsidR="00387ACF" w:rsidRDefault="00B5775D">
      <w:pPr>
        <w:pStyle w:val="Heading2"/>
      </w:pPr>
      <w:bookmarkStart w:id="16" w:name="_Toc228487499"/>
      <w:r>
        <w:lastRenderedPageBreak/>
        <w:t>5. Strategic Choices and Implementation</w:t>
      </w:r>
      <w:bookmarkEnd w:id="16"/>
    </w:p>
    <w:p w14:paraId="3EB6A468" w14:textId="446A7931" w:rsidR="00387ACF" w:rsidRDefault="00B5775D">
      <w:r>
        <w:t xml:space="preserve">The business level strategy relates to the way a firm competes in a given market and the corporate level strategy deals with the scope of the </w:t>
      </w:r>
      <w:r w:rsidR="00C30E9E">
        <w:t>firm, portfolio</w:t>
      </w:r>
      <w:r>
        <w:t xml:space="preserve"> and direction. Strategically speaking, business-level decisions decide on the foundation of the competitive advantage, whereas corporate-level decisions decide where the company needs to invest, divest and expand. In the case of Sanofi, these two levels should be tightly coupled since it operates in a science-based business, where innovation, scale and portfolio discipline directly interrelate with long-term value creation (Whittington et al., 2020). </w:t>
      </w:r>
    </w:p>
    <w:p w14:paraId="4313B724" w14:textId="39E99144" w:rsidR="00C30E9E" w:rsidRDefault="003D730B" w:rsidP="003D730B">
      <w:pPr>
        <w:pStyle w:val="Heading3"/>
      </w:pPr>
      <w:bookmarkStart w:id="17" w:name="_Toc228487500"/>
      <w:r>
        <w:t xml:space="preserve">5.1 </w:t>
      </w:r>
      <w:r w:rsidR="00C30E9E" w:rsidRPr="00C30E9E">
        <w:t>Business-Level Strategy: Differentiation and Innovation</w:t>
      </w:r>
      <w:bookmarkEnd w:id="17"/>
    </w:p>
    <w:p w14:paraId="7FCDF5AE" w14:textId="2A7A0275" w:rsidR="00387ACF" w:rsidRDefault="00C43421">
      <w:r w:rsidRPr="00C43421">
        <w:t xml:space="preserve">Business-level strategy is concerned with how a firm competes in a particular market, whereas corporate-level strategy is concerned with the scope of the organisation, including what businesses, markets or product lines it should be in (Whittington et al., 2020). </w:t>
      </w:r>
      <w:r>
        <w:t xml:space="preserve"> The primary path of cost leadership is not suitable since the pharmaceuticals are mostly competing based on scientific innovation, regulatory credibility, product efficacy and trust and not on the low price alone. The most appropriate solution can thus be seen in innovation-based differentiation, complemented by targeted differentiation in high-value therapeutic sectors like immunology, rare disease and vaccines where Sanofi has higher capabilities and better legitimacy compared to broad undifferentiated competition (Sanofi, 2026a).</w:t>
      </w:r>
    </w:p>
    <w:p w14:paraId="1B57147E" w14:textId="77777777" w:rsidR="00387ACF" w:rsidRDefault="00B5775D">
      <w:pPr>
        <w:keepNext/>
        <w:spacing w:after="200" w:line="276" w:lineRule="auto"/>
        <w:jc w:val="center"/>
      </w:pPr>
      <w:r>
        <w:rPr>
          <w:noProof/>
        </w:rPr>
        <w:drawing>
          <wp:inline distT="0" distB="0" distL="0" distR="0" wp14:anchorId="1E6EE6A3" wp14:editId="1F92BE5A">
            <wp:extent cx="4202656" cy="2357460"/>
            <wp:effectExtent l="0" t="0" r="0" b="0"/>
            <wp:docPr id="13" name="image12.png" descr="A Million Conversations: Bridging Trust Gap | Sanofi"/>
            <wp:cNvGraphicFramePr/>
            <a:graphic xmlns:a="http://schemas.openxmlformats.org/drawingml/2006/main">
              <a:graphicData uri="http://schemas.openxmlformats.org/drawingml/2006/picture">
                <pic:pic xmlns:pic="http://schemas.openxmlformats.org/drawingml/2006/picture">
                  <pic:nvPicPr>
                    <pic:cNvPr id="0" name="image12.png" descr="A Million Conversations: Bridging Trust Gap | Sanofi"/>
                    <pic:cNvPicPr preferRelativeResize="0"/>
                  </pic:nvPicPr>
                  <pic:blipFill>
                    <a:blip r:embed="rId18"/>
                    <a:srcRect/>
                    <a:stretch>
                      <a:fillRect/>
                    </a:stretch>
                  </pic:blipFill>
                  <pic:spPr>
                    <a:xfrm>
                      <a:off x="0" y="0"/>
                      <a:ext cx="4202656" cy="2357460"/>
                    </a:xfrm>
                    <a:prstGeom prst="rect">
                      <a:avLst/>
                    </a:prstGeom>
                    <a:ln/>
                  </pic:spPr>
                </pic:pic>
              </a:graphicData>
            </a:graphic>
          </wp:inline>
        </w:drawing>
      </w:r>
    </w:p>
    <w:p w14:paraId="76B9D80C" w14:textId="77777777" w:rsidR="00387ACF" w:rsidRDefault="00B5775D">
      <w:pPr>
        <w:pBdr>
          <w:top w:val="nil"/>
          <w:left w:val="nil"/>
          <w:bottom w:val="nil"/>
          <w:right w:val="nil"/>
          <w:between w:val="nil"/>
        </w:pBdr>
        <w:spacing w:line="240" w:lineRule="auto"/>
        <w:jc w:val="center"/>
        <w:rPr>
          <w:color w:val="4F81BD"/>
          <w:sz w:val="18"/>
          <w:szCs w:val="18"/>
        </w:rPr>
      </w:pPr>
      <w:r>
        <w:rPr>
          <w:b/>
          <w:bCs/>
          <w:color w:val="4F81BD"/>
          <w:sz w:val="18"/>
          <w:szCs w:val="18"/>
        </w:rPr>
        <w:t>Figure 11: Bridging Trust Gap (Sanofi, 2026b)</w:t>
      </w:r>
    </w:p>
    <w:p w14:paraId="52A23FFE" w14:textId="0BB238B0" w:rsidR="00387ACF" w:rsidRDefault="00B5775D">
      <w:r>
        <w:t xml:space="preserve">The second layer of business level differentiation must be; </w:t>
      </w:r>
      <w:proofErr w:type="gramStart"/>
      <w:r>
        <w:t>trust based</w:t>
      </w:r>
      <w:proofErr w:type="gramEnd"/>
      <w:r>
        <w:t xml:space="preserve"> differentiation. As indicated in Figure 11, the inclusion initiative of A Million Conversations at Sanofi has now been extended to 11 countries, a fact that indicates that the company is striving to </w:t>
      </w:r>
      <w:r>
        <w:lastRenderedPageBreak/>
        <w:t xml:space="preserve">differentiate itself not just by science, but also by reliable interaction with various communities. This is important since competition in pharmaceuticals is becoming more and more reliant on access, credibility and perceived legitimacy among stakeholders, particularly in vaccines and chronic disease control (Sanofi, 2026b). </w:t>
      </w:r>
    </w:p>
    <w:p w14:paraId="5C01E8B3" w14:textId="1200F37B" w:rsidR="00C30E9E" w:rsidRDefault="003D730B" w:rsidP="003D730B">
      <w:pPr>
        <w:pStyle w:val="Heading3"/>
      </w:pPr>
      <w:bookmarkStart w:id="18" w:name="_Toc228487501"/>
      <w:r>
        <w:t xml:space="preserve">5.2 </w:t>
      </w:r>
      <w:r w:rsidR="00C30E9E" w:rsidRPr="00C30E9E">
        <w:t>Corporate-Level Strategy: Focused Diversification</w:t>
      </w:r>
      <w:bookmarkEnd w:id="18"/>
    </w:p>
    <w:p w14:paraId="357DC206" w14:textId="77777777" w:rsidR="00387ACF" w:rsidRDefault="00B5775D">
      <w:r>
        <w:t>Corporate level options, which are the most applicable are portfolio focus, related diversification, strategic partnerships, selective acquisition and market development. Diversification that is unrelated is less appropriate since it would spread resources and the focus of the management team is no longer on specialised capabilities required in biopharma. This is best supported by the fact that after the transaction with Opella, Sanofi characterized itself as a pure-play biopharma, which was strategically focused on breakthrough medicines and vaccines, and received approximately €10 billion in net cash proceeds. This implies that the optimal corporate path of Sanofi is not to diversify to other irrelevant field, but to intensify and discriminately expand its scope in the nearby biopharma prospects. A more specific recommendation can thus be made that is related diversification: reinforce core platforms, selective expansion in therapies and technologies that can be accommodated by existing competencies, and partnerships or acquisitions where it speeds up innovation without undermining strategic coherence (Sanofi, 2025).</w:t>
      </w:r>
    </w:p>
    <w:p w14:paraId="02328135" w14:textId="14902349" w:rsidR="002845D7" w:rsidRDefault="003D730B" w:rsidP="003D730B">
      <w:pPr>
        <w:pStyle w:val="Heading3"/>
      </w:pPr>
      <w:bookmarkStart w:id="19" w:name="_Toc228487502"/>
      <w:r>
        <w:t xml:space="preserve">5.3 </w:t>
      </w:r>
      <w:r w:rsidR="002845D7" w:rsidRPr="002845D7">
        <w:t>Change Management: Lewin’s Unfreeze-Change-Refreeze Model</w:t>
      </w:r>
      <w:bookmarkEnd w:id="19"/>
    </w:p>
    <w:p w14:paraId="0A9CF959" w14:textId="77777777" w:rsidR="002845D7" w:rsidRDefault="00B5775D">
      <w:r>
        <w:t>The change management at Sanofi can be evaluated by the Unfreeze-Change-Refreeze model by Lewin. The unfreezing phase can be seen in how Sanofi realized that evolving market conditions, digital disruption and complexity of its portfolio needed more focus. The Opella separation, the shift to pure-play biopharma, and the subsequent introduction of AI tools to the entire company are examples of a change stage that will help reduce discovery-to-therapy times and enhance manufacturing and commercial decision-making. Refreezing stage is seemingly partially entrenched in terms of strategy communication, platform investment and digital adoption, although it is not wholly complete as yet, as the company is yet to convert restructuring and technological change into stable long-term routines.</w:t>
      </w:r>
    </w:p>
    <w:p w14:paraId="6EB5C8CF" w14:textId="77777777" w:rsidR="002845D7" w:rsidRDefault="002845D7" w:rsidP="002845D7">
      <w:pPr>
        <w:keepNext/>
        <w:spacing w:after="200" w:line="276" w:lineRule="auto"/>
        <w:jc w:val="center"/>
      </w:pPr>
      <w:r>
        <w:rPr>
          <w:noProof/>
        </w:rPr>
        <w:lastRenderedPageBreak/>
        <w:drawing>
          <wp:inline distT="0" distB="0" distL="0" distR="0" wp14:anchorId="5AB04BF5" wp14:editId="385ED277">
            <wp:extent cx="2779847" cy="2411542"/>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2779847" cy="2411542"/>
                    </a:xfrm>
                    <a:prstGeom prst="rect">
                      <a:avLst/>
                    </a:prstGeom>
                    <a:ln/>
                  </pic:spPr>
                </pic:pic>
              </a:graphicData>
            </a:graphic>
          </wp:inline>
        </w:drawing>
      </w:r>
    </w:p>
    <w:p w14:paraId="523C4F29" w14:textId="28BCFE9E" w:rsidR="002845D7" w:rsidRPr="002845D7" w:rsidRDefault="002845D7" w:rsidP="002845D7">
      <w:pPr>
        <w:pBdr>
          <w:top w:val="nil"/>
          <w:left w:val="nil"/>
          <w:bottom w:val="nil"/>
          <w:right w:val="nil"/>
          <w:between w:val="nil"/>
        </w:pBdr>
        <w:spacing w:line="240" w:lineRule="auto"/>
        <w:jc w:val="center"/>
        <w:rPr>
          <w:b/>
          <w:bCs/>
          <w:color w:val="4F81BD"/>
          <w:sz w:val="18"/>
          <w:szCs w:val="18"/>
        </w:rPr>
      </w:pPr>
      <w:r>
        <w:rPr>
          <w:b/>
          <w:bCs/>
          <w:color w:val="4F81BD"/>
          <w:sz w:val="18"/>
          <w:szCs w:val="18"/>
        </w:rPr>
        <w:t xml:space="preserve">Figure 12: Lewin’s Unfreeze–Change–Refreeze model (Leadership Centre, </w:t>
      </w:r>
      <w:r>
        <w:rPr>
          <w:color w:val="4F81BD"/>
          <w:sz w:val="18"/>
          <w:szCs w:val="18"/>
        </w:rPr>
        <w:t>2026</w:t>
      </w:r>
      <w:r>
        <w:rPr>
          <w:b/>
          <w:bCs/>
          <w:color w:val="4F81BD"/>
          <w:sz w:val="18"/>
          <w:szCs w:val="18"/>
        </w:rPr>
        <w:t>)</w:t>
      </w:r>
    </w:p>
    <w:p w14:paraId="2CA98729" w14:textId="3BBADC2A" w:rsidR="00387ACF" w:rsidRDefault="00B5775D">
      <w:r>
        <w:t xml:space="preserve">In general, it seems that Sanofi has handled the change fairly well, and this factor should facilitate the implementation; nevertheless, there is an execution risk, as the organisational systems, culture and growth diversification might not completely align with the new strategic model (Burnes, 2020).  </w:t>
      </w:r>
    </w:p>
    <w:p w14:paraId="7EB2EBC2" w14:textId="77777777" w:rsidR="00387ACF" w:rsidRDefault="00387ACF"/>
    <w:p w14:paraId="310B76B3" w14:textId="77777777" w:rsidR="00387ACF" w:rsidRDefault="00387ACF">
      <w:pPr>
        <w:spacing w:after="200" w:line="276" w:lineRule="auto"/>
        <w:jc w:val="left"/>
      </w:pPr>
    </w:p>
    <w:p w14:paraId="1FD5895F" w14:textId="77777777" w:rsidR="00387ACF" w:rsidRDefault="00B5775D">
      <w:pPr>
        <w:spacing w:after="200" w:line="276" w:lineRule="auto"/>
        <w:jc w:val="left"/>
      </w:pPr>
      <w:r>
        <w:br w:type="page"/>
      </w:r>
    </w:p>
    <w:p w14:paraId="5E03BAE8" w14:textId="77777777" w:rsidR="00387ACF" w:rsidRDefault="00B5775D">
      <w:pPr>
        <w:pStyle w:val="Heading2"/>
      </w:pPr>
      <w:bookmarkStart w:id="20" w:name="_Toc228487503"/>
      <w:r>
        <w:lastRenderedPageBreak/>
        <w:t>6. Strategic Evaluation and Recommendations</w:t>
      </w:r>
      <w:bookmarkEnd w:id="20"/>
    </w:p>
    <w:p w14:paraId="3F5E5D33" w14:textId="143158E5" w:rsidR="002845D7" w:rsidRPr="002845D7" w:rsidRDefault="003D730B" w:rsidP="002845D7">
      <w:r w:rsidRPr="003D730B">
        <w:t>The process of evaluating the suitability, compatibility, performance, and viability of the strategy presently adopted by a company is known as strategic evaluation. The strategic analysis of Sanofi, presented in this case, is a synthesis of findings of its SWOT analysis (Strengths, Weaknesses, Opportunities, Threats) and Ansoff Matrix, which helps decide whether its current strategy is effective and what direction it should move to.</w:t>
      </w:r>
    </w:p>
    <w:p w14:paraId="222A3DED" w14:textId="735E1265" w:rsidR="002845D7" w:rsidRDefault="003D730B" w:rsidP="003D730B">
      <w:pPr>
        <w:pStyle w:val="Heading3"/>
      </w:pPr>
      <w:bookmarkStart w:id="21" w:name="_Toc228487504"/>
      <w:r>
        <w:t xml:space="preserve">6.1 </w:t>
      </w:r>
      <w:r w:rsidR="002845D7" w:rsidRPr="002845D7">
        <w:t>SWOT Analysis of Sanofi</w:t>
      </w:r>
      <w:bookmarkEnd w:id="21"/>
    </w:p>
    <w:p w14:paraId="56EB5479" w14:textId="77777777" w:rsidR="00CF74A1" w:rsidRDefault="00CF74A1" w:rsidP="00CF74A1">
      <w:pPr>
        <w:keepNext/>
        <w:jc w:val="center"/>
      </w:pPr>
      <w:r>
        <w:rPr>
          <w:noProof/>
        </w:rPr>
        <w:drawing>
          <wp:inline distT="0" distB="0" distL="0" distR="0" wp14:anchorId="2583C24D" wp14:editId="1C469C5A">
            <wp:extent cx="3685815" cy="1900976"/>
            <wp:effectExtent l="0" t="0" r="0" b="4445"/>
            <wp:docPr id="1726956348" name="Picture 1" descr="How to do a SWOT analysis with examples - S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with examples - SEE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85815" cy="1900976"/>
                    </a:xfrm>
                    <a:prstGeom prst="rect">
                      <a:avLst/>
                    </a:prstGeom>
                    <a:noFill/>
                    <a:ln>
                      <a:noFill/>
                    </a:ln>
                  </pic:spPr>
                </pic:pic>
              </a:graphicData>
            </a:graphic>
          </wp:inline>
        </w:drawing>
      </w:r>
    </w:p>
    <w:p w14:paraId="7C55B5AC" w14:textId="0BF6133F" w:rsidR="00CF74A1" w:rsidRPr="00CF74A1" w:rsidRDefault="00CF74A1" w:rsidP="00CF74A1">
      <w:pPr>
        <w:pStyle w:val="Caption"/>
        <w:jc w:val="center"/>
      </w:pPr>
      <w:r>
        <w:t xml:space="preserve">Figure </w:t>
      </w:r>
      <w:fldSimple w:instr=" SEQ Figure \* ARABIC ">
        <w:r>
          <w:rPr>
            <w:noProof/>
          </w:rPr>
          <w:t>1</w:t>
        </w:r>
      </w:fldSimple>
      <w:r>
        <w:t xml:space="preserve">: </w:t>
      </w:r>
      <w:r w:rsidRPr="00CB45FC">
        <w:t>SWOT Analysis</w:t>
      </w:r>
      <w:r>
        <w:t xml:space="preserve"> (</w:t>
      </w:r>
      <w:r w:rsidRPr="00CF74A1">
        <w:t>Seek</w:t>
      </w:r>
      <w:r>
        <w:t xml:space="preserve">, </w:t>
      </w:r>
      <w:r w:rsidRPr="00CF74A1">
        <w:t>2026)</w:t>
      </w:r>
    </w:p>
    <w:p w14:paraId="3238B968" w14:textId="3A8CCD9B" w:rsidR="003D730B" w:rsidRDefault="00CF74A1" w:rsidP="003D730B">
      <w:r w:rsidRPr="00CF74A1">
        <w:rPr>
          <w:b/>
          <w:bCs/>
        </w:rPr>
        <w:t>Strengths</w:t>
      </w:r>
      <w:r w:rsidRPr="00CF74A1">
        <w:t xml:space="preserve">: </w:t>
      </w:r>
      <w:r w:rsidR="003D730B">
        <w:t xml:space="preserve">Sanofi possesses considerable R&amp;D strengths, especially in the areas of vaccines and immunology, which is the basis of its dominance in the market. To illustrate, the vaccine sales of Sanofi were almost 7.2 billion in 2025, which indicates a stable performance supported by the high demand on the market (Statista, 2026a). </w:t>
      </w:r>
    </w:p>
    <w:p w14:paraId="452DA1EC" w14:textId="77777777" w:rsidR="003D730B" w:rsidRDefault="003D730B" w:rsidP="003D730B">
      <w:r w:rsidRPr="003D730B">
        <w:rPr>
          <w:b/>
          <w:bCs/>
        </w:rPr>
        <w:t>Weaknesses:</w:t>
      </w:r>
      <w:r>
        <w:t xml:space="preserve"> One of the major weaknesses is the productivity of R&amp;D with Sanofi pipeline under more pressure due to patent expiry, including Lantus. Besides, the global regulators (particularly in such markets as U.S. and EU) impose a steady pressure on prices, which is a challenge to overcome (Whittington et al., 2020). </w:t>
      </w:r>
    </w:p>
    <w:p w14:paraId="02A9BE18" w14:textId="77777777" w:rsidR="003D730B" w:rsidRDefault="003D730B" w:rsidP="003D730B">
      <w:r w:rsidRPr="003D730B">
        <w:rPr>
          <w:b/>
          <w:bCs/>
        </w:rPr>
        <w:t>Opportunities:</w:t>
      </w:r>
      <w:r>
        <w:t xml:space="preserve"> The increasing demand of vaccines and biopharmaceutical treatment in parts of the world such as Asia and Africa is a huge opportunity. Having an increased expenditure on R&amp;D, Sanofi is poised to take the opportunity of the growth of vaccines and immunology markets with their spending projected to go up to 7.84 billion in 2025 (Figure 7). </w:t>
      </w:r>
    </w:p>
    <w:p w14:paraId="2F2563F3" w14:textId="44EE4CA6" w:rsidR="002845D7" w:rsidRPr="002845D7" w:rsidRDefault="003D730B" w:rsidP="003D730B">
      <w:r w:rsidRPr="003D730B">
        <w:rPr>
          <w:b/>
          <w:bCs/>
        </w:rPr>
        <w:t>Threats:</w:t>
      </w:r>
      <w:r>
        <w:t xml:space="preserve"> The key threats are regulatory barriers particularly in pricing and reimbursement in key markets. Moreover, Sanofi could be at risk of losing its market share in the mature </w:t>
      </w:r>
      <w:r>
        <w:lastRenderedPageBreak/>
        <w:t xml:space="preserve">segments such as </w:t>
      </w:r>
      <w:proofErr w:type="spellStart"/>
      <w:r>
        <w:t>GenMed</w:t>
      </w:r>
      <w:proofErr w:type="spellEnd"/>
      <w:r>
        <w:t xml:space="preserve"> that experienced a -4.2% loss of growth in 2025 due to technological disruption and competition by generic drug manufacturers (Sanofi, 2026).</w:t>
      </w:r>
    </w:p>
    <w:p w14:paraId="487820D1" w14:textId="18031349" w:rsidR="002845D7" w:rsidRPr="002845D7" w:rsidRDefault="003D730B" w:rsidP="003D730B">
      <w:pPr>
        <w:pStyle w:val="Heading3"/>
      </w:pPr>
      <w:bookmarkStart w:id="22" w:name="_Toc228487505"/>
      <w:r>
        <w:t xml:space="preserve">6.2 </w:t>
      </w:r>
      <w:r w:rsidR="002845D7" w:rsidRPr="002845D7">
        <w:t>Ansoff Matrix Application</w:t>
      </w:r>
      <w:bookmarkEnd w:id="22"/>
    </w:p>
    <w:p w14:paraId="358AFC7D" w14:textId="0DD22791" w:rsidR="003D730B" w:rsidRDefault="00CF74A1" w:rsidP="003D730B">
      <w:r w:rsidRPr="00CF74A1">
        <w:rPr>
          <w:b/>
          <w:bCs/>
        </w:rPr>
        <w:t>Product Development</w:t>
      </w:r>
      <w:r w:rsidRPr="00CF74A1">
        <w:t xml:space="preserve">: </w:t>
      </w:r>
      <w:r w:rsidR="003D730B">
        <w:t xml:space="preserve">Product development is the best growth strategy that Sanofi can pursue. The company needs to keep investing in innovative therapies like vaccines and biologics, as well as broaden its AI-driven drug discovery platform to improve the efficiency of its R&amp;D. This is reflected in the fact that the company has been able to launch products successfully and gain regulatory approvals in 2025, which points out how it has been able to bring new products to the market (Sanofi, 2026).  </w:t>
      </w:r>
    </w:p>
    <w:p w14:paraId="7D41EA72" w14:textId="77777777" w:rsidR="00CF74A1" w:rsidRDefault="00CF74A1" w:rsidP="00CF74A1">
      <w:pPr>
        <w:keepNext/>
        <w:spacing w:after="200" w:line="276" w:lineRule="auto"/>
        <w:jc w:val="center"/>
      </w:pPr>
      <w:r>
        <w:rPr>
          <w:noProof/>
        </w:rPr>
        <w:drawing>
          <wp:inline distT="0" distB="0" distL="0" distR="0" wp14:anchorId="04625DC5" wp14:editId="4CB408DC">
            <wp:extent cx="5253024" cy="3302196"/>
            <wp:effectExtent l="0" t="0" r="0" b="0"/>
            <wp:docPr id="15" name="image14.png" descr="Ansoff Matrix - Peter Boolkah"/>
            <wp:cNvGraphicFramePr/>
            <a:graphic xmlns:a="http://schemas.openxmlformats.org/drawingml/2006/main">
              <a:graphicData uri="http://schemas.openxmlformats.org/drawingml/2006/picture">
                <pic:pic xmlns:pic="http://schemas.openxmlformats.org/drawingml/2006/picture">
                  <pic:nvPicPr>
                    <pic:cNvPr id="0" name="image14.png" descr="Ansoff Matrix - Peter Boolkah"/>
                    <pic:cNvPicPr preferRelativeResize="0"/>
                  </pic:nvPicPr>
                  <pic:blipFill>
                    <a:blip r:embed="rId21"/>
                    <a:srcRect/>
                    <a:stretch>
                      <a:fillRect/>
                    </a:stretch>
                  </pic:blipFill>
                  <pic:spPr>
                    <a:xfrm>
                      <a:off x="0" y="0"/>
                      <a:ext cx="5253024" cy="3302196"/>
                    </a:xfrm>
                    <a:prstGeom prst="rect">
                      <a:avLst/>
                    </a:prstGeom>
                    <a:ln/>
                  </pic:spPr>
                </pic:pic>
              </a:graphicData>
            </a:graphic>
          </wp:inline>
        </w:drawing>
      </w:r>
    </w:p>
    <w:p w14:paraId="1980CCEA" w14:textId="31C4C5E7" w:rsidR="00CF74A1" w:rsidRPr="00CF74A1" w:rsidRDefault="00CF74A1" w:rsidP="00CF74A1">
      <w:pPr>
        <w:pBdr>
          <w:top w:val="nil"/>
          <w:left w:val="nil"/>
          <w:bottom w:val="nil"/>
          <w:right w:val="nil"/>
          <w:between w:val="nil"/>
        </w:pBdr>
        <w:spacing w:line="240" w:lineRule="auto"/>
        <w:jc w:val="center"/>
        <w:rPr>
          <w:b/>
          <w:bCs/>
          <w:color w:val="4F81BD"/>
          <w:sz w:val="18"/>
          <w:szCs w:val="18"/>
        </w:rPr>
      </w:pPr>
      <w:r>
        <w:rPr>
          <w:b/>
          <w:bCs/>
          <w:color w:val="4F81BD"/>
          <w:sz w:val="18"/>
          <w:szCs w:val="18"/>
        </w:rPr>
        <w:t>Figure 13: Ansoff Matrix (</w:t>
      </w:r>
      <w:proofErr w:type="spellStart"/>
      <w:r>
        <w:rPr>
          <w:b/>
          <w:bCs/>
          <w:color w:val="4F81BD"/>
          <w:sz w:val="18"/>
          <w:szCs w:val="18"/>
        </w:rPr>
        <w:t>Boolkah</w:t>
      </w:r>
      <w:proofErr w:type="spellEnd"/>
      <w:r>
        <w:rPr>
          <w:b/>
          <w:bCs/>
          <w:color w:val="4F81BD"/>
          <w:sz w:val="18"/>
          <w:szCs w:val="18"/>
        </w:rPr>
        <w:t xml:space="preserve">, </w:t>
      </w:r>
      <w:r>
        <w:rPr>
          <w:color w:val="4F81BD"/>
          <w:sz w:val="18"/>
          <w:szCs w:val="18"/>
        </w:rPr>
        <w:t>2026</w:t>
      </w:r>
      <w:r>
        <w:rPr>
          <w:b/>
          <w:bCs/>
          <w:color w:val="4F81BD"/>
          <w:sz w:val="18"/>
          <w:szCs w:val="18"/>
        </w:rPr>
        <w:t>)</w:t>
      </w:r>
    </w:p>
    <w:p w14:paraId="2EF81464" w14:textId="77777777" w:rsidR="003D730B" w:rsidRDefault="00CF74A1" w:rsidP="003D730B">
      <w:r w:rsidRPr="00CF74A1">
        <w:rPr>
          <w:b/>
          <w:bCs/>
        </w:rPr>
        <w:t>Market Penetration</w:t>
      </w:r>
      <w:r w:rsidRPr="00CF74A1">
        <w:t xml:space="preserve">: </w:t>
      </w:r>
      <w:r w:rsidR="003D730B">
        <w:t xml:space="preserve">Market Penetration: Market penetration can be achieved through increased sales of current products, in particular in therapeutic areas with high growth rates such as rare diseases and immunology. An example is the immunology products which experienced a substantial increase as a component of Sanofi specialty care revenue of €16.5 billion and a growth rate of 19.4 percent in 2025 (Statista, 2026). </w:t>
      </w:r>
    </w:p>
    <w:p w14:paraId="7E3310F3" w14:textId="77777777" w:rsidR="003D730B" w:rsidRDefault="003D730B" w:rsidP="003D730B">
      <w:r w:rsidRPr="003D730B">
        <w:rPr>
          <w:b/>
          <w:bCs/>
        </w:rPr>
        <w:t>Market Development:</w:t>
      </w:r>
      <w:r>
        <w:t xml:space="preserve"> Sanofi needs to consider entering into new geographies like Asia-Pacific where the need of sophisticated healthcare solutions, especially vaccines is growing very fast. Widening healthcare accessibility in these areas has the potential to multiply the presence of Sanofi and spur higher income because of untapped markets. </w:t>
      </w:r>
    </w:p>
    <w:p w14:paraId="567E59BF" w14:textId="5374DB07" w:rsidR="002845D7" w:rsidRPr="002845D7" w:rsidRDefault="003D730B" w:rsidP="002845D7">
      <w:r w:rsidRPr="003D730B">
        <w:rPr>
          <w:b/>
          <w:bCs/>
        </w:rPr>
        <w:lastRenderedPageBreak/>
        <w:t>Diversification:</w:t>
      </w:r>
      <w:r>
        <w:t xml:space="preserve"> Diversification must be focused and be within its core therapeutic areas. Since the strategic decision to go pure-play biopharma company after the Opella separation, Sanofi must stick to building its core platforms of immunology and vaccines without unrelated diversification that may erode its strategic focus (Sanofi, 2025).</w:t>
      </w:r>
    </w:p>
    <w:p w14:paraId="4845DB7D" w14:textId="79A3E182" w:rsidR="002845D7" w:rsidRPr="002845D7" w:rsidRDefault="003D730B" w:rsidP="003D730B">
      <w:pPr>
        <w:pStyle w:val="Heading3"/>
      </w:pPr>
      <w:bookmarkStart w:id="23" w:name="_Toc228487506"/>
      <w:r>
        <w:t xml:space="preserve">6.3 </w:t>
      </w:r>
      <w:r w:rsidR="002845D7" w:rsidRPr="002845D7">
        <w:t>Recommendations</w:t>
      </w:r>
      <w:bookmarkEnd w:id="23"/>
    </w:p>
    <w:p w14:paraId="3B0221DA" w14:textId="74471E40" w:rsidR="002845D7" w:rsidRPr="002845D7" w:rsidRDefault="002845D7" w:rsidP="002845D7">
      <w:r w:rsidRPr="002845D7">
        <w:rPr>
          <w:b/>
          <w:bCs/>
        </w:rPr>
        <w:t>Focus on R&amp;D-driven innovation</w:t>
      </w:r>
      <w:r w:rsidRPr="002845D7">
        <w:t xml:space="preserve">: </w:t>
      </w:r>
      <w:r w:rsidR="003D730B" w:rsidRPr="003D730B">
        <w:t>Sanofi must keep investing in AI-based R&amp;D to accelerate the process of breakthrough therapy. The use of AI and digital tools will promote the rate of product development and clinical success.</w:t>
      </w:r>
    </w:p>
    <w:p w14:paraId="5BD9810F" w14:textId="555819A6" w:rsidR="002845D7" w:rsidRPr="002845D7" w:rsidRDefault="002845D7" w:rsidP="002845D7">
      <w:r w:rsidRPr="002845D7">
        <w:rPr>
          <w:b/>
          <w:bCs/>
        </w:rPr>
        <w:t>Expand presence in emerging markets</w:t>
      </w:r>
      <w:r w:rsidRPr="002845D7">
        <w:t xml:space="preserve">: </w:t>
      </w:r>
      <w:r w:rsidR="003D730B" w:rsidRPr="003D730B">
        <w:t>Sanofi needs to further strategize its market penetration in Asia and Africa where there is an increasing demand of vaccines and innovative healthcare products.</w:t>
      </w:r>
    </w:p>
    <w:p w14:paraId="4239069F" w14:textId="48F79A81" w:rsidR="002845D7" w:rsidRPr="002845D7" w:rsidRDefault="002845D7" w:rsidP="002845D7">
      <w:r w:rsidRPr="002845D7">
        <w:rPr>
          <w:b/>
          <w:bCs/>
        </w:rPr>
        <w:t>Improve R&amp;D productivity</w:t>
      </w:r>
      <w:r w:rsidRPr="002845D7">
        <w:t xml:space="preserve">: </w:t>
      </w:r>
      <w:r w:rsidR="003D730B" w:rsidRPr="003D730B">
        <w:t>By increasing internal R&amp;D productivity, potentially by strategic alliances and through external innovation, Sanofi can stay ahead of its competitors.</w:t>
      </w:r>
    </w:p>
    <w:p w14:paraId="0046E34B" w14:textId="3A8A75E3" w:rsidR="00387ACF" w:rsidRDefault="003D730B">
      <w:r>
        <w:br w:type="page"/>
      </w:r>
    </w:p>
    <w:p w14:paraId="1CF07E57" w14:textId="77777777" w:rsidR="002845D7" w:rsidRDefault="002845D7" w:rsidP="003D730B">
      <w:pPr>
        <w:pStyle w:val="Heading2"/>
      </w:pPr>
      <w:bookmarkStart w:id="24" w:name="_Toc228487507"/>
      <w:r>
        <w:lastRenderedPageBreak/>
        <w:t>Conclusion</w:t>
      </w:r>
      <w:bookmarkEnd w:id="24"/>
    </w:p>
    <w:p w14:paraId="512B98E2" w14:textId="2C16180F" w:rsidR="002845D7" w:rsidRDefault="002845D7" w:rsidP="002845D7">
      <w:r>
        <w:t xml:space="preserve">This report finds that the strategy of Sanofi is generally effective and strategically sound, but not fully safe in the long-term. The external analysis revealed that it had good opportunities in innovation, ageing population demand and global health demands as well as significant pressures on the same due to regulation, pricing and technological disruption. The internal analysis established that the competitive advantage of Sanofi is based on mutually supporting network of R&amp;D, manufacturing, vaccines skills and regulatory-commercial competence. </w:t>
      </w:r>
      <w:r w:rsidR="00C43421" w:rsidRPr="00C43421">
        <w:t>The Balanced Scorecard is a strategic management approach that turns strategy into action through the creation of objectives in four areas: financial, customer, internal business processes and learning and growth (Kaplan and Norton, 1992).</w:t>
      </w:r>
    </w:p>
    <w:p w14:paraId="72B91B2E" w14:textId="60BFF1B7" w:rsidR="00387ACF" w:rsidRDefault="00B5775D" w:rsidP="002845D7">
      <w:r>
        <w:br w:type="page"/>
      </w:r>
    </w:p>
    <w:p w14:paraId="4254B869" w14:textId="77777777" w:rsidR="00387ACF" w:rsidRDefault="00B5775D">
      <w:pPr>
        <w:pStyle w:val="Heading1"/>
      </w:pPr>
      <w:bookmarkStart w:id="25" w:name="_Toc228487508"/>
      <w:r>
        <w:lastRenderedPageBreak/>
        <w:t>Section 2 Reflection using Gibbs Cycle</w:t>
      </w:r>
      <w:bookmarkEnd w:id="25"/>
    </w:p>
    <w:p w14:paraId="473361FF" w14:textId="77777777" w:rsidR="00387ACF" w:rsidRDefault="00B5775D">
      <w:r>
        <w:t>This reflection is using Gibbs framework below.</w:t>
      </w:r>
    </w:p>
    <w:p w14:paraId="194342EA" w14:textId="77777777" w:rsidR="00387ACF" w:rsidRDefault="00B5775D">
      <w:pPr>
        <w:keepNext/>
        <w:spacing w:after="200" w:line="276" w:lineRule="auto"/>
        <w:jc w:val="center"/>
      </w:pPr>
      <w:r>
        <w:rPr>
          <w:noProof/>
        </w:rPr>
        <w:drawing>
          <wp:inline distT="0" distB="0" distL="0" distR="0" wp14:anchorId="193C4A51" wp14:editId="38FBC7D0">
            <wp:extent cx="4694991" cy="4393381"/>
            <wp:effectExtent l="0" t="0" r="0" b="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4694991" cy="4393381"/>
                    </a:xfrm>
                    <a:prstGeom prst="rect">
                      <a:avLst/>
                    </a:prstGeom>
                    <a:ln/>
                  </pic:spPr>
                </pic:pic>
              </a:graphicData>
            </a:graphic>
          </wp:inline>
        </w:drawing>
      </w:r>
    </w:p>
    <w:p w14:paraId="446AC53A" w14:textId="77777777" w:rsidR="00387ACF" w:rsidRDefault="00B5775D">
      <w:pPr>
        <w:pBdr>
          <w:top w:val="nil"/>
          <w:left w:val="nil"/>
          <w:bottom w:val="nil"/>
          <w:right w:val="nil"/>
          <w:between w:val="nil"/>
        </w:pBdr>
        <w:spacing w:line="240" w:lineRule="auto"/>
        <w:jc w:val="center"/>
        <w:rPr>
          <w:b/>
          <w:bCs/>
          <w:color w:val="4F81BD"/>
          <w:sz w:val="18"/>
          <w:szCs w:val="18"/>
        </w:rPr>
      </w:pPr>
      <w:r>
        <w:rPr>
          <w:b/>
          <w:bCs/>
          <w:color w:val="4F81BD"/>
          <w:sz w:val="18"/>
          <w:szCs w:val="18"/>
        </w:rPr>
        <w:t xml:space="preserve">Figure 14: Gibbs Reflective Cycle (Community Medicine 4 All, </w:t>
      </w:r>
      <w:r>
        <w:rPr>
          <w:color w:val="4F81BD"/>
          <w:sz w:val="18"/>
          <w:szCs w:val="18"/>
        </w:rPr>
        <w:t>2026</w:t>
      </w:r>
      <w:r>
        <w:rPr>
          <w:b/>
          <w:bCs/>
          <w:color w:val="4F81BD"/>
          <w:sz w:val="18"/>
          <w:szCs w:val="18"/>
        </w:rPr>
        <w:t>)</w:t>
      </w:r>
    </w:p>
    <w:p w14:paraId="4F1D2114" w14:textId="77777777" w:rsidR="00387ACF" w:rsidRDefault="00B5775D">
      <w:r>
        <w:rPr>
          <w:b/>
          <w:bCs/>
        </w:rPr>
        <w:t xml:space="preserve">Description: </w:t>
      </w:r>
      <w:r>
        <w:t xml:space="preserve">This report was written after </w:t>
      </w:r>
      <w:proofErr w:type="gramStart"/>
      <w:r>
        <w:t>a structured research</w:t>
      </w:r>
      <w:proofErr w:type="gramEnd"/>
      <w:r>
        <w:t xml:space="preserve"> and writing process in line with the module brief and logic of strategic management analysis. I initially defined the scope of the task and the reason I chose Sanofi was because the company provided a rich case study of competitive advantage, innovation, sustainability and strategic change in a highly regulated industry internationally. I then gathered information in company reports, official strategy pages, financial releases, industry pictures and scholarly literature and grouped the information according to the needed headings like PESTLE, VRIO, Balanced Scorecard, strategic choice and evaluation. At this point, I understood that it was not just necessary to describe models but connect them in such a way that one analysis would be based on the previous ones. The same understanding influenced my approach to planning the report and how I chose the evidence to include in each section (Gibbs, 1988). </w:t>
      </w:r>
    </w:p>
    <w:p w14:paraId="2B8AE265" w14:textId="77777777" w:rsidR="00387ACF" w:rsidRDefault="00B5775D">
      <w:r>
        <w:rPr>
          <w:b/>
          <w:bCs/>
        </w:rPr>
        <w:lastRenderedPageBreak/>
        <w:t>Feelings:</w:t>
      </w:r>
      <w:r>
        <w:t xml:space="preserve"> Initially, I was confident with the simplified frameworks like PESTLE, VRIO and Ansoff, yet I was less confident in transforming them into a Level 7 critical discussion. What I was really worried about was not the knowledge of the models, but their application in a related manner without turning into repetitive. Word limits also posed a problem to me, as the assignment had a lot of sections, figures and citations and a set format to be followed. The other challenge was the issue of how much company information to include without being descriptive. I also became increasingly confident as I went further since I realized that the strength of the report would be that there would be a clear central argument; that the long-term strength of the strategy of Sanofi would be the ability to remain innovative, focused and executed. With that line of argument, the report seemed to be more logical and manageable (EBSCO, 2026). </w:t>
      </w:r>
    </w:p>
    <w:p w14:paraId="0A1C0646" w14:textId="42EB76B8" w:rsidR="00387ACF" w:rsidRDefault="00B5775D">
      <w:pPr>
        <w:rPr>
          <w:b/>
          <w:bCs/>
        </w:rPr>
      </w:pPr>
      <w:r>
        <w:rPr>
          <w:b/>
          <w:bCs/>
        </w:rPr>
        <w:t>Evaluation:</w:t>
      </w:r>
      <w:r>
        <w:t xml:space="preserve"> Several aspects of my process worked well. To begin with, I utilized the figures in a productive way and not as decoration. As an illustration, the revenue, R&amp;D and portfolios visuals have allowed me to view the financial path of Sanofi, its commitment to innovation and business mix more tangibly. Second, I got to know the importance of not enumerating theory in a robotic manner but to apply each framework to a strategic question. PESTLE made me articulate the forces that forced Sanofi to make decisions; VRIO made me evaluate which internal strengths were in fact strategic and the Balanced Scorecard made me bring together both financial and non-financial performance in a single analysis. Nevertheless, not all the aspects of the process were effective. Initially, I used to gather too much information and judge it less often. It resulted in needless elaboration that I was required to eliminate later on</w:t>
      </w:r>
      <w:r w:rsidR="00E97314">
        <w:t xml:space="preserve"> </w:t>
      </w:r>
      <w:r>
        <w:t>(Whittington et al., 2020).</w:t>
      </w:r>
    </w:p>
    <w:p w14:paraId="70296D24" w14:textId="5866C08A" w:rsidR="00387ACF" w:rsidRDefault="00B5775D">
      <w:r>
        <w:rPr>
          <w:b/>
          <w:bCs/>
        </w:rPr>
        <w:t xml:space="preserve">Analysis: </w:t>
      </w:r>
      <w:r>
        <w:t>The greatest thing that I have learnt in the process is that strategic analysis at MBA level is not about demonstrating that I know various models, but it is about choosing and combining the appropriate models to facilitate a clear judgement. This report helped me to comprehend better that external and internal analyses are not independent activities. External pressures like pricing regulations, regulation and technological change only makes sense when they are related to internal capabilities like R&amp;D, manufacturing and market access. It was also revealed to me that critical writing relies on the selection of evidence. The sources inside the company provide insights into the present and the direction to follow, however, they must be counterbalanced by academic insights to prevent the regurgitation of corporate narratives</w:t>
      </w:r>
      <w:r w:rsidR="00E97314">
        <w:t xml:space="preserve"> </w:t>
      </w:r>
      <w:r>
        <w:t xml:space="preserve">(Burnes, 2020). </w:t>
      </w:r>
    </w:p>
    <w:p w14:paraId="004CE363" w14:textId="371069A9" w:rsidR="00387ACF" w:rsidRDefault="00B5775D">
      <w:r>
        <w:rPr>
          <w:b/>
          <w:bCs/>
        </w:rPr>
        <w:lastRenderedPageBreak/>
        <w:t>Conclusion:</w:t>
      </w:r>
      <w:r>
        <w:t xml:space="preserve"> In the event that I had to go through this report again I would start with a narrower synthesis matrix at an earlier stage of the process. Rather than gathering much information initially and narrowing down to the desired information later, I would chart each source to the particular strategic question it provided the answer to. As an example, I would consider initially what sources were most useful in the evaluation of external threats, which were most useful in the evaluation of internal capability, and which were most useful in the ultimate strategic judgement. I would also more strictly divide word counts section by section and then write complete drafts. This would cut down the time spent chopping material in future and would most likely enhance the balance between description and critique</w:t>
      </w:r>
      <w:r w:rsidR="00E97314">
        <w:t xml:space="preserve"> </w:t>
      </w:r>
      <w:r>
        <w:t xml:space="preserve">(Moon, 2004). </w:t>
      </w:r>
    </w:p>
    <w:p w14:paraId="20BBF042" w14:textId="77777777" w:rsidR="00387ACF" w:rsidRDefault="00B5775D">
      <w:pPr>
        <w:rPr>
          <w:b/>
          <w:bCs/>
        </w:rPr>
      </w:pPr>
      <w:r>
        <w:rPr>
          <w:b/>
          <w:bCs/>
        </w:rPr>
        <w:t>Action Plan:</w:t>
      </w:r>
      <w:r>
        <w:t xml:space="preserve"> I will enhance my work in four ways in future Level 7 assignments. To begin with, I will prepare a source list in advance to include before writing in order to make the purpose of each paragraph evident. Second, I will compose my main argument first and review all sections with it to be coherent. Third, I will be more strategic in using figures, I will only </w:t>
      </w:r>
      <w:proofErr w:type="gramStart"/>
      <w:r>
        <w:t>pull out</w:t>
      </w:r>
      <w:proofErr w:type="gramEnd"/>
      <w:r>
        <w:t xml:space="preserve"> data that can be </w:t>
      </w:r>
      <w:proofErr w:type="spellStart"/>
      <w:r>
        <w:t>analyzed</w:t>
      </w:r>
      <w:proofErr w:type="spellEnd"/>
      <w:r>
        <w:t xml:space="preserve"> and not attempting to reference all the data. Fourth, I will hone my critical voice by posing at least in each section the question not only what does this show? but why does it matter? and what does it imply on strategy? This practice will assist me in creating more analytical, more integrative and more concise work. The best thing is that I will keep on using structured reflection as a learning tool, as Gibbs cycle has assisted me to progress through the tasks of doing tasks to assessing my thinking, research and writing at postgraduate level (Gibbs, 1988).</w:t>
      </w:r>
    </w:p>
    <w:p w14:paraId="64FCDCA8" w14:textId="77777777" w:rsidR="00387ACF" w:rsidRDefault="00387ACF">
      <w:pPr>
        <w:spacing w:after="200" w:line="276" w:lineRule="auto"/>
        <w:jc w:val="left"/>
      </w:pPr>
    </w:p>
    <w:p w14:paraId="1C7D0CC3" w14:textId="060585F3" w:rsidR="00387ACF" w:rsidRDefault="00B5775D" w:rsidP="002845D7">
      <w:pPr>
        <w:spacing w:after="200" w:line="276" w:lineRule="auto"/>
        <w:jc w:val="left"/>
      </w:pPr>
      <w:r>
        <w:br w:type="page"/>
      </w:r>
    </w:p>
    <w:p w14:paraId="045F48EB" w14:textId="77777777" w:rsidR="00387ACF" w:rsidRDefault="00B5775D">
      <w:pPr>
        <w:pStyle w:val="Heading1"/>
      </w:pPr>
      <w:bookmarkStart w:id="26" w:name="_v2abdn6lv99r" w:colFirst="0" w:colLast="0"/>
      <w:bookmarkStart w:id="27" w:name="_Toc228487509"/>
      <w:bookmarkEnd w:id="26"/>
      <w:r>
        <w:lastRenderedPageBreak/>
        <w:t>References</w:t>
      </w:r>
      <w:bookmarkEnd w:id="27"/>
    </w:p>
    <w:p w14:paraId="5AFBBF04" w14:textId="77777777" w:rsidR="00CF74A1" w:rsidRDefault="00CF74A1">
      <w:pPr>
        <w:ind w:left="720" w:hanging="720"/>
      </w:pPr>
      <w:r>
        <w:t xml:space="preserve">Ahmed, Z., </w:t>
      </w:r>
      <w:proofErr w:type="spellStart"/>
      <w:r>
        <w:t>Zehou</w:t>
      </w:r>
      <w:proofErr w:type="spellEnd"/>
      <w:r>
        <w:t xml:space="preserve">, S., Raza, S.A., Qureshi, M.A. and </w:t>
      </w:r>
      <w:proofErr w:type="spellStart"/>
      <w:r>
        <w:t>Yousufi</w:t>
      </w:r>
      <w:proofErr w:type="spellEnd"/>
      <w:r>
        <w:t xml:space="preserve">, S.Q. (2021) ‘The relationship among corporate social responsibility, sustainability, and organizational performance in the pharmaceutical sector: a literature review’, </w:t>
      </w:r>
      <w:r>
        <w:rPr>
          <w:i/>
          <w:iCs/>
        </w:rPr>
        <w:t>International Journal of Pharmaceutical and Healthcare Marketing</w:t>
      </w:r>
      <w:r>
        <w:t xml:space="preserve">, 15(4), pp. 572–593. Available at: </w:t>
      </w:r>
      <w:hyperlink r:id="rId23">
        <w:r>
          <w:rPr>
            <w:color w:val="0000FF"/>
            <w:u w:val="single"/>
          </w:rPr>
          <w:t>https://www.emerald.com/insight/content/doi/10.1108/IJPHM-10-2020-0086/full/html</w:t>
        </w:r>
      </w:hyperlink>
    </w:p>
    <w:p w14:paraId="06DBF3F8" w14:textId="77777777" w:rsidR="00CF74A1" w:rsidRDefault="00CF74A1">
      <w:pPr>
        <w:ind w:left="720" w:hanging="720"/>
      </w:pPr>
      <w:r>
        <w:t xml:space="preserve">Barney, J.B. and Hesterly, W.S. (2021) </w:t>
      </w:r>
      <w:r>
        <w:rPr>
          <w:i/>
          <w:iCs/>
        </w:rPr>
        <w:t>Strategic Management and Competitive Advantage: Concepts and Cases</w:t>
      </w:r>
      <w:r>
        <w:t xml:space="preserve">. 6th </w:t>
      </w:r>
      <w:proofErr w:type="spellStart"/>
      <w:r>
        <w:t>edn</w:t>
      </w:r>
      <w:proofErr w:type="spellEnd"/>
      <w:r>
        <w:t xml:space="preserve">. Harlow: Pearson. Available at: </w:t>
      </w:r>
      <w:hyperlink r:id="rId24">
        <w:r>
          <w:rPr>
            <w:color w:val="0000FF"/>
            <w:u w:val="single"/>
          </w:rPr>
          <w:t>https://www.pearson.com/en-us/subject-catalog/p/strategic-management-and-competitive-advantage-concepts-and-cases/P200000005821/9780136878674</w:t>
        </w:r>
      </w:hyperlink>
    </w:p>
    <w:p w14:paraId="3F2B19B5" w14:textId="77777777" w:rsidR="00CF74A1" w:rsidRDefault="00CF74A1">
      <w:pPr>
        <w:ind w:left="720" w:hanging="720"/>
      </w:pPr>
      <w:proofErr w:type="spellStart"/>
      <w:r>
        <w:t>Boolkah</w:t>
      </w:r>
      <w:proofErr w:type="spellEnd"/>
      <w:r>
        <w:t xml:space="preserve"> (2026) </w:t>
      </w:r>
      <w:r>
        <w:rPr>
          <w:i/>
          <w:iCs/>
        </w:rPr>
        <w:t>Ansoff matrix</w:t>
      </w:r>
      <w:r>
        <w:t xml:space="preserve">. Available at: </w:t>
      </w:r>
      <w:hyperlink r:id="rId25">
        <w:r>
          <w:rPr>
            <w:color w:val="0000FF"/>
            <w:u w:val="single"/>
          </w:rPr>
          <w:t>https://boolkah.com/ansoff-matrix/</w:t>
        </w:r>
      </w:hyperlink>
    </w:p>
    <w:p w14:paraId="7385F976" w14:textId="77777777" w:rsidR="00CF74A1" w:rsidRDefault="00CF74A1">
      <w:pPr>
        <w:ind w:left="720" w:hanging="720"/>
      </w:pPr>
      <w:r>
        <w:t xml:space="preserve">Boston Consulting Group (2026) </w:t>
      </w:r>
      <w:r>
        <w:rPr>
          <w:i/>
          <w:iCs/>
        </w:rPr>
        <w:t>What is the growth share matrix?</w:t>
      </w:r>
      <w:r>
        <w:t xml:space="preserve"> Available at: </w:t>
      </w:r>
      <w:hyperlink r:id="rId26">
        <w:r>
          <w:rPr>
            <w:color w:val="0000FF"/>
            <w:u w:val="single"/>
          </w:rPr>
          <w:t>https://www.bcg.com/about/overview/our-history/growth-share-matrix</w:t>
        </w:r>
      </w:hyperlink>
    </w:p>
    <w:p w14:paraId="75C0135C" w14:textId="77777777" w:rsidR="00CF74A1" w:rsidRDefault="00CF74A1">
      <w:pPr>
        <w:ind w:left="720" w:hanging="720"/>
      </w:pPr>
      <w:r>
        <w:t xml:space="preserve">Burnes, B. (2020) ‘The origins of Lewin’s three-step model of change’, </w:t>
      </w:r>
      <w:r>
        <w:rPr>
          <w:i/>
          <w:iCs/>
        </w:rPr>
        <w:t xml:space="preserve">Journal of Applied </w:t>
      </w:r>
      <w:proofErr w:type="spellStart"/>
      <w:r>
        <w:rPr>
          <w:i/>
          <w:iCs/>
        </w:rPr>
        <w:t>Behavioral</w:t>
      </w:r>
      <w:proofErr w:type="spellEnd"/>
      <w:r>
        <w:rPr>
          <w:i/>
          <w:iCs/>
        </w:rPr>
        <w:t xml:space="preserve"> Science</w:t>
      </w:r>
      <w:r>
        <w:t xml:space="preserve">, 56(1), pp. 32–59. Available at: </w:t>
      </w:r>
      <w:hyperlink r:id="rId27">
        <w:r>
          <w:rPr>
            <w:color w:val="0000FF"/>
            <w:u w:val="single"/>
          </w:rPr>
          <w:t>https://journals.sagepub.com/doi/10.1177/0021886319892685</w:t>
        </w:r>
      </w:hyperlink>
    </w:p>
    <w:p w14:paraId="64B3950C" w14:textId="77777777" w:rsidR="00CF74A1" w:rsidRDefault="00CF74A1">
      <w:pPr>
        <w:ind w:left="720" w:hanging="720"/>
      </w:pPr>
      <w:r>
        <w:t xml:space="preserve">Business Jargons (2026) </w:t>
      </w:r>
      <w:r>
        <w:rPr>
          <w:i/>
          <w:iCs/>
        </w:rPr>
        <w:t>Core competence</w:t>
      </w:r>
      <w:r>
        <w:t xml:space="preserve">. Available at: </w:t>
      </w:r>
      <w:hyperlink r:id="rId28">
        <w:r>
          <w:rPr>
            <w:color w:val="0000FF"/>
            <w:u w:val="single"/>
          </w:rPr>
          <w:t>https://businessjargons.com/core-competence.html</w:t>
        </w:r>
      </w:hyperlink>
    </w:p>
    <w:p w14:paraId="5869EB76" w14:textId="77777777" w:rsidR="00CF74A1" w:rsidRDefault="00CF74A1">
      <w:pPr>
        <w:ind w:left="720" w:hanging="720"/>
      </w:pPr>
      <w:proofErr w:type="spellStart"/>
      <w:r>
        <w:t>Citeline</w:t>
      </w:r>
      <w:proofErr w:type="spellEnd"/>
      <w:r>
        <w:t xml:space="preserve"> (2025) </w:t>
      </w:r>
      <w:r>
        <w:rPr>
          <w:i/>
          <w:iCs/>
        </w:rPr>
        <w:t>Top 12 Pharma Companies: Pfizer Tops the Leaderboard Again</w:t>
      </w:r>
      <w:r>
        <w:t xml:space="preserve">. Available at: </w:t>
      </w:r>
      <w:hyperlink r:id="rId29">
        <w:r>
          <w:rPr>
            <w:color w:val="0000FF"/>
            <w:u w:val="single"/>
          </w:rPr>
          <w:t>https://www.citeline.com/en/resources/scrip-top-12-pharma-companies</w:t>
        </w:r>
      </w:hyperlink>
    </w:p>
    <w:p w14:paraId="727B029A" w14:textId="77777777" w:rsidR="00CF74A1" w:rsidRDefault="00CF74A1">
      <w:pPr>
        <w:ind w:left="720" w:hanging="720"/>
      </w:pPr>
      <w:r>
        <w:t xml:space="preserve">Community Medicine 4 All (2026) </w:t>
      </w:r>
      <w:r>
        <w:rPr>
          <w:i/>
          <w:iCs/>
        </w:rPr>
        <w:t>Gibbs reflective cycle</w:t>
      </w:r>
      <w:r>
        <w:t xml:space="preserve">. Available at: </w:t>
      </w:r>
      <w:hyperlink r:id="rId30">
        <w:r>
          <w:rPr>
            <w:color w:val="0000FF"/>
            <w:u w:val="single"/>
          </w:rPr>
          <w:t>https://communitymedicine4asses.wordpress.com/tag/gibbs-reflective-cycle/</w:t>
        </w:r>
      </w:hyperlink>
    </w:p>
    <w:p w14:paraId="741FCDFF" w14:textId="77777777" w:rsidR="00CF74A1" w:rsidRDefault="00CF74A1">
      <w:pPr>
        <w:ind w:left="720" w:hanging="720"/>
      </w:pPr>
      <w:r>
        <w:t xml:space="preserve">Debnath, B., Shakur, M.S., Bari, A.B.M.M., Saha, J., </w:t>
      </w:r>
      <w:proofErr w:type="spellStart"/>
      <w:r>
        <w:t>Porna</w:t>
      </w:r>
      <w:proofErr w:type="spellEnd"/>
      <w:r>
        <w:t xml:space="preserve">, W.A. and Mishu, M.J. et al. (2023) ‘Assessing the critical success factors for implementing industry 4.0 in the pharmaceutical industry: Implications for supply chain sustainability in emerging economies’, </w:t>
      </w:r>
      <w:r>
        <w:rPr>
          <w:i/>
          <w:iCs/>
        </w:rPr>
        <w:t>PLOS ONE</w:t>
      </w:r>
      <w:r>
        <w:t xml:space="preserve">, 18(6), e0287149. Available at: </w:t>
      </w:r>
      <w:hyperlink r:id="rId31">
        <w:r>
          <w:rPr>
            <w:color w:val="0000FF"/>
            <w:u w:val="single"/>
          </w:rPr>
          <w:t>https://doi.org/10.1371/journal.pone.0287149</w:t>
        </w:r>
      </w:hyperlink>
    </w:p>
    <w:p w14:paraId="032E99D0" w14:textId="77777777" w:rsidR="00CF74A1" w:rsidRDefault="00CF74A1">
      <w:pPr>
        <w:ind w:left="720" w:hanging="720"/>
      </w:pPr>
      <w:r>
        <w:t xml:space="preserve">EBSCO (2026) </w:t>
      </w:r>
      <w:r>
        <w:rPr>
          <w:i/>
          <w:iCs/>
        </w:rPr>
        <w:t>Gibbs’ reflective cycle</w:t>
      </w:r>
      <w:r>
        <w:t xml:space="preserve">. Available at: </w:t>
      </w:r>
      <w:hyperlink r:id="rId32">
        <w:r>
          <w:rPr>
            <w:color w:val="0000FF"/>
            <w:u w:val="single"/>
          </w:rPr>
          <w:t>https://www.ebsco.com/research-starters/education/gibbs-reflective-cycle</w:t>
        </w:r>
      </w:hyperlink>
    </w:p>
    <w:p w14:paraId="2DCF82E0" w14:textId="77777777" w:rsidR="00CF74A1" w:rsidRDefault="00CF74A1">
      <w:pPr>
        <w:ind w:left="720" w:hanging="720"/>
      </w:pPr>
      <w:r>
        <w:t xml:space="preserve">European Commission (2025) </w:t>
      </w:r>
      <w:r>
        <w:rPr>
          <w:i/>
          <w:iCs/>
        </w:rPr>
        <w:t>Reform of EU pharmaceutical legislation</w:t>
      </w:r>
      <w:r>
        <w:t xml:space="preserve">. Available at: </w:t>
      </w:r>
      <w:hyperlink r:id="rId33">
        <w:r>
          <w:rPr>
            <w:color w:val="0000FF"/>
            <w:u w:val="single"/>
          </w:rPr>
          <w:t>https://health.ec.europa.eu/medicinal-products/reform-eu-pharmaceutical-legislation_en</w:t>
        </w:r>
      </w:hyperlink>
    </w:p>
    <w:p w14:paraId="0CDC9BB4" w14:textId="77777777" w:rsidR="00CF74A1" w:rsidRDefault="00CF74A1">
      <w:pPr>
        <w:ind w:left="720" w:hanging="720"/>
      </w:pPr>
      <w:r>
        <w:lastRenderedPageBreak/>
        <w:t xml:space="preserve">Gibbs, G. (1988) </w:t>
      </w:r>
      <w:r>
        <w:rPr>
          <w:i/>
          <w:iCs/>
        </w:rPr>
        <w:t>Learning by Doing: A Guide to Teaching and Learning Methods</w:t>
      </w:r>
      <w:r>
        <w:t xml:space="preserve">. Oxford: Further Education Unit. Available at: </w:t>
      </w:r>
      <w:hyperlink r:id="rId34">
        <w:r>
          <w:rPr>
            <w:color w:val="0000FF"/>
            <w:u w:val="single"/>
          </w:rPr>
          <w:t>https://books.google.com/books/about/Learning_by_Doing.html?id=z2CxAAAACAAJ</w:t>
        </w:r>
      </w:hyperlink>
    </w:p>
    <w:p w14:paraId="064E0815" w14:textId="77777777" w:rsidR="00CF74A1" w:rsidRDefault="00CF74A1">
      <w:pPr>
        <w:ind w:left="720" w:hanging="720"/>
      </w:pPr>
      <w:r>
        <w:t xml:space="preserve">Kaplan, R.S. and Norton, D.P. (1992) ‘The balanced scorecard: Measures that drive performance’, </w:t>
      </w:r>
      <w:r>
        <w:rPr>
          <w:i/>
          <w:iCs/>
        </w:rPr>
        <w:t>Harvard Business Review</w:t>
      </w:r>
      <w:r>
        <w:t xml:space="preserve">, 70(1), pp. 71–79. Available at: </w:t>
      </w:r>
      <w:hyperlink r:id="rId35">
        <w:r>
          <w:rPr>
            <w:color w:val="0000FF"/>
            <w:u w:val="single"/>
          </w:rPr>
          <w:t>https://hbr.org/1992/01/the-balanced-scorecard-measures-that-drive-performance-2</w:t>
        </w:r>
      </w:hyperlink>
    </w:p>
    <w:p w14:paraId="7A98D03D" w14:textId="77777777" w:rsidR="00CF74A1" w:rsidRDefault="00CF74A1">
      <w:pPr>
        <w:ind w:left="720" w:hanging="720"/>
      </w:pPr>
      <w:r>
        <w:t xml:space="preserve">Kaplan, R.S. and Norton, D.P. (2007) ‘Using the balanced scorecard as a strategic management system’, </w:t>
      </w:r>
      <w:r>
        <w:rPr>
          <w:i/>
          <w:iCs/>
        </w:rPr>
        <w:t>Harvard Business Review</w:t>
      </w:r>
      <w:r>
        <w:t xml:space="preserve">. Available at: </w:t>
      </w:r>
      <w:hyperlink r:id="rId36">
        <w:r>
          <w:rPr>
            <w:color w:val="0000FF"/>
            <w:u w:val="single"/>
          </w:rPr>
          <w:t>https://hbr.org/2007/07/using-the-balanced-scorecard-as-a-strategic-management-system</w:t>
        </w:r>
      </w:hyperlink>
    </w:p>
    <w:p w14:paraId="5379A05B" w14:textId="77777777" w:rsidR="00CF74A1" w:rsidRDefault="00CF74A1">
      <w:pPr>
        <w:ind w:left="720" w:hanging="720"/>
      </w:pPr>
      <w:r>
        <w:t xml:space="preserve">Leadership Centre (2026) </w:t>
      </w:r>
      <w:r>
        <w:rPr>
          <w:i/>
          <w:iCs/>
        </w:rPr>
        <w:t>Lewin’s model of change</w:t>
      </w:r>
      <w:r>
        <w:t xml:space="preserve">. Available at: </w:t>
      </w:r>
      <w:hyperlink r:id="rId37">
        <w:r>
          <w:rPr>
            <w:color w:val="0000FF"/>
            <w:u w:val="single"/>
          </w:rPr>
          <w:t>https://www.leadershipcentre.org.uk/artofchangemaking/theory/lewins-model-of-change/</w:t>
        </w:r>
      </w:hyperlink>
    </w:p>
    <w:p w14:paraId="7C09A7FC" w14:textId="77777777" w:rsidR="00CF74A1" w:rsidRDefault="00CF74A1">
      <w:pPr>
        <w:ind w:left="720" w:hanging="720"/>
      </w:pPr>
      <w:r>
        <w:t xml:space="preserve">Libraries for the Future (2025) </w:t>
      </w:r>
      <w:r>
        <w:rPr>
          <w:i/>
          <w:iCs/>
        </w:rPr>
        <w:t>age1’s 2025 1st Annual Pharma Aging Report Card</w:t>
      </w:r>
      <w:r>
        <w:t xml:space="preserve">. Available at: </w:t>
      </w:r>
      <w:hyperlink r:id="rId38">
        <w:r>
          <w:rPr>
            <w:color w:val="0000FF"/>
            <w:u w:val="single"/>
          </w:rPr>
          <w:t>https://www.librariesforthefuture.bio/p/age1s-2025-1st-annual-pharma-aging</w:t>
        </w:r>
      </w:hyperlink>
    </w:p>
    <w:p w14:paraId="197E6217" w14:textId="77777777" w:rsidR="00CF74A1" w:rsidRDefault="00CF74A1">
      <w:pPr>
        <w:ind w:left="720" w:hanging="720"/>
      </w:pPr>
      <w:r>
        <w:t xml:space="preserve">Martin, K. (2025) ‘Medicare drug price negotiations: All you need to know’, </w:t>
      </w:r>
      <w:r>
        <w:rPr>
          <w:i/>
          <w:iCs/>
        </w:rPr>
        <w:t>The Commonwealth Fund</w:t>
      </w:r>
      <w:r>
        <w:t xml:space="preserve">. Available at: </w:t>
      </w:r>
      <w:hyperlink r:id="rId39">
        <w:r>
          <w:rPr>
            <w:color w:val="0000FF"/>
            <w:u w:val="single"/>
          </w:rPr>
          <w:t>https://doi.org/10.26099/g95a-pw75</w:t>
        </w:r>
      </w:hyperlink>
    </w:p>
    <w:p w14:paraId="2085C36E" w14:textId="77777777" w:rsidR="00CF74A1" w:rsidRDefault="00CF74A1">
      <w:pPr>
        <w:ind w:left="720" w:hanging="720"/>
      </w:pPr>
      <w:r>
        <w:t xml:space="preserve">Meldrum, M. (1995) ‘The Ansoff Matrix’, in </w:t>
      </w:r>
      <w:r>
        <w:rPr>
          <w:i/>
          <w:iCs/>
        </w:rPr>
        <w:t>The Complete MBA Companion in Strategy</w:t>
      </w:r>
      <w:r>
        <w:t xml:space="preserve">. London: Palgrave Macmillan. Available at: </w:t>
      </w:r>
      <w:hyperlink r:id="rId40">
        <w:r>
          <w:rPr>
            <w:color w:val="0000FF"/>
            <w:u w:val="single"/>
          </w:rPr>
          <w:t>https://link.springer.com/chapter/10.1007/978-1-349-13877-7_24</w:t>
        </w:r>
      </w:hyperlink>
    </w:p>
    <w:p w14:paraId="46A719D8" w14:textId="77777777" w:rsidR="00CF74A1" w:rsidRDefault="00CF74A1">
      <w:pPr>
        <w:ind w:left="720" w:hanging="720"/>
      </w:pPr>
      <w:r>
        <w:t xml:space="preserve">Moon, J.A. (2004) </w:t>
      </w:r>
      <w:r>
        <w:rPr>
          <w:i/>
          <w:iCs/>
        </w:rPr>
        <w:t>A Handbook of Reflective and Experiential Learning: Theory and Practice</w:t>
      </w:r>
      <w:r>
        <w:t xml:space="preserve">. London: </w:t>
      </w:r>
      <w:proofErr w:type="spellStart"/>
      <w:r>
        <w:t>RoutledgeFalmer</w:t>
      </w:r>
      <w:proofErr w:type="spellEnd"/>
      <w:r>
        <w:t xml:space="preserve">. Available at: </w:t>
      </w:r>
      <w:hyperlink r:id="rId41">
        <w:r>
          <w:rPr>
            <w:color w:val="0000FF"/>
            <w:u w:val="single"/>
          </w:rPr>
          <w:t>https://www.routledge.com/A-Handbook-of-Reflective-and-Experiential-Learning-Theory-and-Practice/Moon/p/book/9780415335164</w:t>
        </w:r>
      </w:hyperlink>
    </w:p>
    <w:p w14:paraId="139746DE" w14:textId="77777777" w:rsidR="00CF74A1" w:rsidRDefault="00CF74A1">
      <w:pPr>
        <w:ind w:left="720" w:hanging="720"/>
      </w:pPr>
      <w:r>
        <w:t xml:space="preserve">NMBL Strategies (2023) </w:t>
      </w:r>
      <w:r>
        <w:rPr>
          <w:i/>
          <w:iCs/>
        </w:rPr>
        <w:t>How NMBL Strategies utilizes a PESTLE analysis</w:t>
      </w:r>
      <w:r>
        <w:t xml:space="preserve">. Available at: </w:t>
      </w:r>
      <w:hyperlink r:id="rId42">
        <w:r>
          <w:rPr>
            <w:color w:val="0000FF"/>
            <w:u w:val="single"/>
          </w:rPr>
          <w:t>https://www.nmblstrategies.com/blog/how-nmbl-strategies-utilizes-a-pestle-analysis</w:t>
        </w:r>
      </w:hyperlink>
    </w:p>
    <w:p w14:paraId="2D866C7F" w14:textId="77777777" w:rsidR="00CF74A1" w:rsidRDefault="00CF74A1">
      <w:pPr>
        <w:ind w:left="720" w:hanging="720"/>
      </w:pPr>
      <w:proofErr w:type="spellStart"/>
      <w:r>
        <w:t>OnStrategy</w:t>
      </w:r>
      <w:proofErr w:type="spellEnd"/>
      <w:r>
        <w:t xml:space="preserve"> (2026) </w:t>
      </w:r>
      <w:r>
        <w:rPr>
          <w:i/>
          <w:iCs/>
        </w:rPr>
        <w:t>VRIO framework explained</w:t>
      </w:r>
      <w:r>
        <w:t xml:space="preserve">. Available at: </w:t>
      </w:r>
      <w:hyperlink r:id="rId43">
        <w:r>
          <w:rPr>
            <w:color w:val="0000FF"/>
            <w:u w:val="single"/>
          </w:rPr>
          <w:t>https://onstrategyhq.com/vrio/</w:t>
        </w:r>
      </w:hyperlink>
    </w:p>
    <w:p w14:paraId="18FD004F" w14:textId="77777777" w:rsidR="00CF74A1" w:rsidRDefault="00CF74A1">
      <w:pPr>
        <w:ind w:left="720" w:hanging="720"/>
      </w:pPr>
      <w:r>
        <w:t xml:space="preserve">Porter, M.E. (1985) </w:t>
      </w:r>
      <w:r>
        <w:rPr>
          <w:i/>
          <w:iCs/>
        </w:rPr>
        <w:t>Competitive Advantage: Creating and Sustaining Superior Performance</w:t>
      </w:r>
      <w:r>
        <w:t xml:space="preserve">. New York: Free Press. Available at: </w:t>
      </w:r>
      <w:hyperlink r:id="rId44">
        <w:r>
          <w:rPr>
            <w:color w:val="0000FF"/>
            <w:u w:val="single"/>
          </w:rPr>
          <w:t>https://www.hbs.edu/faculty/Pages/item.aspx?num=193</w:t>
        </w:r>
      </w:hyperlink>
    </w:p>
    <w:p w14:paraId="3D0184B5" w14:textId="77777777" w:rsidR="00CF74A1" w:rsidRDefault="00CF74A1">
      <w:pPr>
        <w:ind w:left="720" w:hanging="720"/>
      </w:pPr>
      <w:r>
        <w:lastRenderedPageBreak/>
        <w:t xml:space="preserve">Sanofi (2022) </w:t>
      </w:r>
      <w:r>
        <w:rPr>
          <w:i/>
          <w:iCs/>
        </w:rPr>
        <w:t>Integrated Annual Report 2022</w:t>
      </w:r>
      <w:r>
        <w:t xml:space="preserve">. Available at: </w:t>
      </w:r>
      <w:hyperlink r:id="rId45">
        <w:r>
          <w:rPr>
            <w:color w:val="0000FF"/>
            <w:u w:val="single"/>
          </w:rPr>
          <w:t>https://www.sanofi.com/assets/dotcom/content-app/publications/integrated-report/SANOFI-Integrated-Annual-Report-2022-EN.pdf</w:t>
        </w:r>
      </w:hyperlink>
    </w:p>
    <w:p w14:paraId="7E4CDB75" w14:textId="77777777" w:rsidR="00CF74A1" w:rsidRDefault="00CF74A1">
      <w:pPr>
        <w:ind w:left="720" w:hanging="720"/>
      </w:pPr>
      <w:r>
        <w:t xml:space="preserve">Sanofi (2025) </w:t>
      </w:r>
      <w:r>
        <w:rPr>
          <w:i/>
          <w:iCs/>
        </w:rPr>
        <w:t>Press release: Sanofi and CD&amp;R close Opella transaction, create global consumer healthcare leader</w:t>
      </w:r>
      <w:r>
        <w:t xml:space="preserve">. Available at: </w:t>
      </w:r>
      <w:hyperlink r:id="rId46">
        <w:r>
          <w:rPr>
            <w:color w:val="0000FF"/>
            <w:u w:val="single"/>
          </w:rPr>
          <w:t>https://www.sanofi.com/en/media-room/press-releases/2025/2025-04-30-11-00-00-3071167</w:t>
        </w:r>
      </w:hyperlink>
    </w:p>
    <w:p w14:paraId="658C112F" w14:textId="77777777" w:rsidR="00CF74A1" w:rsidRDefault="00CF74A1">
      <w:pPr>
        <w:ind w:left="720" w:hanging="720"/>
      </w:pPr>
      <w:r>
        <w:t xml:space="preserve">Sanofi (2025a) </w:t>
      </w:r>
      <w:r>
        <w:rPr>
          <w:i/>
          <w:iCs/>
        </w:rPr>
        <w:t>Corporate Social Responsibility at Sanofi</w:t>
      </w:r>
      <w:r>
        <w:t xml:space="preserve">. Available at: </w:t>
      </w:r>
      <w:hyperlink r:id="rId47">
        <w:r>
          <w:rPr>
            <w:color w:val="0000FF"/>
            <w:u w:val="single"/>
          </w:rPr>
          <w:t>https://www.sanofi.us/en/our-company/social-impact/corporate-social-responsibility</w:t>
        </w:r>
      </w:hyperlink>
      <w:r>
        <w:t xml:space="preserve"> </w:t>
      </w:r>
    </w:p>
    <w:p w14:paraId="497C37AD" w14:textId="77777777" w:rsidR="00CF74A1" w:rsidRDefault="00CF74A1">
      <w:pPr>
        <w:ind w:left="720" w:hanging="720"/>
      </w:pPr>
      <w:r>
        <w:t xml:space="preserve">Sanofi (2025b) </w:t>
      </w:r>
      <w:r>
        <w:rPr>
          <w:i/>
          <w:iCs/>
        </w:rPr>
        <w:t>Press Release: Sanofi strong Q1 performance and 2025 guidance confirmed</w:t>
      </w:r>
      <w:r>
        <w:t xml:space="preserve">. Available at: </w:t>
      </w:r>
      <w:hyperlink r:id="rId48">
        <w:r>
          <w:rPr>
            <w:color w:val="0000FF"/>
            <w:u w:val="single"/>
          </w:rPr>
          <w:t>https://www.sanofi.com/en/media-room/press-releases/2025/2025-04-24-05-30-00-3067075</w:t>
        </w:r>
      </w:hyperlink>
    </w:p>
    <w:p w14:paraId="3D70CE80" w14:textId="77777777" w:rsidR="00CF74A1" w:rsidRDefault="00CF74A1">
      <w:pPr>
        <w:ind w:left="720" w:hanging="720"/>
      </w:pPr>
      <w:r>
        <w:t xml:space="preserve">Sanofi (2025c) </w:t>
      </w:r>
      <w:r>
        <w:rPr>
          <w:i/>
          <w:iCs/>
        </w:rPr>
        <w:t>Sustainability Statement 2025</w:t>
      </w:r>
      <w:r>
        <w:t xml:space="preserve">. Available at: </w:t>
      </w:r>
      <w:hyperlink r:id="rId49">
        <w:r>
          <w:rPr>
            <w:color w:val="0000FF"/>
            <w:u w:val="single"/>
          </w:rPr>
          <w:t>https://www.sanofi.com/assets/dotcom/content-app/publications/esg-reports/sanofi-sustainability-statement-2025.pdf</w:t>
        </w:r>
      </w:hyperlink>
    </w:p>
    <w:p w14:paraId="2BAED87F" w14:textId="77777777" w:rsidR="00CF74A1" w:rsidRDefault="00CF74A1">
      <w:pPr>
        <w:ind w:left="720" w:hanging="720"/>
      </w:pPr>
      <w:r>
        <w:t xml:space="preserve">Sanofi (2026) </w:t>
      </w:r>
      <w:r>
        <w:rPr>
          <w:i/>
          <w:iCs/>
        </w:rPr>
        <w:t>Our strategy</w:t>
      </w:r>
      <w:r>
        <w:t xml:space="preserve">. Available at: </w:t>
      </w:r>
      <w:hyperlink r:id="rId50">
        <w:r>
          <w:rPr>
            <w:color w:val="0000FF"/>
            <w:u w:val="single"/>
          </w:rPr>
          <w:t>https://www.sanofi.com/en/our-company/our-strategy</w:t>
        </w:r>
      </w:hyperlink>
    </w:p>
    <w:p w14:paraId="6DB44B5D" w14:textId="77777777" w:rsidR="00CF74A1" w:rsidRDefault="00CF74A1">
      <w:pPr>
        <w:ind w:left="720" w:hanging="720"/>
      </w:pPr>
      <w:r>
        <w:t xml:space="preserve">Sanofi (2026a) </w:t>
      </w:r>
      <w:r>
        <w:rPr>
          <w:i/>
          <w:iCs/>
        </w:rPr>
        <w:t>Our strategy: Faster and further for patients</w:t>
      </w:r>
      <w:r>
        <w:t xml:space="preserve">. Available at: </w:t>
      </w:r>
      <w:hyperlink r:id="rId51">
        <w:r>
          <w:rPr>
            <w:color w:val="0000FF"/>
            <w:u w:val="single"/>
          </w:rPr>
          <w:t>https://www.sanofi.com/en/our-company/our-strategy</w:t>
        </w:r>
      </w:hyperlink>
    </w:p>
    <w:p w14:paraId="38BC16B6" w14:textId="77777777" w:rsidR="00CF74A1" w:rsidRDefault="00CF74A1">
      <w:pPr>
        <w:ind w:left="720" w:hanging="720"/>
      </w:pPr>
      <w:r>
        <w:t xml:space="preserve">Sanofi (2026b) </w:t>
      </w:r>
      <w:r>
        <w:rPr>
          <w:i/>
          <w:iCs/>
        </w:rPr>
        <w:t>A Million Conversations: Bridging Trust Gap</w:t>
      </w:r>
      <w:r>
        <w:t xml:space="preserve">. Available at: </w:t>
      </w:r>
      <w:hyperlink r:id="rId52">
        <w:r>
          <w:rPr>
            <w:color w:val="0000FF"/>
            <w:u w:val="single"/>
          </w:rPr>
          <w:t>https://www.sanofi.com/en/our-company/sustainability/inclusion/a-million-conversations</w:t>
        </w:r>
      </w:hyperlink>
    </w:p>
    <w:p w14:paraId="22C01B90" w14:textId="77777777" w:rsidR="00CF74A1" w:rsidRDefault="00CF74A1">
      <w:pPr>
        <w:ind w:left="720" w:hanging="720"/>
      </w:pPr>
      <w:r>
        <w:t xml:space="preserve">Sanofi (2026c) </w:t>
      </w:r>
      <w:r>
        <w:rPr>
          <w:i/>
          <w:iCs/>
        </w:rPr>
        <w:t>2025: Strong sales and EPS growth. Continued profitable growth expected in 2026</w:t>
      </w:r>
      <w:r>
        <w:t xml:space="preserve">. Available at: </w:t>
      </w:r>
      <w:hyperlink r:id="rId53">
        <w:r>
          <w:rPr>
            <w:color w:val="0000FF"/>
            <w:u w:val="single"/>
          </w:rPr>
          <w:t>https://www.sanofi.com/en/media-room/press-releases/2026/2026-01-29-06-30-00-3228191</w:t>
        </w:r>
      </w:hyperlink>
    </w:p>
    <w:p w14:paraId="3EEE15D1" w14:textId="77777777" w:rsidR="00CF74A1" w:rsidRDefault="00CF74A1">
      <w:pPr>
        <w:ind w:left="720" w:hanging="720"/>
      </w:pPr>
      <w:r>
        <w:t xml:space="preserve">Sanofi (2026d) </w:t>
      </w:r>
      <w:r>
        <w:rPr>
          <w:i/>
          <w:iCs/>
        </w:rPr>
        <w:t>Pharmaceutical manufacturing and supply chain</w:t>
      </w:r>
      <w:r>
        <w:t xml:space="preserve">. Available at: </w:t>
      </w:r>
      <w:hyperlink r:id="rId54">
        <w:r>
          <w:rPr>
            <w:color w:val="0000FF"/>
            <w:u w:val="single"/>
          </w:rPr>
          <w:t>https://www.sanofi.com/en/our-science/manufacturing-and-supply</w:t>
        </w:r>
      </w:hyperlink>
    </w:p>
    <w:p w14:paraId="4EC7B6BC" w14:textId="77777777" w:rsidR="00CF74A1" w:rsidRDefault="00CF74A1">
      <w:pPr>
        <w:ind w:left="720" w:hanging="720"/>
      </w:pPr>
      <w:r>
        <w:t xml:space="preserve">Sanofi (2026e) </w:t>
      </w:r>
      <w:r>
        <w:rPr>
          <w:i/>
          <w:iCs/>
        </w:rPr>
        <w:t>Our scientific partnerships and collaborations</w:t>
      </w:r>
      <w:r>
        <w:t xml:space="preserve">. Available at: </w:t>
      </w:r>
      <w:hyperlink r:id="rId55">
        <w:r>
          <w:rPr>
            <w:color w:val="0000FF"/>
            <w:u w:val="single"/>
          </w:rPr>
          <w:t>https://www.sanofi.com/en/our-science/external-innovation</w:t>
        </w:r>
      </w:hyperlink>
    </w:p>
    <w:p w14:paraId="5EBA32E5" w14:textId="77777777" w:rsidR="00CF74A1" w:rsidRDefault="00CF74A1">
      <w:pPr>
        <w:ind w:left="720" w:hanging="720"/>
      </w:pPr>
      <w:r>
        <w:t xml:space="preserve">Schuhmacher, A., Hinder, M. and Gassmann, O. (2025) ‘The R&amp;D productivity challenge: transforming the pharmaceutical ecosystem’, </w:t>
      </w:r>
      <w:r>
        <w:rPr>
          <w:i/>
          <w:iCs/>
        </w:rPr>
        <w:t>Drug Discovery Today</w:t>
      </w:r>
      <w:r>
        <w:t xml:space="preserve">. Available at: </w:t>
      </w:r>
      <w:hyperlink r:id="rId56">
        <w:r>
          <w:rPr>
            <w:color w:val="0000FF"/>
            <w:u w:val="single"/>
          </w:rPr>
          <w:t>https://www.sciencedirect.com/science/article/pii/S1359644625002077</w:t>
        </w:r>
      </w:hyperlink>
    </w:p>
    <w:p w14:paraId="283F6AE9" w14:textId="77777777" w:rsidR="00CF74A1" w:rsidRDefault="00CF74A1">
      <w:pPr>
        <w:ind w:left="720" w:hanging="720"/>
      </w:pPr>
      <w:r w:rsidRPr="00CF74A1">
        <w:lastRenderedPageBreak/>
        <w:t xml:space="preserve">Seek. (2026) </w:t>
      </w:r>
      <w:r w:rsidRPr="00CF74A1">
        <w:rPr>
          <w:i/>
          <w:iCs/>
        </w:rPr>
        <w:t>How to do a SWOT analysis (with examples)</w:t>
      </w:r>
      <w:r w:rsidRPr="00CF74A1">
        <w:t xml:space="preserve">. Available at: </w:t>
      </w:r>
      <w:hyperlink r:id="rId57" w:tgtFrame="_new" w:history="1">
        <w:r w:rsidRPr="00CF74A1">
          <w:rPr>
            <w:rStyle w:val="Hyperlink"/>
          </w:rPr>
          <w:t>https://www.seek.com.au/career-advice/article/how-to-do-a-swot-analysis-with-examples</w:t>
        </w:r>
      </w:hyperlink>
    </w:p>
    <w:p w14:paraId="23F53FD1" w14:textId="77777777" w:rsidR="00CF74A1" w:rsidRDefault="00CF74A1">
      <w:pPr>
        <w:ind w:left="720" w:hanging="720"/>
      </w:pPr>
      <w:r>
        <w:t xml:space="preserve">Seeking Alpha (2023) </w:t>
      </w:r>
      <w:r>
        <w:rPr>
          <w:i/>
          <w:iCs/>
        </w:rPr>
        <w:t>Sanofi: Growth is picking up steam</w:t>
      </w:r>
      <w:r>
        <w:t xml:space="preserve">. Available at: </w:t>
      </w:r>
      <w:hyperlink r:id="rId58">
        <w:r>
          <w:rPr>
            <w:color w:val="0000FF"/>
            <w:u w:val="single"/>
          </w:rPr>
          <w:t>https://seekingalpha.com/article/4594625-sanofi-growth-picking-up-steam</w:t>
        </w:r>
      </w:hyperlink>
    </w:p>
    <w:p w14:paraId="129E003B" w14:textId="77777777" w:rsidR="00CF74A1" w:rsidRDefault="00CF74A1">
      <w:pPr>
        <w:ind w:left="720" w:hanging="720"/>
      </w:pPr>
      <w:r>
        <w:t xml:space="preserve">Statista (2026a) </w:t>
      </w:r>
      <w:r>
        <w:rPr>
          <w:i/>
          <w:iCs/>
        </w:rPr>
        <w:t>Revenue of Sanofi from 2006 to 2025</w:t>
      </w:r>
      <w:r>
        <w:t xml:space="preserve">. Available at: </w:t>
      </w:r>
      <w:hyperlink r:id="rId59">
        <w:r>
          <w:rPr>
            <w:color w:val="0000FF"/>
            <w:u w:val="single"/>
          </w:rPr>
          <w:t>https://www.statista.com/statistics/266509/revenue-of-sanofi-since-2006/</w:t>
        </w:r>
      </w:hyperlink>
    </w:p>
    <w:p w14:paraId="527B9FF7" w14:textId="77777777" w:rsidR="00CF74A1" w:rsidRDefault="00CF74A1">
      <w:pPr>
        <w:ind w:left="720" w:hanging="720"/>
      </w:pPr>
      <w:r>
        <w:t xml:space="preserve">Statista (2026b) </w:t>
      </w:r>
      <w:r>
        <w:rPr>
          <w:i/>
          <w:iCs/>
        </w:rPr>
        <w:t>Research and development expenditure of Sanofi from 2008 to 2025</w:t>
      </w:r>
      <w:r>
        <w:t xml:space="preserve">. Available at: </w:t>
      </w:r>
      <w:hyperlink r:id="rId60">
        <w:r>
          <w:rPr>
            <w:color w:val="0000FF"/>
            <w:u w:val="single"/>
          </w:rPr>
          <w:t>https://www.statista.com/statistics/279202/expenditure-on-research-and-development-of-sanofi/?srsltid=AfmBOop2v076L9TE1g4-m6Ex0QI9rkqTonw1gDsi4FCw8kkCxLQbnMGc</w:t>
        </w:r>
      </w:hyperlink>
      <w:r>
        <w:t xml:space="preserve"> </w:t>
      </w:r>
    </w:p>
    <w:p w14:paraId="6BB499F9" w14:textId="77777777" w:rsidR="00CF74A1" w:rsidRDefault="00CF74A1">
      <w:pPr>
        <w:ind w:left="720" w:hanging="720"/>
      </w:pPr>
      <w:r>
        <w:t xml:space="preserve">Teece, D.J. (2010) ‘Business models, business strategy and innovation’, </w:t>
      </w:r>
      <w:r>
        <w:rPr>
          <w:i/>
          <w:iCs/>
        </w:rPr>
        <w:t>Long Range Planning</w:t>
      </w:r>
      <w:r>
        <w:t xml:space="preserve">, 43(2–3), pp. 172–194. Available at: </w:t>
      </w:r>
      <w:hyperlink r:id="rId61">
        <w:r>
          <w:rPr>
            <w:color w:val="0000FF"/>
            <w:u w:val="single"/>
          </w:rPr>
          <w:t>https://doi.org/10.1016/j.lrp.2009.07.003</w:t>
        </w:r>
      </w:hyperlink>
    </w:p>
    <w:p w14:paraId="0A83DE18" w14:textId="77777777" w:rsidR="00CF74A1" w:rsidRDefault="00CF74A1">
      <w:pPr>
        <w:ind w:left="720" w:hanging="720"/>
      </w:pPr>
      <w:r>
        <w:t xml:space="preserve">The Culture Factor (2026) </w:t>
      </w:r>
      <w:r>
        <w:rPr>
          <w:i/>
          <w:iCs/>
        </w:rPr>
        <w:t>Country comparison tool</w:t>
      </w:r>
      <w:r>
        <w:t xml:space="preserve">. Available at: </w:t>
      </w:r>
      <w:hyperlink r:id="rId62">
        <w:r>
          <w:rPr>
            <w:color w:val="0000FF"/>
            <w:u w:val="single"/>
          </w:rPr>
          <w:t>https://www.theculturefactor.com/country-comparison-tool</w:t>
        </w:r>
      </w:hyperlink>
    </w:p>
    <w:p w14:paraId="7FEC0346" w14:textId="77777777" w:rsidR="00CF74A1" w:rsidRDefault="00CF74A1">
      <w:pPr>
        <w:ind w:left="720" w:hanging="720"/>
      </w:pPr>
      <w:r>
        <w:t xml:space="preserve">Whittington, R., </w:t>
      </w:r>
      <w:proofErr w:type="spellStart"/>
      <w:r>
        <w:t>Regnér</w:t>
      </w:r>
      <w:proofErr w:type="spellEnd"/>
      <w:r>
        <w:t xml:space="preserve">, P., Angwin, D., Johnson, G. and Scholes, K. (2020) </w:t>
      </w:r>
      <w:r>
        <w:rPr>
          <w:i/>
          <w:iCs/>
        </w:rPr>
        <w:t>Exploring Strategy</w:t>
      </w:r>
      <w:r>
        <w:t xml:space="preserve">. 12th </w:t>
      </w:r>
      <w:proofErr w:type="spellStart"/>
      <w:r>
        <w:t>edn</w:t>
      </w:r>
      <w:proofErr w:type="spellEnd"/>
      <w:r>
        <w:t xml:space="preserve">. Harlow: Pearson. Available at: </w:t>
      </w:r>
      <w:hyperlink r:id="rId63">
        <w:r>
          <w:rPr>
            <w:color w:val="0000FF"/>
            <w:u w:val="single"/>
          </w:rPr>
          <w:t>https://www.pearson.com/en-gb/subject-catalog/p/exploring-strategy-text-and-cases/P200000004559/9781292282503</w:t>
        </w:r>
      </w:hyperlink>
    </w:p>
    <w:p w14:paraId="62391B63" w14:textId="77777777" w:rsidR="00387ACF" w:rsidRDefault="00387ACF">
      <w:pPr>
        <w:ind w:left="720" w:hanging="720"/>
      </w:pPr>
    </w:p>
    <w:p w14:paraId="43DC8CA8" w14:textId="2A18D5C3" w:rsidR="00435830" w:rsidRDefault="00435830">
      <w:r>
        <w:br w:type="page"/>
      </w:r>
    </w:p>
    <w:p w14:paraId="15CD6BD0" w14:textId="0251D1E6" w:rsidR="00387ACF" w:rsidRDefault="00435830" w:rsidP="00435830">
      <w:pPr>
        <w:pStyle w:val="Heading1"/>
      </w:pPr>
      <w:bookmarkStart w:id="28" w:name="_Toc228487510"/>
      <w:r>
        <w:lastRenderedPageBreak/>
        <w:t>Appendices</w:t>
      </w:r>
      <w:bookmarkEnd w:id="28"/>
    </w:p>
    <w:p w14:paraId="64AB976F" w14:textId="4324F202" w:rsidR="00435830" w:rsidRDefault="00435830" w:rsidP="00004F3F">
      <w:pPr>
        <w:pStyle w:val="Heading2"/>
      </w:pPr>
      <w:bookmarkStart w:id="29" w:name="_Toc228487511"/>
      <w:r>
        <w:t>Appendix 1</w:t>
      </w:r>
      <w:r w:rsidR="00004F3F">
        <w:t>: PESTLE Analysis</w:t>
      </w:r>
      <w:bookmarkEnd w:id="29"/>
    </w:p>
    <w:tbl>
      <w:tblPr>
        <w:tblStyle w:val="TableGrid"/>
        <w:tblW w:w="0" w:type="auto"/>
        <w:tblLook w:val="04A0" w:firstRow="1" w:lastRow="0" w:firstColumn="1" w:lastColumn="0" w:noHBand="0" w:noVBand="1"/>
      </w:tblPr>
      <w:tblGrid>
        <w:gridCol w:w="1751"/>
        <w:gridCol w:w="4056"/>
        <w:gridCol w:w="3831"/>
      </w:tblGrid>
      <w:tr w:rsidR="00435830" w:rsidRPr="00435830" w14:paraId="4F023EBF" w14:textId="77777777" w:rsidTr="00435830">
        <w:tc>
          <w:tcPr>
            <w:tcW w:w="1751" w:type="dxa"/>
            <w:hideMark/>
          </w:tcPr>
          <w:p w14:paraId="63A57942" w14:textId="77777777" w:rsidR="00435830" w:rsidRPr="00435830" w:rsidRDefault="00435830" w:rsidP="00DE1686">
            <w:pPr>
              <w:spacing w:line="360" w:lineRule="auto"/>
              <w:rPr>
                <w:b/>
                <w:bCs/>
              </w:rPr>
            </w:pPr>
            <w:r w:rsidRPr="00435830">
              <w:rPr>
                <w:b/>
                <w:bCs/>
              </w:rPr>
              <w:t>PESTLE factor</w:t>
            </w:r>
          </w:p>
        </w:tc>
        <w:tc>
          <w:tcPr>
            <w:tcW w:w="4056" w:type="dxa"/>
            <w:hideMark/>
          </w:tcPr>
          <w:p w14:paraId="5E29C579" w14:textId="77777777" w:rsidR="00435830" w:rsidRPr="00435830" w:rsidRDefault="00435830" w:rsidP="00DE1686">
            <w:pPr>
              <w:spacing w:line="360" w:lineRule="auto"/>
              <w:rPr>
                <w:b/>
                <w:bCs/>
              </w:rPr>
            </w:pPr>
            <w:r w:rsidRPr="00435830">
              <w:rPr>
                <w:b/>
                <w:bCs/>
              </w:rPr>
              <w:t>Key opportunity for Sanofi</w:t>
            </w:r>
          </w:p>
        </w:tc>
        <w:tc>
          <w:tcPr>
            <w:tcW w:w="3831" w:type="dxa"/>
            <w:hideMark/>
          </w:tcPr>
          <w:p w14:paraId="03898D66" w14:textId="77777777" w:rsidR="00435830" w:rsidRPr="00435830" w:rsidRDefault="00435830" w:rsidP="00DE1686">
            <w:pPr>
              <w:spacing w:line="360" w:lineRule="auto"/>
              <w:rPr>
                <w:b/>
                <w:bCs/>
              </w:rPr>
            </w:pPr>
            <w:r w:rsidRPr="00435830">
              <w:rPr>
                <w:b/>
                <w:bCs/>
              </w:rPr>
              <w:t>Key threat for Sanofi</w:t>
            </w:r>
          </w:p>
        </w:tc>
      </w:tr>
      <w:tr w:rsidR="00435830" w:rsidRPr="00435830" w14:paraId="68F3351D" w14:textId="77777777" w:rsidTr="00435830">
        <w:tc>
          <w:tcPr>
            <w:tcW w:w="1751" w:type="dxa"/>
            <w:hideMark/>
          </w:tcPr>
          <w:p w14:paraId="242E042C" w14:textId="77777777" w:rsidR="00435830" w:rsidRPr="00435830" w:rsidRDefault="00435830" w:rsidP="00DE1686">
            <w:pPr>
              <w:spacing w:line="360" w:lineRule="auto"/>
            </w:pPr>
            <w:r w:rsidRPr="00435830">
              <w:t>Political</w:t>
            </w:r>
          </w:p>
        </w:tc>
        <w:tc>
          <w:tcPr>
            <w:tcW w:w="4056" w:type="dxa"/>
            <w:hideMark/>
          </w:tcPr>
          <w:p w14:paraId="1462DD36" w14:textId="3A22A8A5" w:rsidR="00435830" w:rsidRPr="00435830" w:rsidRDefault="009021BA" w:rsidP="00DE1686">
            <w:pPr>
              <w:spacing w:line="360" w:lineRule="auto"/>
            </w:pPr>
            <w:r w:rsidRPr="009021BA">
              <w:t>The EU pharmaceutical reform and priorities in public-health could contribute to innovation, competitiveness and access to medicine.</w:t>
            </w:r>
          </w:p>
        </w:tc>
        <w:tc>
          <w:tcPr>
            <w:tcW w:w="3831" w:type="dxa"/>
            <w:hideMark/>
          </w:tcPr>
          <w:p w14:paraId="2FCD1033" w14:textId="51976548" w:rsidR="00435830" w:rsidRPr="00435830" w:rsidRDefault="009021BA" w:rsidP="00DE1686">
            <w:pPr>
              <w:spacing w:line="360" w:lineRule="auto"/>
            </w:pPr>
            <w:r w:rsidRPr="009021BA">
              <w:t>The increased government regulation of medicine prices and access can decrease the pricing elasticity of Sanofi.</w:t>
            </w:r>
          </w:p>
        </w:tc>
      </w:tr>
      <w:tr w:rsidR="00435830" w:rsidRPr="00435830" w14:paraId="44839817" w14:textId="77777777" w:rsidTr="00435830">
        <w:tc>
          <w:tcPr>
            <w:tcW w:w="1751" w:type="dxa"/>
            <w:hideMark/>
          </w:tcPr>
          <w:p w14:paraId="55498967" w14:textId="77777777" w:rsidR="00435830" w:rsidRPr="00435830" w:rsidRDefault="00435830" w:rsidP="00DE1686">
            <w:pPr>
              <w:spacing w:line="360" w:lineRule="auto"/>
            </w:pPr>
            <w:r w:rsidRPr="00435830">
              <w:t>Economic</w:t>
            </w:r>
          </w:p>
        </w:tc>
        <w:tc>
          <w:tcPr>
            <w:tcW w:w="4056" w:type="dxa"/>
            <w:hideMark/>
          </w:tcPr>
          <w:p w14:paraId="01291587" w14:textId="59C30232" w:rsidR="00435830" w:rsidRPr="00435830" w:rsidRDefault="009021BA" w:rsidP="00DE1686">
            <w:pPr>
              <w:spacing w:line="360" w:lineRule="auto"/>
            </w:pPr>
            <w:r w:rsidRPr="009021BA">
              <w:t>High-value therapeutic areas and revenue growth and strong global scale enable Sanofi to reinvest in R&amp;D and vaccines.</w:t>
            </w:r>
          </w:p>
        </w:tc>
        <w:tc>
          <w:tcPr>
            <w:tcW w:w="3831" w:type="dxa"/>
            <w:hideMark/>
          </w:tcPr>
          <w:p w14:paraId="202B9F1B" w14:textId="263BD483" w:rsidR="00435830" w:rsidRPr="00435830" w:rsidRDefault="009021BA" w:rsidP="00DE1686">
            <w:pPr>
              <w:spacing w:line="360" w:lineRule="auto"/>
            </w:pPr>
            <w:r w:rsidRPr="009021BA">
              <w:t>Profitability and investment capacity may be influenced by inflation, exchange-rate exposure and payer pressure.</w:t>
            </w:r>
          </w:p>
        </w:tc>
      </w:tr>
      <w:tr w:rsidR="00435830" w:rsidRPr="00435830" w14:paraId="38F727BE" w14:textId="77777777" w:rsidTr="00435830">
        <w:tc>
          <w:tcPr>
            <w:tcW w:w="1751" w:type="dxa"/>
            <w:hideMark/>
          </w:tcPr>
          <w:p w14:paraId="076E8210" w14:textId="77777777" w:rsidR="00435830" w:rsidRPr="00435830" w:rsidRDefault="00435830" w:rsidP="00DE1686">
            <w:pPr>
              <w:spacing w:line="360" w:lineRule="auto"/>
            </w:pPr>
            <w:r w:rsidRPr="00435830">
              <w:t>Socio-cultural</w:t>
            </w:r>
          </w:p>
        </w:tc>
        <w:tc>
          <w:tcPr>
            <w:tcW w:w="4056" w:type="dxa"/>
            <w:hideMark/>
          </w:tcPr>
          <w:p w14:paraId="3580578F" w14:textId="4990F20D" w:rsidR="00435830" w:rsidRPr="00435830" w:rsidRDefault="009021BA" w:rsidP="00DE1686">
            <w:pPr>
              <w:spacing w:line="360" w:lineRule="auto"/>
            </w:pPr>
            <w:r w:rsidRPr="009021BA">
              <w:t>The ageing population and the escalating chronic disease demands heighten the demand of vaccines, immunology and special treatments.</w:t>
            </w:r>
          </w:p>
        </w:tc>
        <w:tc>
          <w:tcPr>
            <w:tcW w:w="3831" w:type="dxa"/>
            <w:hideMark/>
          </w:tcPr>
          <w:p w14:paraId="17ABE830" w14:textId="53A6A27E" w:rsidR="00435830" w:rsidRPr="00435830" w:rsidRDefault="009021BA" w:rsidP="00DE1686">
            <w:pPr>
              <w:spacing w:line="360" w:lineRule="auto"/>
            </w:pPr>
            <w:r w:rsidRPr="009021BA">
              <w:t>Unequal access to healthcare and lack of trust in certain communities may restrain the adoption of products due to vaccine hesitancy.</w:t>
            </w:r>
          </w:p>
        </w:tc>
      </w:tr>
      <w:tr w:rsidR="00435830" w:rsidRPr="00435830" w14:paraId="4E181347" w14:textId="77777777" w:rsidTr="00435830">
        <w:tc>
          <w:tcPr>
            <w:tcW w:w="1751" w:type="dxa"/>
            <w:hideMark/>
          </w:tcPr>
          <w:p w14:paraId="7CBC879A" w14:textId="77777777" w:rsidR="00435830" w:rsidRPr="00435830" w:rsidRDefault="00435830" w:rsidP="00DE1686">
            <w:pPr>
              <w:spacing w:line="360" w:lineRule="auto"/>
            </w:pPr>
            <w:r w:rsidRPr="00435830">
              <w:t>Technological</w:t>
            </w:r>
          </w:p>
        </w:tc>
        <w:tc>
          <w:tcPr>
            <w:tcW w:w="4056" w:type="dxa"/>
            <w:hideMark/>
          </w:tcPr>
          <w:p w14:paraId="67AB0824" w14:textId="502F540F" w:rsidR="00435830" w:rsidRPr="00435830" w:rsidRDefault="009021BA" w:rsidP="00DE1686">
            <w:pPr>
              <w:spacing w:line="360" w:lineRule="auto"/>
            </w:pPr>
            <w:r w:rsidRPr="009021BA">
              <w:t>R&amp;D speed and operational efficiency can be enhanced with the help of AI, digital trials, biotechnology, and manufacturing automation.</w:t>
            </w:r>
          </w:p>
        </w:tc>
        <w:tc>
          <w:tcPr>
            <w:tcW w:w="3831" w:type="dxa"/>
            <w:hideMark/>
          </w:tcPr>
          <w:p w14:paraId="27644E2E" w14:textId="79A27CD7" w:rsidR="00435830" w:rsidRPr="00435830" w:rsidRDefault="009021BA" w:rsidP="00DE1686">
            <w:pPr>
              <w:spacing w:line="360" w:lineRule="auto"/>
            </w:pPr>
            <w:r w:rsidRPr="009021BA">
              <w:t>The rivals might follow the same or even more advanced technologies, decreasing the edge of innovation at Sanofi.</w:t>
            </w:r>
          </w:p>
        </w:tc>
      </w:tr>
      <w:tr w:rsidR="00435830" w:rsidRPr="00435830" w14:paraId="31B3838A" w14:textId="77777777" w:rsidTr="00435830">
        <w:tc>
          <w:tcPr>
            <w:tcW w:w="1751" w:type="dxa"/>
            <w:hideMark/>
          </w:tcPr>
          <w:p w14:paraId="0CA85919" w14:textId="77777777" w:rsidR="00435830" w:rsidRPr="00435830" w:rsidRDefault="00435830" w:rsidP="00DE1686">
            <w:pPr>
              <w:spacing w:line="360" w:lineRule="auto"/>
            </w:pPr>
            <w:r w:rsidRPr="00435830">
              <w:t>Environmental</w:t>
            </w:r>
          </w:p>
        </w:tc>
        <w:tc>
          <w:tcPr>
            <w:tcW w:w="4056" w:type="dxa"/>
            <w:hideMark/>
          </w:tcPr>
          <w:p w14:paraId="316EC071" w14:textId="47AF9572" w:rsidR="00435830" w:rsidRPr="00435830" w:rsidRDefault="009021BA" w:rsidP="00DE1686">
            <w:pPr>
              <w:spacing w:line="360" w:lineRule="auto"/>
            </w:pPr>
            <w:r w:rsidRPr="009021BA">
              <w:t>Good sustainability performance has the potential to enhance legitimacy, investor confidence and resiliency of supply-chain.</w:t>
            </w:r>
            <w:r w:rsidRPr="009021BA">
              <w:tab/>
            </w:r>
          </w:p>
        </w:tc>
        <w:tc>
          <w:tcPr>
            <w:tcW w:w="3831" w:type="dxa"/>
            <w:hideMark/>
          </w:tcPr>
          <w:p w14:paraId="00D976E9" w14:textId="3B59FC0E" w:rsidR="00435830" w:rsidRPr="00435830" w:rsidRDefault="009021BA" w:rsidP="00DE1686">
            <w:pPr>
              <w:spacing w:line="360" w:lineRule="auto"/>
            </w:pPr>
            <w:r w:rsidRPr="009021BA">
              <w:t>The cost of operating may go up because of environmental compliance, carbon and waste-control requirements.</w:t>
            </w:r>
          </w:p>
        </w:tc>
      </w:tr>
      <w:tr w:rsidR="00435830" w:rsidRPr="00435830" w14:paraId="159774D2" w14:textId="77777777" w:rsidTr="00435830">
        <w:tc>
          <w:tcPr>
            <w:tcW w:w="1751" w:type="dxa"/>
            <w:hideMark/>
          </w:tcPr>
          <w:p w14:paraId="4ECA1622" w14:textId="77777777" w:rsidR="00435830" w:rsidRPr="00435830" w:rsidRDefault="00435830" w:rsidP="00DE1686">
            <w:pPr>
              <w:spacing w:line="360" w:lineRule="auto"/>
            </w:pPr>
            <w:r w:rsidRPr="00435830">
              <w:t>Legal</w:t>
            </w:r>
          </w:p>
        </w:tc>
        <w:tc>
          <w:tcPr>
            <w:tcW w:w="4056" w:type="dxa"/>
            <w:hideMark/>
          </w:tcPr>
          <w:p w14:paraId="39BFE2E4" w14:textId="556A698A" w:rsidR="00435830" w:rsidRPr="00435830" w:rsidRDefault="009021BA" w:rsidP="00DE1686">
            <w:pPr>
              <w:spacing w:line="360" w:lineRule="auto"/>
            </w:pPr>
            <w:r w:rsidRPr="009021BA">
              <w:t>Innovation returns are safeguarded by patent protection and regulatory exclusivity to benefit Sanofi.</w:t>
            </w:r>
          </w:p>
        </w:tc>
        <w:tc>
          <w:tcPr>
            <w:tcW w:w="3831" w:type="dxa"/>
            <w:hideMark/>
          </w:tcPr>
          <w:p w14:paraId="11702065" w14:textId="356CE0FA" w:rsidR="00435830" w:rsidRPr="00435830" w:rsidRDefault="009021BA" w:rsidP="00DE1686">
            <w:pPr>
              <w:spacing w:line="360" w:lineRule="auto"/>
            </w:pPr>
            <w:r w:rsidRPr="009021BA">
              <w:t xml:space="preserve">Long-term returns can be decreased by patent expiry, pharmacovigilance regulations, </w:t>
            </w:r>
            <w:r w:rsidRPr="009021BA">
              <w:lastRenderedPageBreak/>
              <w:t>product liability and drug-price bargaining.</w:t>
            </w:r>
          </w:p>
        </w:tc>
      </w:tr>
    </w:tbl>
    <w:p w14:paraId="3661DE9A" w14:textId="77777777" w:rsidR="00435830" w:rsidRDefault="00435830" w:rsidP="00435830"/>
    <w:p w14:paraId="7044B051" w14:textId="257A7A15" w:rsidR="00004F3F" w:rsidRDefault="00004F3F" w:rsidP="00004F3F">
      <w:pPr>
        <w:pStyle w:val="Heading2"/>
      </w:pPr>
      <w:bookmarkStart w:id="30" w:name="_Toc228487512"/>
      <w:r>
        <w:t xml:space="preserve">Appendix 2: </w:t>
      </w:r>
      <w:r w:rsidRPr="00004F3F">
        <w:t>Critical Success Factors</w:t>
      </w:r>
      <w:bookmarkEnd w:id="30"/>
    </w:p>
    <w:tbl>
      <w:tblPr>
        <w:tblStyle w:val="TableGrid"/>
        <w:tblW w:w="0" w:type="auto"/>
        <w:tblLook w:val="04A0" w:firstRow="1" w:lastRow="0" w:firstColumn="1" w:lastColumn="0" w:noHBand="0" w:noVBand="1"/>
      </w:tblPr>
      <w:tblGrid>
        <w:gridCol w:w="2134"/>
        <w:gridCol w:w="4105"/>
        <w:gridCol w:w="3399"/>
      </w:tblGrid>
      <w:tr w:rsidR="00004F3F" w:rsidRPr="00004F3F" w14:paraId="4BB4B029" w14:textId="77777777" w:rsidTr="00004F3F">
        <w:tc>
          <w:tcPr>
            <w:tcW w:w="0" w:type="auto"/>
            <w:hideMark/>
          </w:tcPr>
          <w:p w14:paraId="70EA5ED5" w14:textId="77777777" w:rsidR="00004F3F" w:rsidRPr="00004F3F" w:rsidRDefault="00004F3F" w:rsidP="00004F3F">
            <w:pPr>
              <w:spacing w:line="360" w:lineRule="auto"/>
              <w:rPr>
                <w:b/>
                <w:bCs/>
              </w:rPr>
            </w:pPr>
            <w:r w:rsidRPr="00004F3F">
              <w:rPr>
                <w:b/>
                <w:bCs/>
              </w:rPr>
              <w:t>Critical success factor</w:t>
            </w:r>
          </w:p>
        </w:tc>
        <w:tc>
          <w:tcPr>
            <w:tcW w:w="0" w:type="auto"/>
            <w:hideMark/>
          </w:tcPr>
          <w:p w14:paraId="6A44FE19" w14:textId="77777777" w:rsidR="00004F3F" w:rsidRPr="00004F3F" w:rsidRDefault="00004F3F" w:rsidP="00004F3F">
            <w:pPr>
              <w:spacing w:line="360" w:lineRule="auto"/>
              <w:rPr>
                <w:b/>
                <w:bCs/>
              </w:rPr>
            </w:pPr>
            <w:r w:rsidRPr="00004F3F">
              <w:rPr>
                <w:b/>
                <w:bCs/>
              </w:rPr>
              <w:t>Why it is critical in the pharmaceutical industry</w:t>
            </w:r>
          </w:p>
        </w:tc>
        <w:tc>
          <w:tcPr>
            <w:tcW w:w="0" w:type="auto"/>
            <w:hideMark/>
          </w:tcPr>
          <w:p w14:paraId="73D4F47F" w14:textId="77777777" w:rsidR="00004F3F" w:rsidRPr="00004F3F" w:rsidRDefault="00004F3F" w:rsidP="00004F3F">
            <w:pPr>
              <w:spacing w:line="360" w:lineRule="auto"/>
              <w:rPr>
                <w:b/>
                <w:bCs/>
              </w:rPr>
            </w:pPr>
            <w:r w:rsidRPr="00004F3F">
              <w:rPr>
                <w:b/>
                <w:bCs/>
              </w:rPr>
              <w:t>Relevance to Sanofi</w:t>
            </w:r>
          </w:p>
        </w:tc>
      </w:tr>
      <w:tr w:rsidR="00004F3F" w:rsidRPr="00004F3F" w14:paraId="57354AB1" w14:textId="77777777" w:rsidTr="00004F3F">
        <w:tc>
          <w:tcPr>
            <w:tcW w:w="0" w:type="auto"/>
            <w:hideMark/>
          </w:tcPr>
          <w:p w14:paraId="6DD6F0D4" w14:textId="77777777" w:rsidR="00004F3F" w:rsidRPr="00004F3F" w:rsidRDefault="00004F3F" w:rsidP="00004F3F">
            <w:pPr>
              <w:spacing w:line="360" w:lineRule="auto"/>
            </w:pPr>
            <w:r w:rsidRPr="00004F3F">
              <w:rPr>
                <w:b/>
                <w:bCs/>
              </w:rPr>
              <w:t>R&amp;D productivity</w:t>
            </w:r>
          </w:p>
        </w:tc>
        <w:tc>
          <w:tcPr>
            <w:tcW w:w="0" w:type="auto"/>
            <w:hideMark/>
          </w:tcPr>
          <w:p w14:paraId="69E1F058" w14:textId="5C741EAC" w:rsidR="00004F3F" w:rsidRPr="00004F3F" w:rsidRDefault="009021BA" w:rsidP="00004F3F">
            <w:pPr>
              <w:spacing w:line="360" w:lineRule="auto"/>
            </w:pPr>
            <w:r w:rsidRPr="009021BA">
              <w:t>The pharmaceutical industries rely on the constant discovery and development of new drugs and vaccines. In case of poor R and D, the revenue in future may be reduced with the expiry of the present patents.</w:t>
            </w:r>
          </w:p>
        </w:tc>
        <w:tc>
          <w:tcPr>
            <w:tcW w:w="0" w:type="auto"/>
            <w:hideMark/>
          </w:tcPr>
          <w:p w14:paraId="1BCE5F93" w14:textId="179EF13D" w:rsidR="00004F3F" w:rsidRPr="00004F3F" w:rsidRDefault="009021BA" w:rsidP="00004F3F">
            <w:pPr>
              <w:spacing w:line="360" w:lineRule="auto"/>
            </w:pPr>
            <w:r w:rsidRPr="009021BA">
              <w:t>Sanofi is heavily reliant on innovation in immunology, vaccines and specialty care. Thus, effective R&amp;D is a key to further development.</w:t>
            </w:r>
          </w:p>
        </w:tc>
      </w:tr>
      <w:tr w:rsidR="00004F3F" w:rsidRPr="00004F3F" w14:paraId="70C1367C" w14:textId="77777777" w:rsidTr="00004F3F">
        <w:tc>
          <w:tcPr>
            <w:tcW w:w="0" w:type="auto"/>
            <w:hideMark/>
          </w:tcPr>
          <w:p w14:paraId="327F3C4C" w14:textId="77777777" w:rsidR="00004F3F" w:rsidRPr="00004F3F" w:rsidRDefault="00004F3F" w:rsidP="00004F3F">
            <w:pPr>
              <w:spacing w:line="360" w:lineRule="auto"/>
            </w:pPr>
            <w:r w:rsidRPr="00004F3F">
              <w:rPr>
                <w:b/>
                <w:bCs/>
              </w:rPr>
              <w:t>Regulatory approval capability</w:t>
            </w:r>
          </w:p>
        </w:tc>
        <w:tc>
          <w:tcPr>
            <w:tcW w:w="0" w:type="auto"/>
            <w:hideMark/>
          </w:tcPr>
          <w:p w14:paraId="5638FAD6" w14:textId="43B71E44" w:rsidR="00004F3F" w:rsidRPr="00004F3F" w:rsidRDefault="009021BA" w:rsidP="00004F3F">
            <w:pPr>
              <w:spacing w:line="360" w:lineRule="auto"/>
            </w:pPr>
            <w:r w:rsidRPr="009021BA">
              <w:t>There is no way to sell medicines and vaccines without the approval of the regulatory. Before commercial launch, safety, quality and clinical evidence are required.</w:t>
            </w:r>
          </w:p>
        </w:tc>
        <w:tc>
          <w:tcPr>
            <w:tcW w:w="0" w:type="auto"/>
            <w:hideMark/>
          </w:tcPr>
          <w:p w14:paraId="62FBCBAA" w14:textId="19058CAA" w:rsidR="00004F3F" w:rsidRPr="00004F3F" w:rsidRDefault="009021BA" w:rsidP="00004F3F">
            <w:pPr>
              <w:spacing w:line="360" w:lineRule="auto"/>
            </w:pPr>
            <w:r w:rsidRPr="009021BA">
              <w:t>Sanofi is an international firm and therefore needs to deal with regulations in Europe, the United States and the emerging markets.</w:t>
            </w:r>
          </w:p>
        </w:tc>
      </w:tr>
      <w:tr w:rsidR="00004F3F" w:rsidRPr="00004F3F" w14:paraId="29497040" w14:textId="77777777" w:rsidTr="00004F3F">
        <w:tc>
          <w:tcPr>
            <w:tcW w:w="0" w:type="auto"/>
            <w:hideMark/>
          </w:tcPr>
          <w:p w14:paraId="3F542B4F" w14:textId="77777777" w:rsidR="00004F3F" w:rsidRPr="00004F3F" w:rsidRDefault="00004F3F" w:rsidP="00004F3F">
            <w:pPr>
              <w:spacing w:line="360" w:lineRule="auto"/>
            </w:pPr>
            <w:r w:rsidRPr="00004F3F">
              <w:rPr>
                <w:b/>
                <w:bCs/>
              </w:rPr>
              <w:t>Manufacturing reliability</w:t>
            </w:r>
          </w:p>
        </w:tc>
        <w:tc>
          <w:tcPr>
            <w:tcW w:w="0" w:type="auto"/>
            <w:hideMark/>
          </w:tcPr>
          <w:p w14:paraId="1B0E3DB5" w14:textId="73DC6B91" w:rsidR="00004F3F" w:rsidRPr="00004F3F" w:rsidRDefault="009021BA" w:rsidP="00004F3F">
            <w:pPr>
              <w:spacing w:line="360" w:lineRule="auto"/>
            </w:pPr>
            <w:r w:rsidRPr="009021BA">
              <w:t>Pharmaceutical products demand constant quality, safe manufacturing and dependable supply. Failure to manufacture can hurt revenue, reputation and patient trust.</w:t>
            </w:r>
          </w:p>
        </w:tc>
        <w:tc>
          <w:tcPr>
            <w:tcW w:w="0" w:type="auto"/>
            <w:hideMark/>
          </w:tcPr>
          <w:p w14:paraId="0C621196" w14:textId="167D9324" w:rsidR="00004F3F" w:rsidRPr="00004F3F" w:rsidRDefault="009021BA" w:rsidP="00004F3F">
            <w:pPr>
              <w:spacing w:line="360" w:lineRule="auto"/>
            </w:pPr>
            <w:r w:rsidRPr="009021BA">
              <w:t>This is a significant strategic strength as Sanofi has a global production network which facilitates the supply of many medicines and vaccines on a large scale.</w:t>
            </w:r>
          </w:p>
        </w:tc>
      </w:tr>
      <w:tr w:rsidR="00004F3F" w:rsidRPr="00004F3F" w14:paraId="4E405380" w14:textId="77777777" w:rsidTr="00004F3F">
        <w:tc>
          <w:tcPr>
            <w:tcW w:w="0" w:type="auto"/>
            <w:hideMark/>
          </w:tcPr>
          <w:p w14:paraId="0164090B" w14:textId="77777777" w:rsidR="00004F3F" w:rsidRPr="00004F3F" w:rsidRDefault="00004F3F" w:rsidP="00004F3F">
            <w:pPr>
              <w:spacing w:line="360" w:lineRule="auto"/>
            </w:pPr>
            <w:r w:rsidRPr="00004F3F">
              <w:rPr>
                <w:b/>
                <w:bCs/>
              </w:rPr>
              <w:t>Market access and pricing capability</w:t>
            </w:r>
          </w:p>
        </w:tc>
        <w:tc>
          <w:tcPr>
            <w:tcW w:w="0" w:type="auto"/>
            <w:hideMark/>
          </w:tcPr>
          <w:p w14:paraId="75BB8A8A" w14:textId="735529A5" w:rsidR="00004F3F" w:rsidRPr="00004F3F" w:rsidRDefault="009021BA" w:rsidP="00004F3F">
            <w:pPr>
              <w:spacing w:line="360" w:lineRule="auto"/>
            </w:pPr>
            <w:r w:rsidRPr="009021BA">
              <w:t>Medicines should be affordable even following approval, reimbursed and accepted by healthcare systems. Profitability can be minimized by pricing pressure.</w:t>
            </w:r>
          </w:p>
        </w:tc>
        <w:tc>
          <w:tcPr>
            <w:tcW w:w="0" w:type="auto"/>
            <w:hideMark/>
          </w:tcPr>
          <w:p w14:paraId="36BEBC08" w14:textId="26412968" w:rsidR="00004F3F" w:rsidRPr="00004F3F" w:rsidRDefault="009021BA" w:rsidP="00004F3F">
            <w:pPr>
              <w:spacing w:line="360" w:lineRule="auto"/>
            </w:pPr>
            <w:r w:rsidRPr="009021BA">
              <w:t>Sanofi is under pressure of pricing and reimbursement in key markets and thus the key to commercial success is access to the markets.</w:t>
            </w:r>
          </w:p>
        </w:tc>
      </w:tr>
      <w:tr w:rsidR="00004F3F" w:rsidRPr="00004F3F" w14:paraId="75F6B7CC" w14:textId="77777777" w:rsidTr="00004F3F">
        <w:tc>
          <w:tcPr>
            <w:tcW w:w="0" w:type="auto"/>
            <w:hideMark/>
          </w:tcPr>
          <w:p w14:paraId="14D0321D" w14:textId="77777777" w:rsidR="00004F3F" w:rsidRPr="00004F3F" w:rsidRDefault="00004F3F" w:rsidP="00004F3F">
            <w:pPr>
              <w:spacing w:line="360" w:lineRule="auto"/>
            </w:pPr>
            <w:r w:rsidRPr="00004F3F">
              <w:rPr>
                <w:b/>
                <w:bCs/>
              </w:rPr>
              <w:t>Scientific and public trust</w:t>
            </w:r>
          </w:p>
        </w:tc>
        <w:tc>
          <w:tcPr>
            <w:tcW w:w="0" w:type="auto"/>
            <w:hideMark/>
          </w:tcPr>
          <w:p w14:paraId="121F497F" w14:textId="5F2D2449" w:rsidR="00004F3F" w:rsidRPr="00004F3F" w:rsidRDefault="009021BA" w:rsidP="00004F3F">
            <w:pPr>
              <w:spacing w:line="360" w:lineRule="auto"/>
            </w:pPr>
            <w:r w:rsidRPr="009021BA">
              <w:t xml:space="preserve">Pharmaceutical products, and more so, vaccines, are something that </w:t>
            </w:r>
            <w:r w:rsidRPr="009021BA">
              <w:lastRenderedPageBreak/>
              <w:t>patients, doctors, governments and regulators must trust. Lack of trust may diminish adoption and legitimacy.</w:t>
            </w:r>
            <w:r w:rsidRPr="009021BA">
              <w:tab/>
            </w:r>
          </w:p>
        </w:tc>
        <w:tc>
          <w:tcPr>
            <w:tcW w:w="0" w:type="auto"/>
            <w:hideMark/>
          </w:tcPr>
          <w:p w14:paraId="55534123" w14:textId="2CB16C66" w:rsidR="00004F3F" w:rsidRPr="00004F3F" w:rsidRDefault="009021BA" w:rsidP="00004F3F">
            <w:pPr>
              <w:spacing w:line="360" w:lineRule="auto"/>
            </w:pPr>
            <w:r w:rsidRPr="009021BA">
              <w:lastRenderedPageBreak/>
              <w:t xml:space="preserve">The history of Sanofi vaccines and trust-building campaigns </w:t>
            </w:r>
            <w:r w:rsidRPr="009021BA">
              <w:lastRenderedPageBreak/>
              <w:t>contributes to its differentiation and reputation among people.</w:t>
            </w:r>
          </w:p>
        </w:tc>
      </w:tr>
    </w:tbl>
    <w:p w14:paraId="43741283" w14:textId="77777777" w:rsidR="00004F3F" w:rsidRDefault="00004F3F" w:rsidP="00435830"/>
    <w:p w14:paraId="44DADE7D" w14:textId="0FF8F8CF" w:rsidR="00004F3F" w:rsidRDefault="00004F3F" w:rsidP="00004F3F">
      <w:pPr>
        <w:pStyle w:val="Heading2"/>
      </w:pPr>
      <w:bookmarkStart w:id="31" w:name="_Toc228487513"/>
      <w:r>
        <w:t>Appendix 3: VRIO</w:t>
      </w:r>
      <w:bookmarkEnd w:id="31"/>
    </w:p>
    <w:tbl>
      <w:tblPr>
        <w:tblStyle w:val="TableGrid"/>
        <w:tblW w:w="0" w:type="auto"/>
        <w:tblLook w:val="04A0" w:firstRow="1" w:lastRow="0" w:firstColumn="1" w:lastColumn="0" w:noHBand="0" w:noVBand="1"/>
      </w:tblPr>
      <w:tblGrid>
        <w:gridCol w:w="1786"/>
        <w:gridCol w:w="1660"/>
        <w:gridCol w:w="1749"/>
        <w:gridCol w:w="1385"/>
        <w:gridCol w:w="1648"/>
        <w:gridCol w:w="1410"/>
      </w:tblGrid>
      <w:tr w:rsidR="00004F3F" w:rsidRPr="00004F3F" w14:paraId="5AEF9D74" w14:textId="77777777" w:rsidTr="00004F3F">
        <w:tc>
          <w:tcPr>
            <w:tcW w:w="0" w:type="auto"/>
            <w:hideMark/>
          </w:tcPr>
          <w:p w14:paraId="424ECFE9" w14:textId="77777777" w:rsidR="00004F3F" w:rsidRPr="00004F3F" w:rsidRDefault="00004F3F" w:rsidP="00004F3F">
            <w:pPr>
              <w:spacing w:line="360" w:lineRule="auto"/>
              <w:rPr>
                <w:b/>
                <w:bCs/>
              </w:rPr>
            </w:pPr>
            <w:r w:rsidRPr="00004F3F">
              <w:rPr>
                <w:b/>
                <w:bCs/>
              </w:rPr>
              <w:t>Strategic capability</w:t>
            </w:r>
          </w:p>
        </w:tc>
        <w:tc>
          <w:tcPr>
            <w:tcW w:w="0" w:type="auto"/>
            <w:hideMark/>
          </w:tcPr>
          <w:p w14:paraId="648AEA25" w14:textId="77777777" w:rsidR="00004F3F" w:rsidRPr="00004F3F" w:rsidRDefault="00004F3F" w:rsidP="00004F3F">
            <w:pPr>
              <w:spacing w:line="360" w:lineRule="auto"/>
              <w:rPr>
                <w:b/>
                <w:bCs/>
              </w:rPr>
            </w:pPr>
            <w:r w:rsidRPr="00004F3F">
              <w:rPr>
                <w:b/>
                <w:bCs/>
              </w:rPr>
              <w:t>Valuable?</w:t>
            </w:r>
          </w:p>
        </w:tc>
        <w:tc>
          <w:tcPr>
            <w:tcW w:w="0" w:type="auto"/>
            <w:hideMark/>
          </w:tcPr>
          <w:p w14:paraId="404578BD" w14:textId="77777777" w:rsidR="00004F3F" w:rsidRPr="00004F3F" w:rsidRDefault="00004F3F" w:rsidP="00004F3F">
            <w:pPr>
              <w:spacing w:line="360" w:lineRule="auto"/>
              <w:rPr>
                <w:b/>
                <w:bCs/>
              </w:rPr>
            </w:pPr>
            <w:r w:rsidRPr="00004F3F">
              <w:rPr>
                <w:b/>
                <w:bCs/>
              </w:rPr>
              <w:t>Rare?</w:t>
            </w:r>
          </w:p>
        </w:tc>
        <w:tc>
          <w:tcPr>
            <w:tcW w:w="0" w:type="auto"/>
            <w:hideMark/>
          </w:tcPr>
          <w:p w14:paraId="4435C8B2" w14:textId="77777777" w:rsidR="00004F3F" w:rsidRPr="00004F3F" w:rsidRDefault="00004F3F" w:rsidP="00004F3F">
            <w:pPr>
              <w:spacing w:line="360" w:lineRule="auto"/>
              <w:rPr>
                <w:b/>
                <w:bCs/>
              </w:rPr>
            </w:pPr>
            <w:r w:rsidRPr="00004F3F">
              <w:rPr>
                <w:b/>
                <w:bCs/>
              </w:rPr>
              <w:t>Difficult to imitate?</w:t>
            </w:r>
          </w:p>
        </w:tc>
        <w:tc>
          <w:tcPr>
            <w:tcW w:w="0" w:type="auto"/>
            <w:hideMark/>
          </w:tcPr>
          <w:p w14:paraId="5E612CEE" w14:textId="77777777" w:rsidR="00004F3F" w:rsidRPr="00004F3F" w:rsidRDefault="00004F3F" w:rsidP="00004F3F">
            <w:pPr>
              <w:spacing w:line="360" w:lineRule="auto"/>
              <w:rPr>
                <w:b/>
                <w:bCs/>
              </w:rPr>
            </w:pPr>
            <w:r w:rsidRPr="00004F3F">
              <w:rPr>
                <w:b/>
                <w:bCs/>
              </w:rPr>
              <w:t>Organised?</w:t>
            </w:r>
          </w:p>
        </w:tc>
        <w:tc>
          <w:tcPr>
            <w:tcW w:w="0" w:type="auto"/>
            <w:hideMark/>
          </w:tcPr>
          <w:p w14:paraId="51057F40" w14:textId="77777777" w:rsidR="00004F3F" w:rsidRPr="00004F3F" w:rsidRDefault="00004F3F" w:rsidP="00004F3F">
            <w:pPr>
              <w:spacing w:line="360" w:lineRule="auto"/>
              <w:rPr>
                <w:b/>
                <w:bCs/>
              </w:rPr>
            </w:pPr>
            <w:r w:rsidRPr="00004F3F">
              <w:rPr>
                <w:b/>
                <w:bCs/>
              </w:rPr>
              <w:t>Strategic implication</w:t>
            </w:r>
          </w:p>
        </w:tc>
      </w:tr>
      <w:tr w:rsidR="00004F3F" w:rsidRPr="00004F3F" w14:paraId="1F71DBAF" w14:textId="77777777" w:rsidTr="00004F3F">
        <w:tc>
          <w:tcPr>
            <w:tcW w:w="0" w:type="auto"/>
            <w:hideMark/>
          </w:tcPr>
          <w:p w14:paraId="357857DD" w14:textId="77777777" w:rsidR="00004F3F" w:rsidRPr="00004F3F" w:rsidRDefault="00004F3F" w:rsidP="00004F3F">
            <w:pPr>
              <w:spacing w:line="360" w:lineRule="auto"/>
            </w:pPr>
            <w:r w:rsidRPr="00004F3F">
              <w:rPr>
                <w:b/>
                <w:bCs/>
              </w:rPr>
              <w:t>Global vaccine manufacturing and supply network</w:t>
            </w:r>
          </w:p>
        </w:tc>
        <w:tc>
          <w:tcPr>
            <w:tcW w:w="0" w:type="auto"/>
            <w:hideMark/>
          </w:tcPr>
          <w:p w14:paraId="64CF8243" w14:textId="77777777" w:rsidR="00004F3F" w:rsidRPr="00004F3F" w:rsidRDefault="00004F3F" w:rsidP="00004F3F">
            <w:pPr>
              <w:spacing w:line="360" w:lineRule="auto"/>
            </w:pPr>
            <w:r w:rsidRPr="00004F3F">
              <w:t>Yes. It supports large-scale, reliable and high-quality medicine and vaccine supply.</w:t>
            </w:r>
          </w:p>
        </w:tc>
        <w:tc>
          <w:tcPr>
            <w:tcW w:w="0" w:type="auto"/>
            <w:hideMark/>
          </w:tcPr>
          <w:p w14:paraId="07C54166" w14:textId="77777777" w:rsidR="00004F3F" w:rsidRPr="00004F3F" w:rsidRDefault="00004F3F" w:rsidP="00004F3F">
            <w:pPr>
              <w:spacing w:line="360" w:lineRule="auto"/>
            </w:pPr>
            <w:r w:rsidRPr="00004F3F">
              <w:t>Yes. Few firms have similar global vaccine manufacturing infrastructure.</w:t>
            </w:r>
          </w:p>
        </w:tc>
        <w:tc>
          <w:tcPr>
            <w:tcW w:w="0" w:type="auto"/>
            <w:hideMark/>
          </w:tcPr>
          <w:p w14:paraId="356A9F9A" w14:textId="77777777" w:rsidR="00004F3F" w:rsidRPr="00004F3F" w:rsidRDefault="00004F3F" w:rsidP="00004F3F">
            <w:pPr>
              <w:spacing w:line="360" w:lineRule="auto"/>
            </w:pPr>
            <w:r w:rsidRPr="00004F3F">
              <w:t>Yes. It requires high capital investment, regulatory knowledge and long operational experience.</w:t>
            </w:r>
          </w:p>
        </w:tc>
        <w:tc>
          <w:tcPr>
            <w:tcW w:w="0" w:type="auto"/>
            <w:hideMark/>
          </w:tcPr>
          <w:p w14:paraId="56799D9A" w14:textId="77777777" w:rsidR="00004F3F" w:rsidRPr="00004F3F" w:rsidRDefault="00004F3F" w:rsidP="00004F3F">
            <w:pPr>
              <w:spacing w:line="360" w:lineRule="auto"/>
            </w:pPr>
            <w:r w:rsidRPr="00004F3F">
              <w:t>Yes. Sanofi invests in modernisation and digitalisation of its manufacturing network.</w:t>
            </w:r>
          </w:p>
        </w:tc>
        <w:tc>
          <w:tcPr>
            <w:tcW w:w="0" w:type="auto"/>
            <w:hideMark/>
          </w:tcPr>
          <w:p w14:paraId="12A001CD" w14:textId="77777777" w:rsidR="00004F3F" w:rsidRPr="00004F3F" w:rsidRDefault="00004F3F" w:rsidP="00004F3F">
            <w:pPr>
              <w:spacing w:line="360" w:lineRule="auto"/>
            </w:pPr>
            <w:r w:rsidRPr="00004F3F">
              <w:t>Sustained competitive advantage.</w:t>
            </w:r>
          </w:p>
        </w:tc>
      </w:tr>
      <w:tr w:rsidR="00004F3F" w:rsidRPr="00004F3F" w14:paraId="43BB3C6E" w14:textId="77777777" w:rsidTr="00004F3F">
        <w:tc>
          <w:tcPr>
            <w:tcW w:w="0" w:type="auto"/>
            <w:hideMark/>
          </w:tcPr>
          <w:p w14:paraId="6E05839D" w14:textId="77777777" w:rsidR="00004F3F" w:rsidRPr="00004F3F" w:rsidRDefault="00004F3F" w:rsidP="00004F3F">
            <w:pPr>
              <w:spacing w:line="360" w:lineRule="auto"/>
            </w:pPr>
            <w:r w:rsidRPr="00004F3F">
              <w:rPr>
                <w:b/>
                <w:bCs/>
              </w:rPr>
              <w:t>Immunology R&amp;D capability</w:t>
            </w:r>
          </w:p>
        </w:tc>
        <w:tc>
          <w:tcPr>
            <w:tcW w:w="0" w:type="auto"/>
            <w:hideMark/>
          </w:tcPr>
          <w:p w14:paraId="64972355" w14:textId="77777777" w:rsidR="00004F3F" w:rsidRPr="00004F3F" w:rsidRDefault="00004F3F" w:rsidP="00004F3F">
            <w:pPr>
              <w:spacing w:line="360" w:lineRule="auto"/>
            </w:pPr>
            <w:r w:rsidRPr="00004F3F">
              <w:t>Yes. It supports growth in high-value therapeutic areas.</w:t>
            </w:r>
          </w:p>
        </w:tc>
        <w:tc>
          <w:tcPr>
            <w:tcW w:w="0" w:type="auto"/>
            <w:hideMark/>
          </w:tcPr>
          <w:p w14:paraId="1533531E" w14:textId="77777777" w:rsidR="00004F3F" w:rsidRPr="00004F3F" w:rsidRDefault="00004F3F" w:rsidP="00004F3F">
            <w:pPr>
              <w:spacing w:line="360" w:lineRule="auto"/>
            </w:pPr>
            <w:r w:rsidRPr="00004F3F">
              <w:t xml:space="preserve">Partly. Other large pharmaceutical firms also invest in immunology, but Sanofi has strong </w:t>
            </w:r>
            <w:r w:rsidRPr="00004F3F">
              <w:lastRenderedPageBreak/>
              <w:t>specialist knowledge.</w:t>
            </w:r>
          </w:p>
        </w:tc>
        <w:tc>
          <w:tcPr>
            <w:tcW w:w="0" w:type="auto"/>
            <w:hideMark/>
          </w:tcPr>
          <w:p w14:paraId="6D085434" w14:textId="77777777" w:rsidR="00004F3F" w:rsidRPr="00004F3F" w:rsidRDefault="00004F3F" w:rsidP="00004F3F">
            <w:pPr>
              <w:spacing w:line="360" w:lineRule="auto"/>
            </w:pPr>
            <w:r w:rsidRPr="00004F3F">
              <w:lastRenderedPageBreak/>
              <w:t xml:space="preserve">Partly. Scientific knowledge, clinical data and research experience are difficult to </w:t>
            </w:r>
            <w:r w:rsidRPr="00004F3F">
              <w:lastRenderedPageBreak/>
              <w:t>copy quickly.</w:t>
            </w:r>
          </w:p>
        </w:tc>
        <w:tc>
          <w:tcPr>
            <w:tcW w:w="0" w:type="auto"/>
            <w:hideMark/>
          </w:tcPr>
          <w:p w14:paraId="73933278" w14:textId="77777777" w:rsidR="00004F3F" w:rsidRPr="00004F3F" w:rsidRDefault="00004F3F" w:rsidP="00004F3F">
            <w:pPr>
              <w:spacing w:line="360" w:lineRule="auto"/>
            </w:pPr>
            <w:r w:rsidRPr="00004F3F">
              <w:lastRenderedPageBreak/>
              <w:t>Yes. Sanofi’s strategy is focused on R&amp;D-led biopharma growth.</w:t>
            </w:r>
          </w:p>
        </w:tc>
        <w:tc>
          <w:tcPr>
            <w:tcW w:w="0" w:type="auto"/>
            <w:hideMark/>
          </w:tcPr>
          <w:p w14:paraId="71040EDE" w14:textId="77777777" w:rsidR="00004F3F" w:rsidRPr="00004F3F" w:rsidRDefault="00004F3F" w:rsidP="00004F3F">
            <w:pPr>
              <w:spacing w:line="360" w:lineRule="auto"/>
            </w:pPr>
            <w:r w:rsidRPr="00004F3F">
              <w:t>Temporary to sustained advantage, depending on pipeline success.</w:t>
            </w:r>
          </w:p>
        </w:tc>
      </w:tr>
      <w:tr w:rsidR="00004F3F" w:rsidRPr="00004F3F" w14:paraId="7FC4F82A" w14:textId="77777777" w:rsidTr="00004F3F">
        <w:tc>
          <w:tcPr>
            <w:tcW w:w="0" w:type="auto"/>
            <w:hideMark/>
          </w:tcPr>
          <w:p w14:paraId="010A2374" w14:textId="77777777" w:rsidR="00004F3F" w:rsidRPr="00004F3F" w:rsidRDefault="00004F3F" w:rsidP="00004F3F">
            <w:pPr>
              <w:spacing w:line="360" w:lineRule="auto"/>
            </w:pPr>
            <w:r w:rsidRPr="00004F3F">
              <w:rPr>
                <w:b/>
                <w:bCs/>
              </w:rPr>
              <w:t>Vaccine expertise and brand reputation</w:t>
            </w:r>
          </w:p>
        </w:tc>
        <w:tc>
          <w:tcPr>
            <w:tcW w:w="0" w:type="auto"/>
            <w:hideMark/>
          </w:tcPr>
          <w:p w14:paraId="7CFEC44C" w14:textId="77777777" w:rsidR="00004F3F" w:rsidRPr="00004F3F" w:rsidRDefault="00004F3F" w:rsidP="00004F3F">
            <w:pPr>
              <w:spacing w:line="360" w:lineRule="auto"/>
            </w:pPr>
            <w:r w:rsidRPr="00004F3F">
              <w:t>Yes. Trust and expertise are important for vaccine adoption and public-health partnerships.</w:t>
            </w:r>
          </w:p>
        </w:tc>
        <w:tc>
          <w:tcPr>
            <w:tcW w:w="0" w:type="auto"/>
            <w:hideMark/>
          </w:tcPr>
          <w:p w14:paraId="54BD896D" w14:textId="77777777" w:rsidR="00004F3F" w:rsidRPr="00004F3F" w:rsidRDefault="00004F3F" w:rsidP="00004F3F">
            <w:pPr>
              <w:spacing w:line="360" w:lineRule="auto"/>
            </w:pPr>
            <w:r w:rsidRPr="00004F3F">
              <w:t>Yes. Sanofi has a long vaccine history and strong global presence.</w:t>
            </w:r>
          </w:p>
        </w:tc>
        <w:tc>
          <w:tcPr>
            <w:tcW w:w="0" w:type="auto"/>
            <w:hideMark/>
          </w:tcPr>
          <w:p w14:paraId="064DFCAF" w14:textId="77777777" w:rsidR="00004F3F" w:rsidRPr="00004F3F" w:rsidRDefault="00004F3F" w:rsidP="00004F3F">
            <w:pPr>
              <w:spacing w:line="360" w:lineRule="auto"/>
            </w:pPr>
            <w:r w:rsidRPr="00004F3F">
              <w:t>Yes. Reputation and vaccine know-how develop over many years and cannot be copied quickly.</w:t>
            </w:r>
          </w:p>
        </w:tc>
        <w:tc>
          <w:tcPr>
            <w:tcW w:w="0" w:type="auto"/>
            <w:hideMark/>
          </w:tcPr>
          <w:p w14:paraId="78E37021" w14:textId="77777777" w:rsidR="00004F3F" w:rsidRPr="00004F3F" w:rsidRDefault="00004F3F" w:rsidP="00004F3F">
            <w:pPr>
              <w:spacing w:line="360" w:lineRule="auto"/>
            </w:pPr>
            <w:r w:rsidRPr="00004F3F">
              <w:t>Partly. Sanofi has trust-building initiatives, but it must continue maintaining public confidence.</w:t>
            </w:r>
          </w:p>
        </w:tc>
        <w:tc>
          <w:tcPr>
            <w:tcW w:w="0" w:type="auto"/>
            <w:hideMark/>
          </w:tcPr>
          <w:p w14:paraId="4851A8C9" w14:textId="77777777" w:rsidR="00004F3F" w:rsidRPr="00004F3F" w:rsidRDefault="00004F3F" w:rsidP="00004F3F">
            <w:pPr>
              <w:spacing w:line="360" w:lineRule="auto"/>
            </w:pPr>
            <w:r w:rsidRPr="00004F3F">
              <w:t>Potential sustained competitive advantage.</w:t>
            </w:r>
          </w:p>
        </w:tc>
      </w:tr>
      <w:tr w:rsidR="00004F3F" w:rsidRPr="00004F3F" w14:paraId="580F4E42" w14:textId="77777777" w:rsidTr="00004F3F">
        <w:tc>
          <w:tcPr>
            <w:tcW w:w="0" w:type="auto"/>
            <w:hideMark/>
          </w:tcPr>
          <w:p w14:paraId="42715899" w14:textId="77777777" w:rsidR="00004F3F" w:rsidRPr="00004F3F" w:rsidRDefault="00004F3F" w:rsidP="00004F3F">
            <w:pPr>
              <w:spacing w:line="360" w:lineRule="auto"/>
            </w:pPr>
            <w:r w:rsidRPr="00004F3F">
              <w:rPr>
                <w:b/>
                <w:bCs/>
              </w:rPr>
              <w:t>Regulatory and market access capability</w:t>
            </w:r>
          </w:p>
        </w:tc>
        <w:tc>
          <w:tcPr>
            <w:tcW w:w="0" w:type="auto"/>
            <w:hideMark/>
          </w:tcPr>
          <w:p w14:paraId="1160AA72" w14:textId="77777777" w:rsidR="00004F3F" w:rsidRPr="00004F3F" w:rsidRDefault="00004F3F" w:rsidP="00004F3F">
            <w:pPr>
              <w:spacing w:line="360" w:lineRule="auto"/>
            </w:pPr>
            <w:r w:rsidRPr="00004F3F">
              <w:t>Yes. It helps Sanofi gain approvals and commercialise products globally.</w:t>
            </w:r>
          </w:p>
        </w:tc>
        <w:tc>
          <w:tcPr>
            <w:tcW w:w="0" w:type="auto"/>
            <w:hideMark/>
          </w:tcPr>
          <w:p w14:paraId="4477881E" w14:textId="77777777" w:rsidR="00004F3F" w:rsidRPr="00004F3F" w:rsidRDefault="00004F3F" w:rsidP="00004F3F">
            <w:pPr>
              <w:spacing w:line="360" w:lineRule="auto"/>
            </w:pPr>
            <w:r w:rsidRPr="00004F3F">
              <w:t>No. Most large pharmaceutical companies also have strong regulatory systems.</w:t>
            </w:r>
          </w:p>
        </w:tc>
        <w:tc>
          <w:tcPr>
            <w:tcW w:w="0" w:type="auto"/>
            <w:hideMark/>
          </w:tcPr>
          <w:p w14:paraId="38ADC349" w14:textId="77777777" w:rsidR="00004F3F" w:rsidRPr="00004F3F" w:rsidRDefault="00004F3F" w:rsidP="00004F3F">
            <w:pPr>
              <w:spacing w:line="360" w:lineRule="auto"/>
            </w:pPr>
            <w:r w:rsidRPr="00004F3F">
              <w:t>Partly. Experience helps, but competitors can build similar systems.</w:t>
            </w:r>
          </w:p>
        </w:tc>
        <w:tc>
          <w:tcPr>
            <w:tcW w:w="0" w:type="auto"/>
            <w:hideMark/>
          </w:tcPr>
          <w:p w14:paraId="7D299FEE" w14:textId="77777777" w:rsidR="00004F3F" w:rsidRPr="00004F3F" w:rsidRDefault="00004F3F" w:rsidP="00004F3F">
            <w:pPr>
              <w:spacing w:line="360" w:lineRule="auto"/>
            </w:pPr>
            <w:r w:rsidRPr="00004F3F">
              <w:t>Yes. Sanofi has global compliance and launch structures.</w:t>
            </w:r>
          </w:p>
        </w:tc>
        <w:tc>
          <w:tcPr>
            <w:tcW w:w="0" w:type="auto"/>
            <w:hideMark/>
          </w:tcPr>
          <w:p w14:paraId="40E97A8D" w14:textId="77777777" w:rsidR="00004F3F" w:rsidRPr="00004F3F" w:rsidRDefault="00004F3F" w:rsidP="00004F3F">
            <w:pPr>
              <w:spacing w:line="360" w:lineRule="auto"/>
            </w:pPr>
            <w:r w:rsidRPr="00004F3F">
              <w:t>Competitive parity with some</w:t>
            </w:r>
          </w:p>
        </w:tc>
      </w:tr>
    </w:tbl>
    <w:p w14:paraId="5AA8DA79" w14:textId="77777777" w:rsidR="00004F3F" w:rsidRPr="00435830" w:rsidRDefault="00004F3F" w:rsidP="00435830"/>
    <w:sectPr w:rsidR="00004F3F" w:rsidRPr="00435830">
      <w:footerReference w:type="default" r:id="rId64"/>
      <w:pgSz w:w="12240" w:h="15840"/>
      <w:pgMar w:top="1152" w:right="1296" w:bottom="1152" w:left="1296"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0884F" w14:textId="77777777" w:rsidR="001A0B63" w:rsidRDefault="001A0B63">
      <w:pPr>
        <w:spacing w:line="240" w:lineRule="auto"/>
      </w:pPr>
      <w:r>
        <w:separator/>
      </w:r>
    </w:p>
  </w:endnote>
  <w:endnote w:type="continuationSeparator" w:id="0">
    <w:p w14:paraId="75A00C2E" w14:textId="77777777" w:rsidR="001A0B63" w:rsidRDefault="001A0B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DB72F1A-192C-4929-9C3E-B42319D49868}"/>
    <w:embedItalic r:id="rId2" w:fontKey="{0147D72A-B675-4C02-BF3F-97F25114F0F6}"/>
  </w:font>
  <w:font w:name="Cambria">
    <w:panose1 w:val="02040503050406030204"/>
    <w:charset w:val="00"/>
    <w:family w:val="roman"/>
    <w:pitch w:val="variable"/>
    <w:sig w:usb0="E00006FF" w:usb1="420024FF" w:usb2="02000000" w:usb3="00000000" w:csb0="0000019F" w:csb1="00000000"/>
    <w:embedRegular r:id="rId3" w:fontKey="{A81E518B-C50E-4D05-B3C6-8F2A619AEC0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77A532" w14:textId="77777777" w:rsidR="00387ACF" w:rsidRDefault="00B5775D">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15881">
      <w:rPr>
        <w:noProof/>
        <w:color w:val="000000"/>
      </w:rPr>
      <w:t>1</w:t>
    </w:r>
    <w:r>
      <w:rPr>
        <w:color w:val="000000"/>
      </w:rPr>
      <w:fldChar w:fldCharType="end"/>
    </w:r>
  </w:p>
  <w:p w14:paraId="7C091F0A" w14:textId="77777777" w:rsidR="00387ACF" w:rsidRDefault="00387AC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F7241" w14:textId="77777777" w:rsidR="001A0B63" w:rsidRDefault="001A0B63">
      <w:pPr>
        <w:spacing w:line="240" w:lineRule="auto"/>
      </w:pPr>
      <w:r>
        <w:separator/>
      </w:r>
    </w:p>
  </w:footnote>
  <w:footnote w:type="continuationSeparator" w:id="0">
    <w:p w14:paraId="6D031C99" w14:textId="77777777" w:rsidR="001A0B63" w:rsidRDefault="001A0B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C5CDF"/>
    <w:multiLevelType w:val="multilevel"/>
    <w:tmpl w:val="4C6C4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F46DFD"/>
    <w:multiLevelType w:val="multilevel"/>
    <w:tmpl w:val="A18A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1569A"/>
    <w:multiLevelType w:val="multilevel"/>
    <w:tmpl w:val="16E0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7E7EF5"/>
    <w:multiLevelType w:val="multilevel"/>
    <w:tmpl w:val="8898B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6A2F24"/>
    <w:multiLevelType w:val="multilevel"/>
    <w:tmpl w:val="84CC0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9759363">
    <w:abstractNumId w:val="3"/>
  </w:num>
  <w:num w:numId="2" w16cid:durableId="1083187760">
    <w:abstractNumId w:val="2"/>
  </w:num>
  <w:num w:numId="3" w16cid:durableId="1496724225">
    <w:abstractNumId w:val="1"/>
  </w:num>
  <w:num w:numId="4" w16cid:durableId="313069844">
    <w:abstractNumId w:val="4"/>
  </w:num>
  <w:num w:numId="5" w16cid:durableId="1146900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ACF"/>
    <w:rsid w:val="00004F3F"/>
    <w:rsid w:val="000A24A8"/>
    <w:rsid w:val="0013403B"/>
    <w:rsid w:val="00185807"/>
    <w:rsid w:val="001A0B63"/>
    <w:rsid w:val="002845D7"/>
    <w:rsid w:val="002C3812"/>
    <w:rsid w:val="0035542C"/>
    <w:rsid w:val="0037598B"/>
    <w:rsid w:val="00387ACF"/>
    <w:rsid w:val="003D730B"/>
    <w:rsid w:val="003F1BC7"/>
    <w:rsid w:val="00402DED"/>
    <w:rsid w:val="00415881"/>
    <w:rsid w:val="00423013"/>
    <w:rsid w:val="00435830"/>
    <w:rsid w:val="0047714D"/>
    <w:rsid w:val="00536326"/>
    <w:rsid w:val="005E5B05"/>
    <w:rsid w:val="00660413"/>
    <w:rsid w:val="00680995"/>
    <w:rsid w:val="006818BB"/>
    <w:rsid w:val="00682816"/>
    <w:rsid w:val="006C4534"/>
    <w:rsid w:val="0071088A"/>
    <w:rsid w:val="00795467"/>
    <w:rsid w:val="0087558F"/>
    <w:rsid w:val="009021BA"/>
    <w:rsid w:val="009161EB"/>
    <w:rsid w:val="00921949"/>
    <w:rsid w:val="00954A7D"/>
    <w:rsid w:val="009844B4"/>
    <w:rsid w:val="00A07D88"/>
    <w:rsid w:val="00A3775D"/>
    <w:rsid w:val="00A766CE"/>
    <w:rsid w:val="00AF307E"/>
    <w:rsid w:val="00AF7C9B"/>
    <w:rsid w:val="00B5775D"/>
    <w:rsid w:val="00BE001E"/>
    <w:rsid w:val="00C30E9E"/>
    <w:rsid w:val="00C319FF"/>
    <w:rsid w:val="00C43421"/>
    <w:rsid w:val="00CF74A1"/>
    <w:rsid w:val="00D87B1F"/>
    <w:rsid w:val="00DA75FA"/>
    <w:rsid w:val="00E00855"/>
    <w:rsid w:val="00E82E48"/>
    <w:rsid w:val="00E97314"/>
    <w:rsid w:val="00EF0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E04A9"/>
  <w15:docId w15:val="{ACCC93CD-2832-4354-9319-786E74F7F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bCs/>
      <w:color w:val="000000"/>
      <w:sz w:val="32"/>
      <w:szCs w:val="32"/>
    </w:rPr>
  </w:style>
  <w:style w:type="paragraph" w:styleId="Heading2">
    <w:name w:val="heading 2"/>
    <w:basedOn w:val="Normal"/>
    <w:next w:val="Normal"/>
    <w:uiPriority w:val="9"/>
    <w:unhideWhenUsed/>
    <w:qFormat/>
    <w:pPr>
      <w:keepNext/>
      <w:keepLines/>
      <w:spacing w:before="120" w:after="120"/>
      <w:jc w:val="left"/>
      <w:outlineLvl w:val="1"/>
    </w:pPr>
    <w:rPr>
      <w:b/>
      <w:bCs/>
      <w:i/>
      <w:iCs/>
      <w:color w:val="000000"/>
      <w:sz w:val="28"/>
      <w:szCs w:val="28"/>
    </w:rPr>
  </w:style>
  <w:style w:type="paragraph" w:styleId="Heading3">
    <w:name w:val="heading 3"/>
    <w:basedOn w:val="Normal"/>
    <w:next w:val="Normal"/>
    <w:uiPriority w:val="9"/>
    <w:unhideWhenUsed/>
    <w:qFormat/>
    <w:pPr>
      <w:keepNext/>
      <w:keepLines/>
      <w:spacing w:before="120" w:after="120"/>
      <w:jc w:val="left"/>
      <w:outlineLvl w:val="2"/>
    </w:pPr>
    <w:rPr>
      <w:b/>
      <w:bCs/>
      <w:i/>
      <w:iCs/>
      <w:color w:val="000000"/>
      <w:u w:val="single"/>
    </w:rPr>
  </w:style>
  <w:style w:type="paragraph" w:styleId="Heading4">
    <w:name w:val="heading 4"/>
    <w:basedOn w:val="Normal"/>
    <w:next w:val="Normal"/>
    <w:uiPriority w:val="9"/>
    <w:semiHidden/>
    <w:unhideWhenUsed/>
    <w:qFormat/>
    <w:pPr>
      <w:keepNext/>
      <w:keepLines/>
      <w:outlineLvl w:val="3"/>
    </w:pPr>
    <w:rPr>
      <w:b/>
      <w:bCs/>
      <w:i/>
      <w:iCs/>
      <w:color w:val="4F81BD"/>
    </w:rPr>
  </w:style>
  <w:style w:type="paragraph" w:styleId="Heading5">
    <w:name w:val="heading 5"/>
    <w:basedOn w:val="Normal"/>
    <w:next w:val="Normal"/>
    <w:uiPriority w:val="9"/>
    <w:semiHidden/>
    <w:unhideWhenUsed/>
    <w:qFormat/>
    <w:pPr>
      <w:keepNext/>
      <w:keepLines/>
      <w:spacing w:before="20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paragraph" w:styleId="Caption">
    <w:name w:val="caption"/>
    <w:basedOn w:val="Normal"/>
    <w:next w:val="Normal"/>
    <w:uiPriority w:val="35"/>
    <w:unhideWhenUsed/>
    <w:qFormat/>
    <w:rsid w:val="00CF74A1"/>
    <w:pPr>
      <w:spacing w:after="200" w:line="240" w:lineRule="auto"/>
    </w:pPr>
    <w:rPr>
      <w:i/>
      <w:iCs/>
      <w:color w:val="1F497D" w:themeColor="text2"/>
      <w:sz w:val="18"/>
      <w:szCs w:val="18"/>
    </w:rPr>
  </w:style>
  <w:style w:type="character" w:styleId="Hyperlink">
    <w:name w:val="Hyperlink"/>
    <w:basedOn w:val="DefaultParagraphFont"/>
    <w:uiPriority w:val="99"/>
    <w:unhideWhenUsed/>
    <w:rsid w:val="00CF74A1"/>
    <w:rPr>
      <w:color w:val="0000FF" w:themeColor="hyperlink"/>
      <w:u w:val="single"/>
    </w:rPr>
  </w:style>
  <w:style w:type="character" w:styleId="UnresolvedMention">
    <w:name w:val="Unresolved Mention"/>
    <w:basedOn w:val="DefaultParagraphFont"/>
    <w:uiPriority w:val="99"/>
    <w:semiHidden/>
    <w:unhideWhenUsed/>
    <w:rsid w:val="00CF74A1"/>
    <w:rPr>
      <w:color w:val="605E5C"/>
      <w:shd w:val="clear" w:color="auto" w:fill="E1DFDD"/>
    </w:rPr>
  </w:style>
  <w:style w:type="paragraph" w:styleId="TOC1">
    <w:name w:val="toc 1"/>
    <w:basedOn w:val="Normal"/>
    <w:next w:val="Normal"/>
    <w:autoRedefine/>
    <w:uiPriority w:val="39"/>
    <w:unhideWhenUsed/>
    <w:rsid w:val="003D730B"/>
    <w:pPr>
      <w:spacing w:after="100"/>
    </w:pPr>
  </w:style>
  <w:style w:type="paragraph" w:styleId="TOC2">
    <w:name w:val="toc 2"/>
    <w:basedOn w:val="Normal"/>
    <w:next w:val="Normal"/>
    <w:autoRedefine/>
    <w:uiPriority w:val="39"/>
    <w:unhideWhenUsed/>
    <w:rsid w:val="003D730B"/>
    <w:pPr>
      <w:spacing w:after="100"/>
      <w:ind w:left="240"/>
    </w:pPr>
  </w:style>
  <w:style w:type="paragraph" w:styleId="TOC3">
    <w:name w:val="toc 3"/>
    <w:basedOn w:val="Normal"/>
    <w:next w:val="Normal"/>
    <w:autoRedefine/>
    <w:uiPriority w:val="39"/>
    <w:unhideWhenUsed/>
    <w:rsid w:val="003D730B"/>
    <w:pPr>
      <w:spacing w:after="100"/>
      <w:ind w:left="480"/>
    </w:pPr>
  </w:style>
  <w:style w:type="table" w:styleId="TableGrid">
    <w:name w:val="Table Grid"/>
    <w:basedOn w:val="TableNormal"/>
    <w:uiPriority w:val="39"/>
    <w:rsid w:val="0043583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bcg.com/about/overview/our-history/growth-share-matrix" TargetMode="External"/><Relationship Id="rId21" Type="http://schemas.openxmlformats.org/officeDocument/2006/relationships/image" Target="media/image15.png"/><Relationship Id="rId34" Type="http://schemas.openxmlformats.org/officeDocument/2006/relationships/hyperlink" Target="https://books.google.com/books/about/Learning_by_Doing.html?id=z2CxAAAACAAJ&amp;utm_source=chatgpt.com" TargetMode="External"/><Relationship Id="rId42" Type="http://schemas.openxmlformats.org/officeDocument/2006/relationships/hyperlink" Target="https://www.nmblstrategies.com/blog/how-nmbl-strategies-utilizes-a-pestle-analysis" TargetMode="External"/><Relationship Id="rId47" Type="http://schemas.openxmlformats.org/officeDocument/2006/relationships/hyperlink" Target="https://www.sanofi.us/en/our-company/social-impact/corporate-social-responsibility" TargetMode="External"/><Relationship Id="rId50" Type="http://schemas.openxmlformats.org/officeDocument/2006/relationships/hyperlink" Target="https://www.sanofi.com/en/our-company/our-strategy" TargetMode="External"/><Relationship Id="rId55" Type="http://schemas.openxmlformats.org/officeDocument/2006/relationships/hyperlink" Target="https://www.sanofi.com/en/our-science/external-innovation" TargetMode="External"/><Relationship Id="rId63" Type="http://schemas.openxmlformats.org/officeDocument/2006/relationships/hyperlink" Target="https://www.pearson.com/en-gb/subject-catalog/p/exploring-strategy-text-and-cases/P200000004559/9781292282503"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citeline.com/en/resources/scrip-top-12-pharma-companies" TargetMode="External"/><Relationship Id="rId11" Type="http://schemas.openxmlformats.org/officeDocument/2006/relationships/image" Target="media/image5.png"/><Relationship Id="rId24" Type="http://schemas.openxmlformats.org/officeDocument/2006/relationships/hyperlink" Target="https://www.pearson.com/en-us/subject-catalog/p/strategic-management-and-competitive-advantage-concepts-and-cases/P200000005821/9780136878674" TargetMode="External"/><Relationship Id="rId32" Type="http://schemas.openxmlformats.org/officeDocument/2006/relationships/hyperlink" Target="https://www.ebsco.com/research-starters/education/gibbs-reflective-cycle?utm_source=chatgpt.com" TargetMode="External"/><Relationship Id="rId37" Type="http://schemas.openxmlformats.org/officeDocument/2006/relationships/hyperlink" Target="https://www.leadershipcentre.org.uk/artofchangemaking/theory/lewins-model-of-change/" TargetMode="External"/><Relationship Id="rId40" Type="http://schemas.openxmlformats.org/officeDocument/2006/relationships/hyperlink" Target="https://link.springer.com/chapter/10.1007/978-1-349-13877-7_24" TargetMode="External"/><Relationship Id="rId45" Type="http://schemas.openxmlformats.org/officeDocument/2006/relationships/hyperlink" Target="https://www.sanofi.com/assets/dotcom/content-app/publications/integrated-report/SANOFI-Integrated-Annual-Report-2022-EN.pdf" TargetMode="External"/><Relationship Id="rId53" Type="http://schemas.openxmlformats.org/officeDocument/2006/relationships/hyperlink" Target="https://www.sanofi.com/en/media-room/press-releases/2026/2026-01-29-06-30-00-3228191" TargetMode="External"/><Relationship Id="rId58" Type="http://schemas.openxmlformats.org/officeDocument/2006/relationships/hyperlink" Target="https://seekingalpha.com/article/4594625-sanofi-growth-picking-up-steam"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doi.org/10.1016/j.lrp.2009.07.003"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journals.sagepub.com/doi/10.1177/0021886319892685?utm_source=chatgpt.com" TargetMode="External"/><Relationship Id="rId30" Type="http://schemas.openxmlformats.org/officeDocument/2006/relationships/hyperlink" Target="https://communitymedicine4asses.wordpress.com/tag/gibbs-reflective-cycle/" TargetMode="External"/><Relationship Id="rId35" Type="http://schemas.openxmlformats.org/officeDocument/2006/relationships/hyperlink" Target="https://hbr.org/1992/01/the-balanced-scorecard-measures-that-drive-performance-2" TargetMode="External"/><Relationship Id="rId43" Type="http://schemas.openxmlformats.org/officeDocument/2006/relationships/hyperlink" Target="https://onstrategyhq.com/vrio/" TargetMode="External"/><Relationship Id="rId48" Type="http://schemas.openxmlformats.org/officeDocument/2006/relationships/hyperlink" Target="https://www.sanofi.com/en/media-room/press-releases/2025/2025-04-24-05-30-00-3067075" TargetMode="External"/><Relationship Id="rId56" Type="http://schemas.openxmlformats.org/officeDocument/2006/relationships/hyperlink" Target="https://www.sciencedirect.com/science/article/pii/S1359644625002077"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sanofi.com/en/our-company/our-strategy"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boolkah.com/ansoff-matrix/" TargetMode="External"/><Relationship Id="rId33" Type="http://schemas.openxmlformats.org/officeDocument/2006/relationships/hyperlink" Target="https://health.ec.europa.eu/medicinal-products/reform-eu-pharmaceutical-legislation_en" TargetMode="External"/><Relationship Id="rId38" Type="http://schemas.openxmlformats.org/officeDocument/2006/relationships/hyperlink" Target="https://www.librariesforthefuture.bio/p/age1s-2025-1st-annual-pharma-aging" TargetMode="External"/><Relationship Id="rId46" Type="http://schemas.openxmlformats.org/officeDocument/2006/relationships/hyperlink" Target="https://www.sanofi.com/en/media-room/press-releases/2025/2025-04-30-11-00-00-3071167" TargetMode="External"/><Relationship Id="rId59" Type="http://schemas.openxmlformats.org/officeDocument/2006/relationships/hyperlink" Target="https://www.statista.com/statistics/266509/revenue-of-sanofi-since-2006/" TargetMode="External"/><Relationship Id="rId20" Type="http://schemas.openxmlformats.org/officeDocument/2006/relationships/image" Target="media/image14.jpeg"/><Relationship Id="rId41" Type="http://schemas.openxmlformats.org/officeDocument/2006/relationships/hyperlink" Target="https://www.routledge.com/A-Handbook-of-Reflective-and-Experiential-Learning-Theory-and-Practice/Moon/p/book/9780415335164" TargetMode="External"/><Relationship Id="rId54" Type="http://schemas.openxmlformats.org/officeDocument/2006/relationships/hyperlink" Target="https://www.sanofi.com/en/our-science/manufacturing-and-supply" TargetMode="External"/><Relationship Id="rId62" Type="http://schemas.openxmlformats.org/officeDocument/2006/relationships/hyperlink" Target="https://www.theculturefactor.com/country-comparison-too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emerald.com/insight/content/doi/10.1108/IJPHM-10-2020-0086/full/html" TargetMode="External"/><Relationship Id="rId28" Type="http://schemas.openxmlformats.org/officeDocument/2006/relationships/hyperlink" Target="https://businessjargons.com/core-competence.html" TargetMode="External"/><Relationship Id="rId36" Type="http://schemas.openxmlformats.org/officeDocument/2006/relationships/hyperlink" Target="https://hbr.org/2007/07/using-the-balanced-scorecard-as-a-strategic-management-system" TargetMode="External"/><Relationship Id="rId49" Type="http://schemas.openxmlformats.org/officeDocument/2006/relationships/hyperlink" Target="https://www.sanofi.com/assets/dotcom/content-app/publications/esg-reports/sanofi-sustainability-statement-2025.pdf" TargetMode="External"/><Relationship Id="rId57" Type="http://schemas.openxmlformats.org/officeDocument/2006/relationships/hyperlink" Target="https://www.seek.com.au/career-advice/article/how-to-do-a-swot-analysis-with-examples" TargetMode="External"/><Relationship Id="rId10" Type="http://schemas.openxmlformats.org/officeDocument/2006/relationships/image" Target="media/image4.png"/><Relationship Id="rId31" Type="http://schemas.openxmlformats.org/officeDocument/2006/relationships/hyperlink" Target="https://doi.org/10.1371/journal.pone.0287149" TargetMode="External"/><Relationship Id="rId44" Type="http://schemas.openxmlformats.org/officeDocument/2006/relationships/hyperlink" Target="https://www.hbs.edu/faculty/Pages/item.aspx?num=193" TargetMode="External"/><Relationship Id="rId52" Type="http://schemas.openxmlformats.org/officeDocument/2006/relationships/hyperlink" Target="https://www.sanofi.com/en/our-company/sustainability/inclusion/a-million-conversations" TargetMode="External"/><Relationship Id="rId60" Type="http://schemas.openxmlformats.org/officeDocument/2006/relationships/hyperlink" Target="https://www.statista.com/statistics/279202/expenditure-on-research-and-development-of-sanofi/?srsltid=AfmBOop2v076L9TE1g4-m6Ex0QI9rkqTonw1gDsi4FCw8kkCxLQbnMGc"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26099/g95a-pw7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37</Pages>
  <Words>8652</Words>
  <Characters>49322</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Minuddin Sarker</dc:creator>
  <cp:lastModifiedBy>Minuddin Sarker</cp:lastModifiedBy>
  <cp:revision>5</cp:revision>
  <dcterms:created xsi:type="dcterms:W3CDTF">2026-05-01T00:00:00Z</dcterms:created>
  <dcterms:modified xsi:type="dcterms:W3CDTF">2026-05-01T00:06:00Z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2026-04-21T07:36:28Z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98a3e453-aba3-4730-91b2-3ad59d9c85c3</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