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ind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ind w:firstLine="0"/>
        <w:jc w:val="center"/>
        <w:rPr>
          <w:rFonts w:ascii="Arial" w:cs="Arial" w:eastAsia="Arial" w:hAnsi="Arial"/>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Arial" w:cs="Arial" w:eastAsia="Arial" w:hAnsi="Arial"/>
          <w:b w:val="1"/>
          <w:rtl w:val="0"/>
        </w:rPr>
        <w:t xml:space="preserve"> Psychology in Health and Social Care</w:t>
      </w:r>
    </w:p>
    <w:p w:rsidR="00000000" w:rsidDel="00000000" w:rsidP="00000000" w:rsidRDefault="00000000" w:rsidRPr="00000000" w14:paraId="00000004">
      <w:pPr>
        <w:ind w:firstLine="0"/>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5">
      <w:pPr>
        <w:ind w:firstLine="0"/>
        <w:jc w:val="center"/>
        <w:rPr>
          <w:rFonts w:ascii="Arial" w:cs="Arial" w:eastAsia="Arial" w:hAnsi="Arial"/>
          <w:b w:val="1"/>
        </w:rPr>
      </w:pPr>
      <w:r w:rsidDel="00000000" w:rsidR="00000000" w:rsidRPr="00000000">
        <w:rPr>
          <w:rFonts w:ascii="Arial" w:cs="Arial" w:eastAsia="Arial" w:hAnsi="Arial"/>
          <w:b w:val="1"/>
          <w:rtl w:val="0"/>
        </w:rPr>
        <w:t xml:space="preserve">            Student Name: Modinat Bashorun</w:t>
      </w:r>
    </w:p>
    <w:p w:rsidR="00000000" w:rsidDel="00000000" w:rsidP="00000000" w:rsidRDefault="00000000" w:rsidRPr="00000000" w14:paraId="00000006">
      <w:pPr>
        <w:ind w:firstLine="0"/>
        <w:jc w:val="center"/>
        <w:rPr>
          <w:rFonts w:ascii="Arial" w:cs="Arial" w:eastAsia="Arial" w:hAnsi="Arial"/>
          <w:b w:val="1"/>
        </w:rPr>
      </w:pPr>
      <w:r w:rsidDel="00000000" w:rsidR="00000000" w:rsidRPr="00000000">
        <w:rPr>
          <w:rFonts w:ascii="Arial" w:cs="Arial" w:eastAsia="Arial" w:hAnsi="Arial"/>
          <w:b w:val="1"/>
          <w:rtl w:val="0"/>
        </w:rPr>
        <w:t xml:space="preserve">Student Number: 2421037</w:t>
      </w:r>
    </w:p>
    <w:p w:rsidR="00000000" w:rsidDel="00000000" w:rsidP="00000000" w:rsidRDefault="00000000" w:rsidRPr="00000000" w14:paraId="00000007">
      <w:pPr>
        <w:ind w:firstLine="0"/>
        <w:jc w:val="center"/>
        <w:rPr>
          <w:rFonts w:ascii="Arial" w:cs="Arial" w:eastAsia="Arial" w:hAnsi="Arial"/>
          <w:b w:val="1"/>
        </w:rPr>
      </w:pPr>
      <w:r w:rsidDel="00000000" w:rsidR="00000000" w:rsidRPr="00000000">
        <w:rPr>
          <w:rFonts w:ascii="Arial" w:cs="Arial" w:eastAsia="Arial" w:hAnsi="Arial"/>
          <w:b w:val="1"/>
          <w:rtl w:val="0"/>
        </w:rPr>
        <w:t xml:space="preserve">Module code: LCHS4010</w:t>
      </w:r>
    </w:p>
    <w:p w:rsidR="00000000" w:rsidDel="00000000" w:rsidP="00000000" w:rsidRDefault="00000000" w:rsidRPr="00000000" w14:paraId="00000008">
      <w:pPr>
        <w:ind w:firstLine="0"/>
        <w:jc w:val="center"/>
        <w:rPr>
          <w:rFonts w:ascii="Arial" w:cs="Arial" w:eastAsia="Arial" w:hAnsi="Arial"/>
          <w:b w:val="1"/>
        </w:rPr>
      </w:pPr>
      <w:r w:rsidDel="00000000" w:rsidR="00000000" w:rsidRPr="00000000">
        <w:rPr>
          <w:rFonts w:ascii="Arial" w:cs="Arial" w:eastAsia="Arial" w:hAnsi="Arial"/>
          <w:b w:val="1"/>
          <w:rtl w:val="0"/>
        </w:rPr>
        <w:t xml:space="preserve">              Module lecturer: Kal Alnababtah</w:t>
      </w:r>
    </w:p>
    <w:p w:rsidR="00000000" w:rsidDel="00000000" w:rsidP="00000000" w:rsidRDefault="00000000" w:rsidRPr="00000000" w14:paraId="00000009">
      <w:pPr>
        <w:ind w:firstLine="0"/>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A">
      <w:pPr>
        <w:ind w:firstLine="0"/>
        <w:rPr>
          <w:rFonts w:ascii="Arial" w:cs="Arial" w:eastAsia="Arial" w:hAnsi="Arial"/>
        </w:rPr>
      </w:pPr>
      <w:r w:rsidDel="00000000" w:rsidR="00000000" w:rsidRPr="00000000">
        <w:rPr>
          <w:rtl w:val="0"/>
        </w:rPr>
      </w:r>
    </w:p>
    <w:p w:rsidR="00000000" w:rsidDel="00000000" w:rsidP="00000000" w:rsidRDefault="00000000" w:rsidRPr="00000000" w14:paraId="0000000B">
      <w:pPr>
        <w:ind w:firstLine="0"/>
        <w:rPr>
          <w:rFonts w:ascii="Arial" w:cs="Arial" w:eastAsia="Arial" w:hAnsi="Arial"/>
        </w:rPr>
      </w:pPr>
      <w:r w:rsidDel="00000000" w:rsidR="00000000" w:rsidRPr="00000000">
        <w:rPr>
          <w:rtl w:val="0"/>
        </w:rPr>
      </w:r>
    </w:p>
    <w:p w:rsidR="00000000" w:rsidDel="00000000" w:rsidP="00000000" w:rsidRDefault="00000000" w:rsidRPr="00000000" w14:paraId="0000000C">
      <w:pPr>
        <w:ind w:firstLine="0"/>
        <w:rPr>
          <w:rFonts w:ascii="Arial" w:cs="Arial" w:eastAsia="Arial" w:hAnsi="Arial"/>
        </w:rPr>
      </w:pPr>
      <w:r w:rsidDel="00000000" w:rsidR="00000000" w:rsidRPr="00000000">
        <w:rPr>
          <w:rtl w:val="0"/>
        </w:rPr>
      </w:r>
    </w:p>
    <w:p w:rsidR="00000000" w:rsidDel="00000000" w:rsidP="00000000" w:rsidRDefault="00000000" w:rsidRPr="00000000" w14:paraId="0000000D">
      <w:pPr>
        <w:ind w:firstLine="0"/>
        <w:rPr>
          <w:rFonts w:ascii="Arial" w:cs="Arial" w:eastAsia="Arial" w:hAnsi="Arial"/>
        </w:rPr>
      </w:pPr>
      <w:r w:rsidDel="00000000" w:rsidR="00000000" w:rsidRPr="00000000">
        <w:rPr>
          <w:rtl w:val="0"/>
        </w:rPr>
      </w:r>
    </w:p>
    <w:p w:rsidR="00000000" w:rsidDel="00000000" w:rsidP="00000000" w:rsidRDefault="00000000" w:rsidRPr="00000000" w14:paraId="0000000E">
      <w:pPr>
        <w:ind w:firstLine="0"/>
        <w:rPr>
          <w:rFonts w:ascii="Arial" w:cs="Arial" w:eastAsia="Arial" w:hAnsi="Arial"/>
        </w:rPr>
      </w:pPr>
      <w:r w:rsidDel="00000000" w:rsidR="00000000" w:rsidRPr="00000000">
        <w:rPr>
          <w:rtl w:val="0"/>
        </w:rPr>
      </w:r>
    </w:p>
    <w:p w:rsidR="00000000" w:rsidDel="00000000" w:rsidP="00000000" w:rsidRDefault="00000000" w:rsidRPr="00000000" w14:paraId="0000000F">
      <w:pPr>
        <w:ind w:firstLine="0"/>
        <w:rPr>
          <w:rFonts w:ascii="Arial" w:cs="Arial" w:eastAsia="Arial" w:hAnsi="Arial"/>
        </w:rPr>
      </w:pPr>
      <w:r w:rsidDel="00000000" w:rsidR="00000000" w:rsidRPr="00000000">
        <w:rPr>
          <w:rtl w:val="0"/>
        </w:rPr>
      </w:r>
    </w:p>
    <w:p w:rsidR="00000000" w:rsidDel="00000000" w:rsidP="00000000" w:rsidRDefault="00000000" w:rsidRPr="00000000" w14:paraId="00000010">
      <w:pPr>
        <w:ind w:firstLine="0"/>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ind w:firstLine="0"/>
        <w:jc w:val="center"/>
        <w:rPr>
          <w:rFonts w:ascii="Arial" w:cs="Arial" w:eastAsia="Arial" w:hAnsi="Arial"/>
          <w:b w:val="1"/>
        </w:rPr>
      </w:pPr>
      <w:r w:rsidDel="00000000" w:rsidR="00000000" w:rsidRPr="00000000">
        <w:rPr>
          <w:rFonts w:ascii="Arial" w:cs="Arial" w:eastAsia="Arial" w:hAnsi="Arial"/>
          <w:b w:val="1"/>
          <w:rtl w:val="0"/>
        </w:rPr>
        <w:t xml:space="preserve">Introduction </w:t>
      </w:r>
    </w:p>
    <w:p w:rsidR="00000000" w:rsidDel="00000000" w:rsidP="00000000" w:rsidRDefault="00000000" w:rsidRPr="00000000" w14:paraId="00000016">
      <w:pPr>
        <w:ind w:firstLine="0"/>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The demographic shift towards an ageing population presents a significant challenge and opportunity for health and social care systems worldwide. A considerable proportion of adults aged 65 and over will experience a psychological health condition, with dementia being one of the most prevalent and impactful (World Health Organisation, 2025). Dementia care homes are complex environments where professionals are tasked with supporting not only the profound cognitive decline of residents but also their ongoing psychological and emotional needs. Effective care in these settings must extend beyond basic physical support to encompass holistic, person-centred approaches that affirm identity, foster emotional well-being, and promote a sense of purpose (Rincon et al., 2025). This report aims to provide guidance for health and social care professionals on leveraging psychological theories to enhance support for older adults in dementia care homes. It will provide a detailed overview of Erikson’s theory of Psychosocial Development, specifically the final stage of Ego Integrity vs. Despair and Carstensen’s Socioemotional Selectivity Theory (SST). The report will critically evaluate the application of these theories within the care home context and also discuss potential implementation challenges and propose strategies to overcome them.</w:t>
      </w:r>
    </w:p>
    <w:p w:rsidR="00000000" w:rsidDel="00000000" w:rsidP="00000000" w:rsidRDefault="00000000" w:rsidRPr="00000000" w14:paraId="00000018">
      <w:pPr>
        <w:ind w:firstLine="0"/>
        <w:jc w:val="center"/>
        <w:rPr>
          <w:rFonts w:ascii="Arial" w:cs="Arial" w:eastAsia="Arial" w:hAnsi="Arial"/>
          <w:b w:val="1"/>
        </w:rPr>
      </w:pPr>
      <w:r w:rsidDel="00000000" w:rsidR="00000000" w:rsidRPr="00000000">
        <w:rPr>
          <w:rFonts w:ascii="Arial" w:cs="Arial" w:eastAsia="Arial" w:hAnsi="Arial"/>
          <w:b w:val="1"/>
          <w:rtl w:val="0"/>
        </w:rPr>
        <w:t xml:space="preserve">Erikson’s Theory of Psychosocial Development: Ego Integrity vs. Despair</w:t>
      </w:r>
    </w:p>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Erik Erikson’s lifespan theory of psychosocial development posits that an individual's progress through eight distinct stages, each characterised by a central psychosocial crisis that must be negotiated for healthy personality development (Jones &amp; Waite-Stupiansky, 2022). The eighth and final stage, pertinent to late adulthood, is the conflict between Ego Integrity and Despair. This stage represents a period of life review where individuals reflect on their accomplishments, experiences, and the life they have lived. Ego Integrity is achieved when a person can look back on their life with a sense of fulfilment, acceptance, and wisdom. They perceive their life as meaningful, coherent, and well-lived, even with its inevitable mistakes and regrets (MAMO, 2022). This results in a sense of wholeness and an acceptance of death as the natural completion of life. Conversely, despair arises when reflection leads to feelings of regret, bitterness, and disappointment. The individual may feel they have wasted their life, made poor choices, and failed to achieve their goals. This often manifests as a fear of death, feelings of hopelessness, and depression.</w:t>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rtl w:val="0"/>
        </w:rPr>
        <w:t xml:space="preserve">For older adults, particularly those transitioning into a care home, this final crisis is acutely salient. The move itself can trigger a life review, forcing a confrontation with one’s mortality and legacy. For individuals with dementia, this process is complicated by cognitive impairment. Memories may be fragmented or lost, making a coherent narrative of one’s life challenging to construct. However, the emotional residue of this life review often remains intact long after specific memories fade. A person may not remember the details of their career but may retain a deep-seated feeling of pride or, alternatively, of failure.</w:t>
      </w:r>
    </w:p>
    <w:p w:rsidR="00000000" w:rsidDel="00000000" w:rsidP="00000000" w:rsidRDefault="00000000" w:rsidRPr="00000000" w14:paraId="0000001B">
      <w:pPr>
        <w:ind w:firstLine="0"/>
        <w:jc w:val="center"/>
        <w:rPr>
          <w:rFonts w:ascii="Arial" w:cs="Arial" w:eastAsia="Arial" w:hAnsi="Arial"/>
          <w:b w:val="1"/>
        </w:rPr>
      </w:pPr>
      <w:r w:rsidDel="00000000" w:rsidR="00000000" w:rsidRPr="00000000">
        <w:rPr>
          <w:rFonts w:ascii="Arial" w:cs="Arial" w:eastAsia="Arial" w:hAnsi="Arial"/>
          <w:b w:val="1"/>
          <w:rtl w:val="0"/>
        </w:rPr>
        <w:t xml:space="preserve">Carstensen’s Socioemotional Selectivity Theory (SST)</w:t>
      </w:r>
    </w:p>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rtl w:val="0"/>
        </w:rPr>
        <w:t xml:space="preserve">Laura Carstensen’s Socioemotional Selectivity Theory (SST) offers a complementary perspective focused on motivation and social goals. The theory posits that our perception of time is a fundamental driver of motivation (Carstensen, 2021). When time is perceived as open-ended (typical of youth), individuals are motivated by knowledge-related goals. These include acquiring new information, expanding social networks, and pursuing future-oriented objectives like career advancement. The focus is on the potential of the future.</w:t>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 xml:space="preserve">However, as people age and perceive their time as limited and their goals shift dramatically towards emotion-related goals. The primary motivation becomes the regulation of emotion to maximise psychological well-being in the present moment. This leads to a selective narrowing of social networks. Older adults preferentially invest their time and energy in emotionally meaningful and familiar relationships and activities that provide immediate emotional gratification, such as savouring positive experiences. They become less interested in novel, casual acquaintances or information that holds no emotional significance.</w:t>
      </w:r>
    </w:p>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For an individual with dementia living in a care home, this theory is profoundly relevant. Their sense of time is often distorted, and their future is inherently limited by their condition. Their behaviour, which may be labelled as challenging or withdrawn, can often be reinterpreted through the lens of SST as an attempt to achieve emotional security and comfort (Carstensen, 2021). For example, a preference for being with a few familiar staff members over participating in a large, noisy group activity is not merely a symptom of dementia but a predictable expression of their prioritisation of emotionally rewarding interactions.</w:t>
      </w:r>
    </w:p>
    <w:p w:rsidR="00000000" w:rsidDel="00000000" w:rsidP="00000000" w:rsidRDefault="00000000" w:rsidRPr="00000000" w14:paraId="0000001F">
      <w:pPr>
        <w:jc w:val="center"/>
        <w:rPr>
          <w:rFonts w:ascii="Arial" w:cs="Arial" w:eastAsia="Arial" w:hAnsi="Arial"/>
          <w:b w:val="1"/>
        </w:rPr>
      </w:pPr>
      <w:r w:rsidDel="00000000" w:rsidR="00000000" w:rsidRPr="00000000">
        <w:rPr>
          <w:rFonts w:ascii="Arial" w:cs="Arial" w:eastAsia="Arial" w:hAnsi="Arial"/>
          <w:b w:val="1"/>
          <w:rtl w:val="0"/>
        </w:rPr>
        <w:t xml:space="preserve">Application in the Dementia Care Home Context</w:t>
      </w:r>
    </w:p>
    <w:p w:rsidR="00000000" w:rsidDel="00000000" w:rsidP="00000000" w:rsidRDefault="00000000" w:rsidRPr="00000000" w14:paraId="00000020">
      <w:pPr>
        <w:rPr>
          <w:rFonts w:ascii="Arial" w:cs="Arial" w:eastAsia="Arial" w:hAnsi="Arial"/>
        </w:rPr>
      </w:pPr>
      <w:r w:rsidDel="00000000" w:rsidR="00000000" w:rsidRPr="00000000">
        <w:rPr>
          <w:rFonts w:ascii="Arial" w:cs="Arial" w:eastAsia="Arial" w:hAnsi="Arial"/>
          <w:rtl w:val="0"/>
        </w:rPr>
        <w:t xml:space="preserve">Erikson’s theory provides a powerful framework for care that validates the resident’s entire life story and assists them in finding meaning and closure. It can be applied in life story work and reminiscence therapy (Mazaheri et al., 2022). This is a direct operationalisation of facilitating life review. Professionals can work with the resident and their family to create a scrapbook containing photos, memorabilia, and narratives from different life stages such as childhood, work, marriage, and hobbies. This tool helps staff see the person beyond their diagnosis, provides comforting conversation starters, and allows the resident to engage with their narrative tangibly (Carstensen &amp; Reynolds, 2023). For a resident agitated in the afternoon, a carer might sit with them and look at a photo from their wedding day. This can redirect their focus to a potent source of positive emotion, reinforcing their sense of identity and integrity.</w:t>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It is also applicable in validation therapy.  Developed by Naomi Feil, validation therapy aligns with Eriksonian principles by accepting the reality and personal truth of the resident’s expressed feelings, even if their cognitive perception of facts is impaired (Alvares-Pereira et al., 2021). If a resident with dementia is asking for their deceased mother, a dismissive response like "your mother passed away years ago" can induce distress and reinforce despair. A validating approach would acknowledge the underlying emotion: "You must really miss your mother. She was so important to you. Can you tell me about her?" This validates their emotional truth, reduces anxiety, and supports their need to integrate past relationships into their present sense of self. Lastly, this theory creates opportunities for mastery and contribution: To counter feelings of uselessness, which is a facet of despair, care staff can create roles and rituals that allow residents to contribute (Uzun, 2021). This could be a simple, structured task like folding napkins, setting the table, or watering plants. </w:t>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However, cognitive impairment can make verbal communication and explicit life review difficult or impossible. Additionally, uncovering past trauma or profound regret could potentially exacerbate distress (Isaacowitz, 2022). Staff should be trained to handle sensitive disclosures with empathy and without judgement. Collaboration with a counsellor or clinical psychologist is essential for supporting residents with complex past traumas. The focus should be on acceptance and emotional support rather than pushing for resolution.</w:t>
      </w:r>
    </w:p>
    <w:p w:rsidR="00000000" w:rsidDel="00000000" w:rsidP="00000000" w:rsidRDefault="00000000" w:rsidRPr="00000000" w14:paraId="00000023">
      <w:pPr>
        <w:rPr>
          <w:rFonts w:ascii="Arial" w:cs="Arial" w:eastAsia="Arial" w:hAnsi="Arial"/>
        </w:rPr>
      </w:pPr>
      <w:r w:rsidDel="00000000" w:rsidR="00000000" w:rsidRPr="00000000">
        <w:rPr>
          <w:rFonts w:ascii="Arial" w:cs="Arial" w:eastAsia="Arial" w:hAnsi="Arial"/>
          <w:rtl w:val="0"/>
        </w:rPr>
        <w:t xml:space="preserve">On the other hand, SST shifts the focus of care from simply keeping residents busy to ensuring that social interactions and activities are emotionally satisfying. This theory is applicable in curating the social environment. Instead of large, impersonal activities, care plans should prioritise small-group or one-to-one interactions. Staff should be encouraged to spend quality time sitting and talking with residents about topics that are meaningful to them. Additionally, designing meaningful activities is also crucial. Activities should be tailored to past emotional preferences rather than generic entertainment. For a resident who was a gardener, sitting in a sensory garden and touching the plants is more meaningful than a balloon volleyball game. For a former teacher, "reading a picture book to a staff member can fulfil a deep-seated emotional need to nurture and teach ( Issacowitz, 2022)</w:t>
      </w:r>
    </w:p>
    <w:p w:rsidR="00000000" w:rsidDel="00000000" w:rsidP="00000000" w:rsidRDefault="00000000" w:rsidRPr="00000000" w14:paraId="00000024">
      <w:pPr>
        <w:rPr>
          <w:rFonts w:ascii="Arial" w:cs="Arial" w:eastAsia="Arial" w:hAnsi="Arial"/>
        </w:rPr>
      </w:pPr>
      <w:r w:rsidDel="00000000" w:rsidR="00000000" w:rsidRPr="00000000">
        <w:rPr>
          <w:rtl w:val="0"/>
        </w:rPr>
      </w:r>
    </w:p>
    <w:p w:rsidR="00000000" w:rsidDel="00000000" w:rsidP="00000000" w:rsidRDefault="00000000" w:rsidRPr="00000000" w14:paraId="00000025">
      <w:pPr>
        <w:rPr>
          <w:rFonts w:ascii="Arial" w:cs="Arial" w:eastAsia="Arial" w:hAnsi="Arial"/>
        </w:rPr>
      </w:pPr>
      <w:r w:rsidDel="00000000" w:rsidR="00000000" w:rsidRPr="00000000">
        <w:rPr>
          <w:rtl w:val="0"/>
        </w:rPr>
      </w:r>
    </w:p>
    <w:p w:rsidR="00000000" w:rsidDel="00000000" w:rsidP="00000000" w:rsidRDefault="00000000" w:rsidRPr="00000000" w14:paraId="00000026">
      <w:pPr>
        <w:rPr>
          <w:rFonts w:ascii="Arial" w:cs="Arial" w:eastAsia="Arial" w:hAnsi="Arial"/>
        </w:rPr>
      </w:pPr>
      <w:r w:rsidDel="00000000" w:rsidR="00000000" w:rsidRPr="00000000">
        <w:rPr>
          <w:rtl w:val="0"/>
        </w:rPr>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rPr>
      </w:pPr>
      <w:r w:rsidDel="00000000" w:rsidR="00000000" w:rsidRPr="00000000">
        <w:rPr>
          <w:rFonts w:ascii="Arial" w:cs="Arial" w:eastAsia="Arial" w:hAnsi="Arial"/>
          <w:b w:val="1"/>
          <w:rtl w:val="0"/>
        </w:rPr>
        <w:t xml:space="preserve">Critical Evaluation and Synthesis</w:t>
      </w:r>
    </w:p>
    <w:p w:rsidR="00000000" w:rsidDel="00000000" w:rsidP="00000000" w:rsidRDefault="00000000" w:rsidRPr="00000000" w14:paraId="00000029">
      <w:pPr>
        <w:rPr>
          <w:rFonts w:ascii="Arial" w:cs="Arial" w:eastAsia="Arial" w:hAnsi="Arial"/>
        </w:rPr>
      </w:pPr>
      <w:r w:rsidDel="00000000" w:rsidR="00000000" w:rsidRPr="00000000">
        <w:rPr>
          <w:rFonts w:ascii="Arial" w:cs="Arial" w:eastAsia="Arial" w:hAnsi="Arial"/>
          <w:rtl w:val="0"/>
        </w:rPr>
        <w:t xml:space="preserve">While powerful, neither theory is a panacea, and their application must be critically evaluated within the constraints of a dementia care home. Erikson’s stage model has been criticised for its linearity and its basis in a Western, individualistic concept of the "self" (Jones &amp; Waite-Stupiansky, 2022). For individuals with advanced dementia, the very concept of a coherent "self" or "ego" is debated. However, the theory’s strength lies in its emphasis on meaning-making and narrative. Even if a resident cannot articulate their life story, the care team’s effort to honour that story fosters a culture of respect and person-centred care that benefits everyone (MAMO, 2022). It prevents the dehumanisation that can occur when care is reduced to mere physical maintenance.</w:t>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SST is strongly supported by empirical research on ageing and has high validity for explaining social patterns in later life. Its primary limitation in this context is that the preference for emotional regulation might be misinterpreted as justification for social isolation (Carstensen &amp; Hershfield, 2021). The professional’s role is not to accept isolation but to facilitate the right kind of social contact. Furthermore, not all residents will prioritise positivity as some may need to process negative emotions, and SST should not be used to avoid these necessary conversations.</w:t>
      </w:r>
    </w:p>
    <w:p w:rsidR="00000000" w:rsidDel="00000000" w:rsidP="00000000" w:rsidRDefault="00000000" w:rsidRPr="00000000" w14:paraId="0000002B">
      <w:pPr>
        <w:rPr>
          <w:rFonts w:ascii="Arial" w:cs="Arial" w:eastAsia="Arial" w:hAnsi="Arial"/>
        </w:rPr>
      </w:pPr>
      <w:r w:rsidDel="00000000" w:rsidR="00000000" w:rsidRPr="00000000">
        <w:rPr>
          <w:rtl w:val="0"/>
        </w:rPr>
      </w:r>
    </w:p>
    <w:p w:rsidR="00000000" w:rsidDel="00000000" w:rsidP="00000000" w:rsidRDefault="00000000" w:rsidRPr="00000000" w14:paraId="0000002C">
      <w:pPr>
        <w:rPr>
          <w:rFonts w:ascii="Arial" w:cs="Arial" w:eastAsia="Arial" w:hAnsi="Arial"/>
        </w:rPr>
      </w:pPr>
      <w:r w:rsidDel="00000000" w:rsidR="00000000" w:rsidRPr="00000000">
        <w:rPr>
          <w:rtl w:val="0"/>
        </w:rPr>
      </w:r>
    </w:p>
    <w:p w:rsidR="00000000" w:rsidDel="00000000" w:rsidP="00000000" w:rsidRDefault="00000000" w:rsidRPr="00000000" w14:paraId="0000002D">
      <w:pPr>
        <w:rPr>
          <w:rFonts w:ascii="Arial" w:cs="Arial" w:eastAsia="Arial" w:hAnsi="Arial"/>
        </w:rPr>
      </w:pPr>
      <w:r w:rsidDel="00000000" w:rsidR="00000000" w:rsidRPr="00000000">
        <w:rPr>
          <w:rtl w:val="0"/>
        </w:rPr>
      </w:r>
    </w:p>
    <w:p w:rsidR="00000000" w:rsidDel="00000000" w:rsidP="00000000" w:rsidRDefault="00000000" w:rsidRPr="00000000" w14:paraId="0000002E">
      <w:pPr>
        <w:rPr>
          <w:rFonts w:ascii="Arial" w:cs="Arial" w:eastAsia="Arial" w:hAnsi="Arial"/>
        </w:rPr>
      </w:pPr>
      <w:r w:rsidDel="00000000" w:rsidR="00000000" w:rsidRPr="00000000">
        <w:rPr>
          <w:rtl w:val="0"/>
        </w:rPr>
      </w:r>
    </w:p>
    <w:p w:rsidR="00000000" w:rsidDel="00000000" w:rsidP="00000000" w:rsidRDefault="00000000" w:rsidRPr="00000000" w14:paraId="0000002F">
      <w:pPr>
        <w:rPr>
          <w:rFonts w:ascii="Arial" w:cs="Arial" w:eastAsia="Arial" w:hAnsi="Arial"/>
        </w:rPr>
      </w:pP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tl w:val="0"/>
        </w:rPr>
      </w:r>
    </w:p>
    <w:p w:rsidR="00000000" w:rsidDel="00000000" w:rsidP="00000000" w:rsidRDefault="00000000" w:rsidRPr="00000000" w14:paraId="00000031">
      <w:pPr>
        <w:rPr>
          <w:rFonts w:ascii="Arial" w:cs="Arial" w:eastAsia="Arial" w:hAnsi="Arial"/>
        </w:rPr>
      </w:pPr>
      <w:r w:rsidDel="00000000" w:rsidR="00000000" w:rsidRPr="00000000">
        <w:rPr>
          <w:rtl w:val="0"/>
        </w:rPr>
      </w:r>
    </w:p>
    <w:p w:rsidR="00000000" w:rsidDel="00000000" w:rsidP="00000000" w:rsidRDefault="00000000" w:rsidRPr="00000000" w14:paraId="00000032">
      <w:pPr>
        <w:rPr>
          <w:rFonts w:ascii="Arial" w:cs="Arial" w:eastAsia="Arial" w:hAnsi="Arial"/>
        </w:rPr>
      </w:pPr>
      <w:r w:rsidDel="00000000" w:rsidR="00000000" w:rsidRPr="00000000">
        <w:rPr>
          <w:rtl w:val="0"/>
        </w:rPr>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rPr>
          <w:rFonts w:ascii="Arial" w:cs="Arial" w:eastAsia="Arial" w:hAnsi="Arial"/>
        </w:rPr>
      </w:pPr>
      <w:r w:rsidDel="00000000" w:rsidR="00000000" w:rsidRPr="00000000">
        <w:rPr>
          <w:rtl w:val="0"/>
        </w:rPr>
      </w:r>
    </w:p>
    <w:p w:rsidR="00000000" w:rsidDel="00000000" w:rsidP="00000000" w:rsidRDefault="00000000" w:rsidRPr="00000000" w14:paraId="00000035">
      <w:pPr>
        <w:rPr>
          <w:rFonts w:ascii="Arial" w:cs="Arial" w:eastAsia="Arial" w:hAnsi="Arial"/>
        </w:rPr>
      </w:pPr>
      <w:r w:rsidDel="00000000" w:rsidR="00000000" w:rsidRPr="00000000">
        <w:rPr>
          <w:rtl w:val="0"/>
        </w:rPr>
      </w:r>
    </w:p>
    <w:p w:rsidR="00000000" w:rsidDel="00000000" w:rsidP="00000000" w:rsidRDefault="00000000" w:rsidRPr="00000000" w14:paraId="00000036">
      <w:pPr>
        <w:rPr>
          <w:rFonts w:ascii="Arial" w:cs="Arial" w:eastAsia="Arial" w:hAnsi="Arial"/>
        </w:rPr>
      </w:pPr>
      <w:r w:rsidDel="00000000" w:rsidR="00000000" w:rsidRPr="00000000">
        <w:rPr>
          <w:rtl w:val="0"/>
        </w:rPr>
      </w:r>
    </w:p>
    <w:p w:rsidR="00000000" w:rsidDel="00000000" w:rsidP="00000000" w:rsidRDefault="00000000" w:rsidRPr="00000000" w14:paraId="00000037">
      <w:pPr>
        <w:rPr>
          <w:rFonts w:ascii="Arial" w:cs="Arial" w:eastAsia="Arial" w:hAnsi="Arial"/>
        </w:rPr>
      </w:pPr>
      <w:r w:rsidDel="00000000" w:rsidR="00000000" w:rsidRPr="00000000">
        <w:rPr>
          <w:rtl w:val="0"/>
        </w:rPr>
      </w:r>
    </w:p>
    <w:p w:rsidR="00000000" w:rsidDel="00000000" w:rsidP="00000000" w:rsidRDefault="00000000" w:rsidRPr="00000000" w14:paraId="00000038">
      <w:pPr>
        <w:jc w:val="center"/>
        <w:rPr>
          <w:rFonts w:ascii="Arial" w:cs="Arial" w:eastAsia="Arial" w:hAnsi="Arial"/>
        </w:rPr>
      </w:pPr>
      <w:r w:rsidDel="00000000" w:rsidR="00000000" w:rsidRPr="00000000">
        <w:rPr>
          <w:rFonts w:ascii="Arial" w:cs="Arial" w:eastAsia="Arial" w:hAnsi="Arial"/>
          <w:b w:val="1"/>
          <w:rtl w:val="0"/>
        </w:rPr>
        <w:t xml:space="preserve">Conclusion and Recommendations</w:t>
      </w:r>
      <w:r w:rsidDel="00000000" w:rsidR="00000000" w:rsidRPr="00000000">
        <w:rPr>
          <w:rtl w:val="0"/>
        </w:rPr>
      </w:r>
    </w:p>
    <w:p w:rsidR="00000000" w:rsidDel="00000000" w:rsidP="00000000" w:rsidRDefault="00000000" w:rsidRPr="00000000" w14:paraId="00000039">
      <w:pPr>
        <w:rPr>
          <w:rFonts w:ascii="Arial" w:cs="Arial" w:eastAsia="Arial" w:hAnsi="Arial"/>
        </w:rPr>
      </w:pPr>
      <w:r w:rsidDel="00000000" w:rsidR="00000000" w:rsidRPr="00000000">
        <w:rPr>
          <w:rFonts w:ascii="Arial" w:cs="Arial" w:eastAsia="Arial" w:hAnsi="Arial"/>
          <w:rtl w:val="0"/>
        </w:rPr>
        <w:t xml:space="preserve">Supporting the psychological health of older adults with dementia requires a sophisticated, theory-driven approach that moves beyond a purely medical model of care. Erikson’s theory of Ego Integrity vs. Despair and Carstensen’s Socioemotional Selectivity Theory offer invaluable frameworks for understanding the inner world of residents and designing interventions that support their profound need for meaning, emotional security, and connection.</w:t>
      </w:r>
    </w:p>
    <w:p w:rsidR="00000000" w:rsidDel="00000000" w:rsidP="00000000" w:rsidRDefault="00000000" w:rsidRPr="00000000" w14:paraId="0000003A">
      <w:pPr>
        <w:ind w:firstLine="0"/>
        <w:rPr>
          <w:rFonts w:ascii="Arial" w:cs="Arial" w:eastAsia="Arial" w:hAnsi="Arial"/>
        </w:rPr>
      </w:pPr>
      <w:r w:rsidDel="00000000" w:rsidR="00000000" w:rsidRPr="00000000">
        <w:rPr>
          <w:rFonts w:ascii="Arial" w:cs="Arial" w:eastAsia="Arial" w:hAnsi="Arial"/>
          <w:rtl w:val="0"/>
        </w:rPr>
        <w:t xml:space="preserve">Health and social care professionals are recommended to:</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Make it a foundational element of every care plan, using multi-sensory tools to connect with residents at an emotional level.</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Shift from quantity to quality of social contact, prioritising small, familiar, and emotionally significant interactions over large-scale activities.</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Interpret so-called "challenging behaviours" through the lenses of unmet emotional needs and the drive for integrity, leading to more empathetic responses.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Champion ongoing staff training in these psychological theories to foster a culture of deep, person-centred care within the care home.</w:t>
      </w:r>
    </w:p>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By grounding their practice in these psychological principles, professionals can ensure that their care not only supports physical well-being but also nourishes the spirit, enabling individuals with dementia to live their later years with dignity, comfort, and a sustained sense of self.</w:t>
      </w:r>
    </w:p>
    <w:p w:rsidR="00000000" w:rsidDel="00000000" w:rsidP="00000000" w:rsidRDefault="00000000" w:rsidRPr="00000000" w14:paraId="00000040">
      <w:pPr>
        <w:ind w:firstLine="0"/>
        <w:rPr>
          <w:rFonts w:ascii="Arial" w:cs="Arial" w:eastAsia="Arial" w:hAnsi="Arial"/>
        </w:rPr>
      </w:pPr>
      <w:r w:rsidDel="00000000" w:rsidR="00000000" w:rsidRPr="00000000">
        <w:rPr>
          <w:rtl w:val="0"/>
        </w:rPr>
      </w:r>
    </w:p>
    <w:p w:rsidR="00000000" w:rsidDel="00000000" w:rsidP="00000000" w:rsidRDefault="00000000" w:rsidRPr="00000000" w14:paraId="00000041">
      <w:pPr>
        <w:ind w:firstLine="0"/>
        <w:rPr>
          <w:rFonts w:ascii="Arial" w:cs="Arial" w:eastAsia="Arial" w:hAnsi="Arial"/>
        </w:rPr>
      </w:pPr>
      <w:r w:rsidDel="00000000" w:rsidR="00000000" w:rsidRPr="00000000">
        <w:rPr>
          <w:rtl w:val="0"/>
        </w:rPr>
      </w:r>
    </w:p>
    <w:p w:rsidR="00000000" w:rsidDel="00000000" w:rsidP="00000000" w:rsidRDefault="00000000" w:rsidRPr="00000000" w14:paraId="00000042">
      <w:pPr>
        <w:ind w:firstLine="0"/>
        <w:rPr>
          <w:rFonts w:ascii="Arial" w:cs="Arial" w:eastAsia="Arial" w:hAnsi="Arial"/>
        </w:rPr>
      </w:pPr>
      <w:r w:rsidDel="00000000" w:rsidR="00000000" w:rsidRPr="00000000">
        <w:rPr>
          <w:rtl w:val="0"/>
        </w:rPr>
      </w:r>
    </w:p>
    <w:p w:rsidR="00000000" w:rsidDel="00000000" w:rsidP="00000000" w:rsidRDefault="00000000" w:rsidRPr="00000000" w14:paraId="00000043">
      <w:pPr>
        <w:ind w:firstLine="0"/>
        <w:rPr>
          <w:rFonts w:ascii="Arial" w:cs="Arial" w:eastAsia="Arial" w:hAnsi="Arial"/>
        </w:rPr>
      </w:pPr>
      <w:r w:rsidDel="00000000" w:rsidR="00000000" w:rsidRPr="00000000">
        <w:rPr>
          <w:rtl w:val="0"/>
        </w:rPr>
      </w:r>
    </w:p>
    <w:p w:rsidR="00000000" w:rsidDel="00000000" w:rsidP="00000000" w:rsidRDefault="00000000" w:rsidRPr="00000000" w14:paraId="00000044">
      <w:pPr>
        <w:ind w:firstLine="0"/>
        <w:rPr>
          <w:rFonts w:ascii="Arial" w:cs="Arial" w:eastAsia="Arial" w:hAnsi="Arial"/>
        </w:rPr>
      </w:pPr>
      <w:r w:rsidDel="00000000" w:rsidR="00000000" w:rsidRPr="00000000">
        <w:rPr>
          <w:rtl w:val="0"/>
        </w:rPr>
      </w:r>
    </w:p>
    <w:p w:rsidR="00000000" w:rsidDel="00000000" w:rsidP="00000000" w:rsidRDefault="00000000" w:rsidRPr="00000000" w14:paraId="00000045">
      <w:pPr>
        <w:ind w:firstLine="0"/>
        <w:rPr>
          <w:rFonts w:ascii="Arial" w:cs="Arial" w:eastAsia="Arial" w:hAnsi="Arial"/>
        </w:rPr>
      </w:pPr>
      <w:r w:rsidDel="00000000" w:rsidR="00000000" w:rsidRPr="00000000">
        <w:rPr>
          <w:rtl w:val="0"/>
        </w:rPr>
      </w:r>
    </w:p>
    <w:p w:rsidR="00000000" w:rsidDel="00000000" w:rsidP="00000000" w:rsidRDefault="00000000" w:rsidRPr="00000000" w14:paraId="00000046">
      <w:pPr>
        <w:ind w:firstLine="0"/>
        <w:rPr>
          <w:rFonts w:ascii="Arial" w:cs="Arial" w:eastAsia="Arial" w:hAnsi="Arial"/>
        </w:rPr>
      </w:pPr>
      <w:r w:rsidDel="00000000" w:rsidR="00000000" w:rsidRPr="00000000">
        <w:rPr>
          <w:rtl w:val="0"/>
        </w:rPr>
      </w:r>
    </w:p>
    <w:p w:rsidR="00000000" w:rsidDel="00000000" w:rsidP="00000000" w:rsidRDefault="00000000" w:rsidRPr="00000000" w14:paraId="00000047">
      <w:pPr>
        <w:ind w:firstLine="0"/>
        <w:rPr>
          <w:rFonts w:ascii="Arial" w:cs="Arial" w:eastAsia="Arial" w:hAnsi="Arial"/>
        </w:rPr>
      </w:pPr>
      <w:r w:rsidDel="00000000" w:rsidR="00000000" w:rsidRPr="00000000">
        <w:rPr>
          <w:rtl w:val="0"/>
        </w:rPr>
      </w:r>
    </w:p>
    <w:p w:rsidR="00000000" w:rsidDel="00000000" w:rsidP="00000000" w:rsidRDefault="00000000" w:rsidRPr="00000000" w14:paraId="00000048">
      <w:pPr>
        <w:ind w:firstLine="0"/>
        <w:rPr>
          <w:rFonts w:ascii="Arial" w:cs="Arial" w:eastAsia="Arial" w:hAnsi="Arial"/>
        </w:rPr>
      </w:pPr>
      <w:r w:rsidDel="00000000" w:rsidR="00000000" w:rsidRPr="00000000">
        <w:rPr>
          <w:rtl w:val="0"/>
        </w:rPr>
      </w:r>
    </w:p>
    <w:p w:rsidR="00000000" w:rsidDel="00000000" w:rsidP="00000000" w:rsidRDefault="00000000" w:rsidRPr="00000000" w14:paraId="00000049">
      <w:pPr>
        <w:ind w:firstLine="0"/>
        <w:rPr>
          <w:rFonts w:ascii="Arial" w:cs="Arial" w:eastAsia="Arial" w:hAnsi="Arial"/>
        </w:rPr>
      </w:pPr>
      <w:r w:rsidDel="00000000" w:rsidR="00000000" w:rsidRPr="00000000">
        <w:rPr>
          <w:rtl w:val="0"/>
        </w:rPr>
      </w:r>
    </w:p>
    <w:p w:rsidR="00000000" w:rsidDel="00000000" w:rsidP="00000000" w:rsidRDefault="00000000" w:rsidRPr="00000000" w14:paraId="0000004A">
      <w:pPr>
        <w:ind w:firstLine="0"/>
        <w:jc w:val="center"/>
        <w:rPr>
          <w:rFonts w:ascii="Arial" w:cs="Arial" w:eastAsia="Arial" w:hAnsi="Arial"/>
          <w:b w:val="1"/>
        </w:rPr>
      </w:pPr>
      <w:r w:rsidDel="00000000" w:rsidR="00000000" w:rsidRPr="00000000">
        <w:rPr>
          <w:rFonts w:ascii="Arial" w:cs="Arial" w:eastAsia="Arial" w:hAnsi="Arial"/>
          <w:b w:val="1"/>
          <w:rtl w:val="0"/>
        </w:rPr>
        <w:t xml:space="preserve">References</w:t>
      </w:r>
    </w:p>
    <w:p w:rsidR="00000000" w:rsidDel="00000000" w:rsidP="00000000" w:rsidRDefault="00000000" w:rsidRPr="00000000" w14:paraId="0000004B">
      <w:pPr>
        <w:ind w:left="720" w:hanging="720"/>
        <w:rPr>
          <w:rFonts w:ascii="Arial" w:cs="Arial" w:eastAsia="Arial" w:hAnsi="Arial"/>
        </w:rPr>
      </w:pPr>
      <w:r w:rsidDel="00000000" w:rsidR="00000000" w:rsidRPr="00000000">
        <w:rPr>
          <w:rFonts w:ascii="Arial" w:cs="Arial" w:eastAsia="Arial" w:hAnsi="Arial"/>
          <w:rtl w:val="0"/>
        </w:rPr>
        <w:t xml:space="preserve">Alvares-Pereira, G., Silva-Nunes, M. V., &amp; Spector, A. (2021). Validation of the cognitive stimulation therapy (CST) program for people with dementia in Portugal. </w:t>
      </w:r>
      <w:r w:rsidDel="00000000" w:rsidR="00000000" w:rsidRPr="00000000">
        <w:rPr>
          <w:rFonts w:ascii="Arial" w:cs="Arial" w:eastAsia="Arial" w:hAnsi="Arial"/>
          <w:i w:val="1"/>
          <w:rtl w:val="0"/>
        </w:rPr>
        <w:t xml:space="preserve">Aging &amp; Mental Health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25</w:t>
      </w:r>
      <w:r w:rsidDel="00000000" w:rsidR="00000000" w:rsidRPr="00000000">
        <w:rPr>
          <w:rFonts w:ascii="Arial" w:cs="Arial" w:eastAsia="Arial" w:hAnsi="Arial"/>
          <w:rtl w:val="0"/>
        </w:rPr>
        <w:t xml:space="preserve">(6), 1019-1028.</w:t>
      </w:r>
    </w:p>
    <w:p w:rsidR="00000000" w:rsidDel="00000000" w:rsidP="00000000" w:rsidRDefault="00000000" w:rsidRPr="00000000" w14:paraId="0000004C">
      <w:pPr>
        <w:ind w:left="720" w:hanging="720"/>
        <w:rPr>
          <w:rFonts w:ascii="Arial" w:cs="Arial" w:eastAsia="Arial" w:hAnsi="Arial"/>
        </w:rPr>
      </w:pPr>
      <w:r w:rsidDel="00000000" w:rsidR="00000000" w:rsidRPr="00000000">
        <w:rPr>
          <w:rFonts w:ascii="Arial" w:cs="Arial" w:eastAsia="Arial" w:hAnsi="Arial"/>
          <w:rtl w:val="0"/>
        </w:rPr>
        <w:t xml:space="preserve">Carstensen, L. L. (2021). Socioemotional selectivity theory: The role of perceived endings in human motivation. </w:t>
      </w:r>
      <w:r w:rsidDel="00000000" w:rsidR="00000000" w:rsidRPr="00000000">
        <w:rPr>
          <w:rFonts w:ascii="Arial" w:cs="Arial" w:eastAsia="Arial" w:hAnsi="Arial"/>
          <w:i w:val="1"/>
          <w:rtl w:val="0"/>
        </w:rPr>
        <w:t xml:space="preserve">The Gerontologist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61</w:t>
      </w:r>
      <w:r w:rsidDel="00000000" w:rsidR="00000000" w:rsidRPr="00000000">
        <w:rPr>
          <w:rFonts w:ascii="Arial" w:cs="Arial" w:eastAsia="Arial" w:hAnsi="Arial"/>
          <w:rtl w:val="0"/>
        </w:rPr>
        <w:t xml:space="preserve">(8), 1188-1196.</w:t>
      </w:r>
    </w:p>
    <w:p w:rsidR="00000000" w:rsidDel="00000000" w:rsidP="00000000" w:rsidRDefault="00000000" w:rsidRPr="00000000" w14:paraId="0000004D">
      <w:pPr>
        <w:ind w:left="720" w:hanging="720"/>
        <w:rPr>
          <w:rFonts w:ascii="Arial" w:cs="Arial" w:eastAsia="Arial" w:hAnsi="Arial"/>
        </w:rPr>
      </w:pPr>
      <w:r w:rsidDel="00000000" w:rsidR="00000000" w:rsidRPr="00000000">
        <w:rPr>
          <w:rFonts w:ascii="Arial" w:cs="Arial" w:eastAsia="Arial" w:hAnsi="Arial"/>
          <w:rtl w:val="0"/>
        </w:rPr>
        <w:t xml:space="preserve">Carstensen, L. L., &amp; Reynolds, M. E. (2023). Age differences in preferences through the lens of socioemotional selectivity theory. </w:t>
      </w:r>
      <w:r w:rsidDel="00000000" w:rsidR="00000000" w:rsidRPr="00000000">
        <w:rPr>
          <w:rFonts w:ascii="Arial" w:cs="Arial" w:eastAsia="Arial" w:hAnsi="Arial"/>
          <w:i w:val="1"/>
          <w:rtl w:val="0"/>
        </w:rPr>
        <w:t xml:space="preserve">The Journal of the Economics of Ageing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24</w:t>
      </w:r>
      <w:r w:rsidDel="00000000" w:rsidR="00000000" w:rsidRPr="00000000">
        <w:rPr>
          <w:rFonts w:ascii="Arial" w:cs="Arial" w:eastAsia="Arial" w:hAnsi="Arial"/>
          <w:rtl w:val="0"/>
        </w:rPr>
        <w:t xml:space="preserve">, 100440.</w:t>
      </w:r>
    </w:p>
    <w:p w:rsidR="00000000" w:rsidDel="00000000" w:rsidP="00000000" w:rsidRDefault="00000000" w:rsidRPr="00000000" w14:paraId="0000004E">
      <w:pPr>
        <w:ind w:left="720" w:hanging="720"/>
        <w:rPr>
          <w:rFonts w:ascii="Arial" w:cs="Arial" w:eastAsia="Arial" w:hAnsi="Arial"/>
        </w:rPr>
      </w:pPr>
      <w:r w:rsidDel="00000000" w:rsidR="00000000" w:rsidRPr="00000000">
        <w:rPr>
          <w:rFonts w:ascii="Arial" w:cs="Arial" w:eastAsia="Arial" w:hAnsi="Arial"/>
          <w:rtl w:val="0"/>
        </w:rPr>
        <w:t xml:space="preserve">Isaacowitz, D. M. (2022). What do we know about aging and emotion regulation? </w:t>
      </w:r>
      <w:r w:rsidDel="00000000" w:rsidR="00000000" w:rsidRPr="00000000">
        <w:rPr>
          <w:rFonts w:ascii="Arial" w:cs="Arial" w:eastAsia="Arial" w:hAnsi="Arial"/>
          <w:i w:val="1"/>
          <w:rtl w:val="0"/>
        </w:rPr>
        <w:t xml:space="preserve">Perspectives on Psychological Science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17</w:t>
      </w:r>
      <w:r w:rsidDel="00000000" w:rsidR="00000000" w:rsidRPr="00000000">
        <w:rPr>
          <w:rFonts w:ascii="Arial" w:cs="Arial" w:eastAsia="Arial" w:hAnsi="Arial"/>
          <w:rtl w:val="0"/>
        </w:rPr>
        <w:t xml:space="preserve">(6), 1541-1555.</w:t>
      </w:r>
    </w:p>
    <w:p w:rsidR="00000000" w:rsidDel="00000000" w:rsidP="00000000" w:rsidRDefault="00000000" w:rsidRPr="00000000" w14:paraId="0000004F">
      <w:pPr>
        <w:ind w:left="720" w:hanging="720"/>
        <w:rPr>
          <w:rFonts w:ascii="Arial" w:cs="Arial" w:eastAsia="Arial" w:hAnsi="Arial"/>
        </w:rPr>
      </w:pPr>
      <w:r w:rsidDel="00000000" w:rsidR="00000000" w:rsidRPr="00000000">
        <w:rPr>
          <w:rFonts w:ascii="Arial" w:cs="Arial" w:eastAsia="Arial" w:hAnsi="Arial"/>
          <w:rtl w:val="0"/>
        </w:rPr>
        <w:t xml:space="preserve">Jones, E., &amp; Waite-Stupiansky, S. (2022). The Eriksons' Psychosocial Developmental Theory. In </w:t>
      </w:r>
      <w:r w:rsidDel="00000000" w:rsidR="00000000" w:rsidRPr="00000000">
        <w:rPr>
          <w:rFonts w:ascii="Arial" w:cs="Arial" w:eastAsia="Arial" w:hAnsi="Arial"/>
          <w:i w:val="1"/>
          <w:rtl w:val="0"/>
        </w:rPr>
        <w:t xml:space="preserve">Theories of early childhood education</w:t>
      </w:r>
      <w:r w:rsidDel="00000000" w:rsidR="00000000" w:rsidRPr="00000000">
        <w:rPr>
          <w:rFonts w:ascii="Arial" w:cs="Arial" w:eastAsia="Arial" w:hAnsi="Arial"/>
          <w:rtl w:val="0"/>
        </w:rPr>
        <w:t xml:space="preserve"> (pp. 34-49). Routledge.</w:t>
      </w:r>
    </w:p>
    <w:p w:rsidR="00000000" w:rsidDel="00000000" w:rsidP="00000000" w:rsidRDefault="00000000" w:rsidRPr="00000000" w14:paraId="00000050">
      <w:pPr>
        <w:ind w:left="720" w:hanging="720"/>
        <w:rPr>
          <w:rFonts w:ascii="Arial" w:cs="Arial" w:eastAsia="Arial" w:hAnsi="Arial"/>
        </w:rPr>
      </w:pPr>
      <w:r w:rsidDel="00000000" w:rsidR="00000000" w:rsidRPr="00000000">
        <w:rPr>
          <w:rFonts w:ascii="Arial" w:cs="Arial" w:eastAsia="Arial" w:hAnsi="Arial"/>
          <w:rtl w:val="0"/>
        </w:rPr>
        <w:t xml:space="preserve">MAMO, D. (2022). Improving Dignity of Care in Community-Dwelling Patients with Early-Stage Dementia.</w:t>
      </w:r>
    </w:p>
    <w:p w:rsidR="00000000" w:rsidDel="00000000" w:rsidP="00000000" w:rsidRDefault="00000000" w:rsidRPr="00000000" w14:paraId="00000051">
      <w:pPr>
        <w:ind w:left="720" w:hanging="720"/>
        <w:rPr>
          <w:rFonts w:ascii="Arial" w:cs="Arial" w:eastAsia="Arial" w:hAnsi="Arial"/>
        </w:rPr>
      </w:pPr>
      <w:r w:rsidDel="00000000" w:rsidR="00000000" w:rsidRPr="00000000">
        <w:rPr>
          <w:rFonts w:ascii="Arial" w:cs="Arial" w:eastAsia="Arial" w:hAnsi="Arial"/>
          <w:rtl w:val="0"/>
        </w:rPr>
        <w:t xml:space="preserve">Mazaheri, M., Kihlgren, M., &amp; Norberg, A. (2022). Applying the theory of human development by Erik and Joan Erikson when communicating with persons with advanced dementia diseases. </w:t>
      </w:r>
      <w:r w:rsidDel="00000000" w:rsidR="00000000" w:rsidRPr="00000000">
        <w:rPr>
          <w:rFonts w:ascii="Arial" w:cs="Arial" w:eastAsia="Arial" w:hAnsi="Arial"/>
          <w:i w:val="1"/>
          <w:rtl w:val="0"/>
        </w:rPr>
        <w:t xml:space="preserve">Nordic journal of nursing research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42</w:t>
      </w:r>
      <w:r w:rsidDel="00000000" w:rsidR="00000000" w:rsidRPr="00000000">
        <w:rPr>
          <w:rFonts w:ascii="Arial" w:cs="Arial" w:eastAsia="Arial" w:hAnsi="Arial"/>
          <w:rtl w:val="0"/>
        </w:rPr>
        <w:t xml:space="preserve">(4), 178-184.</w:t>
      </w:r>
    </w:p>
    <w:p w:rsidR="00000000" w:rsidDel="00000000" w:rsidP="00000000" w:rsidRDefault="00000000" w:rsidRPr="00000000" w14:paraId="00000052">
      <w:pPr>
        <w:ind w:left="720" w:hanging="720"/>
        <w:rPr>
          <w:rFonts w:ascii="Arial" w:cs="Arial" w:eastAsia="Arial" w:hAnsi="Arial"/>
        </w:rPr>
      </w:pPr>
      <w:r w:rsidDel="00000000" w:rsidR="00000000" w:rsidRPr="00000000">
        <w:rPr>
          <w:rFonts w:ascii="Arial" w:cs="Arial" w:eastAsia="Arial" w:hAnsi="Arial"/>
          <w:rtl w:val="0"/>
        </w:rPr>
        <w:t xml:space="preserve">Rincon A. J. A., Marco-Detchart, C., &amp; Julian Inglada, V. J. (2025). Personalized cognitive support via social robots. </w:t>
      </w:r>
      <w:r w:rsidDel="00000000" w:rsidR="00000000" w:rsidRPr="00000000">
        <w:rPr>
          <w:rFonts w:ascii="Arial" w:cs="Arial" w:eastAsia="Arial" w:hAnsi="Arial"/>
          <w:i w:val="1"/>
          <w:rtl w:val="0"/>
        </w:rPr>
        <w:t xml:space="preserve">Sensors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25</w:t>
      </w:r>
      <w:r w:rsidDel="00000000" w:rsidR="00000000" w:rsidRPr="00000000">
        <w:rPr>
          <w:rFonts w:ascii="Arial" w:cs="Arial" w:eastAsia="Arial" w:hAnsi="Arial"/>
          <w:rtl w:val="0"/>
        </w:rPr>
        <w:t xml:space="preserve">(3), 888.</w:t>
      </w:r>
    </w:p>
    <w:p w:rsidR="00000000" w:rsidDel="00000000" w:rsidP="00000000" w:rsidRDefault="00000000" w:rsidRPr="00000000" w14:paraId="00000053">
      <w:pPr>
        <w:ind w:left="720" w:hanging="720"/>
        <w:rPr>
          <w:rFonts w:ascii="Arial" w:cs="Arial" w:eastAsia="Arial" w:hAnsi="Arial"/>
        </w:rPr>
      </w:pPr>
      <w:r w:rsidDel="00000000" w:rsidR="00000000" w:rsidRPr="00000000">
        <w:rPr>
          <w:rFonts w:ascii="Arial" w:cs="Arial" w:eastAsia="Arial" w:hAnsi="Arial"/>
          <w:rtl w:val="0"/>
        </w:rPr>
        <w:t xml:space="preserve">Uzun, G. (2021). </w:t>
      </w:r>
      <w:r w:rsidDel="00000000" w:rsidR="00000000" w:rsidRPr="00000000">
        <w:rPr>
          <w:rFonts w:ascii="Arial" w:cs="Arial" w:eastAsia="Arial" w:hAnsi="Arial"/>
          <w:i w:val="1"/>
          <w:rtl w:val="0"/>
        </w:rPr>
        <w:t xml:space="preserve">Mediating role of emotion regulation in age and life satisfaction/affect relations: socioemotional selectivity theory perspective</w:t>
      </w:r>
      <w:r w:rsidDel="00000000" w:rsidR="00000000" w:rsidRPr="00000000">
        <w:rPr>
          <w:rFonts w:ascii="Arial" w:cs="Arial" w:eastAsia="Arial" w:hAnsi="Arial"/>
          <w:rtl w:val="0"/>
        </w:rPr>
        <w:t xml:space="preserve"> (Doctoral dissertation, Middle East Technical University (Turkey)).</w:t>
      </w:r>
    </w:p>
    <w:p w:rsidR="00000000" w:rsidDel="00000000" w:rsidP="00000000" w:rsidRDefault="00000000" w:rsidRPr="00000000" w14:paraId="00000054">
      <w:pPr>
        <w:ind w:left="720" w:hanging="720"/>
        <w:rPr>
          <w:rFonts w:ascii="Arial" w:cs="Arial" w:eastAsia="Arial" w:hAnsi="Arial"/>
        </w:rPr>
      </w:pPr>
      <w:r w:rsidDel="00000000" w:rsidR="00000000" w:rsidRPr="00000000">
        <w:rPr>
          <w:rFonts w:ascii="Arial" w:cs="Arial" w:eastAsia="Arial" w:hAnsi="Arial"/>
          <w:rtl w:val="0"/>
        </w:rPr>
        <w:t xml:space="preserve">World Health Organization. (2025, March 31). </w:t>
      </w:r>
      <w:r w:rsidDel="00000000" w:rsidR="00000000" w:rsidRPr="00000000">
        <w:rPr>
          <w:rFonts w:ascii="Arial" w:cs="Arial" w:eastAsia="Arial" w:hAnsi="Arial"/>
          <w:i w:val="1"/>
          <w:rtl w:val="0"/>
        </w:rPr>
        <w:t xml:space="preserve">Dementia</w:t>
      </w:r>
      <w:r w:rsidDel="00000000" w:rsidR="00000000" w:rsidRPr="00000000">
        <w:rPr>
          <w:rFonts w:ascii="Arial" w:cs="Arial" w:eastAsia="Arial" w:hAnsi="Arial"/>
          <w:rtl w:val="0"/>
        </w:rPr>
        <w:t xml:space="preserve">. World Health Organization. </w:t>
      </w:r>
      <w:hyperlink r:id="rId7">
        <w:r w:rsidDel="00000000" w:rsidR="00000000" w:rsidRPr="00000000">
          <w:rPr>
            <w:rFonts w:ascii="Arial" w:cs="Arial" w:eastAsia="Arial" w:hAnsi="Arial"/>
            <w:color w:val="0563c1"/>
            <w:u w:val="single"/>
            <w:rtl w:val="0"/>
          </w:rPr>
          <w:t xml:space="preserve">https://www.who.int/news-room/fact-sheets/detail/dementia</w:t>
        </w:r>
      </w:hyperlink>
      <w:r w:rsidDel="00000000" w:rsidR="00000000" w:rsidRPr="00000000">
        <w:rPr>
          <w:rtl w:val="0"/>
        </w:rPr>
      </w:r>
    </w:p>
    <w:p w:rsidR="00000000" w:rsidDel="00000000" w:rsidP="00000000" w:rsidRDefault="00000000" w:rsidRPr="00000000" w14:paraId="00000055">
      <w:pPr>
        <w:ind w:left="720" w:hanging="720"/>
        <w:rPr>
          <w:rFonts w:ascii="Arial" w:cs="Arial" w:eastAsia="Arial" w:hAnsi="Arial"/>
        </w:rPr>
      </w:pPr>
      <w:r w:rsidDel="00000000" w:rsidR="00000000" w:rsidRPr="00000000">
        <w:rPr>
          <w:rtl w:val="0"/>
        </w:rPr>
      </w:r>
    </w:p>
    <w:p w:rsidR="00000000" w:rsidDel="00000000" w:rsidP="00000000" w:rsidRDefault="00000000" w:rsidRPr="00000000" w14:paraId="00000056">
      <w:pPr>
        <w:ind w:firstLine="0"/>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57">
      <w:pPr>
        <w:ind w:firstLine="0"/>
        <w:rPr>
          <w:rFonts w:ascii="Arial" w:cs="Arial" w:eastAsia="Arial" w:hAnsi="Arial"/>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line="480" w:lineRule="auto"/>
        <w:ind w:firstLine="72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0569C8"/>
    <w:rPr>
      <w:color w:val="0563c1" w:themeColor="hyperlink"/>
      <w:u w:val="single"/>
    </w:rPr>
  </w:style>
  <w:style w:type="paragraph" w:styleId="ListParagraph">
    <w:name w:val="List Paragraph"/>
    <w:basedOn w:val="Normal"/>
    <w:uiPriority w:val="34"/>
    <w:qFormat w:val="1"/>
    <w:rsid w:val="000569C8"/>
    <w:pPr>
      <w:ind w:left="720"/>
      <w:contextualSpacing w:val="1"/>
    </w:pPr>
  </w:style>
  <w:style w:type="paragraph" w:styleId="Header">
    <w:name w:val="header"/>
    <w:basedOn w:val="Normal"/>
    <w:link w:val="HeaderChar"/>
    <w:uiPriority w:val="99"/>
    <w:unhideWhenUsed w:val="1"/>
    <w:rsid w:val="006649E4"/>
    <w:pPr>
      <w:tabs>
        <w:tab w:val="center" w:pos="4680"/>
        <w:tab w:val="right" w:pos="9360"/>
      </w:tabs>
      <w:spacing w:line="240" w:lineRule="auto"/>
    </w:pPr>
  </w:style>
  <w:style w:type="character" w:styleId="HeaderChar" w:customStyle="1">
    <w:name w:val="Header Char"/>
    <w:basedOn w:val="DefaultParagraphFont"/>
    <w:link w:val="Header"/>
    <w:uiPriority w:val="99"/>
    <w:rsid w:val="006649E4"/>
  </w:style>
  <w:style w:type="paragraph" w:styleId="Footer">
    <w:name w:val="footer"/>
    <w:basedOn w:val="Normal"/>
    <w:link w:val="FooterChar"/>
    <w:uiPriority w:val="99"/>
    <w:unhideWhenUsed w:val="1"/>
    <w:rsid w:val="006649E4"/>
    <w:pPr>
      <w:tabs>
        <w:tab w:val="center" w:pos="4680"/>
        <w:tab w:val="right" w:pos="9360"/>
      </w:tabs>
      <w:spacing w:line="240" w:lineRule="auto"/>
    </w:pPr>
  </w:style>
  <w:style w:type="character" w:styleId="FooterChar" w:customStyle="1">
    <w:name w:val="Footer Char"/>
    <w:basedOn w:val="DefaultParagraphFont"/>
    <w:link w:val="Footer"/>
    <w:uiPriority w:val="99"/>
    <w:rsid w:val="006649E4"/>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who.int/news-room/fact-sheets/detail/dementia"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h/hBpoY2ppIZ4qbBXiwiIMSVAw==">CgMxLjA4AHIhMVkzSkpMVkNGR045Z2R1MzNjcU9tOXdJMjJwaDZWTW1j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2025-09-20T08:52:00Z</dcterms:created>
</cp:coreProperties>
</file>