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1463A1" w:rsidRDefault="001463A1" w14:paraId="00000001" w14:textId="77777777">
      <w:pPr>
        <w:sectPr w:rsidR="001463A1">
          <w:footerReference w:type="default" r:id="rId7"/>
          <w:pgSz w:w="12240" w:h="15840" w:orient="portrait"/>
          <w:pgMar w:top="1440" w:right="1440" w:bottom="1440" w:left="1440" w:header="720" w:footer="720" w:gutter="0"/>
          <w:pgNumType w:start="0"/>
          <w:cols w:equalWidth="0" w:space="720" w:num="2">
            <w:col w:w="4320" w:space="720"/>
            <w:col w:w="4320"/>
          </w:cols>
          <w:titlePg/>
        </w:sectPr>
      </w:pPr>
    </w:p>
    <w:p w:rsidR="001463A1" w:rsidRDefault="004142DC" w14:paraId="00000002" w14:textId="387EBF22">
      <w:pPr>
        <w:jc w:val="center"/>
      </w:pPr>
      <w:r>
        <w:t>Public Health and Social Care in Practice</w:t>
      </w:r>
    </w:p>
    <w:p w:rsidR="001463A1" w:rsidRDefault="004142DC" w14:paraId="00000003" w14:textId="77777777">
      <w:pPr>
        <w:jc w:val="center"/>
      </w:pPr>
      <w:r>
        <w:t>Population Health and Digital Health Promotion</w:t>
      </w:r>
    </w:p>
    <w:p w:rsidR="00724968" w:rsidRDefault="00724968" w14:paraId="3B24A685" w14:textId="3C756E0E">
      <w:pPr>
        <w:jc w:val="center"/>
      </w:pPr>
      <w:r w:rsidR="004142DC">
        <w:rPr/>
        <w:t xml:space="preserve">Assignment Title: </w:t>
      </w:r>
      <w:r w:rsidR="004142DC">
        <w:rPr/>
        <w:t>Component</w:t>
      </w:r>
      <w:r w:rsidR="004142DC">
        <w:rPr/>
        <w:t xml:space="preserve"> 1 (2 Blogs</w:t>
      </w:r>
    </w:p>
    <w:p w:rsidR="001463A1" w:rsidP="1EA39BFF" w:rsidRDefault="001463A1" w14:paraId="00000005" w14:textId="4A01D714">
      <w:pPr>
        <w:jc w:val="center"/>
      </w:pPr>
      <w:r w:rsidR="6A23C3C1">
        <w:rPr/>
        <w:t>Student name.</w:t>
      </w:r>
      <w:r>
        <w:tab/>
      </w:r>
      <w:r w:rsidR="6A23C3C1">
        <w:rPr/>
        <w:t>Afshan Mirz</w:t>
      </w:r>
      <w:r w:rsidR="10B1A581">
        <w:rPr/>
        <w:t>a 221480</w:t>
      </w:r>
      <w:r w:rsidR="04C85FA5">
        <w:rPr/>
        <w:t>7</w:t>
      </w:r>
    </w:p>
    <w:p w:rsidR="00724968" w:rsidRDefault="004142DC" w14:paraId="00000006" w14:textId="7F695845">
      <w:r>
        <w:br w:type="page"/>
      </w:r>
    </w:p>
    <w:p w:rsidR="001463A1" w:rsidP="00707CF1" w:rsidRDefault="004142DC" w14:paraId="00000007" w14:textId="77777777">
      <w:pPr>
        <w:keepNext/>
        <w:keepLines/>
        <w:pBdr>
          <w:top w:val="nil"/>
          <w:left w:val="nil"/>
          <w:bottom w:val="nil"/>
          <w:right w:val="nil"/>
          <w:between w:val="nil"/>
        </w:pBdr>
        <w:spacing w:before="240"/>
        <w:jc w:val="left"/>
        <w:rPr>
          <w:color w:val="2F5496"/>
        </w:rPr>
      </w:pPr>
      <w:r>
        <w:rPr>
          <w:color w:val="2F5496"/>
        </w:rPr>
        <w:lastRenderedPageBreak/>
        <w:t>Table of Contents</w:t>
      </w:r>
    </w:p>
    <w:sdt>
      <w:sdtPr>
        <w:id w:val="-518487757"/>
        <w:docPartObj>
          <w:docPartGallery w:val="Table of Contents"/>
          <w:docPartUnique/>
        </w:docPartObj>
      </w:sdtPr>
      <w:sdtEndPr/>
      <w:sdtContent>
        <w:p w:rsidR="007371F6" w:rsidP="00707CF1" w:rsidRDefault="004142DC" w14:paraId="681D7B81" w14:textId="78951B74">
          <w:pPr>
            <w:pStyle w:val="TOC1"/>
            <w:rPr>
              <w:rFonts w:asciiTheme="minorHAnsi" w:hAnsiTheme="minorHAnsi" w:eastAsiaTheme="minorEastAsia" w:cstheme="minorBidi"/>
              <w:noProof/>
              <w:sz w:val="22"/>
              <w:szCs w:val="22"/>
            </w:rPr>
          </w:pPr>
          <w:r>
            <w:fldChar w:fldCharType="begin"/>
          </w:r>
          <w:r>
            <w:instrText xml:space="preserve"> TOC \h \u \z \t "Heading 1,1,Heading 2,2,Heading 3,3,"</w:instrText>
          </w:r>
          <w:r>
            <w:fldChar w:fldCharType="separate"/>
          </w:r>
          <w:hyperlink w:history="1" w:anchor="_Toc222934638">
            <w:r w:rsidRPr="007076A9" w:rsidR="007371F6">
              <w:rPr>
                <w:rStyle w:val="Hyperlink"/>
                <w:noProof/>
              </w:rPr>
              <w:t>Blog 1: The impact of an existing digital technology currently used for a digital health promotion intervention</w:t>
            </w:r>
            <w:r w:rsidR="007371F6">
              <w:rPr>
                <w:noProof/>
                <w:webHidden/>
              </w:rPr>
              <w:tab/>
            </w:r>
            <w:r w:rsidR="007371F6">
              <w:rPr>
                <w:noProof/>
                <w:webHidden/>
              </w:rPr>
              <w:fldChar w:fldCharType="begin"/>
            </w:r>
            <w:r w:rsidR="007371F6">
              <w:rPr>
                <w:noProof/>
                <w:webHidden/>
              </w:rPr>
              <w:instrText xml:space="preserve"> PAGEREF _Toc222934638 \h </w:instrText>
            </w:r>
            <w:r w:rsidR="007371F6">
              <w:rPr>
                <w:noProof/>
                <w:webHidden/>
              </w:rPr>
            </w:r>
            <w:r w:rsidR="007371F6">
              <w:rPr>
                <w:noProof/>
                <w:webHidden/>
              </w:rPr>
              <w:fldChar w:fldCharType="separate"/>
            </w:r>
            <w:r w:rsidR="007371F6">
              <w:rPr>
                <w:noProof/>
                <w:webHidden/>
              </w:rPr>
              <w:t>1</w:t>
            </w:r>
            <w:r w:rsidR="007371F6">
              <w:rPr>
                <w:noProof/>
                <w:webHidden/>
              </w:rPr>
              <w:fldChar w:fldCharType="end"/>
            </w:r>
          </w:hyperlink>
        </w:p>
        <w:p w:rsidR="007371F6" w:rsidP="00707CF1" w:rsidRDefault="007371F6" w14:paraId="4E17EDD0" w14:textId="48948DA0">
          <w:pPr>
            <w:pStyle w:val="TOC2"/>
            <w:tabs>
              <w:tab w:val="right" w:leader="dot" w:pos="9350"/>
            </w:tabs>
            <w:spacing w:after="0"/>
            <w:rPr>
              <w:rFonts w:asciiTheme="minorHAnsi" w:hAnsiTheme="minorHAnsi" w:eastAsiaTheme="minorEastAsia" w:cstheme="minorBidi"/>
              <w:noProof/>
              <w:sz w:val="22"/>
              <w:szCs w:val="22"/>
            </w:rPr>
          </w:pPr>
          <w:hyperlink w:history="1" w:anchor="_Toc222934639">
            <w:r w:rsidRPr="007076A9">
              <w:rPr>
                <w:rStyle w:val="Hyperlink"/>
                <w:noProof/>
              </w:rPr>
              <w:t>References</w:t>
            </w:r>
            <w:r>
              <w:rPr>
                <w:noProof/>
                <w:webHidden/>
              </w:rPr>
              <w:tab/>
            </w:r>
            <w:r>
              <w:rPr>
                <w:noProof/>
                <w:webHidden/>
              </w:rPr>
              <w:fldChar w:fldCharType="begin"/>
            </w:r>
            <w:r>
              <w:rPr>
                <w:noProof/>
                <w:webHidden/>
              </w:rPr>
              <w:instrText xml:space="preserve"> PAGEREF _Toc222934639 \h </w:instrText>
            </w:r>
            <w:r>
              <w:rPr>
                <w:noProof/>
                <w:webHidden/>
              </w:rPr>
            </w:r>
            <w:r>
              <w:rPr>
                <w:noProof/>
                <w:webHidden/>
              </w:rPr>
              <w:fldChar w:fldCharType="separate"/>
            </w:r>
            <w:r>
              <w:rPr>
                <w:noProof/>
                <w:webHidden/>
              </w:rPr>
              <w:t>4</w:t>
            </w:r>
            <w:r>
              <w:rPr>
                <w:noProof/>
                <w:webHidden/>
              </w:rPr>
              <w:fldChar w:fldCharType="end"/>
            </w:r>
          </w:hyperlink>
        </w:p>
        <w:p w:rsidR="007371F6" w:rsidP="00707CF1" w:rsidRDefault="007371F6" w14:paraId="070B1843" w14:textId="28DCB802">
          <w:pPr>
            <w:pStyle w:val="TOC1"/>
            <w:rPr>
              <w:rFonts w:asciiTheme="minorHAnsi" w:hAnsiTheme="minorHAnsi" w:eastAsiaTheme="minorEastAsia" w:cstheme="minorBidi"/>
              <w:noProof/>
              <w:sz w:val="22"/>
              <w:szCs w:val="22"/>
            </w:rPr>
          </w:pPr>
          <w:hyperlink w:history="1" w:anchor="_Toc222934640">
            <w:r w:rsidRPr="007076A9">
              <w:rPr>
                <w:rStyle w:val="Hyperlink"/>
                <w:noProof/>
              </w:rPr>
              <w:t>Blog 2- The impact of a digital technology with improved design for a digital health promotion intervention</w:t>
            </w:r>
            <w:r>
              <w:rPr>
                <w:noProof/>
                <w:webHidden/>
              </w:rPr>
              <w:tab/>
            </w:r>
            <w:r>
              <w:rPr>
                <w:noProof/>
                <w:webHidden/>
              </w:rPr>
              <w:fldChar w:fldCharType="begin"/>
            </w:r>
            <w:r>
              <w:rPr>
                <w:noProof/>
                <w:webHidden/>
              </w:rPr>
              <w:instrText xml:space="preserve"> PAGEREF _Toc222934640 \h </w:instrText>
            </w:r>
            <w:r>
              <w:rPr>
                <w:noProof/>
                <w:webHidden/>
              </w:rPr>
            </w:r>
            <w:r>
              <w:rPr>
                <w:noProof/>
                <w:webHidden/>
              </w:rPr>
              <w:fldChar w:fldCharType="separate"/>
            </w:r>
            <w:r>
              <w:rPr>
                <w:noProof/>
                <w:webHidden/>
              </w:rPr>
              <w:t>5</w:t>
            </w:r>
            <w:r>
              <w:rPr>
                <w:noProof/>
                <w:webHidden/>
              </w:rPr>
              <w:fldChar w:fldCharType="end"/>
            </w:r>
          </w:hyperlink>
        </w:p>
        <w:p w:rsidR="007371F6" w:rsidP="00707CF1" w:rsidRDefault="007371F6" w14:paraId="4FAE71B2" w14:textId="468A1324">
          <w:pPr>
            <w:pStyle w:val="TOC2"/>
            <w:tabs>
              <w:tab w:val="right" w:leader="dot" w:pos="9350"/>
            </w:tabs>
            <w:spacing w:after="0"/>
            <w:rPr>
              <w:rFonts w:asciiTheme="minorHAnsi" w:hAnsiTheme="minorHAnsi" w:eastAsiaTheme="minorEastAsia" w:cstheme="minorBidi"/>
              <w:noProof/>
              <w:sz w:val="22"/>
              <w:szCs w:val="22"/>
            </w:rPr>
          </w:pPr>
          <w:hyperlink w:history="1" w:anchor="_Toc222934641">
            <w:r w:rsidRPr="007076A9">
              <w:rPr>
                <w:rStyle w:val="Hyperlink"/>
                <w:noProof/>
              </w:rPr>
              <w:t>References</w:t>
            </w:r>
            <w:r>
              <w:rPr>
                <w:noProof/>
                <w:webHidden/>
              </w:rPr>
              <w:tab/>
            </w:r>
            <w:r>
              <w:rPr>
                <w:noProof/>
                <w:webHidden/>
              </w:rPr>
              <w:fldChar w:fldCharType="begin"/>
            </w:r>
            <w:r>
              <w:rPr>
                <w:noProof/>
                <w:webHidden/>
              </w:rPr>
              <w:instrText xml:space="preserve"> PAGEREF _Toc222934641 \h </w:instrText>
            </w:r>
            <w:r>
              <w:rPr>
                <w:noProof/>
                <w:webHidden/>
              </w:rPr>
            </w:r>
            <w:r>
              <w:rPr>
                <w:noProof/>
                <w:webHidden/>
              </w:rPr>
              <w:fldChar w:fldCharType="separate"/>
            </w:r>
            <w:r>
              <w:rPr>
                <w:noProof/>
                <w:webHidden/>
              </w:rPr>
              <w:t>8</w:t>
            </w:r>
            <w:r>
              <w:rPr>
                <w:noProof/>
                <w:webHidden/>
              </w:rPr>
              <w:fldChar w:fldCharType="end"/>
            </w:r>
          </w:hyperlink>
        </w:p>
        <w:p w:rsidR="001463A1" w:rsidP="00707CF1" w:rsidRDefault="004142DC" w14:paraId="0000000C" w14:textId="724C8BB5">
          <w:r>
            <w:fldChar w:fldCharType="end"/>
          </w:r>
        </w:p>
      </w:sdtContent>
    </w:sdt>
    <w:p w:rsidR="001463A1" w:rsidRDefault="001463A1" w14:paraId="0000000D" w14:textId="77777777">
      <w:pPr>
        <w:sectPr w:rsidR="001463A1">
          <w:type w:val="continuous"/>
          <w:pgSz w:w="12240" w:h="15840" w:orient="portrait"/>
          <w:pgMar w:top="1440" w:right="1440" w:bottom="1440" w:left="1440" w:header="720" w:footer="720" w:gutter="0"/>
          <w:cols w:space="720"/>
        </w:sectPr>
      </w:pPr>
    </w:p>
    <w:p w:rsidR="00724968" w:rsidP="00724968" w:rsidRDefault="004142DC" w14:paraId="49E7AEBC" w14:textId="77777777">
      <w:pPr>
        <w:pStyle w:val="Heading1"/>
        <w:jc w:val="center"/>
        <w:rPr>
          <w:sz w:val="32"/>
          <w:szCs w:val="32"/>
        </w:rPr>
      </w:pPr>
      <w:bookmarkStart w:name="_Toc222934638" w:id="0"/>
      <w:r w:rsidRPr="00724968">
        <w:rPr>
          <w:sz w:val="32"/>
          <w:szCs w:val="32"/>
        </w:rPr>
        <w:lastRenderedPageBreak/>
        <w:t>Blog 1: The impact of an existing digital technology currently used for a digital health promotion intervention</w:t>
      </w:r>
      <w:bookmarkEnd w:id="0"/>
    </w:p>
    <w:p w:rsidR="00724968" w:rsidP="00724968" w:rsidRDefault="00724968" w14:paraId="582732D8" w14:textId="77777777">
      <w:pPr>
        <w:pStyle w:val="Heading1"/>
        <w:jc w:val="center"/>
        <w:rPr>
          <w:sz w:val="32"/>
          <w:szCs w:val="32"/>
        </w:rPr>
        <w:sectPr w:rsidR="00724968" w:rsidSect="00724968">
          <w:footerReference w:type="default" r:id="rId8"/>
          <w:pgSz w:w="12240" w:h="15840" w:orient="portrait"/>
          <w:pgMar w:top="1440" w:right="1440" w:bottom="1440" w:left="1440" w:header="720" w:footer="720" w:gutter="0"/>
          <w:pgNumType w:start="1"/>
          <w:cols w:space="720"/>
        </w:sectPr>
      </w:pPr>
    </w:p>
    <w:p w:rsidR="001463A1" w:rsidRDefault="004142DC" w14:paraId="0000000F" w14:textId="77777777">
      <w:pPr>
        <w:rPr>
          <w:b/>
          <w:bCs/>
          <w:i/>
          <w:iCs/>
        </w:rPr>
      </w:pPr>
      <w:r>
        <w:rPr>
          <w:b/>
          <w:bCs/>
          <w:i/>
          <w:iCs/>
        </w:rPr>
        <w:lastRenderedPageBreak/>
        <w:t>The Crisis: The Rising Burden of Type 2 Diabetes</w:t>
      </w:r>
    </w:p>
    <w:p w:rsidR="001463A1" w:rsidRDefault="004142DC" w14:paraId="00000010" w14:textId="77777777">
      <w:pPr>
        <w:rPr>
          <w:b/>
          <w:bCs/>
          <w:i/>
          <w:iCs/>
        </w:rPr>
      </w:pPr>
      <w:r>
        <w:rPr>
          <w:noProof/>
        </w:rPr>
        <w:drawing>
          <wp:inline distT="0" distB="0" distL="0" distR="0" wp14:anchorId="1A0D6ADC" wp14:editId="0FC94980">
            <wp:extent cx="2743200" cy="1827530"/>
            <wp:effectExtent l="0" t="0" r="0" b="0"/>
            <wp:docPr id="12" name="image4.jpg" descr="Barriers to Digital Health Patient Engagement | LuxSci"/>
            <wp:cNvGraphicFramePr/>
            <a:graphic xmlns:a="http://schemas.openxmlformats.org/drawingml/2006/main">
              <a:graphicData uri="http://schemas.openxmlformats.org/drawingml/2006/picture">
                <pic:pic xmlns:pic="http://schemas.openxmlformats.org/drawingml/2006/picture">
                  <pic:nvPicPr>
                    <pic:cNvPr id="0" name="image4.jpg" descr="Barriers to Digital Health Patient Engagement | LuxSci"/>
                    <pic:cNvPicPr preferRelativeResize="0"/>
                  </pic:nvPicPr>
                  <pic:blipFill>
                    <a:blip r:embed="rId9"/>
                    <a:srcRect/>
                    <a:stretch>
                      <a:fillRect/>
                    </a:stretch>
                  </pic:blipFill>
                  <pic:spPr>
                    <a:xfrm>
                      <a:off x="0" y="0"/>
                      <a:ext cx="2743200" cy="1827530"/>
                    </a:xfrm>
                    <a:prstGeom prst="rect">
                      <a:avLst/>
                    </a:prstGeom>
                    <a:ln/>
                  </pic:spPr>
                </pic:pic>
              </a:graphicData>
            </a:graphic>
          </wp:inline>
        </w:drawing>
      </w:r>
    </w:p>
    <w:p w:rsidR="001463A1" w:rsidRDefault="004142DC" w14:paraId="00000011" w14:textId="77777777">
      <w:r>
        <w:t>Type 2 Diabetes (T2D) is one of the most pressing public health challenges of the 21st century. According to the World Health Organisation (WHO), it is a major cause of blindness, kidney failure, heart attacks, stroke, and lower limb amputation (Ashar et al., 2025).</w:t>
      </w:r>
    </w:p>
    <w:p w:rsidR="001463A1" w:rsidRDefault="004142DC" w14:paraId="00000012" w14:textId="77777777">
      <w:r>
        <w:t>It is estimated that sedentary lifestyles and poor dietary habits have led to a global prevalence of more than 537 million adults living with diabetes as of 2021 (Ashar et al., 2025), and it is projected to rise to 783 million by 2045 (Ashar et al., 2025).</w:t>
      </w:r>
    </w:p>
    <w:p w:rsidR="001463A1" w:rsidRDefault="004142DC" w14:paraId="00000013" w14:textId="38B438AF">
      <w:r>
        <w:t>In that case, the economic burden has been witnessed where global health expenditure is connected to diabetes was estimated at $966 billion USD in 2021. The traditional process, called episodic clinic-based care, is often insufficient for managing a condition that needs 24/7 lifestyle monitoring</w:t>
      </w:r>
      <w:r w:rsidR="00DE7DF0">
        <w:t xml:space="preserve"> </w:t>
      </w:r>
      <w:r w:rsidRPr="00DE7DF0" w:rsidR="00DE7DF0">
        <w:t>(The Lancet Digital Health, 2025)</w:t>
      </w:r>
      <w:r>
        <w:t>.</w:t>
      </w:r>
    </w:p>
    <w:p w:rsidR="001463A1" w:rsidRDefault="004142DC" w14:paraId="00000014" w14:textId="77777777">
      <w:pPr>
        <w:rPr>
          <w:b/>
          <w:bCs/>
          <w:i/>
          <w:iCs/>
        </w:rPr>
      </w:pPr>
      <w:r>
        <w:rPr>
          <w:b/>
          <w:bCs/>
          <w:i/>
          <w:iCs/>
        </w:rPr>
        <w:t>The Technology: Mobile Health (mHealth) Apps</w:t>
      </w:r>
    </w:p>
    <w:p w:rsidR="001463A1" w:rsidRDefault="004142DC" w14:paraId="00000015" w14:textId="77777777">
      <w:pPr>
        <w:rPr>
          <w:b/>
          <w:bCs/>
          <w:i/>
          <w:iCs/>
        </w:rPr>
      </w:pPr>
      <w:r>
        <w:rPr>
          <w:noProof/>
        </w:rPr>
        <w:drawing>
          <wp:inline distT="0" distB="0" distL="0" distR="0" wp14:anchorId="3815633B" wp14:editId="278C9CF6">
            <wp:extent cx="2743200" cy="1934210"/>
            <wp:effectExtent l="0" t="0" r="0" b="0"/>
            <wp:docPr id="14" name="image5.jpg" descr="Methods and Technologies for Supporting Knowledge Sharing within Learning  Communities: A Systematic Literature Review"/>
            <wp:cNvGraphicFramePr/>
            <a:graphic xmlns:a="http://schemas.openxmlformats.org/drawingml/2006/main">
              <a:graphicData uri="http://schemas.openxmlformats.org/drawingml/2006/picture">
                <pic:pic xmlns:pic="http://schemas.openxmlformats.org/drawingml/2006/picture">
                  <pic:nvPicPr>
                    <pic:cNvPr id="0" name="image5.jpg" descr="Methods and Technologies for Supporting Knowledge Sharing within Learning  Communities: A Systematic Literature Review"/>
                    <pic:cNvPicPr preferRelativeResize="0"/>
                  </pic:nvPicPr>
                  <pic:blipFill>
                    <a:blip r:embed="rId10"/>
                    <a:srcRect/>
                    <a:stretch>
                      <a:fillRect/>
                    </a:stretch>
                  </pic:blipFill>
                  <pic:spPr>
                    <a:xfrm>
                      <a:off x="0" y="0"/>
                      <a:ext cx="2743200" cy="1934210"/>
                    </a:xfrm>
                    <a:prstGeom prst="rect">
                      <a:avLst/>
                    </a:prstGeom>
                    <a:ln/>
                  </pic:spPr>
                </pic:pic>
              </a:graphicData>
            </a:graphic>
          </wp:inline>
        </w:drawing>
      </w:r>
    </w:p>
    <w:p w:rsidR="001463A1" w:rsidRDefault="004142DC" w14:paraId="00000016" w14:textId="77777777">
      <w:r>
        <w:t>The technology is a cornerstone of modern digital health awareness and promotion (Ashar et al., 2025). Those kinds of apps work to address diabetes by allowing users to know their blood glucose levels, track physical activity, and monitor food intake with the evaluation of real-time data. To take the concept of social awareness and promotional activities, those apps utilise behavioural nudges, like push notifications and personalised educational content, which work to empower patients to take control of their own health determinants.</w:t>
      </w:r>
    </w:p>
    <w:p w:rsidR="001463A1" w:rsidRDefault="004142DC" w14:paraId="00000017" w14:textId="77777777">
      <w:r>
        <w:t xml:space="preserve">While considering the efficiency of those kinds of health apps, it is evident that those apps have improved Glycemic Control and people's engagement (eClinicalMedicine, 2023). It is evaluated that patients who are daily using those apps for diabetes management often see a reduction in HbA1c levels by an average of 0.5% to 0.8% </w:t>
      </w:r>
      <w:r>
        <w:lastRenderedPageBreak/>
        <w:t>compared to standard care (</w:t>
      </w:r>
      <w:proofErr w:type="spellStart"/>
      <w:r>
        <w:t>Feleke</w:t>
      </w:r>
      <w:proofErr w:type="spellEnd"/>
      <w:r>
        <w:t xml:space="preserve"> and And Injury, 2024)</w:t>
      </w:r>
    </w:p>
    <w:p w:rsidR="001463A1" w:rsidRDefault="004142DC" w14:paraId="00000018" w14:textId="185F41D1">
      <w:r>
        <w:t>. That kind of app increases people's engagement because those healthcare apps enable continuous data capture, which allows for more effective evaluation than “irregular and episodic” traditional healthcare</w:t>
      </w:r>
      <w:r w:rsidR="00DE7DF0">
        <w:t xml:space="preserve"> </w:t>
      </w:r>
      <w:r w:rsidRPr="00DE7DF0" w:rsidR="00DE7DF0">
        <w:t>(The Lancet Digital Health, 2019)</w:t>
      </w:r>
      <w:r>
        <w:t>.</w:t>
      </w:r>
    </w:p>
    <w:p w:rsidR="001463A1" w:rsidRDefault="004142DC" w14:paraId="00000019" w14:textId="77777777">
      <w:pPr>
        <w:rPr>
          <w:b/>
          <w:bCs/>
          <w:i/>
          <w:iCs/>
        </w:rPr>
      </w:pPr>
      <w:r>
        <w:rPr>
          <w:b/>
          <w:bCs/>
          <w:i/>
          <w:iCs/>
        </w:rPr>
        <w:t>Advantages and disadvantages</w:t>
      </w:r>
    </w:p>
    <w:p w:rsidR="001463A1" w:rsidRDefault="004142DC" w14:paraId="0000001A" w14:textId="77777777">
      <w:pPr>
        <w:rPr>
          <w:b/>
          <w:bCs/>
          <w:i/>
          <w:iCs/>
        </w:rPr>
      </w:pPr>
      <w:r>
        <w:rPr>
          <w:noProof/>
        </w:rPr>
        <w:drawing>
          <wp:inline distT="0" distB="0" distL="0" distR="0" wp14:anchorId="586E4AA1" wp14:editId="1A31E459">
            <wp:extent cx="2468880" cy="1847215"/>
            <wp:effectExtent l="0" t="0" r="0" b="0"/>
            <wp:docPr id="13" name="image1.jpg" descr="Digital health: achieving consent and compliance in the data landscape"/>
            <wp:cNvGraphicFramePr/>
            <a:graphic xmlns:a="http://schemas.openxmlformats.org/drawingml/2006/main">
              <a:graphicData uri="http://schemas.openxmlformats.org/drawingml/2006/picture">
                <pic:pic xmlns:pic="http://schemas.openxmlformats.org/drawingml/2006/picture">
                  <pic:nvPicPr>
                    <pic:cNvPr id="0" name="image1.jpg" descr="Digital health: achieving consent and compliance in the data landscape"/>
                    <pic:cNvPicPr preferRelativeResize="0"/>
                  </pic:nvPicPr>
                  <pic:blipFill>
                    <a:blip r:embed="rId11"/>
                    <a:srcRect/>
                    <a:stretch>
                      <a:fillRect/>
                    </a:stretch>
                  </pic:blipFill>
                  <pic:spPr>
                    <a:xfrm>
                      <a:off x="0" y="0"/>
                      <a:ext cx="2468880" cy="1847215"/>
                    </a:xfrm>
                    <a:prstGeom prst="rect">
                      <a:avLst/>
                    </a:prstGeom>
                    <a:ln/>
                  </pic:spPr>
                </pic:pic>
              </a:graphicData>
            </a:graphic>
          </wp:inline>
        </w:drawing>
      </w:r>
    </w:p>
    <w:p w:rsidR="001463A1" w:rsidRDefault="004142DC" w14:paraId="0000001B" w14:textId="77777777">
      <w:pPr>
        <w:rPr>
          <w:b/>
          <w:bCs/>
        </w:rPr>
      </w:pPr>
      <w:r>
        <w:rPr>
          <w:b/>
          <w:bCs/>
        </w:rPr>
        <w:t>Advantages</w:t>
      </w:r>
    </w:p>
    <w:p w:rsidR="001463A1" w:rsidRDefault="004142DC" w14:paraId="0000001C" w14:textId="77777777">
      <w:r>
        <w:t>Apps give remote access to treatment, which is important for reaching populations in rural or underserved areas. By ensuring quick feedback, they convert the concentration from reactive “doctor-led” care to proactive “patient-led” prevention (eClinicalMedicine, 2023).</w:t>
      </w:r>
    </w:p>
    <w:p w:rsidR="001463A1" w:rsidRDefault="004142DC" w14:paraId="0000001D" w14:textId="77777777">
      <w:pPr>
        <w:rPr>
          <w:b/>
          <w:bCs/>
        </w:rPr>
      </w:pPr>
      <w:r>
        <w:rPr>
          <w:b/>
          <w:bCs/>
        </w:rPr>
        <w:t xml:space="preserve">Disadvantages </w:t>
      </w:r>
    </w:p>
    <w:p w:rsidR="001463A1" w:rsidRDefault="004142DC" w14:paraId="0000001E" w14:textId="77777777">
      <w:r>
        <w:t xml:space="preserve">In those apps, the features are mostly understood and well-suited for younger and highly educated individuals, and give barrier for older adults. Most apps are designed and developed for commercial benefits, where a minimal number of cases were evaluated </w:t>
      </w:r>
      <w:r>
        <w:t>before developing, which is a drawback of the app (eClinicalMedicine, 2023).</w:t>
      </w:r>
    </w:p>
    <w:p w:rsidR="001463A1" w:rsidRDefault="004142DC" w14:paraId="0000001F" w14:textId="77777777">
      <w:pPr>
        <w:rPr>
          <w:b/>
          <w:bCs/>
          <w:i/>
          <w:iCs/>
        </w:rPr>
      </w:pPr>
      <w:r>
        <w:rPr>
          <w:b/>
          <w:bCs/>
          <w:i/>
          <w:iCs/>
        </w:rPr>
        <w:t>Addressing the Shortfalls</w:t>
      </w:r>
    </w:p>
    <w:p w:rsidR="001463A1" w:rsidRDefault="004142DC" w14:paraId="00000020" w14:textId="77777777">
      <w:r>
        <w:rPr>
          <w:b/>
          <w:bCs/>
        </w:rPr>
        <w:t xml:space="preserve">Participatory Design: </w:t>
      </w:r>
      <w:r>
        <w:t>The developer needs to include target group members, especially older adults and those with low digital literacy, in the development process to improve social acceptance (Ashar et al., 2025).</w:t>
      </w:r>
    </w:p>
    <w:p w:rsidR="00724968" w:rsidRDefault="004142DC" w14:paraId="569BD4DC" w14:textId="77777777">
      <w:pPr>
        <w:sectPr w:rsidR="00724968" w:rsidSect="00724968">
          <w:footerReference w:type="default" r:id="rId12"/>
          <w:pgSz w:w="12240" w:h="15840" w:orient="portrait"/>
          <w:pgMar w:top="1440" w:right="1440" w:bottom="1440" w:left="1440" w:header="720" w:footer="720" w:gutter="0"/>
          <w:pgNumType w:start="2"/>
          <w:cols w:equalWidth="0" w:space="720" w:num="2">
            <w:col w:w="4320" w:space="720"/>
            <w:col w:w="4320"/>
          </w:cols>
        </w:sectPr>
      </w:pPr>
      <w:r>
        <w:rPr>
          <w:b/>
          <w:bCs/>
        </w:rPr>
        <w:t xml:space="preserve">Stricter Regulations: </w:t>
      </w:r>
      <w:r>
        <w:t>The development process has to move toward a framework where the app is treated as a medical device with the proper number of case evaluations to ensure analytic and clinical validity.</w:t>
      </w:r>
    </w:p>
    <w:bookmarkStart w:name="_Toc222934639" w:id="1"/>
    <w:p w:rsidR="001463A1" w:rsidP="00724968" w:rsidRDefault="00DD70FF" w14:paraId="00000022" w14:textId="77777777">
      <w:pPr>
        <w:pStyle w:val="Heading2"/>
      </w:pPr>
      <w:sdt>
        <w:sdtPr>
          <w:tag w:val="goog_rdk_0"/>
          <w:id w:val="-2108345327"/>
        </w:sdtPr>
        <w:sdtEndPr/>
        <w:sdtContent/>
      </w:sdt>
      <w:r w:rsidR="004142DC">
        <w:t>References</w:t>
      </w:r>
      <w:bookmarkEnd w:id="1"/>
    </w:p>
    <w:p w:rsidR="001463A1" w:rsidRDefault="004142DC" w14:paraId="00000023" w14:textId="77777777">
      <w:pPr>
        <w:pBdr>
          <w:top w:val="nil"/>
          <w:left w:val="nil"/>
          <w:bottom w:val="nil"/>
          <w:right w:val="nil"/>
          <w:between w:val="nil"/>
        </w:pBdr>
        <w:ind w:left="720" w:hanging="720"/>
        <w:rPr>
          <w:color w:val="000000"/>
        </w:rPr>
      </w:pPr>
      <w:r>
        <w:rPr>
          <w:color w:val="000000"/>
        </w:rPr>
        <w:t xml:space="preserve">Ashar, P., Garg, S., Ajay Jadav, A., </w:t>
      </w:r>
      <w:proofErr w:type="spellStart"/>
      <w:r>
        <w:rPr>
          <w:color w:val="000000"/>
        </w:rPr>
        <w:t>Tamirisa</w:t>
      </w:r>
      <w:proofErr w:type="spellEnd"/>
      <w:r>
        <w:rPr>
          <w:color w:val="000000"/>
        </w:rPr>
        <w:t xml:space="preserve">, K. and </w:t>
      </w:r>
      <w:proofErr w:type="spellStart"/>
      <w:r>
        <w:rPr>
          <w:color w:val="000000"/>
        </w:rPr>
        <w:t>Batnyam</w:t>
      </w:r>
      <w:proofErr w:type="spellEnd"/>
      <w:r>
        <w:rPr>
          <w:color w:val="000000"/>
        </w:rPr>
        <w:t xml:space="preserve">, U. (2025). Abstract TAC169: Burden of Type 2 Diabetes with Comorbid Hypertension in the United States: Rising Mortality and Demographic Disparities, 2000–2020. </w:t>
      </w:r>
      <w:r>
        <w:rPr>
          <w:i/>
          <w:iCs/>
          <w:color w:val="000000"/>
        </w:rPr>
        <w:t>Hypertension</w:t>
      </w:r>
      <w:r>
        <w:rPr>
          <w:color w:val="000000"/>
        </w:rPr>
        <w:t>, 82(Suppl_1).</w:t>
      </w:r>
    </w:p>
    <w:p w:rsidR="001463A1" w:rsidRDefault="004142DC" w14:paraId="00000024" w14:textId="77777777">
      <w:pPr>
        <w:pBdr>
          <w:top w:val="nil"/>
          <w:left w:val="nil"/>
          <w:bottom w:val="nil"/>
          <w:right w:val="nil"/>
          <w:between w:val="nil"/>
        </w:pBdr>
        <w:ind w:left="720" w:hanging="720"/>
        <w:rPr>
          <w:color w:val="000000"/>
        </w:rPr>
      </w:pPr>
      <w:r>
        <w:rPr>
          <w:color w:val="000000"/>
        </w:rPr>
        <w:t xml:space="preserve">eClinicalMedicine (2023). The rising global burden of stroke. </w:t>
      </w:r>
      <w:r>
        <w:rPr>
          <w:i/>
          <w:iCs/>
          <w:color w:val="000000"/>
        </w:rPr>
        <w:t>EClinicalMedicine</w:t>
      </w:r>
      <w:r>
        <w:rPr>
          <w:color w:val="000000"/>
        </w:rPr>
        <w:t>, 59, pp.102028–102028.</w:t>
      </w:r>
    </w:p>
    <w:p w:rsidR="001463A1" w:rsidRDefault="004142DC" w14:paraId="61C67AA2" w14:textId="70BACE1B">
      <w:pPr>
        <w:pBdr>
          <w:top w:val="nil"/>
          <w:left w:val="nil"/>
          <w:bottom w:val="nil"/>
          <w:right w:val="nil"/>
          <w:between w:val="nil"/>
        </w:pBdr>
        <w:ind w:left="720" w:hanging="720"/>
        <w:rPr>
          <w:color w:val="000000"/>
        </w:rPr>
      </w:pPr>
      <w:r>
        <w:rPr>
          <w:color w:val="000000"/>
        </w:rPr>
        <w:t xml:space="preserve">Feleke, B.E. and And Injury, D. (2024). 1345-P: Burden of Injury among People with Type 1 and Type 2 Diabetes. </w:t>
      </w:r>
      <w:r>
        <w:rPr>
          <w:i/>
          <w:iCs/>
          <w:color w:val="000000"/>
        </w:rPr>
        <w:t>Diabetes</w:t>
      </w:r>
      <w:r>
        <w:rPr>
          <w:color w:val="000000"/>
        </w:rPr>
        <w:t>, 73(Supplement_1).</w:t>
      </w:r>
    </w:p>
    <w:p w:rsidR="00DE7DF0" w:rsidRDefault="00DE7DF0" w14:paraId="4981D86B" w14:textId="61A2A24E">
      <w:pPr>
        <w:pBdr>
          <w:top w:val="nil"/>
          <w:left w:val="nil"/>
          <w:bottom w:val="nil"/>
          <w:right w:val="nil"/>
          <w:between w:val="nil"/>
        </w:pBdr>
        <w:ind w:left="720" w:hanging="720"/>
        <w:rPr>
          <w:color w:val="000000"/>
        </w:rPr>
      </w:pPr>
      <w:r w:rsidRPr="00DE7DF0">
        <w:rPr>
          <w:color w:val="000000"/>
        </w:rPr>
        <w:t>The Lancet Digital Health (2019). Wearable technology and lifestyle management: the fight against obesity and diabetes. The Lancet Digital Health, 1(6), p.e243.</w:t>
      </w:r>
    </w:p>
    <w:p w:rsidR="00DE7DF0" w:rsidRDefault="00DE7DF0" w14:paraId="3739793B" w14:textId="1A45F9EB">
      <w:pPr>
        <w:pBdr>
          <w:top w:val="nil"/>
          <w:left w:val="nil"/>
          <w:bottom w:val="nil"/>
          <w:right w:val="nil"/>
          <w:between w:val="nil"/>
        </w:pBdr>
        <w:ind w:left="720" w:hanging="720"/>
        <w:rPr>
          <w:color w:val="000000"/>
        </w:rPr>
      </w:pPr>
      <w:r w:rsidRPr="00DE7DF0">
        <w:rPr>
          <w:color w:val="000000"/>
        </w:rPr>
        <w:t>The Lancet Digital Health (2025). Technology for global immunisation. The Lancet Digital Health, 7(5), p.100881.</w:t>
      </w:r>
    </w:p>
    <w:p w:rsidR="00DE7DF0" w:rsidRDefault="00DE7DF0" w14:paraId="1EE2754D" w14:textId="77777777">
      <w:pPr>
        <w:pBdr>
          <w:top w:val="nil"/>
          <w:left w:val="nil"/>
          <w:bottom w:val="nil"/>
          <w:right w:val="nil"/>
          <w:between w:val="nil"/>
        </w:pBdr>
        <w:ind w:left="720" w:hanging="720"/>
        <w:rPr>
          <w:color w:val="000000"/>
        </w:rPr>
      </w:pPr>
    </w:p>
    <w:p w:rsidR="00DE7DF0" w:rsidRDefault="00DE7DF0" w14:paraId="00000025" w14:textId="519010D4">
      <w:pPr>
        <w:pBdr>
          <w:top w:val="nil"/>
          <w:left w:val="nil"/>
          <w:bottom w:val="nil"/>
          <w:right w:val="nil"/>
          <w:between w:val="nil"/>
        </w:pBdr>
        <w:ind w:left="720" w:hanging="720"/>
        <w:rPr>
          <w:color w:val="000000"/>
        </w:rPr>
        <w:sectPr w:rsidR="00DE7DF0" w:rsidSect="00724968">
          <w:footerReference w:type="default" r:id="rId13"/>
          <w:pgSz w:w="12240" w:h="15840" w:orient="portrait"/>
          <w:pgMar w:top="1440" w:right="1440" w:bottom="1440" w:left="1440" w:header="720" w:footer="720" w:gutter="0"/>
          <w:pgNumType w:start="4"/>
          <w:cols w:space="720"/>
        </w:sectPr>
      </w:pPr>
    </w:p>
    <w:p w:rsidRPr="00724968" w:rsidR="00724968" w:rsidP="00724968" w:rsidRDefault="004142DC" w14:paraId="6D31A650" w14:textId="77777777">
      <w:pPr>
        <w:pStyle w:val="Heading1"/>
        <w:jc w:val="center"/>
        <w:rPr>
          <w:sz w:val="32"/>
          <w:szCs w:val="32"/>
        </w:rPr>
        <w:sectPr w:rsidRPr="00724968" w:rsidR="00724968" w:rsidSect="00724968">
          <w:pgSz w:w="12240" w:h="15840" w:orient="portrait"/>
          <w:pgMar w:top="1440" w:right="1440" w:bottom="1440" w:left="1440" w:header="720" w:footer="720" w:gutter="0"/>
          <w:cols w:space="720"/>
        </w:sectPr>
      </w:pPr>
      <w:bookmarkStart w:name="_Toc222934640" w:id="2"/>
      <w:r w:rsidRPr="00724968">
        <w:rPr>
          <w:sz w:val="32"/>
          <w:szCs w:val="32"/>
        </w:rPr>
        <w:lastRenderedPageBreak/>
        <w:t>Blog 2- The impact of a digital technology with improved design for a digital health promotion intervention</w:t>
      </w:r>
      <w:bookmarkEnd w:id="2"/>
    </w:p>
    <w:p w:rsidR="001463A1" w:rsidRDefault="004142DC" w14:paraId="00000027" w14:textId="77777777">
      <w:pPr>
        <w:rPr>
          <w:b/>
          <w:bCs/>
          <w:i/>
          <w:iCs/>
        </w:rPr>
      </w:pPr>
      <w:r>
        <w:rPr>
          <w:b/>
          <w:bCs/>
          <w:i/>
          <w:iCs/>
        </w:rPr>
        <w:lastRenderedPageBreak/>
        <w:t>Designing for Impact: Introducing 'ActivePath'—A Personalised mHealth Intervention</w:t>
      </w:r>
    </w:p>
    <w:p w:rsidR="001463A1" w:rsidRDefault="004142DC" w14:paraId="00000028" w14:textId="77777777">
      <w:pPr>
        <w:rPr>
          <w:b/>
          <w:bCs/>
          <w:i/>
          <w:iCs/>
        </w:rPr>
      </w:pPr>
      <w:r>
        <w:rPr>
          <w:noProof/>
        </w:rPr>
        <w:drawing>
          <wp:inline distT="0" distB="0" distL="0" distR="0" wp14:anchorId="0711E65A" wp14:editId="54BED121">
            <wp:extent cx="2743200" cy="1827530"/>
            <wp:effectExtent l="0" t="0" r="0" b="0"/>
            <wp:docPr id="16" name="image7.png" descr="Mobile Health (mHealth) in Infectious Disease Control: A Review of Global  Innovations and Out-comes - Premier Science"/>
            <wp:cNvGraphicFramePr/>
            <a:graphic xmlns:a="http://schemas.openxmlformats.org/drawingml/2006/main">
              <a:graphicData uri="http://schemas.openxmlformats.org/drawingml/2006/picture">
                <pic:pic xmlns:pic="http://schemas.openxmlformats.org/drawingml/2006/picture">
                  <pic:nvPicPr>
                    <pic:cNvPr id="0" name="image7.png" descr="Mobile Health (mHealth) in Infectious Disease Control: A Review of Global  Innovations and Out-comes - Premier Science"/>
                    <pic:cNvPicPr preferRelativeResize="0"/>
                  </pic:nvPicPr>
                  <pic:blipFill>
                    <a:blip r:embed="rId14"/>
                    <a:srcRect/>
                    <a:stretch>
                      <a:fillRect/>
                    </a:stretch>
                  </pic:blipFill>
                  <pic:spPr>
                    <a:xfrm>
                      <a:off x="0" y="0"/>
                      <a:ext cx="2743200" cy="1827530"/>
                    </a:xfrm>
                    <a:prstGeom prst="rect">
                      <a:avLst/>
                    </a:prstGeom>
                    <a:ln/>
                  </pic:spPr>
                </pic:pic>
              </a:graphicData>
            </a:graphic>
          </wp:inline>
        </w:drawing>
      </w:r>
    </w:p>
    <w:p w:rsidR="001463A1" w:rsidRDefault="004142DC" w14:paraId="00000029" w14:textId="0BE8C134">
      <w:r>
        <w:t xml:space="preserve">In most healthcare apps </w:t>
      </w:r>
      <w:r w:rsidR="00724968">
        <w:t>that</w:t>
      </w:r>
      <w:r>
        <w:t xml:space="preserve"> are connected with diabetes, it is evaluated that the existing technologies are helpful, but they often fail to give the hyper-personalised, culturally connected areas needed for sustainable lifestyle improvement (Materia and Smyth, 2020). To address that by bringing a quality response, I have conceptualised a new digital health promotion tool called “ActivePath”.</w:t>
      </w:r>
    </w:p>
    <w:p w:rsidR="001463A1" w:rsidRDefault="004142DC" w14:paraId="0000002A" w14:textId="77777777">
      <w:pPr>
        <w:rPr>
          <w:b/>
          <w:bCs/>
          <w:i/>
          <w:iCs/>
        </w:rPr>
      </w:pPr>
      <w:r>
        <w:rPr>
          <w:b/>
          <w:bCs/>
          <w:i/>
          <w:iCs/>
        </w:rPr>
        <w:t>The Public Health Problem: Sedentary Behaviour &amp; Chronic Disease</w:t>
      </w:r>
    </w:p>
    <w:p w:rsidR="001463A1" w:rsidRDefault="004142DC" w14:paraId="0000002B" w14:textId="77777777">
      <w:pPr>
        <w:rPr>
          <w:b/>
          <w:bCs/>
          <w:i/>
          <w:iCs/>
        </w:rPr>
      </w:pPr>
      <w:r>
        <w:rPr>
          <w:noProof/>
        </w:rPr>
        <w:drawing>
          <wp:inline distT="0" distB="0" distL="0" distR="0" wp14:anchorId="3769AEF0" wp14:editId="6C68FFC2">
            <wp:extent cx="2743200" cy="1448435"/>
            <wp:effectExtent l="0" t="0" r="0" b="0"/>
            <wp:docPr id="15" name="image6.jpg" descr="View of Mobile Health (mHealth) in the Developing World: Two Decades of  Progress or Retrogression | Journal of the International Society for  Telemedicine and eHealth"/>
            <wp:cNvGraphicFramePr/>
            <a:graphic xmlns:a="http://schemas.openxmlformats.org/drawingml/2006/main">
              <a:graphicData uri="http://schemas.openxmlformats.org/drawingml/2006/picture">
                <pic:pic xmlns:pic="http://schemas.openxmlformats.org/drawingml/2006/picture">
                  <pic:nvPicPr>
                    <pic:cNvPr id="0" name="image6.jpg" descr="View of Mobile Health (mHealth) in the Developing World: Two Decades of  Progress or Retrogression | Journal of the International Society for  Telemedicine and eHealth"/>
                    <pic:cNvPicPr preferRelativeResize="0"/>
                  </pic:nvPicPr>
                  <pic:blipFill>
                    <a:blip r:embed="rId15"/>
                    <a:srcRect/>
                    <a:stretch>
                      <a:fillRect/>
                    </a:stretch>
                  </pic:blipFill>
                  <pic:spPr>
                    <a:xfrm>
                      <a:off x="0" y="0"/>
                      <a:ext cx="2743200" cy="1448435"/>
                    </a:xfrm>
                    <a:prstGeom prst="rect">
                      <a:avLst/>
                    </a:prstGeom>
                    <a:ln/>
                  </pic:spPr>
                </pic:pic>
              </a:graphicData>
            </a:graphic>
          </wp:inline>
        </w:drawing>
      </w:r>
    </w:p>
    <w:p w:rsidR="001463A1" w:rsidRDefault="004142DC" w14:paraId="0000002C" w14:textId="241F75E8">
      <w:r>
        <w:t>In Blog 1, it is gained that Type 2 Diabetes (T2D) and connected metabolic conditions are driven heavily by physical inactivity</w:t>
      </w:r>
      <w:r w:rsidR="00DE7DF0">
        <w:t xml:space="preserve"> </w:t>
      </w:r>
      <w:r w:rsidRPr="00DE7DF0" w:rsidR="00DE7DF0">
        <w:t>(The Lancet Digital Health, 2019)</w:t>
      </w:r>
      <w:r>
        <w:t xml:space="preserve">. That brings the </w:t>
      </w:r>
      <w:r>
        <w:t>concern about the effective healthcare service because physical inactivity is the fourth leading risk factor for global mortality, which contributes to around 3.2 million deaths yearly (Moreno-Ligero et al., 2023). It is evaluated in various locations; sedentary behaviour is increasing due to the nature of modern work and urban environments. Different research indicates that even small, consistent increases in physical activity can lower the risk of non-communicable diseases (NCDs) by up to 30%</w:t>
      </w:r>
      <w:r w:rsidR="00DE7DF0">
        <w:t xml:space="preserve"> </w:t>
      </w:r>
      <w:r w:rsidRPr="00DE7DF0" w:rsidR="00DE7DF0">
        <w:t>(The Lancet Digital Health, 2025)</w:t>
      </w:r>
      <w:r>
        <w:t>.</w:t>
      </w:r>
    </w:p>
    <w:p w:rsidR="001463A1" w:rsidRDefault="004142DC" w14:paraId="0000002D" w14:textId="77777777">
      <w:pPr>
        <w:rPr>
          <w:b/>
          <w:bCs/>
          <w:i/>
          <w:iCs/>
        </w:rPr>
      </w:pPr>
      <w:r>
        <w:rPr>
          <w:b/>
          <w:bCs/>
          <w:i/>
          <w:iCs/>
        </w:rPr>
        <w:t xml:space="preserve">The Technology: 'ActivePath' </w:t>
      </w:r>
      <w:proofErr w:type="spellStart"/>
      <w:r>
        <w:rPr>
          <w:b/>
          <w:bCs/>
          <w:i/>
          <w:iCs/>
        </w:rPr>
        <w:t>Personalized</w:t>
      </w:r>
      <w:proofErr w:type="spellEnd"/>
      <w:r>
        <w:rPr>
          <w:b/>
          <w:bCs/>
          <w:i/>
          <w:iCs/>
        </w:rPr>
        <w:t xml:space="preserve"> Intervention</w:t>
      </w:r>
    </w:p>
    <w:p w:rsidR="001463A1" w:rsidRDefault="004142DC" w14:paraId="0000002E" w14:textId="77777777">
      <w:pPr>
        <w:rPr>
          <w:b/>
          <w:bCs/>
          <w:i/>
          <w:iCs/>
        </w:rPr>
      </w:pPr>
      <w:r>
        <w:rPr>
          <w:noProof/>
        </w:rPr>
        <w:drawing>
          <wp:inline distT="0" distB="0" distL="0" distR="0" wp14:anchorId="132895C3" wp14:editId="17061D0E">
            <wp:extent cx="2743200" cy="2547620"/>
            <wp:effectExtent l="0" t="0" r="0" b="0"/>
            <wp:docPr id="11" name="image2.jpg" descr="MHealth - an overview | ScienceDirect Topics"/>
            <wp:cNvGraphicFramePr/>
            <a:graphic xmlns:a="http://schemas.openxmlformats.org/drawingml/2006/main">
              <a:graphicData uri="http://schemas.openxmlformats.org/drawingml/2006/picture">
                <pic:pic xmlns:pic="http://schemas.openxmlformats.org/drawingml/2006/picture">
                  <pic:nvPicPr>
                    <pic:cNvPr id="0" name="image2.jpg" descr="MHealth - an overview | ScienceDirect Topics"/>
                    <pic:cNvPicPr preferRelativeResize="0"/>
                  </pic:nvPicPr>
                  <pic:blipFill>
                    <a:blip r:embed="rId16"/>
                    <a:srcRect/>
                    <a:stretch>
                      <a:fillRect/>
                    </a:stretch>
                  </pic:blipFill>
                  <pic:spPr>
                    <a:xfrm>
                      <a:off x="0" y="0"/>
                      <a:ext cx="2743200" cy="2547620"/>
                    </a:xfrm>
                    <a:prstGeom prst="rect">
                      <a:avLst/>
                    </a:prstGeom>
                    <a:ln/>
                  </pic:spPr>
                </pic:pic>
              </a:graphicData>
            </a:graphic>
          </wp:inline>
        </w:drawing>
      </w:r>
    </w:p>
    <w:p w:rsidR="001463A1" w:rsidRDefault="004142DC" w14:paraId="0000002F" w14:textId="77777777">
      <w:r>
        <w:t>ActivePath is a modified mHealth application that integrates AI-driven behavioural analytics with local environmental data. The ActivePath does not just count steps; it acts as a dynamic health coach.</w:t>
      </w:r>
    </w:p>
    <w:p w:rsidR="001463A1" w:rsidRDefault="004142DC" w14:paraId="00000030" w14:textId="77777777">
      <w:pPr>
        <w:rPr>
          <w:b/>
          <w:bCs/>
          <w:i/>
          <w:iCs/>
        </w:rPr>
      </w:pPr>
      <w:r>
        <w:rPr>
          <w:b/>
          <w:bCs/>
          <w:i/>
          <w:iCs/>
        </w:rPr>
        <w:t>Key features</w:t>
      </w:r>
    </w:p>
    <w:p w:rsidR="001463A1" w:rsidRDefault="004142DC" w14:paraId="00000031" w14:textId="77777777">
      <w:pPr>
        <w:rPr>
          <w:b/>
          <w:bCs/>
          <w:i/>
          <w:iCs/>
        </w:rPr>
      </w:pPr>
      <w:r>
        <w:rPr>
          <w:noProof/>
        </w:rPr>
        <w:lastRenderedPageBreak/>
        <w:drawing>
          <wp:inline distT="0" distB="0" distL="0" distR="0" wp14:anchorId="609552F0" wp14:editId="5B9BAB82">
            <wp:extent cx="2359025" cy="1938655"/>
            <wp:effectExtent l="0" t="0" r="0" b="0"/>
            <wp:docPr id="10" name="image3.jpg" descr="Proposed conceptual framework for increased patient adoption of... |  Download Scientific Diagram"/>
            <wp:cNvGraphicFramePr/>
            <a:graphic xmlns:a="http://schemas.openxmlformats.org/drawingml/2006/main">
              <a:graphicData uri="http://schemas.openxmlformats.org/drawingml/2006/picture">
                <pic:pic xmlns:pic="http://schemas.openxmlformats.org/drawingml/2006/picture">
                  <pic:nvPicPr>
                    <pic:cNvPr id="0" name="image3.jpg" descr="Proposed conceptual framework for increased patient adoption of... |  Download Scientific Diagram"/>
                    <pic:cNvPicPr preferRelativeResize="0"/>
                  </pic:nvPicPr>
                  <pic:blipFill>
                    <a:blip r:embed="rId17"/>
                    <a:srcRect/>
                    <a:stretch>
                      <a:fillRect/>
                    </a:stretch>
                  </pic:blipFill>
                  <pic:spPr>
                    <a:xfrm>
                      <a:off x="0" y="0"/>
                      <a:ext cx="2359025" cy="1938655"/>
                    </a:xfrm>
                    <a:prstGeom prst="rect">
                      <a:avLst/>
                    </a:prstGeom>
                    <a:ln/>
                  </pic:spPr>
                </pic:pic>
              </a:graphicData>
            </a:graphic>
          </wp:inline>
        </w:drawing>
      </w:r>
    </w:p>
    <w:p w:rsidR="001463A1" w:rsidRDefault="004142DC" w14:paraId="00000032" w14:textId="77777777">
      <w:r>
        <w:rPr>
          <w:b/>
          <w:bCs/>
        </w:rPr>
        <w:t>Context-Aware Nudging:</w:t>
      </w:r>
      <w:r>
        <w:t xml:space="preserve"> It will utilise GPS and local weather data to suggest specific, timely activities.</w:t>
      </w:r>
    </w:p>
    <w:p w:rsidR="001463A1" w:rsidRDefault="004142DC" w14:paraId="00000033" w14:textId="77777777">
      <w:r>
        <w:rPr>
          <w:b/>
          <w:bCs/>
        </w:rPr>
        <w:t>Hyper-Personalisation:</w:t>
      </w:r>
      <w:r>
        <w:t xml:space="preserve"> It learns a user’s daily activities and suggests “micro-interventions” during identified periods of prolonged sitting.</w:t>
      </w:r>
    </w:p>
    <w:p w:rsidR="001463A1" w:rsidRDefault="004142DC" w14:paraId="00000034" w14:textId="77777777">
      <w:proofErr w:type="spellStart"/>
      <w:r>
        <w:rPr>
          <w:b/>
          <w:bCs/>
        </w:rPr>
        <w:t>Social-Spatio</w:t>
      </w:r>
      <w:proofErr w:type="spellEnd"/>
      <w:r>
        <w:rPr>
          <w:b/>
          <w:bCs/>
        </w:rPr>
        <w:t xml:space="preserve"> Integration:</w:t>
      </w:r>
      <w:r>
        <w:t xml:space="preserve"> The app will work to connect the user with different local groups to encourage them to do more physical activities for the development of their health (</w:t>
      </w:r>
      <w:proofErr w:type="spellStart"/>
      <w:r>
        <w:t>Straand</w:t>
      </w:r>
      <w:proofErr w:type="spellEnd"/>
      <w:r>
        <w:t xml:space="preserve">, Baxter and </w:t>
      </w:r>
      <w:proofErr w:type="spellStart"/>
      <w:r>
        <w:t>Folstad</w:t>
      </w:r>
      <w:proofErr w:type="spellEnd"/>
      <w:r>
        <w:t>, 2024). The app will connect users with local community "walking groups" or "pop-up fitness events" based on their immediate geographical setting.</w:t>
      </w:r>
    </w:p>
    <w:p w:rsidR="001463A1" w:rsidRDefault="004142DC" w14:paraId="00000035" w14:textId="77777777">
      <w:pPr>
        <w:rPr>
          <w:b/>
          <w:bCs/>
          <w:i/>
          <w:iCs/>
        </w:rPr>
      </w:pPr>
      <w:r>
        <w:rPr>
          <w:b/>
          <w:bCs/>
          <w:i/>
          <w:iCs/>
        </w:rPr>
        <w:t>Addressing the Problem through Health Promotion</w:t>
      </w:r>
    </w:p>
    <w:p w:rsidR="001463A1" w:rsidRDefault="004142DC" w14:paraId="00000036" w14:textId="77777777">
      <w:r>
        <w:rPr>
          <w:b/>
          <w:bCs/>
        </w:rPr>
        <w:t xml:space="preserve">Behavioural Change: </w:t>
      </w:r>
      <w:r>
        <w:t>By giving real-time data and actionable guidelines, the technology assists users in dealing with the intention-behaviour gap.</w:t>
      </w:r>
    </w:p>
    <w:p w:rsidR="001463A1" w:rsidRDefault="004142DC" w14:paraId="00000037" w14:textId="77777777">
      <w:r>
        <w:rPr>
          <w:b/>
          <w:bCs/>
        </w:rPr>
        <w:t>Environmental Modification:</w:t>
      </w:r>
      <w:r>
        <w:t xml:space="preserve"> By enlightening safe, local walking paths and community events, it addresses the Social Determinants of Health (SDoH) by making the healthy choice the easier one (</w:t>
      </w:r>
      <w:proofErr w:type="spellStart"/>
      <w:r>
        <w:t>Straand</w:t>
      </w:r>
      <w:proofErr w:type="spellEnd"/>
      <w:r>
        <w:t xml:space="preserve">, Baxter and </w:t>
      </w:r>
      <w:proofErr w:type="spellStart"/>
      <w:r>
        <w:t>Folstad</w:t>
      </w:r>
      <w:proofErr w:type="spellEnd"/>
      <w:r>
        <w:t>, 2024).</w:t>
      </w:r>
    </w:p>
    <w:p w:rsidR="001463A1" w:rsidRDefault="004142DC" w14:paraId="00000038" w14:textId="77777777">
      <w:pPr>
        <w:rPr>
          <w:b/>
          <w:bCs/>
          <w:i/>
          <w:iCs/>
        </w:rPr>
      </w:pPr>
      <w:r>
        <w:rPr>
          <w:b/>
          <w:bCs/>
          <w:i/>
          <w:iCs/>
        </w:rPr>
        <w:t>Advantages and disadvantages</w:t>
      </w:r>
    </w:p>
    <w:p w:rsidR="001463A1" w:rsidRDefault="004142DC" w14:paraId="00000039" w14:textId="77777777">
      <w:r>
        <w:rPr>
          <w:b/>
          <w:bCs/>
        </w:rPr>
        <w:t xml:space="preserve">Precision Health: </w:t>
      </w:r>
      <w:r>
        <w:t>The use of AI brings personalised health communication that will be more effective than generic health messaging.</w:t>
      </w:r>
    </w:p>
    <w:p w:rsidR="001463A1" w:rsidRDefault="004142DC" w14:paraId="0000003A" w14:textId="77777777">
      <w:r>
        <w:rPr>
          <w:b/>
          <w:bCs/>
        </w:rPr>
        <w:t>Community Building:</w:t>
      </w:r>
      <w:r>
        <w:t xml:space="preserve"> By integrating social and local settings, it will lower the isolation often felt during lifestyle changes and will improve social practice.</w:t>
      </w:r>
    </w:p>
    <w:p w:rsidR="001463A1" w:rsidRDefault="004142DC" w14:paraId="0000003B" w14:textId="77777777">
      <w:pPr>
        <w:rPr>
          <w:b/>
          <w:bCs/>
          <w:i/>
          <w:iCs/>
        </w:rPr>
      </w:pPr>
      <w:r>
        <w:rPr>
          <w:b/>
          <w:bCs/>
          <w:i/>
          <w:iCs/>
        </w:rPr>
        <w:t>Shortfalls</w:t>
      </w:r>
    </w:p>
    <w:p w:rsidR="001463A1" w:rsidRDefault="004142DC" w14:paraId="0000003C" w14:textId="77777777">
      <w:r>
        <w:rPr>
          <w:b/>
          <w:bCs/>
        </w:rPr>
        <w:t xml:space="preserve">Data Privacy &amp; Ethics: </w:t>
      </w:r>
      <w:r>
        <w:t>In that development, the constant GPS tracking and behavioural analysis can raise security and privacy concerns.</w:t>
      </w:r>
    </w:p>
    <w:p w:rsidR="00724968" w:rsidRDefault="004142DC" w14:paraId="03D0D080" w14:textId="77777777">
      <w:pPr>
        <w:sectPr w:rsidR="00724968">
          <w:pgSz w:w="12240" w:h="15840" w:orient="portrait"/>
          <w:pgMar w:top="1440" w:right="1440" w:bottom="1440" w:left="1440" w:header="720" w:footer="720" w:gutter="0"/>
          <w:cols w:equalWidth="0" w:space="720" w:num="2">
            <w:col w:w="4320" w:space="720"/>
            <w:col w:w="4320"/>
          </w:cols>
        </w:sectPr>
      </w:pPr>
      <w:r>
        <w:rPr>
          <w:b/>
          <w:bCs/>
        </w:rPr>
        <w:t>Digital Exclusion:</w:t>
      </w:r>
      <w:r>
        <w:t xml:space="preserve"> The app needs to have high-end smartphone capabilities and consistent internet access, which can exclude marginalised populations who are often at higher risk for T2D (</w:t>
      </w:r>
      <w:proofErr w:type="spellStart"/>
      <w:r>
        <w:t>Straand</w:t>
      </w:r>
      <w:proofErr w:type="spellEnd"/>
      <w:r>
        <w:t xml:space="preserve">, Baxter and </w:t>
      </w:r>
      <w:proofErr w:type="spellStart"/>
      <w:r>
        <w:t>Folstad</w:t>
      </w:r>
      <w:proofErr w:type="spellEnd"/>
      <w:r>
        <w:t>, 2024).</w:t>
      </w:r>
    </w:p>
    <w:bookmarkStart w:name="_Toc222934641" w:id="3"/>
    <w:p w:rsidR="001463A1" w:rsidP="00724968" w:rsidRDefault="00DD70FF" w14:paraId="0000003E" w14:textId="77777777">
      <w:pPr>
        <w:pStyle w:val="Heading2"/>
      </w:pPr>
      <w:sdt>
        <w:sdtPr>
          <w:tag w:val="goog_rdk_1"/>
          <w:id w:val="424769282"/>
        </w:sdtPr>
        <w:sdtEndPr/>
        <w:sdtContent/>
      </w:sdt>
      <w:r w:rsidR="004142DC">
        <w:t>References</w:t>
      </w:r>
      <w:bookmarkEnd w:id="3"/>
    </w:p>
    <w:p w:rsidR="001463A1" w:rsidRDefault="004142DC" w14:paraId="0000003F" w14:textId="77777777">
      <w:pPr>
        <w:pBdr>
          <w:top w:val="nil"/>
          <w:left w:val="nil"/>
          <w:bottom w:val="nil"/>
          <w:right w:val="nil"/>
          <w:between w:val="nil"/>
        </w:pBdr>
        <w:ind w:left="720" w:hanging="720"/>
        <w:rPr>
          <w:color w:val="000000"/>
        </w:rPr>
      </w:pPr>
      <w:r>
        <w:rPr>
          <w:color w:val="000000"/>
        </w:rPr>
        <w:t xml:space="preserve">Materia, F.T. and Smyth, J.M. (2020). Acceptability of Intervention Design Factors in mHealth Intervention Research (Preprint). </w:t>
      </w:r>
      <w:r>
        <w:rPr>
          <w:i/>
          <w:iCs/>
          <w:color w:val="000000"/>
        </w:rPr>
        <w:t>JMIR mHealth and uHealth</w:t>
      </w:r>
      <w:r>
        <w:rPr>
          <w:color w:val="000000"/>
        </w:rPr>
        <w:t>.</w:t>
      </w:r>
    </w:p>
    <w:p w:rsidR="001463A1" w:rsidRDefault="004142DC" w14:paraId="00000040" w14:textId="77777777">
      <w:pPr>
        <w:pBdr>
          <w:top w:val="nil"/>
          <w:left w:val="nil"/>
          <w:bottom w:val="nil"/>
          <w:right w:val="nil"/>
          <w:between w:val="nil"/>
        </w:pBdr>
        <w:ind w:left="720" w:hanging="720"/>
        <w:rPr>
          <w:color w:val="000000"/>
        </w:rPr>
      </w:pPr>
      <w:r>
        <w:rPr>
          <w:color w:val="000000"/>
        </w:rPr>
        <w:t xml:space="preserve">Moreno-Ligero, M., Moral-Munoz, J.A., Salazar, A. and Failde, I. (2023). mHealth Intervention for Improving Pain, Quality of Life, and Functional Disability in Patients With Chronic Pain: Systematic Review. </w:t>
      </w:r>
      <w:r>
        <w:rPr>
          <w:i/>
          <w:iCs/>
          <w:color w:val="000000"/>
        </w:rPr>
        <w:t>JMIR mHealth and uHealth</w:t>
      </w:r>
      <w:r>
        <w:rPr>
          <w:color w:val="000000"/>
        </w:rPr>
        <w:t>, 11, p.e40844.</w:t>
      </w:r>
    </w:p>
    <w:p w:rsidR="001463A1" w:rsidRDefault="004142DC" w14:paraId="00000041" w14:textId="5EC0151C">
      <w:pPr>
        <w:ind w:left="720" w:hanging="720"/>
      </w:pPr>
      <w:proofErr w:type="spellStart"/>
      <w:r>
        <w:t>Straand</w:t>
      </w:r>
      <w:proofErr w:type="spellEnd"/>
      <w:r>
        <w:t>, I.J., Baxter, K.A. and Følstad, A. (2024). Remote Inclusion of Vulnerable Users in mHealth Intervention Design: Retrospective Case Analysis. JMIR mHealth and uHealth, 12, p.e55548.</w:t>
      </w:r>
    </w:p>
    <w:p w:rsidR="00DE7DF0" w:rsidRDefault="00DE7DF0" w14:paraId="2024A5B6" w14:textId="77777777">
      <w:pPr>
        <w:ind w:left="720" w:hanging="720"/>
      </w:pPr>
      <w:r w:rsidRPr="00DE7DF0">
        <w:t>The Lancet Digital Health (2019). Wearable technology and lifestyle management: the fight against obesity and diabetes. The Lancet Digital Health, 1(6), p.e243.</w:t>
      </w:r>
    </w:p>
    <w:p w:rsidR="00DE7DF0" w:rsidRDefault="00DE7DF0" w14:paraId="38F6032C" w14:textId="77777777">
      <w:pPr>
        <w:ind w:left="720" w:hanging="720"/>
      </w:pPr>
      <w:r w:rsidRPr="00DE7DF0">
        <w:t>The Lancet Digital Health (2025). Technology for global immunisation. The Lancet Digital Health, 7(5), p.100881.</w:t>
      </w:r>
    </w:p>
    <w:p w:rsidR="001463A1" w:rsidRDefault="001463A1" w14:paraId="00000042" w14:textId="77777777"/>
    <w:sectPr w:rsidR="001463A1" w:rsidSect="00724968">
      <w:pgSz w:w="12240" w:h="15840" w:orient="portrait"/>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142DC" w:rsidRDefault="004142DC" w14:paraId="0EA2C5D1" w14:textId="77777777">
      <w:pPr>
        <w:spacing w:line="240" w:lineRule="auto"/>
      </w:pPr>
      <w:r>
        <w:separator/>
      </w:r>
    </w:p>
  </w:endnote>
  <w:endnote w:type="continuationSeparator" w:id="0">
    <w:p w:rsidR="004142DC" w:rsidRDefault="004142DC" w14:paraId="265807A1"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embedRegular w:fontKey="{A947D959-1440-4309-AF15-BE88AA918DF2}" r:id="rId1"/>
  </w:font>
  <w:font w:name="Calibri">
    <w:panose1 w:val="020F0502020204030204"/>
    <w:charset w:val="00"/>
    <w:family w:val="swiss"/>
    <w:pitch w:val="variable"/>
    <w:sig w:usb0="E4002EFF" w:usb1="C000ACFF" w:usb2="00000009" w:usb3="00000000" w:csb0="000001FF" w:csb1="00000000"/>
    <w:embedRegular w:fontKey="{5557B928-68CD-43A1-B7E3-238D7112984E}" r:id="rId2"/>
  </w:font>
  <w:font w:name="Georgia">
    <w:panose1 w:val="02040502050405020303"/>
    <w:charset w:val="00"/>
    <w:family w:val="roman"/>
    <w:pitch w:val="variable"/>
    <w:sig w:usb0="00000287" w:usb1="00000000" w:usb2="00000000" w:usb3="00000000" w:csb0="0000009F" w:csb1="00000000"/>
    <w:embedItalic w:fontKey="{921BD805-6158-4165-9EBB-25492AD0C1B6}" r:id="rId3"/>
  </w:font>
  <w:font w:name="Segoe UI">
    <w:panose1 w:val="020B0502040204020203"/>
    <w:charset w:val="00"/>
    <w:family w:val="swiss"/>
    <w:pitch w:val="variable"/>
    <w:sig w:usb0="E4002EFF" w:usb1="C000E47F" w:usb2="00000009" w:usb3="00000000" w:csb0="000001FF" w:csb1="00000000"/>
    <w:embedRegular w:fontKey="{A78F9969-640C-49FD-9EA2-831284D5DF6A}" r:id="rId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463A1" w:rsidRDefault="001463A1" w14:paraId="00000043" w14:textId="77777777">
    <w:pPr>
      <w:pBdr>
        <w:top w:val="nil"/>
        <w:left w:val="nil"/>
        <w:bottom w:val="nil"/>
        <w:right w:val="nil"/>
        <w:between w:val="nil"/>
      </w:pBdr>
      <w:tabs>
        <w:tab w:val="center" w:pos="4680"/>
        <w:tab w:val="right" w:pos="9360"/>
      </w:tabs>
      <w:spacing w:line="240" w:lineRule="auto"/>
      <w:jc w:val="right"/>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463A1" w:rsidRDefault="004142DC" w14:paraId="00000044" w14:textId="5D7E8B05">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724968">
      <w:rPr>
        <w:noProof/>
        <w:color w:val="000000"/>
      </w:rPr>
      <w:t>1</w:t>
    </w:r>
    <w:r>
      <w:rPr>
        <w:color w:val="000000"/>
      </w:rPr>
      <w:fldChar w:fldCharType="end"/>
    </w:r>
  </w:p>
  <w:p w:rsidR="001463A1" w:rsidRDefault="001463A1" w14:paraId="00000045" w14:textId="77777777">
    <w:pPr>
      <w:pBdr>
        <w:top w:val="nil"/>
        <w:left w:val="nil"/>
        <w:bottom w:val="nil"/>
        <w:right w:val="nil"/>
        <w:between w:val="nil"/>
      </w:pBdr>
      <w:tabs>
        <w:tab w:val="center" w:pos="4680"/>
        <w:tab w:val="right" w:pos="9360"/>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24968" w:rsidRDefault="00724968" w14:paraId="1F49D5F6" w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rsidR="00724968" w:rsidRDefault="00724968" w14:paraId="6EA204F2" w14:textId="77777777">
    <w:pPr>
      <w:pBdr>
        <w:top w:val="nil"/>
        <w:left w:val="nil"/>
        <w:bottom w:val="nil"/>
        <w:right w:val="nil"/>
        <w:between w:val="nil"/>
      </w:pBdr>
      <w:tabs>
        <w:tab w:val="center" w:pos="4680"/>
        <w:tab w:val="right" w:pos="9360"/>
      </w:tabs>
      <w:spacing w:line="240" w:lineRule="auto"/>
      <w:rPr>
        <w:color w:val="000000"/>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724968" w:rsidRDefault="00724968" w14:paraId="7E1B0C70" w14:textId="7777777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rsidR="00724968" w:rsidRDefault="00724968" w14:paraId="6EB91BF9" w14:textId="7777777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142DC" w:rsidRDefault="004142DC" w14:paraId="32012400" w14:textId="77777777">
      <w:pPr>
        <w:spacing w:line="240" w:lineRule="auto"/>
      </w:pPr>
      <w:r>
        <w:separator/>
      </w:r>
    </w:p>
  </w:footnote>
  <w:footnote w:type="continuationSeparator" w:id="0">
    <w:p w:rsidR="004142DC" w:rsidRDefault="004142DC" w14:paraId="48F2578B"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3"/>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63A1"/>
    <w:rsid w:val="001463A1"/>
    <w:rsid w:val="003B0EB9"/>
    <w:rsid w:val="004142DC"/>
    <w:rsid w:val="00707CF1"/>
    <w:rsid w:val="00724968"/>
    <w:rsid w:val="007371F6"/>
    <w:rsid w:val="00764AE2"/>
    <w:rsid w:val="00AA3C74"/>
    <w:rsid w:val="00AF513E"/>
    <w:rsid w:val="00C74141"/>
    <w:rsid w:val="00D01C55"/>
    <w:rsid w:val="00D315F2"/>
    <w:rsid w:val="00DD70FF"/>
    <w:rsid w:val="00DE7DF0"/>
    <w:rsid w:val="00F935A8"/>
    <w:rsid w:val="04C85FA5"/>
    <w:rsid w:val="0E971D81"/>
    <w:rsid w:val="10B1A581"/>
    <w:rsid w:val="14638F7C"/>
    <w:rsid w:val="1C60F66E"/>
    <w:rsid w:val="1EA39BFF"/>
    <w:rsid w:val="554A560E"/>
    <w:rsid w:val="6A23C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C5A83"/>
  <w15:docId w15:val="{923FBDAC-707E-487D-8783-D08F2411F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outlineLvl w:val="0"/>
    </w:pPr>
    <w:rPr>
      <w:color w:val="2F5496"/>
    </w:rPr>
  </w:style>
  <w:style w:type="paragraph" w:styleId="Heading2">
    <w:name w:val="heading 2"/>
    <w:basedOn w:val="Normal"/>
    <w:next w:val="Normal"/>
    <w:link w:val="Heading2Char"/>
    <w:uiPriority w:val="9"/>
    <w:unhideWhenUsed/>
    <w:qFormat/>
    <w:pPr>
      <w:keepNext/>
      <w:keepLines/>
      <w:spacing w:before="40"/>
      <w:outlineLvl w:val="1"/>
    </w:pPr>
    <w:rPr>
      <w:color w:val="2F549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character" w:styleId="Heading1Char" w:customStyle="1">
    <w:name w:val="Heading 1 Char"/>
    <w:basedOn w:val="DefaultParagraphFont"/>
    <w:link w:val="Heading1"/>
    <w:uiPriority w:val="9"/>
    <w:rsid w:val="001A2C95"/>
    <w:rPr>
      <w:rFonts w:eastAsiaTheme="majorEastAsia" w:cstheme="majorBidi"/>
      <w:color w:val="2F5496" w:themeColor="accent1" w:themeShade="BF"/>
      <w:szCs w:val="32"/>
    </w:rPr>
  </w:style>
  <w:style w:type="character" w:styleId="Heading2Char" w:customStyle="1">
    <w:name w:val="Heading 2 Char"/>
    <w:basedOn w:val="DefaultParagraphFont"/>
    <w:link w:val="Heading2"/>
    <w:uiPriority w:val="9"/>
    <w:rsid w:val="00F17056"/>
    <w:rPr>
      <w:rFonts w:eastAsiaTheme="majorEastAsia" w:cstheme="majorBidi"/>
      <w:color w:val="2F5496" w:themeColor="accent1" w:themeShade="BF"/>
      <w:szCs w:val="26"/>
    </w:rPr>
  </w:style>
  <w:style w:type="paragraph" w:styleId="NormalWeb">
    <w:name w:val="Normal (Web)"/>
    <w:basedOn w:val="Normal"/>
    <w:uiPriority w:val="99"/>
    <w:unhideWhenUsed/>
    <w:rsid w:val="00D67131"/>
    <w:pPr>
      <w:spacing w:before="100" w:beforeAutospacing="1" w:after="100" w:afterAutospacing="1" w:line="240" w:lineRule="auto"/>
      <w:jc w:val="left"/>
    </w:pPr>
  </w:style>
  <w:style w:type="paragraph" w:styleId="Header">
    <w:name w:val="header"/>
    <w:basedOn w:val="Normal"/>
    <w:link w:val="HeaderChar"/>
    <w:uiPriority w:val="99"/>
    <w:unhideWhenUsed/>
    <w:rsid w:val="00DA2AC4"/>
    <w:pPr>
      <w:tabs>
        <w:tab w:val="center" w:pos="4680"/>
        <w:tab w:val="right" w:pos="9360"/>
      </w:tabs>
      <w:spacing w:line="240" w:lineRule="auto"/>
    </w:pPr>
  </w:style>
  <w:style w:type="character" w:styleId="HeaderChar" w:customStyle="1">
    <w:name w:val="Header Char"/>
    <w:basedOn w:val="DefaultParagraphFont"/>
    <w:link w:val="Header"/>
    <w:uiPriority w:val="99"/>
    <w:rsid w:val="00DA2AC4"/>
  </w:style>
  <w:style w:type="paragraph" w:styleId="Footer">
    <w:name w:val="footer"/>
    <w:basedOn w:val="Normal"/>
    <w:link w:val="FooterChar"/>
    <w:uiPriority w:val="99"/>
    <w:unhideWhenUsed/>
    <w:rsid w:val="00DA2AC4"/>
    <w:pPr>
      <w:tabs>
        <w:tab w:val="center" w:pos="4680"/>
        <w:tab w:val="right" w:pos="9360"/>
      </w:tabs>
      <w:spacing w:line="240" w:lineRule="auto"/>
    </w:pPr>
  </w:style>
  <w:style w:type="character" w:styleId="FooterChar" w:customStyle="1">
    <w:name w:val="Footer Char"/>
    <w:basedOn w:val="DefaultParagraphFont"/>
    <w:link w:val="Footer"/>
    <w:uiPriority w:val="99"/>
    <w:rsid w:val="00DA2AC4"/>
  </w:style>
  <w:style w:type="paragraph" w:styleId="TOCHeading">
    <w:name w:val="TOC Heading"/>
    <w:basedOn w:val="Heading1"/>
    <w:next w:val="Normal"/>
    <w:uiPriority w:val="39"/>
    <w:unhideWhenUsed/>
    <w:qFormat/>
    <w:rsid w:val="00DA2AC4"/>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7371F6"/>
    <w:pPr>
      <w:tabs>
        <w:tab w:val="right" w:leader="dot" w:pos="9350"/>
      </w:tabs>
    </w:pPr>
  </w:style>
  <w:style w:type="character" w:styleId="Hyperlink">
    <w:name w:val="Hyperlink"/>
    <w:basedOn w:val="DefaultParagraphFont"/>
    <w:uiPriority w:val="99"/>
    <w:unhideWhenUsed/>
    <w:rsid w:val="00DA2AC4"/>
    <w:rPr>
      <w:color w:val="0563C1" w:themeColor="hyperlink"/>
      <w:u w:val="single"/>
    </w:rPr>
  </w:style>
  <w:style w:type="paragraph" w:styleId="NoSpacing">
    <w:name w:val="No Spacing"/>
    <w:link w:val="NoSpacingChar"/>
    <w:uiPriority w:val="1"/>
    <w:qFormat/>
    <w:rsid w:val="00DA2AC4"/>
    <w:pPr>
      <w:spacing w:line="240" w:lineRule="auto"/>
      <w:jc w:val="left"/>
    </w:pPr>
    <w:rPr>
      <w:rFonts w:asciiTheme="minorHAnsi" w:hAnsiTheme="minorHAnsi" w:eastAsiaTheme="minorEastAsia" w:cstheme="minorBidi"/>
      <w:sz w:val="22"/>
      <w:szCs w:val="22"/>
      <w:lang w:val="en-US"/>
    </w:rPr>
  </w:style>
  <w:style w:type="character" w:styleId="NoSpacingChar" w:customStyle="1">
    <w:name w:val="No Spacing Char"/>
    <w:basedOn w:val="DefaultParagraphFont"/>
    <w:link w:val="NoSpacing"/>
    <w:uiPriority w:val="1"/>
    <w:rsid w:val="00DA2AC4"/>
    <w:rPr>
      <w:rFonts w:asciiTheme="minorHAnsi" w:hAnsiTheme="minorHAnsi" w:eastAsiaTheme="minorEastAsia" w:cstheme="minorBidi"/>
      <w:sz w:val="22"/>
      <w:szCs w:val="22"/>
      <w:lang w:val="en-US"/>
    </w:rPr>
  </w:style>
  <w:style w:type="paragraph" w:styleId="Subtitle">
    <w:name w:val="Subtitle"/>
    <w:basedOn w:val="Normal"/>
    <w:next w:val="Normal"/>
    <w:uiPriority w:val="11"/>
    <w:qFormat/>
    <w:pPr>
      <w:keepNext/>
      <w:keepLines/>
      <w:spacing w:before="360" w:after="80"/>
    </w:pPr>
    <w:rPr>
      <w:rFonts w:ascii="Georgia" w:hAnsi="Georgia" w:eastAsia="Georgia" w:cs="Georgia"/>
      <w:i/>
      <w:iCs/>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2">
    <w:name w:val="toc 2"/>
    <w:basedOn w:val="Normal"/>
    <w:next w:val="Normal"/>
    <w:autoRedefine/>
    <w:uiPriority w:val="39"/>
    <w:unhideWhenUsed/>
    <w:rsid w:val="00724968"/>
    <w:pPr>
      <w:spacing w:after="100"/>
      <w:ind w:left="240"/>
    </w:pPr>
  </w:style>
  <w:style w:type="paragraph" w:styleId="BalloonText">
    <w:name w:val="Balloon Text"/>
    <w:basedOn w:val="Normal"/>
    <w:link w:val="BalloonTextChar"/>
    <w:uiPriority w:val="99"/>
    <w:semiHidden/>
    <w:unhideWhenUsed/>
    <w:rsid w:val="00DE7DF0"/>
    <w:pPr>
      <w:spacing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DE7DF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3741548">
      <w:bodyDiv w:val="1"/>
      <w:marLeft w:val="0"/>
      <w:marRight w:val="0"/>
      <w:marTop w:val="0"/>
      <w:marBottom w:val="0"/>
      <w:divBdr>
        <w:top w:val="none" w:sz="0" w:space="0" w:color="auto"/>
        <w:left w:val="none" w:sz="0" w:space="0" w:color="auto"/>
        <w:bottom w:val="none" w:sz="0" w:space="0" w:color="auto"/>
        <w:right w:val="none" w:sz="0" w:space="0" w:color="auto"/>
      </w:divBdr>
    </w:div>
    <w:div w:id="1121529641">
      <w:bodyDiv w:val="1"/>
      <w:marLeft w:val="0"/>
      <w:marRight w:val="0"/>
      <w:marTop w:val="0"/>
      <w:marBottom w:val="0"/>
      <w:divBdr>
        <w:top w:val="none" w:sz="0" w:space="0" w:color="auto"/>
        <w:left w:val="none" w:sz="0" w:space="0" w:color="auto"/>
        <w:bottom w:val="none" w:sz="0" w:space="0" w:color="auto"/>
        <w:right w:val="none" w:sz="0" w:space="0" w:color="auto"/>
      </w:divBdr>
    </w:div>
    <w:div w:id="1317874859">
      <w:bodyDiv w:val="1"/>
      <w:marLeft w:val="0"/>
      <w:marRight w:val="0"/>
      <w:marTop w:val="0"/>
      <w:marBottom w:val="0"/>
      <w:divBdr>
        <w:top w:val="none" w:sz="0" w:space="0" w:color="auto"/>
        <w:left w:val="none" w:sz="0" w:space="0" w:color="auto"/>
        <w:bottom w:val="none" w:sz="0" w:space="0" w:color="auto"/>
        <w:right w:val="none" w:sz="0" w:space="0" w:color="auto"/>
      </w:divBdr>
    </w:div>
    <w:div w:id="1379740255">
      <w:bodyDiv w:val="1"/>
      <w:marLeft w:val="0"/>
      <w:marRight w:val="0"/>
      <w:marTop w:val="0"/>
      <w:marBottom w:val="0"/>
      <w:divBdr>
        <w:top w:val="none" w:sz="0" w:space="0" w:color="auto"/>
        <w:left w:val="none" w:sz="0" w:space="0" w:color="auto"/>
        <w:bottom w:val="none" w:sz="0" w:space="0" w:color="auto"/>
        <w:right w:val="none" w:sz="0" w:space="0" w:color="auto"/>
      </w:divBdr>
    </w:div>
    <w:div w:id="15857975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2.xml" Id="rId8" /><Relationship Type="http://schemas.openxmlformats.org/officeDocument/2006/relationships/footer" Target="footer4.xm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footer" Target="footer3.xml" Id="rId12" /><Relationship Type="http://schemas.openxmlformats.org/officeDocument/2006/relationships/image" Target="media/image7.jpg" Id="rId17" /><Relationship Type="http://schemas.openxmlformats.org/officeDocument/2006/relationships/styles" Target="styles.xml" Id="rId2" /><Relationship Type="http://schemas.openxmlformats.org/officeDocument/2006/relationships/image" Target="media/image6.jpg"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3.jpg" Id="rId11" /><Relationship Type="http://schemas.openxmlformats.org/officeDocument/2006/relationships/footnotes" Target="footnotes.xml" Id="rId5" /><Relationship Type="http://schemas.openxmlformats.org/officeDocument/2006/relationships/image" Target="media/image5.jpg" Id="rId15" /><Relationship Type="http://schemas.openxmlformats.org/officeDocument/2006/relationships/image" Target="media/image2.jpg"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image" Target="media/image1.jpg" Id="rId9" /><Relationship Type="http://schemas.openxmlformats.org/officeDocument/2006/relationships/image" Target="media/image4.png" Id="rId14"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AtTvuZUe8TkE6LsLsl9ubqKWvg==">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</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Afshan Mirza (2214807)</lastModifiedBy>
  <revision>3</revision>
  <dcterms:created xsi:type="dcterms:W3CDTF">2026-02-27T00:20:00.0000000Z</dcterms:created>
  <dcterms:modified xsi:type="dcterms:W3CDTF">2026-03-04T21:06:17.1011562Z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66e7f0f8-b448-4ef6-9de4-92ca768d4df0</vt:lpwstr>
  </property>
</Properties>
</file>