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3B484" w14:textId="4CF5DF80" w:rsidR="000B3571" w:rsidRDefault="000B3571" w:rsidP="00BE3EBD">
      <w:pPr>
        <w:jc w:val="center"/>
      </w:pPr>
    </w:p>
    <w:p w14:paraId="2A35AB25" w14:textId="77777777" w:rsidR="009E2730" w:rsidRDefault="009E2730" w:rsidP="00BE3EBD">
      <w:pPr>
        <w:jc w:val="center"/>
      </w:pPr>
    </w:p>
    <w:p w14:paraId="036BB83D" w14:textId="77777777" w:rsidR="009E2730" w:rsidRDefault="009E2730" w:rsidP="00BE3EBD">
      <w:pPr>
        <w:jc w:val="center"/>
      </w:pPr>
    </w:p>
    <w:p w14:paraId="0522D2C0" w14:textId="77777777" w:rsidR="009E2730" w:rsidRDefault="009E2730" w:rsidP="00BE3EBD">
      <w:pPr>
        <w:jc w:val="center"/>
      </w:pPr>
    </w:p>
    <w:p w14:paraId="2E3EB3D4" w14:textId="77777777" w:rsidR="009E2730" w:rsidRPr="00DD3DDE" w:rsidRDefault="009E2730" w:rsidP="00BE3EBD">
      <w:pPr>
        <w:jc w:val="center"/>
      </w:pPr>
    </w:p>
    <w:p w14:paraId="0F8C0EA4" w14:textId="77777777" w:rsidR="00BE3EBD" w:rsidRPr="00D27E50" w:rsidRDefault="00BE3EBD" w:rsidP="00BE3EBD">
      <w:pPr>
        <w:pStyle w:val="Heading1"/>
        <w:jc w:val="center"/>
        <w:rPr>
          <w:sz w:val="36"/>
          <w:szCs w:val="36"/>
        </w:rPr>
      </w:pPr>
      <w:r>
        <w:rPr>
          <w:sz w:val="36"/>
          <w:szCs w:val="36"/>
        </w:rPr>
        <w:t>UNIVERSITY OF WALES TRINITY SAINT DAVID</w:t>
      </w:r>
    </w:p>
    <w:p w14:paraId="0B1A5497" w14:textId="5B8B7E55" w:rsidR="00BE3EBD" w:rsidRPr="00D27E50" w:rsidRDefault="00BE3EBD" w:rsidP="00BE3EBD">
      <w:pPr>
        <w:jc w:val="center"/>
        <w:rPr>
          <w:b/>
          <w:bCs/>
          <w:i/>
          <w:iCs/>
          <w:sz w:val="40"/>
          <w:szCs w:val="40"/>
        </w:rPr>
      </w:pPr>
      <w:r>
        <w:rPr>
          <w:b/>
          <w:bCs/>
          <w:i/>
          <w:iCs/>
          <w:sz w:val="40"/>
          <w:szCs w:val="40"/>
        </w:rPr>
        <w:t>CORPORATE FINANCE - SAINSBURY</w:t>
      </w:r>
    </w:p>
    <w:p w14:paraId="0C2BE260" w14:textId="51288636" w:rsidR="00BE3EBD" w:rsidRDefault="00BE3EBD" w:rsidP="00BE3EBD">
      <w:pPr>
        <w:jc w:val="center"/>
        <w:rPr>
          <w:b/>
          <w:bCs/>
          <w:sz w:val="32"/>
          <w:szCs w:val="28"/>
        </w:rPr>
      </w:pPr>
      <w:proofErr w:type="spellStart"/>
      <w:r>
        <w:rPr>
          <w:b/>
          <w:bCs/>
          <w:sz w:val="32"/>
          <w:szCs w:val="28"/>
        </w:rPr>
        <w:t>Module</w:t>
      </w:r>
      <w:proofErr w:type="spellEnd"/>
      <w:r>
        <w:rPr>
          <w:b/>
          <w:bCs/>
          <w:sz w:val="32"/>
          <w:szCs w:val="28"/>
        </w:rPr>
        <w:t xml:space="preserve"> </w:t>
      </w:r>
      <w:proofErr w:type="gramStart"/>
      <w:r>
        <w:rPr>
          <w:b/>
          <w:bCs/>
          <w:sz w:val="32"/>
          <w:szCs w:val="28"/>
        </w:rPr>
        <w:t>Code:</w:t>
      </w:r>
      <w:r w:rsidRPr="00C7052B">
        <w:rPr>
          <w:b/>
          <w:bCs/>
          <w:sz w:val="32"/>
          <w:szCs w:val="28"/>
        </w:rPr>
        <w:t>–</w:t>
      </w:r>
      <w:proofErr w:type="gramEnd"/>
      <w:r w:rsidRPr="00C7052B">
        <w:rPr>
          <w:b/>
          <w:bCs/>
          <w:sz w:val="32"/>
          <w:szCs w:val="28"/>
        </w:rPr>
        <w:t xml:space="preserve"> LCMB700</w:t>
      </w:r>
      <w:r>
        <w:rPr>
          <w:b/>
          <w:bCs/>
          <w:sz w:val="32"/>
          <w:szCs w:val="28"/>
        </w:rPr>
        <w:t>5</w:t>
      </w:r>
    </w:p>
    <w:p w14:paraId="0A98353A" w14:textId="77777777" w:rsidR="00BE3EBD" w:rsidRPr="00D27E50" w:rsidRDefault="00BE3EBD" w:rsidP="00BE3EBD">
      <w:pPr>
        <w:jc w:val="center"/>
        <w:rPr>
          <w:sz w:val="32"/>
          <w:szCs w:val="28"/>
        </w:rPr>
      </w:pPr>
      <w:proofErr w:type="gramStart"/>
      <w:r w:rsidRPr="00D27E50">
        <w:rPr>
          <w:sz w:val="32"/>
          <w:szCs w:val="28"/>
        </w:rPr>
        <w:t>Name:-</w:t>
      </w:r>
      <w:proofErr w:type="gramEnd"/>
      <w:r w:rsidRPr="00D27E50">
        <w:rPr>
          <w:sz w:val="32"/>
          <w:szCs w:val="28"/>
        </w:rPr>
        <w:t xml:space="preserve"> </w:t>
      </w:r>
      <w:r w:rsidRPr="00FD4778">
        <w:rPr>
          <w:rFonts w:eastAsia="Times New Roman" w:cs="Times New Roman"/>
          <w:bCs/>
          <w:sz w:val="32"/>
          <w:szCs w:val="24"/>
        </w:rPr>
        <w:t xml:space="preserve">Patel </w:t>
      </w:r>
      <w:proofErr w:type="spellStart"/>
      <w:r>
        <w:rPr>
          <w:rFonts w:eastAsia="Times New Roman" w:cs="Times New Roman"/>
          <w:bCs/>
          <w:sz w:val="32"/>
          <w:szCs w:val="24"/>
        </w:rPr>
        <w:t>N</w:t>
      </w:r>
      <w:r w:rsidRPr="00FD4778">
        <w:rPr>
          <w:rFonts w:eastAsia="Times New Roman" w:cs="Times New Roman"/>
          <w:bCs/>
          <w:sz w:val="32"/>
          <w:szCs w:val="24"/>
        </w:rPr>
        <w:t>ishwa</w:t>
      </w:r>
      <w:proofErr w:type="spellEnd"/>
      <w:r w:rsidRPr="00FD4778">
        <w:rPr>
          <w:rFonts w:eastAsia="Times New Roman" w:cs="Times New Roman"/>
          <w:bCs/>
          <w:sz w:val="32"/>
          <w:szCs w:val="24"/>
        </w:rPr>
        <w:t xml:space="preserve"> </w:t>
      </w:r>
      <w:proofErr w:type="spellStart"/>
      <w:r>
        <w:rPr>
          <w:rFonts w:eastAsia="Times New Roman" w:cs="Times New Roman"/>
          <w:bCs/>
          <w:sz w:val="32"/>
          <w:szCs w:val="24"/>
        </w:rPr>
        <w:t>J</w:t>
      </w:r>
      <w:r w:rsidRPr="00FD4778">
        <w:rPr>
          <w:rFonts w:eastAsia="Times New Roman" w:cs="Times New Roman"/>
          <w:bCs/>
          <w:sz w:val="32"/>
          <w:szCs w:val="24"/>
        </w:rPr>
        <w:t>atinbhai</w:t>
      </w:r>
      <w:proofErr w:type="spellEnd"/>
    </w:p>
    <w:p w14:paraId="580BD86E" w14:textId="1C64EAAC" w:rsidR="00BE3EBD" w:rsidRPr="00D27E50" w:rsidRDefault="00BE3EBD" w:rsidP="00BE3EBD">
      <w:pPr>
        <w:jc w:val="center"/>
        <w:rPr>
          <w:sz w:val="32"/>
          <w:szCs w:val="28"/>
        </w:rPr>
      </w:pPr>
      <w:r w:rsidRPr="00D27E50">
        <w:rPr>
          <w:sz w:val="32"/>
          <w:szCs w:val="28"/>
        </w:rPr>
        <w:t xml:space="preserve">Student </w:t>
      </w:r>
      <w:proofErr w:type="gramStart"/>
      <w:r w:rsidRPr="00D27E50">
        <w:rPr>
          <w:sz w:val="32"/>
          <w:szCs w:val="28"/>
        </w:rPr>
        <w:t>Id:-</w:t>
      </w:r>
      <w:proofErr w:type="gramEnd"/>
      <w:r w:rsidRPr="00D27E50">
        <w:rPr>
          <w:sz w:val="32"/>
          <w:szCs w:val="28"/>
        </w:rPr>
        <w:t xml:space="preserve"> 224</w:t>
      </w:r>
      <w:r>
        <w:rPr>
          <w:sz w:val="32"/>
          <w:szCs w:val="28"/>
        </w:rPr>
        <w:t>4538</w:t>
      </w:r>
    </w:p>
    <w:p w14:paraId="597ADA89" w14:textId="77777777" w:rsidR="00BE3EBD" w:rsidRDefault="00BE3EBD" w:rsidP="00BE3EBD">
      <w:pPr>
        <w:pStyle w:val="Heading1"/>
        <w:rPr>
          <w:rFonts w:ascii="Arial" w:hAnsi="Arial" w:cs="Arial"/>
          <w:sz w:val="22"/>
          <w:szCs w:val="22"/>
        </w:rPr>
      </w:pPr>
    </w:p>
    <w:p w14:paraId="1E411EAC" w14:textId="77777777" w:rsidR="007E6745" w:rsidRPr="00DD3DDE" w:rsidRDefault="007E6745" w:rsidP="007E6745">
      <w:pPr>
        <w:jc w:val="center"/>
      </w:pPr>
    </w:p>
    <w:p w14:paraId="4B41F3E2" w14:textId="77777777" w:rsidR="007E6745" w:rsidRPr="00DD3DDE" w:rsidRDefault="007E6745" w:rsidP="007E6745">
      <w:pPr>
        <w:jc w:val="center"/>
        <w:rPr>
          <w:rFonts w:cs="Times New Roman"/>
          <w:b/>
          <w:bCs/>
          <w:sz w:val="40"/>
          <w:szCs w:val="40"/>
        </w:rPr>
      </w:pPr>
    </w:p>
    <w:p w14:paraId="3C3604EF" w14:textId="77777777" w:rsidR="007E6745" w:rsidRPr="00DD3DDE" w:rsidRDefault="007E6745" w:rsidP="007E6745">
      <w:pPr>
        <w:jc w:val="center"/>
        <w:rPr>
          <w:rFonts w:cs="Times New Roman"/>
          <w:b/>
          <w:bCs/>
          <w:sz w:val="40"/>
          <w:szCs w:val="40"/>
        </w:rPr>
      </w:pPr>
    </w:p>
    <w:p w14:paraId="7F682ADF" w14:textId="77777777" w:rsidR="007E6745" w:rsidRPr="00DD3DDE" w:rsidRDefault="007E6745" w:rsidP="007E6745">
      <w:pPr>
        <w:jc w:val="center"/>
        <w:rPr>
          <w:b/>
          <w:bCs/>
        </w:rPr>
      </w:pPr>
    </w:p>
    <w:p w14:paraId="5A41BC59" w14:textId="77777777" w:rsidR="007E6745" w:rsidRPr="00DD3DDE" w:rsidRDefault="007E6745" w:rsidP="007E6745">
      <w:pPr>
        <w:jc w:val="center"/>
        <w:rPr>
          <w:b/>
          <w:bCs/>
        </w:rPr>
      </w:pPr>
    </w:p>
    <w:p w14:paraId="01116E66" w14:textId="77777777" w:rsidR="007E6745" w:rsidRPr="00DD3DDE" w:rsidRDefault="007E6745" w:rsidP="007E6745">
      <w:pPr>
        <w:jc w:val="center"/>
      </w:pPr>
    </w:p>
    <w:p w14:paraId="14C4FD06" w14:textId="77777777" w:rsidR="007E6745" w:rsidRPr="00DD3DDE" w:rsidRDefault="007E6745" w:rsidP="007E6745">
      <w:pPr>
        <w:jc w:val="center"/>
      </w:pPr>
    </w:p>
    <w:p w14:paraId="642B8AF9" w14:textId="77777777" w:rsidR="007E6745" w:rsidRPr="00DD3DDE" w:rsidRDefault="00000000">
      <w:pPr>
        <w:spacing w:line="259" w:lineRule="auto"/>
        <w:jc w:val="left"/>
      </w:pPr>
      <w:r w:rsidRPr="00DD3DDE">
        <w:br w:type="page"/>
      </w:r>
    </w:p>
    <w:sdt>
      <w:sdtPr>
        <w:rPr>
          <w:rFonts w:eastAsiaTheme="minorHAnsi" w:cstheme="minorBidi"/>
          <w:b w:val="0"/>
          <w:i w:val="0"/>
          <w:kern w:val="2"/>
          <w:sz w:val="24"/>
          <w:szCs w:val="22"/>
          <w:lang w:val="en-GB"/>
        </w:rPr>
        <w:id w:val="588509153"/>
        <w:docPartObj>
          <w:docPartGallery w:val="Table of Contents"/>
          <w:docPartUnique/>
        </w:docPartObj>
      </w:sdtPr>
      <w:sdtEndPr>
        <w:rPr>
          <w:bCs/>
        </w:rPr>
      </w:sdtEndPr>
      <w:sdtContent>
        <w:p w14:paraId="757F55D9" w14:textId="77777777" w:rsidR="007E6745" w:rsidRPr="00DD3DDE" w:rsidRDefault="00000000" w:rsidP="007E6745">
          <w:pPr>
            <w:pStyle w:val="TOCHeading"/>
            <w:jc w:val="center"/>
            <w:rPr>
              <w:rFonts w:cs="Times New Roman"/>
              <w:b w:val="0"/>
              <w:bCs/>
              <w:i w:val="0"/>
              <w:iCs/>
              <w:szCs w:val="28"/>
              <w:lang w:val="en-GB"/>
            </w:rPr>
          </w:pPr>
          <w:r w:rsidRPr="00DD3DDE">
            <w:rPr>
              <w:rFonts w:cs="Times New Roman"/>
              <w:bCs/>
              <w:i w:val="0"/>
              <w:iCs/>
              <w:szCs w:val="28"/>
              <w:lang w:val="en-GB"/>
            </w:rPr>
            <w:t>Table of Contents</w:t>
          </w:r>
        </w:p>
        <w:p w14:paraId="310D50D5" w14:textId="77777777" w:rsidR="002E2534" w:rsidRDefault="00000000">
          <w:pPr>
            <w:pStyle w:val="TOC1"/>
            <w:tabs>
              <w:tab w:val="right" w:leader="dot" w:pos="9350"/>
            </w:tabs>
            <w:rPr>
              <w:rFonts w:asciiTheme="minorHAnsi" w:eastAsiaTheme="minorEastAsia" w:hAnsiTheme="minorHAnsi"/>
              <w:noProof/>
              <w:kern w:val="0"/>
              <w:sz w:val="22"/>
              <w:lang w:eastAsia="en-GB"/>
            </w:rPr>
          </w:pPr>
          <w:r w:rsidRPr="00DD3DDE">
            <w:fldChar w:fldCharType="begin"/>
          </w:r>
          <w:r w:rsidR="002B6626" w:rsidRPr="00DD3DDE">
            <w:instrText xml:space="preserve"> TOC \o "1-3" \h \z \u </w:instrText>
          </w:r>
          <w:r w:rsidRPr="00DD3DDE">
            <w:fldChar w:fldCharType="separate"/>
          </w:r>
          <w:hyperlink w:anchor="_Toc150279657" w:history="1">
            <w:r w:rsidRPr="00D45512">
              <w:rPr>
                <w:rStyle w:val="Hyperlink"/>
                <w:noProof/>
              </w:rPr>
              <w:t>1. Executive Summary</w:t>
            </w:r>
            <w:r>
              <w:rPr>
                <w:noProof/>
                <w:webHidden/>
              </w:rPr>
              <w:tab/>
            </w:r>
            <w:r>
              <w:rPr>
                <w:noProof/>
                <w:webHidden/>
              </w:rPr>
              <w:fldChar w:fldCharType="begin"/>
            </w:r>
            <w:r>
              <w:rPr>
                <w:noProof/>
                <w:webHidden/>
              </w:rPr>
              <w:instrText xml:space="preserve"> PAGEREF _Toc150279657 \h </w:instrText>
            </w:r>
            <w:r>
              <w:rPr>
                <w:noProof/>
                <w:webHidden/>
              </w:rPr>
            </w:r>
            <w:r>
              <w:rPr>
                <w:noProof/>
                <w:webHidden/>
              </w:rPr>
              <w:fldChar w:fldCharType="separate"/>
            </w:r>
            <w:r>
              <w:rPr>
                <w:noProof/>
                <w:webHidden/>
              </w:rPr>
              <w:t>4</w:t>
            </w:r>
            <w:r>
              <w:rPr>
                <w:noProof/>
                <w:webHidden/>
              </w:rPr>
              <w:fldChar w:fldCharType="end"/>
            </w:r>
          </w:hyperlink>
        </w:p>
        <w:p w14:paraId="66E2BD8A"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58" w:history="1">
            <w:r w:rsidRPr="00D45512">
              <w:rPr>
                <w:rStyle w:val="Hyperlink"/>
                <w:noProof/>
              </w:rPr>
              <w:t>2. Terms of Reference</w:t>
            </w:r>
            <w:r>
              <w:rPr>
                <w:noProof/>
                <w:webHidden/>
              </w:rPr>
              <w:tab/>
            </w:r>
            <w:r>
              <w:rPr>
                <w:noProof/>
                <w:webHidden/>
              </w:rPr>
              <w:fldChar w:fldCharType="begin"/>
            </w:r>
            <w:r>
              <w:rPr>
                <w:noProof/>
                <w:webHidden/>
              </w:rPr>
              <w:instrText xml:space="preserve"> PAGEREF _Toc150279658 \h </w:instrText>
            </w:r>
            <w:r>
              <w:rPr>
                <w:noProof/>
                <w:webHidden/>
              </w:rPr>
            </w:r>
            <w:r>
              <w:rPr>
                <w:noProof/>
                <w:webHidden/>
              </w:rPr>
              <w:fldChar w:fldCharType="separate"/>
            </w:r>
            <w:r>
              <w:rPr>
                <w:noProof/>
                <w:webHidden/>
              </w:rPr>
              <w:t>4</w:t>
            </w:r>
            <w:r>
              <w:rPr>
                <w:noProof/>
                <w:webHidden/>
              </w:rPr>
              <w:fldChar w:fldCharType="end"/>
            </w:r>
          </w:hyperlink>
        </w:p>
        <w:p w14:paraId="238E3FE2"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59" w:history="1">
            <w:r w:rsidRPr="00D45512">
              <w:rPr>
                <w:rStyle w:val="Hyperlink"/>
                <w:noProof/>
              </w:rPr>
              <w:t>3. Introduction</w:t>
            </w:r>
            <w:r>
              <w:rPr>
                <w:noProof/>
                <w:webHidden/>
              </w:rPr>
              <w:tab/>
            </w:r>
            <w:r>
              <w:rPr>
                <w:noProof/>
                <w:webHidden/>
              </w:rPr>
              <w:fldChar w:fldCharType="begin"/>
            </w:r>
            <w:r>
              <w:rPr>
                <w:noProof/>
                <w:webHidden/>
              </w:rPr>
              <w:instrText xml:space="preserve"> PAGEREF _Toc150279659 \h </w:instrText>
            </w:r>
            <w:r>
              <w:rPr>
                <w:noProof/>
                <w:webHidden/>
              </w:rPr>
            </w:r>
            <w:r>
              <w:rPr>
                <w:noProof/>
                <w:webHidden/>
              </w:rPr>
              <w:fldChar w:fldCharType="separate"/>
            </w:r>
            <w:r>
              <w:rPr>
                <w:noProof/>
                <w:webHidden/>
              </w:rPr>
              <w:t>4</w:t>
            </w:r>
            <w:r>
              <w:rPr>
                <w:noProof/>
                <w:webHidden/>
              </w:rPr>
              <w:fldChar w:fldCharType="end"/>
            </w:r>
          </w:hyperlink>
        </w:p>
        <w:p w14:paraId="23359865"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60" w:history="1">
            <w:r w:rsidRPr="00D45512">
              <w:rPr>
                <w:rStyle w:val="Hyperlink"/>
                <w:noProof/>
              </w:rPr>
              <w:t>3.1 Company background</w:t>
            </w:r>
            <w:r>
              <w:rPr>
                <w:noProof/>
                <w:webHidden/>
              </w:rPr>
              <w:tab/>
            </w:r>
            <w:r>
              <w:rPr>
                <w:noProof/>
                <w:webHidden/>
              </w:rPr>
              <w:fldChar w:fldCharType="begin"/>
            </w:r>
            <w:r>
              <w:rPr>
                <w:noProof/>
                <w:webHidden/>
              </w:rPr>
              <w:instrText xml:space="preserve"> PAGEREF _Toc150279660 \h </w:instrText>
            </w:r>
            <w:r>
              <w:rPr>
                <w:noProof/>
                <w:webHidden/>
              </w:rPr>
            </w:r>
            <w:r>
              <w:rPr>
                <w:noProof/>
                <w:webHidden/>
              </w:rPr>
              <w:fldChar w:fldCharType="separate"/>
            </w:r>
            <w:r>
              <w:rPr>
                <w:noProof/>
                <w:webHidden/>
              </w:rPr>
              <w:t>4</w:t>
            </w:r>
            <w:r>
              <w:rPr>
                <w:noProof/>
                <w:webHidden/>
              </w:rPr>
              <w:fldChar w:fldCharType="end"/>
            </w:r>
          </w:hyperlink>
        </w:p>
        <w:p w14:paraId="5A24259E"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61" w:history="1">
            <w:r w:rsidRPr="00D45512">
              <w:rPr>
                <w:rStyle w:val="Hyperlink"/>
                <w:noProof/>
              </w:rPr>
              <w:t>3.2 Major Event</w:t>
            </w:r>
            <w:r>
              <w:rPr>
                <w:noProof/>
                <w:webHidden/>
              </w:rPr>
              <w:tab/>
            </w:r>
            <w:r>
              <w:rPr>
                <w:noProof/>
                <w:webHidden/>
              </w:rPr>
              <w:fldChar w:fldCharType="begin"/>
            </w:r>
            <w:r>
              <w:rPr>
                <w:noProof/>
                <w:webHidden/>
              </w:rPr>
              <w:instrText xml:space="preserve"> PAGEREF _Toc150279661 \h </w:instrText>
            </w:r>
            <w:r>
              <w:rPr>
                <w:noProof/>
                <w:webHidden/>
              </w:rPr>
            </w:r>
            <w:r>
              <w:rPr>
                <w:noProof/>
                <w:webHidden/>
              </w:rPr>
              <w:fldChar w:fldCharType="separate"/>
            </w:r>
            <w:r>
              <w:rPr>
                <w:noProof/>
                <w:webHidden/>
              </w:rPr>
              <w:t>5</w:t>
            </w:r>
            <w:r>
              <w:rPr>
                <w:noProof/>
                <w:webHidden/>
              </w:rPr>
              <w:fldChar w:fldCharType="end"/>
            </w:r>
          </w:hyperlink>
        </w:p>
        <w:p w14:paraId="37C410D1"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62" w:history="1">
            <w:r w:rsidRPr="00D45512">
              <w:rPr>
                <w:rStyle w:val="Hyperlink"/>
                <w:noProof/>
              </w:rPr>
              <w:t>4. Financial performance analysis findings</w:t>
            </w:r>
            <w:r>
              <w:rPr>
                <w:noProof/>
                <w:webHidden/>
              </w:rPr>
              <w:tab/>
            </w:r>
            <w:r>
              <w:rPr>
                <w:noProof/>
                <w:webHidden/>
              </w:rPr>
              <w:fldChar w:fldCharType="begin"/>
            </w:r>
            <w:r>
              <w:rPr>
                <w:noProof/>
                <w:webHidden/>
              </w:rPr>
              <w:instrText xml:space="preserve"> PAGEREF _Toc150279662 \h </w:instrText>
            </w:r>
            <w:r>
              <w:rPr>
                <w:noProof/>
                <w:webHidden/>
              </w:rPr>
            </w:r>
            <w:r>
              <w:rPr>
                <w:noProof/>
                <w:webHidden/>
              </w:rPr>
              <w:fldChar w:fldCharType="separate"/>
            </w:r>
            <w:r>
              <w:rPr>
                <w:noProof/>
                <w:webHidden/>
              </w:rPr>
              <w:t>6</w:t>
            </w:r>
            <w:r>
              <w:rPr>
                <w:noProof/>
                <w:webHidden/>
              </w:rPr>
              <w:fldChar w:fldCharType="end"/>
            </w:r>
          </w:hyperlink>
        </w:p>
        <w:p w14:paraId="77C5E369"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63" w:history="1">
            <w:r w:rsidRPr="00D45512">
              <w:rPr>
                <w:rStyle w:val="Hyperlink"/>
                <w:noProof/>
              </w:rPr>
              <w:t>4.1 Profitability ratio</w:t>
            </w:r>
            <w:r>
              <w:rPr>
                <w:noProof/>
                <w:webHidden/>
              </w:rPr>
              <w:tab/>
            </w:r>
            <w:r>
              <w:rPr>
                <w:noProof/>
                <w:webHidden/>
              </w:rPr>
              <w:fldChar w:fldCharType="begin"/>
            </w:r>
            <w:r>
              <w:rPr>
                <w:noProof/>
                <w:webHidden/>
              </w:rPr>
              <w:instrText xml:space="preserve"> PAGEREF _Toc150279663 \h </w:instrText>
            </w:r>
            <w:r>
              <w:rPr>
                <w:noProof/>
                <w:webHidden/>
              </w:rPr>
            </w:r>
            <w:r>
              <w:rPr>
                <w:noProof/>
                <w:webHidden/>
              </w:rPr>
              <w:fldChar w:fldCharType="separate"/>
            </w:r>
            <w:r>
              <w:rPr>
                <w:noProof/>
                <w:webHidden/>
              </w:rPr>
              <w:t>6</w:t>
            </w:r>
            <w:r>
              <w:rPr>
                <w:noProof/>
                <w:webHidden/>
              </w:rPr>
              <w:fldChar w:fldCharType="end"/>
            </w:r>
          </w:hyperlink>
        </w:p>
        <w:p w14:paraId="7DB229E7"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64" w:history="1">
            <w:r w:rsidRPr="00D45512">
              <w:rPr>
                <w:rStyle w:val="Hyperlink"/>
                <w:noProof/>
              </w:rPr>
              <w:t>Net profit ratio</w:t>
            </w:r>
            <w:r>
              <w:rPr>
                <w:noProof/>
                <w:webHidden/>
              </w:rPr>
              <w:tab/>
            </w:r>
            <w:r>
              <w:rPr>
                <w:noProof/>
                <w:webHidden/>
              </w:rPr>
              <w:fldChar w:fldCharType="begin"/>
            </w:r>
            <w:r>
              <w:rPr>
                <w:noProof/>
                <w:webHidden/>
              </w:rPr>
              <w:instrText xml:space="preserve"> PAGEREF _Toc150279664 \h </w:instrText>
            </w:r>
            <w:r>
              <w:rPr>
                <w:noProof/>
                <w:webHidden/>
              </w:rPr>
            </w:r>
            <w:r>
              <w:rPr>
                <w:noProof/>
                <w:webHidden/>
              </w:rPr>
              <w:fldChar w:fldCharType="separate"/>
            </w:r>
            <w:r>
              <w:rPr>
                <w:noProof/>
                <w:webHidden/>
              </w:rPr>
              <w:t>6</w:t>
            </w:r>
            <w:r>
              <w:rPr>
                <w:noProof/>
                <w:webHidden/>
              </w:rPr>
              <w:fldChar w:fldCharType="end"/>
            </w:r>
          </w:hyperlink>
        </w:p>
        <w:p w14:paraId="36FE7F60"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65" w:history="1">
            <w:r w:rsidRPr="00D45512">
              <w:rPr>
                <w:rStyle w:val="Hyperlink"/>
                <w:noProof/>
              </w:rPr>
              <w:t>Operating profit ratio</w:t>
            </w:r>
            <w:r>
              <w:rPr>
                <w:noProof/>
                <w:webHidden/>
              </w:rPr>
              <w:tab/>
            </w:r>
            <w:r>
              <w:rPr>
                <w:noProof/>
                <w:webHidden/>
              </w:rPr>
              <w:fldChar w:fldCharType="begin"/>
            </w:r>
            <w:r>
              <w:rPr>
                <w:noProof/>
                <w:webHidden/>
              </w:rPr>
              <w:instrText xml:space="preserve"> PAGEREF _Toc150279665 \h </w:instrText>
            </w:r>
            <w:r>
              <w:rPr>
                <w:noProof/>
                <w:webHidden/>
              </w:rPr>
            </w:r>
            <w:r>
              <w:rPr>
                <w:noProof/>
                <w:webHidden/>
              </w:rPr>
              <w:fldChar w:fldCharType="separate"/>
            </w:r>
            <w:r>
              <w:rPr>
                <w:noProof/>
                <w:webHidden/>
              </w:rPr>
              <w:t>7</w:t>
            </w:r>
            <w:r>
              <w:rPr>
                <w:noProof/>
                <w:webHidden/>
              </w:rPr>
              <w:fldChar w:fldCharType="end"/>
            </w:r>
          </w:hyperlink>
        </w:p>
        <w:p w14:paraId="5C695479"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66" w:history="1">
            <w:r w:rsidRPr="00D45512">
              <w:rPr>
                <w:rStyle w:val="Hyperlink"/>
                <w:noProof/>
              </w:rPr>
              <w:t>4.2 Gearing ratio</w:t>
            </w:r>
            <w:r>
              <w:rPr>
                <w:noProof/>
                <w:webHidden/>
              </w:rPr>
              <w:tab/>
            </w:r>
            <w:r>
              <w:rPr>
                <w:noProof/>
                <w:webHidden/>
              </w:rPr>
              <w:fldChar w:fldCharType="begin"/>
            </w:r>
            <w:r>
              <w:rPr>
                <w:noProof/>
                <w:webHidden/>
              </w:rPr>
              <w:instrText xml:space="preserve"> PAGEREF _Toc150279666 \h </w:instrText>
            </w:r>
            <w:r>
              <w:rPr>
                <w:noProof/>
                <w:webHidden/>
              </w:rPr>
            </w:r>
            <w:r>
              <w:rPr>
                <w:noProof/>
                <w:webHidden/>
              </w:rPr>
              <w:fldChar w:fldCharType="separate"/>
            </w:r>
            <w:r>
              <w:rPr>
                <w:noProof/>
                <w:webHidden/>
              </w:rPr>
              <w:t>8</w:t>
            </w:r>
            <w:r>
              <w:rPr>
                <w:noProof/>
                <w:webHidden/>
              </w:rPr>
              <w:fldChar w:fldCharType="end"/>
            </w:r>
          </w:hyperlink>
        </w:p>
        <w:p w14:paraId="4FDA948D"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67" w:history="1">
            <w:r w:rsidRPr="00D45512">
              <w:rPr>
                <w:rStyle w:val="Hyperlink"/>
                <w:noProof/>
              </w:rPr>
              <w:t>DE ratio</w:t>
            </w:r>
            <w:r>
              <w:rPr>
                <w:noProof/>
                <w:webHidden/>
              </w:rPr>
              <w:tab/>
            </w:r>
            <w:r>
              <w:rPr>
                <w:noProof/>
                <w:webHidden/>
              </w:rPr>
              <w:fldChar w:fldCharType="begin"/>
            </w:r>
            <w:r>
              <w:rPr>
                <w:noProof/>
                <w:webHidden/>
              </w:rPr>
              <w:instrText xml:space="preserve"> PAGEREF _Toc150279667 \h </w:instrText>
            </w:r>
            <w:r>
              <w:rPr>
                <w:noProof/>
                <w:webHidden/>
              </w:rPr>
            </w:r>
            <w:r>
              <w:rPr>
                <w:noProof/>
                <w:webHidden/>
              </w:rPr>
              <w:fldChar w:fldCharType="separate"/>
            </w:r>
            <w:r>
              <w:rPr>
                <w:noProof/>
                <w:webHidden/>
              </w:rPr>
              <w:t>8</w:t>
            </w:r>
            <w:r>
              <w:rPr>
                <w:noProof/>
                <w:webHidden/>
              </w:rPr>
              <w:fldChar w:fldCharType="end"/>
            </w:r>
          </w:hyperlink>
        </w:p>
        <w:p w14:paraId="0F81C2F6"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68" w:history="1">
            <w:r w:rsidRPr="00D45512">
              <w:rPr>
                <w:rStyle w:val="Hyperlink"/>
                <w:noProof/>
              </w:rPr>
              <w:t>Interest coverage ratio</w:t>
            </w:r>
            <w:r>
              <w:rPr>
                <w:noProof/>
                <w:webHidden/>
              </w:rPr>
              <w:tab/>
            </w:r>
            <w:r>
              <w:rPr>
                <w:noProof/>
                <w:webHidden/>
              </w:rPr>
              <w:fldChar w:fldCharType="begin"/>
            </w:r>
            <w:r>
              <w:rPr>
                <w:noProof/>
                <w:webHidden/>
              </w:rPr>
              <w:instrText xml:space="preserve"> PAGEREF _Toc150279668 \h </w:instrText>
            </w:r>
            <w:r>
              <w:rPr>
                <w:noProof/>
                <w:webHidden/>
              </w:rPr>
            </w:r>
            <w:r>
              <w:rPr>
                <w:noProof/>
                <w:webHidden/>
              </w:rPr>
              <w:fldChar w:fldCharType="separate"/>
            </w:r>
            <w:r>
              <w:rPr>
                <w:noProof/>
                <w:webHidden/>
              </w:rPr>
              <w:t>9</w:t>
            </w:r>
            <w:r>
              <w:rPr>
                <w:noProof/>
                <w:webHidden/>
              </w:rPr>
              <w:fldChar w:fldCharType="end"/>
            </w:r>
          </w:hyperlink>
        </w:p>
        <w:p w14:paraId="002113C3"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69" w:history="1">
            <w:r w:rsidRPr="00D45512">
              <w:rPr>
                <w:rStyle w:val="Hyperlink"/>
                <w:noProof/>
              </w:rPr>
              <w:t>4.3 Liquidity ratio</w:t>
            </w:r>
            <w:r>
              <w:rPr>
                <w:noProof/>
                <w:webHidden/>
              </w:rPr>
              <w:tab/>
            </w:r>
            <w:r>
              <w:rPr>
                <w:noProof/>
                <w:webHidden/>
              </w:rPr>
              <w:fldChar w:fldCharType="begin"/>
            </w:r>
            <w:r>
              <w:rPr>
                <w:noProof/>
                <w:webHidden/>
              </w:rPr>
              <w:instrText xml:space="preserve"> PAGEREF _Toc150279669 \h </w:instrText>
            </w:r>
            <w:r>
              <w:rPr>
                <w:noProof/>
                <w:webHidden/>
              </w:rPr>
            </w:r>
            <w:r>
              <w:rPr>
                <w:noProof/>
                <w:webHidden/>
              </w:rPr>
              <w:fldChar w:fldCharType="separate"/>
            </w:r>
            <w:r>
              <w:rPr>
                <w:noProof/>
                <w:webHidden/>
              </w:rPr>
              <w:t>10</w:t>
            </w:r>
            <w:r>
              <w:rPr>
                <w:noProof/>
                <w:webHidden/>
              </w:rPr>
              <w:fldChar w:fldCharType="end"/>
            </w:r>
          </w:hyperlink>
        </w:p>
        <w:p w14:paraId="0FFFE2C1"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70" w:history="1">
            <w:r w:rsidRPr="00D45512">
              <w:rPr>
                <w:rStyle w:val="Hyperlink"/>
                <w:noProof/>
              </w:rPr>
              <w:t>Current ratio</w:t>
            </w:r>
            <w:r>
              <w:rPr>
                <w:noProof/>
                <w:webHidden/>
              </w:rPr>
              <w:tab/>
            </w:r>
            <w:r>
              <w:rPr>
                <w:noProof/>
                <w:webHidden/>
              </w:rPr>
              <w:fldChar w:fldCharType="begin"/>
            </w:r>
            <w:r>
              <w:rPr>
                <w:noProof/>
                <w:webHidden/>
              </w:rPr>
              <w:instrText xml:space="preserve"> PAGEREF _Toc150279670 \h </w:instrText>
            </w:r>
            <w:r>
              <w:rPr>
                <w:noProof/>
                <w:webHidden/>
              </w:rPr>
            </w:r>
            <w:r>
              <w:rPr>
                <w:noProof/>
                <w:webHidden/>
              </w:rPr>
              <w:fldChar w:fldCharType="separate"/>
            </w:r>
            <w:r>
              <w:rPr>
                <w:noProof/>
                <w:webHidden/>
              </w:rPr>
              <w:t>10</w:t>
            </w:r>
            <w:r>
              <w:rPr>
                <w:noProof/>
                <w:webHidden/>
              </w:rPr>
              <w:fldChar w:fldCharType="end"/>
            </w:r>
          </w:hyperlink>
        </w:p>
        <w:p w14:paraId="66AAC175"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71" w:history="1">
            <w:r w:rsidRPr="00D45512">
              <w:rPr>
                <w:rStyle w:val="Hyperlink"/>
                <w:noProof/>
              </w:rPr>
              <w:t>Quick ratio</w:t>
            </w:r>
            <w:r>
              <w:rPr>
                <w:noProof/>
                <w:webHidden/>
              </w:rPr>
              <w:tab/>
            </w:r>
            <w:r>
              <w:rPr>
                <w:noProof/>
                <w:webHidden/>
              </w:rPr>
              <w:fldChar w:fldCharType="begin"/>
            </w:r>
            <w:r>
              <w:rPr>
                <w:noProof/>
                <w:webHidden/>
              </w:rPr>
              <w:instrText xml:space="preserve"> PAGEREF _Toc150279671 \h </w:instrText>
            </w:r>
            <w:r>
              <w:rPr>
                <w:noProof/>
                <w:webHidden/>
              </w:rPr>
            </w:r>
            <w:r>
              <w:rPr>
                <w:noProof/>
                <w:webHidden/>
              </w:rPr>
              <w:fldChar w:fldCharType="separate"/>
            </w:r>
            <w:r>
              <w:rPr>
                <w:noProof/>
                <w:webHidden/>
              </w:rPr>
              <w:t>10</w:t>
            </w:r>
            <w:r>
              <w:rPr>
                <w:noProof/>
                <w:webHidden/>
              </w:rPr>
              <w:fldChar w:fldCharType="end"/>
            </w:r>
          </w:hyperlink>
        </w:p>
        <w:p w14:paraId="3FCC8851"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72" w:history="1">
            <w:r w:rsidRPr="00D45512">
              <w:rPr>
                <w:rStyle w:val="Hyperlink"/>
                <w:noProof/>
              </w:rPr>
              <w:t>4.4 Efficiency ratio</w:t>
            </w:r>
            <w:r>
              <w:rPr>
                <w:noProof/>
                <w:webHidden/>
              </w:rPr>
              <w:tab/>
            </w:r>
            <w:r>
              <w:rPr>
                <w:noProof/>
                <w:webHidden/>
              </w:rPr>
              <w:fldChar w:fldCharType="begin"/>
            </w:r>
            <w:r>
              <w:rPr>
                <w:noProof/>
                <w:webHidden/>
              </w:rPr>
              <w:instrText xml:space="preserve"> PAGEREF _Toc150279672 \h </w:instrText>
            </w:r>
            <w:r>
              <w:rPr>
                <w:noProof/>
                <w:webHidden/>
              </w:rPr>
            </w:r>
            <w:r>
              <w:rPr>
                <w:noProof/>
                <w:webHidden/>
              </w:rPr>
              <w:fldChar w:fldCharType="separate"/>
            </w:r>
            <w:r>
              <w:rPr>
                <w:noProof/>
                <w:webHidden/>
              </w:rPr>
              <w:t>11</w:t>
            </w:r>
            <w:r>
              <w:rPr>
                <w:noProof/>
                <w:webHidden/>
              </w:rPr>
              <w:fldChar w:fldCharType="end"/>
            </w:r>
          </w:hyperlink>
        </w:p>
        <w:p w14:paraId="24965D2D"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73" w:history="1">
            <w:r w:rsidRPr="00D45512">
              <w:rPr>
                <w:rStyle w:val="Hyperlink"/>
                <w:noProof/>
              </w:rPr>
              <w:t>Inventory Turnover Ratio</w:t>
            </w:r>
            <w:r>
              <w:rPr>
                <w:noProof/>
                <w:webHidden/>
              </w:rPr>
              <w:tab/>
            </w:r>
            <w:r>
              <w:rPr>
                <w:noProof/>
                <w:webHidden/>
              </w:rPr>
              <w:fldChar w:fldCharType="begin"/>
            </w:r>
            <w:r>
              <w:rPr>
                <w:noProof/>
                <w:webHidden/>
              </w:rPr>
              <w:instrText xml:space="preserve"> PAGEREF _Toc150279673 \h </w:instrText>
            </w:r>
            <w:r>
              <w:rPr>
                <w:noProof/>
                <w:webHidden/>
              </w:rPr>
            </w:r>
            <w:r>
              <w:rPr>
                <w:noProof/>
                <w:webHidden/>
              </w:rPr>
              <w:fldChar w:fldCharType="separate"/>
            </w:r>
            <w:r>
              <w:rPr>
                <w:noProof/>
                <w:webHidden/>
              </w:rPr>
              <w:t>11</w:t>
            </w:r>
            <w:r>
              <w:rPr>
                <w:noProof/>
                <w:webHidden/>
              </w:rPr>
              <w:fldChar w:fldCharType="end"/>
            </w:r>
          </w:hyperlink>
        </w:p>
        <w:p w14:paraId="37814158"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74" w:history="1">
            <w:r w:rsidRPr="00D45512">
              <w:rPr>
                <w:rStyle w:val="Hyperlink"/>
                <w:noProof/>
              </w:rPr>
              <w:t>Receivables Turnover Ratio</w:t>
            </w:r>
            <w:r>
              <w:rPr>
                <w:noProof/>
                <w:webHidden/>
              </w:rPr>
              <w:tab/>
            </w:r>
            <w:r>
              <w:rPr>
                <w:noProof/>
                <w:webHidden/>
              </w:rPr>
              <w:fldChar w:fldCharType="begin"/>
            </w:r>
            <w:r>
              <w:rPr>
                <w:noProof/>
                <w:webHidden/>
              </w:rPr>
              <w:instrText xml:space="preserve"> PAGEREF _Toc150279674 \h </w:instrText>
            </w:r>
            <w:r>
              <w:rPr>
                <w:noProof/>
                <w:webHidden/>
              </w:rPr>
            </w:r>
            <w:r>
              <w:rPr>
                <w:noProof/>
                <w:webHidden/>
              </w:rPr>
              <w:fldChar w:fldCharType="separate"/>
            </w:r>
            <w:r>
              <w:rPr>
                <w:noProof/>
                <w:webHidden/>
              </w:rPr>
              <w:t>12</w:t>
            </w:r>
            <w:r>
              <w:rPr>
                <w:noProof/>
                <w:webHidden/>
              </w:rPr>
              <w:fldChar w:fldCharType="end"/>
            </w:r>
          </w:hyperlink>
        </w:p>
        <w:p w14:paraId="74B49712"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75" w:history="1">
            <w:r w:rsidRPr="00D45512">
              <w:rPr>
                <w:rStyle w:val="Hyperlink"/>
                <w:noProof/>
              </w:rPr>
              <w:t>4.5 Investment ratio</w:t>
            </w:r>
            <w:r>
              <w:rPr>
                <w:noProof/>
                <w:webHidden/>
              </w:rPr>
              <w:tab/>
            </w:r>
            <w:r>
              <w:rPr>
                <w:noProof/>
                <w:webHidden/>
              </w:rPr>
              <w:fldChar w:fldCharType="begin"/>
            </w:r>
            <w:r>
              <w:rPr>
                <w:noProof/>
                <w:webHidden/>
              </w:rPr>
              <w:instrText xml:space="preserve"> PAGEREF _Toc150279675 \h </w:instrText>
            </w:r>
            <w:r>
              <w:rPr>
                <w:noProof/>
                <w:webHidden/>
              </w:rPr>
            </w:r>
            <w:r>
              <w:rPr>
                <w:noProof/>
                <w:webHidden/>
              </w:rPr>
              <w:fldChar w:fldCharType="separate"/>
            </w:r>
            <w:r>
              <w:rPr>
                <w:noProof/>
                <w:webHidden/>
              </w:rPr>
              <w:t>13</w:t>
            </w:r>
            <w:r>
              <w:rPr>
                <w:noProof/>
                <w:webHidden/>
              </w:rPr>
              <w:fldChar w:fldCharType="end"/>
            </w:r>
          </w:hyperlink>
        </w:p>
        <w:p w14:paraId="4F148007"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76" w:history="1">
            <w:r w:rsidRPr="00D45512">
              <w:rPr>
                <w:rStyle w:val="Hyperlink"/>
                <w:noProof/>
              </w:rPr>
              <w:t>Dividend Yield</w:t>
            </w:r>
            <w:r>
              <w:rPr>
                <w:noProof/>
                <w:webHidden/>
              </w:rPr>
              <w:tab/>
            </w:r>
            <w:r>
              <w:rPr>
                <w:noProof/>
                <w:webHidden/>
              </w:rPr>
              <w:fldChar w:fldCharType="begin"/>
            </w:r>
            <w:r>
              <w:rPr>
                <w:noProof/>
                <w:webHidden/>
              </w:rPr>
              <w:instrText xml:space="preserve"> PAGEREF _Toc150279676 \h </w:instrText>
            </w:r>
            <w:r>
              <w:rPr>
                <w:noProof/>
                <w:webHidden/>
              </w:rPr>
            </w:r>
            <w:r>
              <w:rPr>
                <w:noProof/>
                <w:webHidden/>
              </w:rPr>
              <w:fldChar w:fldCharType="separate"/>
            </w:r>
            <w:r>
              <w:rPr>
                <w:noProof/>
                <w:webHidden/>
              </w:rPr>
              <w:t>13</w:t>
            </w:r>
            <w:r>
              <w:rPr>
                <w:noProof/>
                <w:webHidden/>
              </w:rPr>
              <w:fldChar w:fldCharType="end"/>
            </w:r>
          </w:hyperlink>
        </w:p>
        <w:p w14:paraId="60807B5C" w14:textId="77777777" w:rsidR="002E2534" w:rsidRDefault="00000000">
          <w:pPr>
            <w:pStyle w:val="TOC3"/>
            <w:tabs>
              <w:tab w:val="right" w:leader="dot" w:pos="9350"/>
            </w:tabs>
            <w:rPr>
              <w:rFonts w:asciiTheme="minorHAnsi" w:eastAsiaTheme="minorEastAsia" w:hAnsiTheme="minorHAnsi"/>
              <w:noProof/>
              <w:kern w:val="0"/>
              <w:sz w:val="22"/>
              <w:lang w:eastAsia="en-GB"/>
            </w:rPr>
          </w:pPr>
          <w:hyperlink w:anchor="_Toc150279677" w:history="1">
            <w:r w:rsidRPr="00D45512">
              <w:rPr>
                <w:rStyle w:val="Hyperlink"/>
                <w:noProof/>
              </w:rPr>
              <w:t>Price-earnings Ratio</w:t>
            </w:r>
            <w:r>
              <w:rPr>
                <w:noProof/>
                <w:webHidden/>
              </w:rPr>
              <w:tab/>
            </w:r>
            <w:r>
              <w:rPr>
                <w:noProof/>
                <w:webHidden/>
              </w:rPr>
              <w:fldChar w:fldCharType="begin"/>
            </w:r>
            <w:r>
              <w:rPr>
                <w:noProof/>
                <w:webHidden/>
              </w:rPr>
              <w:instrText xml:space="preserve"> PAGEREF _Toc150279677 \h </w:instrText>
            </w:r>
            <w:r>
              <w:rPr>
                <w:noProof/>
                <w:webHidden/>
              </w:rPr>
            </w:r>
            <w:r>
              <w:rPr>
                <w:noProof/>
                <w:webHidden/>
              </w:rPr>
              <w:fldChar w:fldCharType="separate"/>
            </w:r>
            <w:r>
              <w:rPr>
                <w:noProof/>
                <w:webHidden/>
              </w:rPr>
              <w:t>13</w:t>
            </w:r>
            <w:r>
              <w:rPr>
                <w:noProof/>
                <w:webHidden/>
              </w:rPr>
              <w:fldChar w:fldCharType="end"/>
            </w:r>
          </w:hyperlink>
        </w:p>
        <w:p w14:paraId="3C096B10"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78" w:history="1">
            <w:r w:rsidRPr="00D45512">
              <w:rPr>
                <w:rStyle w:val="Hyperlink"/>
                <w:noProof/>
              </w:rPr>
              <w:t>4.6 Competitive Strategies</w:t>
            </w:r>
            <w:r>
              <w:rPr>
                <w:noProof/>
                <w:webHidden/>
              </w:rPr>
              <w:tab/>
            </w:r>
            <w:r>
              <w:rPr>
                <w:noProof/>
                <w:webHidden/>
              </w:rPr>
              <w:fldChar w:fldCharType="begin"/>
            </w:r>
            <w:r>
              <w:rPr>
                <w:noProof/>
                <w:webHidden/>
              </w:rPr>
              <w:instrText xml:space="preserve"> PAGEREF _Toc150279678 \h </w:instrText>
            </w:r>
            <w:r>
              <w:rPr>
                <w:noProof/>
                <w:webHidden/>
              </w:rPr>
            </w:r>
            <w:r>
              <w:rPr>
                <w:noProof/>
                <w:webHidden/>
              </w:rPr>
              <w:fldChar w:fldCharType="separate"/>
            </w:r>
            <w:r>
              <w:rPr>
                <w:noProof/>
                <w:webHidden/>
              </w:rPr>
              <w:t>14</w:t>
            </w:r>
            <w:r>
              <w:rPr>
                <w:noProof/>
                <w:webHidden/>
              </w:rPr>
              <w:fldChar w:fldCharType="end"/>
            </w:r>
          </w:hyperlink>
        </w:p>
        <w:p w14:paraId="505D1B34"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79" w:history="1">
            <w:r w:rsidRPr="00D45512">
              <w:rPr>
                <w:rStyle w:val="Hyperlink"/>
                <w:noProof/>
              </w:rPr>
              <w:t>4.7 Trend Sanalysis</w:t>
            </w:r>
            <w:r>
              <w:rPr>
                <w:noProof/>
                <w:webHidden/>
              </w:rPr>
              <w:tab/>
            </w:r>
            <w:r>
              <w:rPr>
                <w:noProof/>
                <w:webHidden/>
              </w:rPr>
              <w:fldChar w:fldCharType="begin"/>
            </w:r>
            <w:r>
              <w:rPr>
                <w:noProof/>
                <w:webHidden/>
              </w:rPr>
              <w:instrText xml:space="preserve"> PAGEREF _Toc150279679 \h </w:instrText>
            </w:r>
            <w:r>
              <w:rPr>
                <w:noProof/>
                <w:webHidden/>
              </w:rPr>
            </w:r>
            <w:r>
              <w:rPr>
                <w:noProof/>
                <w:webHidden/>
              </w:rPr>
              <w:fldChar w:fldCharType="separate"/>
            </w:r>
            <w:r>
              <w:rPr>
                <w:noProof/>
                <w:webHidden/>
              </w:rPr>
              <w:t>15</w:t>
            </w:r>
            <w:r>
              <w:rPr>
                <w:noProof/>
                <w:webHidden/>
              </w:rPr>
              <w:fldChar w:fldCharType="end"/>
            </w:r>
          </w:hyperlink>
        </w:p>
        <w:p w14:paraId="1EE9844B"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80" w:history="1">
            <w:r w:rsidRPr="00D45512">
              <w:rPr>
                <w:rStyle w:val="Hyperlink"/>
                <w:noProof/>
              </w:rPr>
              <w:t>5. Treasury management analysis findings</w:t>
            </w:r>
            <w:r>
              <w:rPr>
                <w:noProof/>
                <w:webHidden/>
              </w:rPr>
              <w:tab/>
            </w:r>
            <w:r>
              <w:rPr>
                <w:noProof/>
                <w:webHidden/>
              </w:rPr>
              <w:fldChar w:fldCharType="begin"/>
            </w:r>
            <w:r>
              <w:rPr>
                <w:noProof/>
                <w:webHidden/>
              </w:rPr>
              <w:instrText xml:space="preserve"> PAGEREF _Toc150279680 \h </w:instrText>
            </w:r>
            <w:r>
              <w:rPr>
                <w:noProof/>
                <w:webHidden/>
              </w:rPr>
            </w:r>
            <w:r>
              <w:rPr>
                <w:noProof/>
                <w:webHidden/>
              </w:rPr>
              <w:fldChar w:fldCharType="separate"/>
            </w:r>
            <w:r>
              <w:rPr>
                <w:noProof/>
                <w:webHidden/>
              </w:rPr>
              <w:t>16</w:t>
            </w:r>
            <w:r>
              <w:rPr>
                <w:noProof/>
                <w:webHidden/>
              </w:rPr>
              <w:fldChar w:fldCharType="end"/>
            </w:r>
          </w:hyperlink>
        </w:p>
        <w:p w14:paraId="7F84E205"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81" w:history="1">
            <w:r w:rsidRPr="00D45512">
              <w:rPr>
                <w:rStyle w:val="Hyperlink"/>
                <w:noProof/>
              </w:rPr>
              <w:t>5.1 Analysing the External Environment of Sainsbury (PESTAL)</w:t>
            </w:r>
            <w:r>
              <w:rPr>
                <w:noProof/>
                <w:webHidden/>
              </w:rPr>
              <w:tab/>
            </w:r>
            <w:r>
              <w:rPr>
                <w:noProof/>
                <w:webHidden/>
              </w:rPr>
              <w:fldChar w:fldCharType="begin"/>
            </w:r>
            <w:r>
              <w:rPr>
                <w:noProof/>
                <w:webHidden/>
              </w:rPr>
              <w:instrText xml:space="preserve"> PAGEREF _Toc150279681 \h </w:instrText>
            </w:r>
            <w:r>
              <w:rPr>
                <w:noProof/>
                <w:webHidden/>
              </w:rPr>
            </w:r>
            <w:r>
              <w:rPr>
                <w:noProof/>
                <w:webHidden/>
              </w:rPr>
              <w:fldChar w:fldCharType="separate"/>
            </w:r>
            <w:r>
              <w:rPr>
                <w:noProof/>
                <w:webHidden/>
              </w:rPr>
              <w:t>17</w:t>
            </w:r>
            <w:r>
              <w:rPr>
                <w:noProof/>
                <w:webHidden/>
              </w:rPr>
              <w:fldChar w:fldCharType="end"/>
            </w:r>
          </w:hyperlink>
        </w:p>
        <w:p w14:paraId="27DFE389"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82" w:history="1">
            <w:r w:rsidRPr="00D45512">
              <w:rPr>
                <w:rStyle w:val="Hyperlink"/>
                <w:noProof/>
              </w:rPr>
              <w:t>5.2 Borrowing Strategies of Sainsbury</w:t>
            </w:r>
            <w:r>
              <w:rPr>
                <w:noProof/>
                <w:webHidden/>
              </w:rPr>
              <w:tab/>
            </w:r>
            <w:r>
              <w:rPr>
                <w:noProof/>
                <w:webHidden/>
              </w:rPr>
              <w:fldChar w:fldCharType="begin"/>
            </w:r>
            <w:r>
              <w:rPr>
                <w:noProof/>
                <w:webHidden/>
              </w:rPr>
              <w:instrText xml:space="preserve"> PAGEREF _Toc150279682 \h </w:instrText>
            </w:r>
            <w:r>
              <w:rPr>
                <w:noProof/>
                <w:webHidden/>
              </w:rPr>
            </w:r>
            <w:r>
              <w:rPr>
                <w:noProof/>
                <w:webHidden/>
              </w:rPr>
              <w:fldChar w:fldCharType="separate"/>
            </w:r>
            <w:r>
              <w:rPr>
                <w:noProof/>
                <w:webHidden/>
              </w:rPr>
              <w:t>18</w:t>
            </w:r>
            <w:r>
              <w:rPr>
                <w:noProof/>
                <w:webHidden/>
              </w:rPr>
              <w:fldChar w:fldCharType="end"/>
            </w:r>
          </w:hyperlink>
        </w:p>
        <w:p w14:paraId="5328D336"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83" w:history="1">
            <w:r w:rsidRPr="00D45512">
              <w:rPr>
                <w:rStyle w:val="Hyperlink"/>
                <w:noProof/>
              </w:rPr>
              <w:t>5.3 Analysis of Sainsbury’s financial performance and management decisions</w:t>
            </w:r>
            <w:r>
              <w:rPr>
                <w:noProof/>
                <w:webHidden/>
              </w:rPr>
              <w:tab/>
            </w:r>
            <w:r>
              <w:rPr>
                <w:noProof/>
                <w:webHidden/>
              </w:rPr>
              <w:fldChar w:fldCharType="begin"/>
            </w:r>
            <w:r>
              <w:rPr>
                <w:noProof/>
                <w:webHidden/>
              </w:rPr>
              <w:instrText xml:space="preserve"> PAGEREF _Toc150279683 \h </w:instrText>
            </w:r>
            <w:r>
              <w:rPr>
                <w:noProof/>
                <w:webHidden/>
              </w:rPr>
            </w:r>
            <w:r>
              <w:rPr>
                <w:noProof/>
                <w:webHidden/>
              </w:rPr>
              <w:fldChar w:fldCharType="separate"/>
            </w:r>
            <w:r>
              <w:rPr>
                <w:noProof/>
                <w:webHidden/>
              </w:rPr>
              <w:t>18</w:t>
            </w:r>
            <w:r>
              <w:rPr>
                <w:noProof/>
                <w:webHidden/>
              </w:rPr>
              <w:fldChar w:fldCharType="end"/>
            </w:r>
          </w:hyperlink>
        </w:p>
        <w:p w14:paraId="603BB3A7"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84" w:history="1">
            <w:r w:rsidRPr="00D45512">
              <w:rPr>
                <w:rStyle w:val="Hyperlink"/>
                <w:noProof/>
              </w:rPr>
              <w:t>5.4 Key insights from Sainsbury's financial performance</w:t>
            </w:r>
            <w:r>
              <w:rPr>
                <w:noProof/>
                <w:webHidden/>
              </w:rPr>
              <w:tab/>
            </w:r>
            <w:r>
              <w:rPr>
                <w:noProof/>
                <w:webHidden/>
              </w:rPr>
              <w:fldChar w:fldCharType="begin"/>
            </w:r>
            <w:r>
              <w:rPr>
                <w:noProof/>
                <w:webHidden/>
              </w:rPr>
              <w:instrText xml:space="preserve"> PAGEREF _Toc150279684 \h </w:instrText>
            </w:r>
            <w:r>
              <w:rPr>
                <w:noProof/>
                <w:webHidden/>
              </w:rPr>
            </w:r>
            <w:r>
              <w:rPr>
                <w:noProof/>
                <w:webHidden/>
              </w:rPr>
              <w:fldChar w:fldCharType="separate"/>
            </w:r>
            <w:r>
              <w:rPr>
                <w:noProof/>
                <w:webHidden/>
              </w:rPr>
              <w:t>24</w:t>
            </w:r>
            <w:r>
              <w:rPr>
                <w:noProof/>
                <w:webHidden/>
              </w:rPr>
              <w:fldChar w:fldCharType="end"/>
            </w:r>
          </w:hyperlink>
        </w:p>
        <w:p w14:paraId="6D68033A"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85" w:history="1">
            <w:r w:rsidRPr="00D45512">
              <w:rPr>
                <w:rStyle w:val="Hyperlink"/>
                <w:noProof/>
              </w:rPr>
              <w:t>6. Synthesis and conclusions</w:t>
            </w:r>
            <w:r>
              <w:rPr>
                <w:noProof/>
                <w:webHidden/>
              </w:rPr>
              <w:tab/>
            </w:r>
            <w:r>
              <w:rPr>
                <w:noProof/>
                <w:webHidden/>
              </w:rPr>
              <w:fldChar w:fldCharType="begin"/>
            </w:r>
            <w:r>
              <w:rPr>
                <w:noProof/>
                <w:webHidden/>
              </w:rPr>
              <w:instrText xml:space="preserve"> PAGEREF _Toc150279685 \h </w:instrText>
            </w:r>
            <w:r>
              <w:rPr>
                <w:noProof/>
                <w:webHidden/>
              </w:rPr>
            </w:r>
            <w:r>
              <w:rPr>
                <w:noProof/>
                <w:webHidden/>
              </w:rPr>
              <w:fldChar w:fldCharType="separate"/>
            </w:r>
            <w:r>
              <w:rPr>
                <w:noProof/>
                <w:webHidden/>
              </w:rPr>
              <w:t>26</w:t>
            </w:r>
            <w:r>
              <w:rPr>
                <w:noProof/>
                <w:webHidden/>
              </w:rPr>
              <w:fldChar w:fldCharType="end"/>
            </w:r>
          </w:hyperlink>
        </w:p>
        <w:p w14:paraId="4A50C80C"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86" w:history="1">
            <w:r w:rsidRPr="00D45512">
              <w:rPr>
                <w:rStyle w:val="Hyperlink"/>
                <w:noProof/>
              </w:rPr>
              <w:t>6.1 Synthesis</w:t>
            </w:r>
            <w:r>
              <w:rPr>
                <w:noProof/>
                <w:webHidden/>
              </w:rPr>
              <w:tab/>
            </w:r>
            <w:r>
              <w:rPr>
                <w:noProof/>
                <w:webHidden/>
              </w:rPr>
              <w:fldChar w:fldCharType="begin"/>
            </w:r>
            <w:r>
              <w:rPr>
                <w:noProof/>
                <w:webHidden/>
              </w:rPr>
              <w:instrText xml:space="preserve"> PAGEREF _Toc150279686 \h </w:instrText>
            </w:r>
            <w:r>
              <w:rPr>
                <w:noProof/>
                <w:webHidden/>
              </w:rPr>
            </w:r>
            <w:r>
              <w:rPr>
                <w:noProof/>
                <w:webHidden/>
              </w:rPr>
              <w:fldChar w:fldCharType="separate"/>
            </w:r>
            <w:r>
              <w:rPr>
                <w:noProof/>
                <w:webHidden/>
              </w:rPr>
              <w:t>26</w:t>
            </w:r>
            <w:r>
              <w:rPr>
                <w:noProof/>
                <w:webHidden/>
              </w:rPr>
              <w:fldChar w:fldCharType="end"/>
            </w:r>
          </w:hyperlink>
        </w:p>
        <w:p w14:paraId="1817577E" w14:textId="77777777" w:rsidR="002E2534" w:rsidRDefault="00000000">
          <w:pPr>
            <w:pStyle w:val="TOC2"/>
            <w:tabs>
              <w:tab w:val="right" w:leader="dot" w:pos="9350"/>
            </w:tabs>
            <w:rPr>
              <w:rFonts w:asciiTheme="minorHAnsi" w:eastAsiaTheme="minorEastAsia" w:hAnsiTheme="minorHAnsi"/>
              <w:noProof/>
              <w:kern w:val="0"/>
              <w:sz w:val="22"/>
              <w:lang w:eastAsia="en-GB"/>
            </w:rPr>
          </w:pPr>
          <w:hyperlink w:anchor="_Toc150279687" w:history="1">
            <w:r w:rsidRPr="00D45512">
              <w:rPr>
                <w:rStyle w:val="Hyperlink"/>
                <w:noProof/>
              </w:rPr>
              <w:t>6.2 Conclusion</w:t>
            </w:r>
            <w:r>
              <w:rPr>
                <w:noProof/>
                <w:webHidden/>
              </w:rPr>
              <w:tab/>
            </w:r>
            <w:r>
              <w:rPr>
                <w:noProof/>
                <w:webHidden/>
              </w:rPr>
              <w:fldChar w:fldCharType="begin"/>
            </w:r>
            <w:r>
              <w:rPr>
                <w:noProof/>
                <w:webHidden/>
              </w:rPr>
              <w:instrText xml:space="preserve"> PAGEREF _Toc150279687 \h </w:instrText>
            </w:r>
            <w:r>
              <w:rPr>
                <w:noProof/>
                <w:webHidden/>
              </w:rPr>
            </w:r>
            <w:r>
              <w:rPr>
                <w:noProof/>
                <w:webHidden/>
              </w:rPr>
              <w:fldChar w:fldCharType="separate"/>
            </w:r>
            <w:r>
              <w:rPr>
                <w:noProof/>
                <w:webHidden/>
              </w:rPr>
              <w:t>26</w:t>
            </w:r>
            <w:r>
              <w:rPr>
                <w:noProof/>
                <w:webHidden/>
              </w:rPr>
              <w:fldChar w:fldCharType="end"/>
            </w:r>
          </w:hyperlink>
        </w:p>
        <w:p w14:paraId="52843C29"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88" w:history="1">
            <w:r w:rsidRPr="00D45512">
              <w:rPr>
                <w:rStyle w:val="Hyperlink"/>
                <w:noProof/>
              </w:rPr>
              <w:t>7. References and Bibliography</w:t>
            </w:r>
            <w:r>
              <w:rPr>
                <w:noProof/>
                <w:webHidden/>
              </w:rPr>
              <w:tab/>
            </w:r>
            <w:r>
              <w:rPr>
                <w:noProof/>
                <w:webHidden/>
              </w:rPr>
              <w:fldChar w:fldCharType="begin"/>
            </w:r>
            <w:r>
              <w:rPr>
                <w:noProof/>
                <w:webHidden/>
              </w:rPr>
              <w:instrText xml:space="preserve"> PAGEREF _Toc150279688 \h </w:instrText>
            </w:r>
            <w:r>
              <w:rPr>
                <w:noProof/>
                <w:webHidden/>
              </w:rPr>
            </w:r>
            <w:r>
              <w:rPr>
                <w:noProof/>
                <w:webHidden/>
              </w:rPr>
              <w:fldChar w:fldCharType="separate"/>
            </w:r>
            <w:r>
              <w:rPr>
                <w:noProof/>
                <w:webHidden/>
              </w:rPr>
              <w:t>28</w:t>
            </w:r>
            <w:r>
              <w:rPr>
                <w:noProof/>
                <w:webHidden/>
              </w:rPr>
              <w:fldChar w:fldCharType="end"/>
            </w:r>
          </w:hyperlink>
        </w:p>
        <w:p w14:paraId="3604E45C" w14:textId="77777777" w:rsidR="002E2534" w:rsidRDefault="00000000">
          <w:pPr>
            <w:pStyle w:val="TOC1"/>
            <w:tabs>
              <w:tab w:val="right" w:leader="dot" w:pos="9350"/>
            </w:tabs>
            <w:rPr>
              <w:rFonts w:asciiTheme="minorHAnsi" w:eastAsiaTheme="minorEastAsia" w:hAnsiTheme="minorHAnsi"/>
              <w:noProof/>
              <w:kern w:val="0"/>
              <w:sz w:val="22"/>
              <w:lang w:eastAsia="en-GB"/>
            </w:rPr>
          </w:pPr>
          <w:hyperlink w:anchor="_Toc150279689" w:history="1">
            <w:r w:rsidRPr="00D45512">
              <w:rPr>
                <w:rStyle w:val="Hyperlink"/>
                <w:noProof/>
              </w:rPr>
              <w:t>Appendix</w:t>
            </w:r>
            <w:r>
              <w:rPr>
                <w:noProof/>
                <w:webHidden/>
              </w:rPr>
              <w:tab/>
            </w:r>
            <w:r>
              <w:rPr>
                <w:noProof/>
                <w:webHidden/>
              </w:rPr>
              <w:fldChar w:fldCharType="begin"/>
            </w:r>
            <w:r>
              <w:rPr>
                <w:noProof/>
                <w:webHidden/>
              </w:rPr>
              <w:instrText xml:space="preserve"> PAGEREF _Toc150279689 \h </w:instrText>
            </w:r>
            <w:r>
              <w:rPr>
                <w:noProof/>
                <w:webHidden/>
              </w:rPr>
            </w:r>
            <w:r>
              <w:rPr>
                <w:noProof/>
                <w:webHidden/>
              </w:rPr>
              <w:fldChar w:fldCharType="separate"/>
            </w:r>
            <w:r>
              <w:rPr>
                <w:noProof/>
                <w:webHidden/>
              </w:rPr>
              <w:t>33</w:t>
            </w:r>
            <w:r>
              <w:rPr>
                <w:noProof/>
                <w:webHidden/>
              </w:rPr>
              <w:fldChar w:fldCharType="end"/>
            </w:r>
          </w:hyperlink>
        </w:p>
        <w:p w14:paraId="74B973BD" w14:textId="77777777" w:rsidR="00A338C2" w:rsidRPr="00DD3DDE" w:rsidRDefault="00000000" w:rsidP="00A338C2">
          <w:pPr>
            <w:rPr>
              <w:b/>
              <w:bCs/>
            </w:rPr>
          </w:pPr>
          <w:r w:rsidRPr="00DD3DDE">
            <w:rPr>
              <w:b/>
              <w:bCs/>
            </w:rPr>
            <w:fldChar w:fldCharType="end"/>
          </w:r>
        </w:p>
      </w:sdtContent>
    </w:sdt>
    <w:p w14:paraId="0999FD18" w14:textId="77777777" w:rsidR="007E6745" w:rsidRPr="00DD3DDE" w:rsidRDefault="00000000">
      <w:pPr>
        <w:spacing w:line="259" w:lineRule="auto"/>
        <w:jc w:val="left"/>
        <w:rPr>
          <w:rFonts w:eastAsiaTheme="majorEastAsia" w:cstheme="majorBidi"/>
          <w:b/>
          <w:sz w:val="28"/>
          <w:szCs w:val="32"/>
        </w:rPr>
      </w:pPr>
      <w:r w:rsidRPr="00DD3DDE">
        <w:br w:type="page"/>
      </w:r>
    </w:p>
    <w:p w14:paraId="738F36B1" w14:textId="77777777" w:rsidR="007E6745" w:rsidRPr="00B80ED0" w:rsidRDefault="00000000" w:rsidP="007E6745">
      <w:pPr>
        <w:pStyle w:val="Heading1"/>
        <w:rPr>
          <w:color w:val="FF0000"/>
        </w:rPr>
      </w:pPr>
      <w:bookmarkStart w:id="0" w:name="_Toc150279657"/>
      <w:r w:rsidRPr="00B80ED0">
        <w:rPr>
          <w:color w:val="FF0000"/>
        </w:rPr>
        <w:lastRenderedPageBreak/>
        <w:t xml:space="preserve">1. Executive </w:t>
      </w:r>
      <w:r w:rsidR="00F52447" w:rsidRPr="00B80ED0">
        <w:rPr>
          <w:color w:val="FF0000"/>
        </w:rPr>
        <w:t>S</w:t>
      </w:r>
      <w:r w:rsidRPr="00B80ED0">
        <w:rPr>
          <w:color w:val="FF0000"/>
        </w:rPr>
        <w:t>ummary</w:t>
      </w:r>
      <w:bookmarkEnd w:id="0"/>
    </w:p>
    <w:p w14:paraId="58320E40" w14:textId="77777777" w:rsidR="00DF010E" w:rsidRPr="00B80ED0" w:rsidRDefault="00000000" w:rsidP="00DF010E">
      <w:pPr>
        <w:rPr>
          <w:color w:val="FF0000"/>
        </w:rPr>
      </w:pPr>
      <w:r w:rsidRPr="00B80ED0">
        <w:rPr>
          <w:color w:val="FF0000"/>
        </w:rPr>
        <w:t>Over the last five years, Sainsbury PLC, a significant participant in the UK's supermarket business, has been the subject of a thorough analysis, both financial and non-financial. The evaluation of Sainsbury's financial performance and status involves an analysis of crucial financial measures, including profitability, gearing, liquidity, efficiency, and investment. A PESTAL assessment and an examination of Sainsbury's borrowing tactics are used in this report's exploration of treasury management. As they point out areas that need work as well as strengths, the findings provide insightful information. To maintain financial success over the long term in the cutthroat retail industry, recommendations include tightening up cost control, becoming global, and applying strict risk administration.</w:t>
      </w:r>
    </w:p>
    <w:p w14:paraId="13598119" w14:textId="77777777" w:rsidR="007E6745" w:rsidRPr="00DD3DDE" w:rsidRDefault="00000000" w:rsidP="007E6745">
      <w:pPr>
        <w:pStyle w:val="Heading1"/>
      </w:pPr>
      <w:bookmarkStart w:id="1" w:name="_Toc150279658"/>
      <w:r w:rsidRPr="00DD3DDE">
        <w:t xml:space="preserve">2. Terms of </w:t>
      </w:r>
      <w:r w:rsidR="00F52447" w:rsidRPr="00DD3DDE">
        <w:t>R</w:t>
      </w:r>
      <w:r w:rsidRPr="00DD3DDE">
        <w:t>eference</w:t>
      </w:r>
      <w:bookmarkEnd w:id="1"/>
    </w:p>
    <w:p w14:paraId="6BBA595F" w14:textId="77777777" w:rsidR="00045ED9" w:rsidRPr="00DD3DDE" w:rsidRDefault="00000000" w:rsidP="00045ED9">
      <w:r w:rsidRPr="00DD3DDE">
        <w:t xml:space="preserve">Analysis of the financial position of Sainsbury here mainly depends on the financial ratio analysis. All the financial data and non-financial information of this company has been collected from the annual report. Treasury management strategies have also been analysed for this company. The financial and non-financial position of Sainsbury has also been analysed in this report. </w:t>
      </w:r>
    </w:p>
    <w:p w14:paraId="670381AD" w14:textId="77777777" w:rsidR="005575E3" w:rsidRPr="00DE2C72" w:rsidRDefault="00000000" w:rsidP="005575E3">
      <w:pPr>
        <w:pStyle w:val="Heading1"/>
      </w:pPr>
      <w:bookmarkStart w:id="2" w:name="_Toc150275749"/>
      <w:bookmarkStart w:id="3" w:name="_Toc150279659"/>
      <w:r w:rsidRPr="00DE2C72">
        <w:t>3. Introduction</w:t>
      </w:r>
      <w:bookmarkEnd w:id="2"/>
      <w:bookmarkEnd w:id="3"/>
    </w:p>
    <w:p w14:paraId="0C92C6E8" w14:textId="77777777" w:rsidR="00E80663" w:rsidRPr="00DE2C72" w:rsidRDefault="00000000" w:rsidP="00E80663">
      <w:r w:rsidRPr="00DE2C72">
        <w:t xml:space="preserve">This current report is going to discuss the financial and non-financial position of a company. Sainsbury is the main chosen </w:t>
      </w:r>
      <w:proofErr w:type="gramStart"/>
      <w:r w:rsidRPr="00DE2C72">
        <w:t>company,</w:t>
      </w:r>
      <w:proofErr w:type="gramEnd"/>
      <w:r w:rsidRPr="00DE2C72">
        <w:t xml:space="preserve"> here financial ratios of this company has been analysed for the last 5 years. The financial ratios also determine the financial position of the business. To analyse the financial performance of Sainsbury, here collect all the financial data from the annual report of this company. </w:t>
      </w:r>
      <w:r w:rsidRPr="0019788F">
        <w:rPr>
          <w:color w:val="FF0000"/>
        </w:rPr>
        <w:t xml:space="preserve">To analysis, the competitive analysis here also focuses on the Morrison and TESCO PLC. </w:t>
      </w:r>
      <w:r w:rsidRPr="00DE2C72">
        <w:t xml:space="preserve">Moreover, there analysis of the treasury management of this company. Treasury management is a management system which optimises a business's liquidity, while also reducing financial, operational and reputational risk. This management encompasses collections, distribution, management of capital, currencies and risk management for the organisation. </w:t>
      </w:r>
    </w:p>
    <w:p w14:paraId="75E56BD3" w14:textId="77777777" w:rsidR="00E80663" w:rsidRDefault="00000000" w:rsidP="00E80663">
      <w:pPr>
        <w:pStyle w:val="Heading2"/>
      </w:pPr>
      <w:bookmarkStart w:id="4" w:name="_Toc150277111"/>
      <w:bookmarkStart w:id="5" w:name="_Toc150279660"/>
      <w:r>
        <w:t xml:space="preserve">3.1 </w:t>
      </w:r>
      <w:r w:rsidRPr="00DE2C72">
        <w:t>Company background</w:t>
      </w:r>
      <w:bookmarkEnd w:id="4"/>
      <w:bookmarkEnd w:id="5"/>
    </w:p>
    <w:p w14:paraId="7D666AAB" w14:textId="77777777" w:rsidR="00E80663" w:rsidRDefault="00000000" w:rsidP="00E80663">
      <w:r w:rsidRPr="00CC067D">
        <w:t xml:space="preserve">Sainsbury PLC, the second-largest UK supermarket chain, has a 14.6% share of UK supermarket sales in 2022. Established in 1869, it offers delicious, high-quality food at competitive prices. The </w:t>
      </w:r>
      <w:r w:rsidRPr="00CC067D">
        <w:lastRenderedPageBreak/>
        <w:t>company's vision is to be a trusted retailer, ensuring workers and customers enjoy working and shopping together</w:t>
      </w:r>
      <w:r>
        <w:t xml:space="preserve"> (sainsburys.co.uk, 2022)</w:t>
      </w:r>
      <w:r w:rsidRPr="00CC067D">
        <w:t>.</w:t>
      </w:r>
    </w:p>
    <w:p w14:paraId="5D172D69" w14:textId="77777777" w:rsidR="00E80663" w:rsidRPr="00B91E53" w:rsidRDefault="00000000" w:rsidP="00E80663">
      <w:pPr>
        <w:pStyle w:val="Heading2"/>
        <w:rPr>
          <w:color w:val="FF0000"/>
        </w:rPr>
      </w:pPr>
      <w:bookmarkStart w:id="6" w:name="_Toc150277112"/>
      <w:bookmarkStart w:id="7" w:name="_Toc150279661"/>
      <w:r>
        <w:rPr>
          <w:color w:val="FF0000"/>
        </w:rPr>
        <w:t xml:space="preserve">3.2 </w:t>
      </w:r>
      <w:r w:rsidRPr="00B91E53">
        <w:rPr>
          <w:color w:val="FF0000"/>
        </w:rPr>
        <w:t>Major event</w:t>
      </w:r>
      <w:bookmarkEnd w:id="6"/>
      <w:bookmarkEnd w:id="7"/>
      <w:r w:rsidRPr="00B91E53">
        <w:rPr>
          <w:color w:val="FF0000"/>
        </w:rPr>
        <w:t xml:space="preserve"> </w:t>
      </w:r>
    </w:p>
    <w:p w14:paraId="5D3608C2" w14:textId="77777777" w:rsidR="00E80663" w:rsidRPr="00B91E53" w:rsidRDefault="00000000" w:rsidP="00E80663">
      <w:pPr>
        <w:pStyle w:val="ListParagraph"/>
        <w:numPr>
          <w:ilvl w:val="0"/>
          <w:numId w:val="2"/>
        </w:numPr>
        <w:rPr>
          <w:color w:val="FF0000"/>
        </w:rPr>
      </w:pPr>
      <w:r w:rsidRPr="00B91E53">
        <w:rPr>
          <w:color w:val="FF0000"/>
        </w:rPr>
        <w:t>Reducing its carbon impact and emphasising sustainability, Sainsbury's stated in April 2021 that it will invest £1 billion to become a Net Zero firm by 2040</w:t>
      </w:r>
      <w:r>
        <w:rPr>
          <w:color w:val="FF0000"/>
        </w:rPr>
        <w:t xml:space="preserve"> </w:t>
      </w:r>
      <w:r>
        <w:t>(sainsburys.co.uk, 2022)</w:t>
      </w:r>
      <w:r w:rsidRPr="00B91E53">
        <w:rPr>
          <w:color w:val="FF0000"/>
        </w:rPr>
        <w:t>.</w:t>
      </w:r>
    </w:p>
    <w:p w14:paraId="7CFADEBA" w14:textId="77777777" w:rsidR="00E80663" w:rsidRPr="00B91E53" w:rsidRDefault="00000000" w:rsidP="00E80663">
      <w:pPr>
        <w:pStyle w:val="ListParagraph"/>
        <w:numPr>
          <w:ilvl w:val="0"/>
          <w:numId w:val="2"/>
        </w:numPr>
        <w:rPr>
          <w:color w:val="FF0000"/>
        </w:rPr>
      </w:pPr>
      <w:r w:rsidRPr="00B91E53">
        <w:rPr>
          <w:color w:val="FF0000"/>
        </w:rPr>
        <w:t>Following their 2016 acquisition of the Home Retail Group, which also includes Habitat and Argos, Sainsbury's carried out integrating Argos outlets into its supermarkets in 2021.</w:t>
      </w:r>
    </w:p>
    <w:p w14:paraId="3F3F871F" w14:textId="77777777" w:rsidR="00E80663" w:rsidRPr="00B91E53" w:rsidRDefault="00000000" w:rsidP="00E80663">
      <w:pPr>
        <w:pStyle w:val="ListParagraph"/>
        <w:numPr>
          <w:ilvl w:val="0"/>
          <w:numId w:val="2"/>
        </w:numPr>
        <w:rPr>
          <w:color w:val="FF0000"/>
        </w:rPr>
      </w:pPr>
      <w:r w:rsidRPr="00B91E53">
        <w:rPr>
          <w:color w:val="FF0000"/>
        </w:rPr>
        <w:t>A strategic agreement between Sainsbury's and Uber Eats was announced in February 2022 to offer grocery delivery services to clients in specific locations, with speed</w:t>
      </w:r>
      <w:r>
        <w:rPr>
          <w:color w:val="FF0000"/>
        </w:rPr>
        <w:t xml:space="preserve"> </w:t>
      </w:r>
      <w:r>
        <w:t>(sainsburys.co.uk, 2022)</w:t>
      </w:r>
      <w:r w:rsidRPr="00B91E53">
        <w:rPr>
          <w:color w:val="FF0000"/>
        </w:rPr>
        <w:t>.</w:t>
      </w:r>
    </w:p>
    <w:p w14:paraId="032F8C5A" w14:textId="77777777" w:rsidR="00E80663" w:rsidRPr="00B91E53" w:rsidRDefault="00000000" w:rsidP="00E80663">
      <w:pPr>
        <w:pStyle w:val="ListParagraph"/>
        <w:numPr>
          <w:ilvl w:val="0"/>
          <w:numId w:val="2"/>
        </w:numPr>
        <w:rPr>
          <w:color w:val="FF0000"/>
        </w:rPr>
      </w:pPr>
      <w:r w:rsidRPr="00B91E53">
        <w:rPr>
          <w:color w:val="FF0000"/>
        </w:rPr>
        <w:t>Aware of shifting consumer tastes and growing environmental consciousness, Sainsbury's widened their product line with an emphasis on sustainable and plant-based solutions.</w:t>
      </w:r>
    </w:p>
    <w:p w14:paraId="5228153D" w14:textId="77777777" w:rsidR="00E80663" w:rsidRDefault="00000000" w:rsidP="00E80663">
      <w:pPr>
        <w:keepNext/>
        <w:jc w:val="center"/>
      </w:pPr>
      <w:r>
        <w:rPr>
          <w:noProof/>
          <w:lang w:eastAsia="en-GB"/>
        </w:rPr>
        <w:drawing>
          <wp:inline distT="0" distB="0" distL="0" distR="0" wp14:anchorId="771F4370" wp14:editId="056B097D">
            <wp:extent cx="5943600" cy="368355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8"/>
                    <a:stretch>
                      <a:fillRect/>
                    </a:stretch>
                  </pic:blipFill>
                  <pic:spPr bwMode="auto">
                    <a:xfrm>
                      <a:off x="0" y="0"/>
                      <a:ext cx="5943600" cy="3683555"/>
                    </a:xfrm>
                    <a:prstGeom prst="rect">
                      <a:avLst/>
                    </a:prstGeom>
                    <a:noFill/>
                    <a:ln w="9525">
                      <a:noFill/>
                      <a:miter lim="800000"/>
                      <a:headEnd/>
                      <a:tailEnd/>
                    </a:ln>
                  </pic:spPr>
                </pic:pic>
              </a:graphicData>
            </a:graphic>
          </wp:inline>
        </w:drawing>
      </w:r>
    </w:p>
    <w:p w14:paraId="66C39602" w14:textId="77777777" w:rsidR="009A6408" w:rsidRPr="009A6408" w:rsidRDefault="00000000" w:rsidP="003F1A3F">
      <w:pPr>
        <w:pStyle w:val="Caption"/>
      </w:pPr>
      <w:r w:rsidRPr="009A6408">
        <w:t xml:space="preserve">Figure </w:t>
      </w:r>
      <w:r w:rsidRPr="009A6408">
        <w:fldChar w:fldCharType="begin"/>
      </w:r>
      <w:r w:rsidRPr="009A6408">
        <w:instrText xml:space="preserve"> SEQ Figure \* ARABIC </w:instrText>
      </w:r>
      <w:r w:rsidRPr="009A6408">
        <w:fldChar w:fldCharType="separate"/>
      </w:r>
      <w:r w:rsidR="005B7ECF">
        <w:rPr>
          <w:noProof/>
        </w:rPr>
        <w:t>1</w:t>
      </w:r>
      <w:r w:rsidRPr="009A6408">
        <w:rPr>
          <w:noProof/>
        </w:rPr>
        <w:fldChar w:fldCharType="end"/>
      </w:r>
      <w:r w:rsidRPr="009A6408">
        <w:t>: Sainsbury's brand awareness, usage, popularity, loyalty, and buzz among online grocery delivery users in the United Kingdom in 2022</w:t>
      </w:r>
    </w:p>
    <w:p w14:paraId="785EBB31" w14:textId="77777777" w:rsidR="005575E3" w:rsidRPr="009A6408" w:rsidRDefault="00000000" w:rsidP="00C91E50">
      <w:pPr>
        <w:jc w:val="center"/>
      </w:pPr>
      <w:r w:rsidRPr="009A6408">
        <w:t>(Source: Kunst, 2023)</w:t>
      </w:r>
    </w:p>
    <w:p w14:paraId="6540394A" w14:textId="77777777" w:rsidR="00FD431F" w:rsidRDefault="00000000" w:rsidP="00FD431F">
      <w:pPr>
        <w:pStyle w:val="Heading1"/>
      </w:pPr>
      <w:bookmarkStart w:id="8" w:name="_Toc150275752"/>
      <w:bookmarkStart w:id="9" w:name="_Toc150279662"/>
      <w:r w:rsidRPr="00DE2C72">
        <w:lastRenderedPageBreak/>
        <w:t>4. Financial performance analysis findings</w:t>
      </w:r>
      <w:bookmarkEnd w:id="8"/>
      <w:bookmarkEnd w:id="9"/>
    </w:p>
    <w:p w14:paraId="6BE2BAB3" w14:textId="77777777" w:rsidR="00451D99" w:rsidRPr="003E4EC9" w:rsidRDefault="00000000" w:rsidP="00451D99">
      <w:pPr>
        <w:pStyle w:val="Heading2"/>
        <w:rPr>
          <w:color w:val="FF0000"/>
        </w:rPr>
      </w:pPr>
      <w:bookmarkStart w:id="10" w:name="_Toc150277114"/>
      <w:bookmarkStart w:id="11" w:name="_Toc150279663"/>
      <w:r>
        <w:rPr>
          <w:color w:val="FF0000"/>
        </w:rPr>
        <w:t xml:space="preserve">4.1 </w:t>
      </w:r>
      <w:r w:rsidRPr="003E4EC9">
        <w:rPr>
          <w:color w:val="FF0000"/>
        </w:rPr>
        <w:t>Profitability ratio</w:t>
      </w:r>
      <w:bookmarkEnd w:id="10"/>
      <w:bookmarkEnd w:id="11"/>
    </w:p>
    <w:p w14:paraId="742157AA" w14:textId="77777777" w:rsidR="00451D99" w:rsidRPr="007A03B7" w:rsidRDefault="00000000" w:rsidP="00451D99">
      <w:pPr>
        <w:rPr>
          <w:color w:val="FF0000"/>
        </w:rPr>
      </w:pPr>
      <w:r w:rsidRPr="003E4EC9">
        <w:rPr>
          <w:color w:val="FF0000"/>
        </w:rPr>
        <w:t>The current section of this report mainly focuses on the profitability ratios. The profitability ratios indicate the</w:t>
      </w:r>
      <w:r w:rsidRPr="007A03B7">
        <w:rPr>
          <w:color w:val="FF0000"/>
        </w:rPr>
        <w:t xml:space="preserve"> revenue and the profit margin of the business. Depending on the net profit and operating profit margin here determine the profitability position of Sainsbury. </w:t>
      </w:r>
    </w:p>
    <w:p w14:paraId="3E2D11AA" w14:textId="77777777" w:rsidR="00451D99" w:rsidRPr="00581583" w:rsidRDefault="00000000" w:rsidP="00581583">
      <w:pPr>
        <w:pStyle w:val="Heading3"/>
      </w:pPr>
      <w:bookmarkStart w:id="12" w:name="_Toc150279664"/>
      <w:r w:rsidRPr="00581583">
        <w:t>Net profit ratio</w:t>
      </w:r>
      <w:bookmarkEnd w:id="12"/>
      <w:r w:rsidRPr="00581583">
        <w:t xml:space="preserve"> </w:t>
      </w:r>
    </w:p>
    <w:p w14:paraId="620B78CD" w14:textId="77777777" w:rsidR="00451D99" w:rsidRDefault="00000000" w:rsidP="00451D99">
      <w:pPr>
        <w:rPr>
          <w:color w:val="FF0000"/>
        </w:rPr>
      </w:pPr>
      <w:r w:rsidRPr="007A03B7">
        <w:rPr>
          <w:color w:val="FF0000"/>
        </w:rPr>
        <w:t>The higher rate of Net profit margin indicates a strong profit margin for the business</w:t>
      </w:r>
      <w:r>
        <w:rPr>
          <w:color w:val="FF0000"/>
        </w:rPr>
        <w:t xml:space="preserve"> (</w:t>
      </w:r>
      <w:r>
        <w:rPr>
          <w:shd w:val="clear" w:color="auto" w:fill="FFFFFF"/>
        </w:rPr>
        <w:t>Mulyadi and Sinaga, 2020)</w:t>
      </w:r>
      <w:r w:rsidRPr="007A03B7">
        <w:rPr>
          <w:color w:val="FF0000"/>
        </w:rPr>
        <w:t>. As per the analysis section, the Net profit margin was 2.26%, -0.69%, 0.52%m 0.64% and 1.09% for Sainsbury PLC</w:t>
      </w:r>
      <w:r>
        <w:rPr>
          <w:color w:val="FF0000"/>
        </w:rPr>
        <w:t xml:space="preserve"> </w:t>
      </w:r>
      <w:r>
        <w:t>(sainsburys.co.uk, 2022)</w:t>
      </w:r>
      <w:r w:rsidRPr="007A03B7">
        <w:rPr>
          <w:color w:val="FF0000"/>
        </w:rPr>
        <w:t>. For the competitors, this ratio is also positive. According to the ratio analysis, TESCO is a stronger competitor for Sainsbury. For TESCO PLC this ratio</w:t>
      </w:r>
      <w:r>
        <w:rPr>
          <w:color w:val="FF0000"/>
        </w:rPr>
        <w:t xml:space="preserve"> is </w:t>
      </w:r>
      <w:r w:rsidRPr="007A03B7">
        <w:rPr>
          <w:color w:val="FF0000"/>
        </w:rPr>
        <w:t xml:space="preserve">more than 10% in 2021. On the other </w:t>
      </w:r>
      <w:proofErr w:type="gramStart"/>
      <w:r w:rsidRPr="007A03B7">
        <w:rPr>
          <w:color w:val="FF0000"/>
        </w:rPr>
        <w:t>hand</w:t>
      </w:r>
      <w:proofErr w:type="gramEnd"/>
      <w:r w:rsidRPr="007A03B7">
        <w:rPr>
          <w:color w:val="FF0000"/>
        </w:rPr>
        <w:t xml:space="preserve"> for Morrison PLC this ratio was negative in the last 2 years</w:t>
      </w:r>
      <w:r>
        <w:rPr>
          <w:color w:val="FF0000"/>
        </w:rPr>
        <w:t xml:space="preserve"> (</w:t>
      </w:r>
      <w:r w:rsidRPr="001658F4">
        <w:t>morrisons-corporate.com</w:t>
      </w:r>
      <w:r>
        <w:t>, 2022)</w:t>
      </w:r>
      <w:r w:rsidRPr="007A03B7">
        <w:rPr>
          <w:color w:val="FF0000"/>
        </w:rPr>
        <w:t xml:space="preserve">. </w:t>
      </w:r>
    </w:p>
    <w:p w14:paraId="6D264CB4" w14:textId="77777777" w:rsidR="00451D99" w:rsidRDefault="00000000" w:rsidP="00451D99">
      <w:pPr>
        <w:keepNext/>
        <w:jc w:val="center"/>
      </w:pPr>
      <w:r>
        <w:rPr>
          <w:noProof/>
          <w:color w:val="FF0000"/>
          <w:lang w:eastAsia="en-GB"/>
        </w:rPr>
        <w:drawing>
          <wp:inline distT="0" distB="0" distL="0" distR="0" wp14:anchorId="7657C62A" wp14:editId="205A3D95">
            <wp:extent cx="3657600" cy="2232660"/>
            <wp:effectExtent l="19050" t="19050" r="19050" b="1524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9"/>
                    <a:stretch>
                      <a:fillRect/>
                    </a:stretch>
                  </pic:blipFill>
                  <pic:spPr bwMode="auto">
                    <a:xfrm>
                      <a:off x="0" y="0"/>
                      <a:ext cx="3657600" cy="2232660"/>
                    </a:xfrm>
                    <a:prstGeom prst="rect">
                      <a:avLst/>
                    </a:prstGeom>
                    <a:noFill/>
                    <a:ln w="9525">
                      <a:solidFill>
                        <a:schemeClr val="tx1"/>
                      </a:solidFill>
                      <a:miter lim="800000"/>
                      <a:headEnd/>
                      <a:tailEnd/>
                    </a:ln>
                  </pic:spPr>
                </pic:pic>
              </a:graphicData>
            </a:graphic>
          </wp:inline>
        </w:drawing>
      </w:r>
    </w:p>
    <w:p w14:paraId="7159755F" w14:textId="77777777" w:rsidR="00451D99" w:rsidRDefault="00000000" w:rsidP="003F1A3F">
      <w:pPr>
        <w:pStyle w:val="Caption"/>
        <w:rPr>
          <w:noProof/>
        </w:rPr>
      </w:pPr>
      <w:r>
        <w:t xml:space="preserve">Figure </w:t>
      </w:r>
      <w:r>
        <w:fldChar w:fldCharType="begin"/>
      </w:r>
      <w:r>
        <w:instrText xml:space="preserve"> SEQ Figure \* ARABIC </w:instrText>
      </w:r>
      <w:r>
        <w:fldChar w:fldCharType="separate"/>
      </w:r>
      <w:r w:rsidR="005B7ECF">
        <w:rPr>
          <w:noProof/>
        </w:rPr>
        <w:t>2</w:t>
      </w:r>
      <w:r>
        <w:rPr>
          <w:noProof/>
        </w:rPr>
        <w:fldChar w:fldCharType="end"/>
      </w:r>
      <w:r>
        <w:rPr>
          <w:noProof/>
        </w:rPr>
        <w:t>: Net profit margin</w:t>
      </w:r>
    </w:p>
    <w:p w14:paraId="0FF8B194" w14:textId="77777777" w:rsidR="00451D99" w:rsidRPr="00825392" w:rsidRDefault="00000000" w:rsidP="00451D99">
      <w:pPr>
        <w:jc w:val="center"/>
      </w:pPr>
      <w:r>
        <w:t>(Source: sainsburys.co.uk¸2022)</w:t>
      </w:r>
    </w:p>
    <w:p w14:paraId="52C13C2D" w14:textId="77777777" w:rsidR="00451D99" w:rsidRPr="00581583" w:rsidRDefault="00000000" w:rsidP="00581583">
      <w:pPr>
        <w:pStyle w:val="Heading3"/>
      </w:pPr>
      <w:bookmarkStart w:id="13" w:name="_Toc150279665"/>
      <w:r w:rsidRPr="00581583">
        <w:t>Operating profit ratio</w:t>
      </w:r>
      <w:bookmarkEnd w:id="13"/>
      <w:r w:rsidRPr="00581583">
        <w:t xml:space="preserve"> </w:t>
      </w:r>
    </w:p>
    <w:p w14:paraId="5A2E7A24" w14:textId="77777777" w:rsidR="00451D99" w:rsidRDefault="00000000" w:rsidP="00451D99">
      <w:pPr>
        <w:rPr>
          <w:color w:val="FF0000"/>
        </w:rPr>
      </w:pPr>
      <w:r w:rsidRPr="007A03B7">
        <w:rPr>
          <w:color w:val="FF0000"/>
        </w:rPr>
        <w:t xml:space="preserve">Operating profit ratio analysis is another effective profitability ratio. This profit margin determines the deduction of the </w:t>
      </w:r>
      <w:r>
        <w:rPr>
          <w:color w:val="FF0000"/>
        </w:rPr>
        <w:t>operational cost from the gross profit value of the business (</w:t>
      </w:r>
      <w:proofErr w:type="spellStart"/>
      <w:r>
        <w:rPr>
          <w:shd w:val="clear" w:color="auto" w:fill="FFFFFF"/>
        </w:rPr>
        <w:t>Choiriyah</w:t>
      </w:r>
      <w:proofErr w:type="spellEnd"/>
      <w:r>
        <w:rPr>
          <w:shd w:val="clear" w:color="auto" w:fill="FFFFFF"/>
        </w:rPr>
        <w:t xml:space="preserve"> </w:t>
      </w:r>
      <w:r w:rsidRPr="00681EC4">
        <w:rPr>
          <w:i/>
          <w:shd w:val="clear" w:color="auto" w:fill="FFFFFF"/>
        </w:rPr>
        <w:t>et al.,</w:t>
      </w:r>
      <w:r>
        <w:rPr>
          <w:shd w:val="clear" w:color="auto" w:fill="FFFFFF"/>
        </w:rPr>
        <w:t xml:space="preserve"> 2020)</w:t>
      </w:r>
      <w:r>
        <w:rPr>
          <w:color w:val="FF0000"/>
        </w:rPr>
        <w:t xml:space="preserve">. As per the analysis, section OP's margin for Sainsbury was higher in the year 2022. In 2022 this ratio was 3.3% whereas the OP margin for Morrison was 0.12%. The OP margin for Sainsbury </w:t>
      </w:r>
      <w:r>
        <w:rPr>
          <w:color w:val="FF0000"/>
        </w:rPr>
        <w:lastRenderedPageBreak/>
        <w:t xml:space="preserve">increases yearly and in the middle of the analysis period 2021, this margin fell. On the other </w:t>
      </w:r>
      <w:proofErr w:type="gramStart"/>
      <w:r>
        <w:rPr>
          <w:color w:val="FF0000"/>
        </w:rPr>
        <w:t>hand</w:t>
      </w:r>
      <w:proofErr w:type="gramEnd"/>
      <w:r>
        <w:rPr>
          <w:color w:val="FF0000"/>
        </w:rPr>
        <w:t xml:space="preserve"> for Tesco PLC this ratio has stability (</w:t>
      </w:r>
      <w:r>
        <w:t>tescoplc.com, 2022)</w:t>
      </w:r>
      <w:r>
        <w:rPr>
          <w:color w:val="FF0000"/>
        </w:rPr>
        <w:t xml:space="preserve">. </w:t>
      </w:r>
    </w:p>
    <w:p w14:paraId="44109138" w14:textId="77777777" w:rsidR="00451D99" w:rsidRDefault="00000000" w:rsidP="00451D99">
      <w:pPr>
        <w:keepNext/>
        <w:jc w:val="center"/>
      </w:pPr>
      <w:r>
        <w:rPr>
          <w:noProof/>
          <w:color w:val="FF0000"/>
          <w:lang w:eastAsia="en-GB"/>
        </w:rPr>
        <w:drawing>
          <wp:inline distT="0" distB="0" distL="0" distR="0" wp14:anchorId="40F94E94" wp14:editId="37484840">
            <wp:extent cx="3681095" cy="2232660"/>
            <wp:effectExtent l="19050" t="19050" r="14605" b="1524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0"/>
                    <pic:cNvPicPr>
                      <a:picLocks noChangeAspect="1" noChangeArrowheads="1"/>
                    </pic:cNvPicPr>
                  </pic:nvPicPr>
                  <pic:blipFill>
                    <a:blip r:embed="rId10"/>
                    <a:stretch>
                      <a:fillRect/>
                    </a:stretch>
                  </pic:blipFill>
                  <pic:spPr bwMode="auto">
                    <a:xfrm>
                      <a:off x="0" y="0"/>
                      <a:ext cx="3681095" cy="2232660"/>
                    </a:xfrm>
                    <a:prstGeom prst="rect">
                      <a:avLst/>
                    </a:prstGeom>
                    <a:noFill/>
                    <a:ln w="9525">
                      <a:solidFill>
                        <a:schemeClr val="tx1"/>
                      </a:solidFill>
                      <a:miter lim="800000"/>
                      <a:headEnd/>
                      <a:tailEnd/>
                    </a:ln>
                  </pic:spPr>
                </pic:pic>
              </a:graphicData>
            </a:graphic>
          </wp:inline>
        </w:drawing>
      </w:r>
    </w:p>
    <w:p w14:paraId="4A9FD886" w14:textId="77777777" w:rsidR="00451D99" w:rsidRDefault="00000000" w:rsidP="003F1A3F">
      <w:pPr>
        <w:pStyle w:val="Caption"/>
      </w:pPr>
      <w:r>
        <w:t xml:space="preserve">Figure </w:t>
      </w:r>
      <w:r>
        <w:fldChar w:fldCharType="begin"/>
      </w:r>
      <w:r>
        <w:instrText xml:space="preserve"> SEQ Figure \* ARABIC </w:instrText>
      </w:r>
      <w:r>
        <w:fldChar w:fldCharType="separate"/>
      </w:r>
      <w:r w:rsidR="005B7ECF">
        <w:rPr>
          <w:noProof/>
        </w:rPr>
        <w:t>3</w:t>
      </w:r>
      <w:r>
        <w:rPr>
          <w:noProof/>
        </w:rPr>
        <w:fldChar w:fldCharType="end"/>
      </w:r>
      <w:r>
        <w:t>: Operating profit ratio</w:t>
      </w:r>
    </w:p>
    <w:p w14:paraId="71427BF2" w14:textId="77777777" w:rsidR="00451D99" w:rsidRPr="00825392" w:rsidRDefault="00000000" w:rsidP="00451D99">
      <w:pPr>
        <w:jc w:val="center"/>
      </w:pPr>
      <w:r>
        <w:t>(Source: sainsburys.co.uk¸2022)</w:t>
      </w:r>
    </w:p>
    <w:p w14:paraId="1E99E901" w14:textId="77777777" w:rsidR="00451D99" w:rsidRDefault="00000000" w:rsidP="00451D99">
      <w:pPr>
        <w:keepNext/>
      </w:pPr>
      <w:r>
        <w:rPr>
          <w:noProof/>
          <w:lang w:eastAsia="en-GB"/>
        </w:rPr>
        <w:drawing>
          <wp:inline distT="0" distB="0" distL="0" distR="0" wp14:anchorId="6B0899D6" wp14:editId="440297BC">
            <wp:extent cx="6749885" cy="129441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11"/>
                    <a:stretch>
                      <a:fillRect/>
                    </a:stretch>
                  </pic:blipFill>
                  <pic:spPr bwMode="auto">
                    <a:xfrm>
                      <a:off x="0" y="0"/>
                      <a:ext cx="6775718" cy="1299364"/>
                    </a:xfrm>
                    <a:prstGeom prst="rect">
                      <a:avLst/>
                    </a:prstGeom>
                    <a:noFill/>
                    <a:ln w="9525">
                      <a:noFill/>
                      <a:miter lim="800000"/>
                      <a:headEnd/>
                      <a:tailEnd/>
                    </a:ln>
                  </pic:spPr>
                </pic:pic>
              </a:graphicData>
            </a:graphic>
          </wp:inline>
        </w:drawing>
      </w:r>
    </w:p>
    <w:p w14:paraId="118C8908" w14:textId="77777777" w:rsidR="00451D99" w:rsidRPr="00871B8F" w:rsidRDefault="00000000" w:rsidP="003F1A3F">
      <w:pPr>
        <w:pStyle w:val="Caption"/>
        <w:rPr>
          <w:noProof/>
        </w:rPr>
      </w:pPr>
      <w:r w:rsidRPr="00871B8F">
        <w:t xml:space="preserve">Table </w:t>
      </w:r>
      <w:r w:rsidRPr="00871B8F">
        <w:fldChar w:fldCharType="begin"/>
      </w:r>
      <w:r w:rsidRPr="00871B8F">
        <w:instrText xml:space="preserve"> SEQ Table \* ARABIC </w:instrText>
      </w:r>
      <w:r w:rsidRPr="00871B8F">
        <w:fldChar w:fldCharType="separate"/>
      </w:r>
      <w:r w:rsidR="00C13490">
        <w:rPr>
          <w:noProof/>
        </w:rPr>
        <w:t>1</w:t>
      </w:r>
      <w:r w:rsidRPr="00871B8F">
        <w:fldChar w:fldCharType="end"/>
      </w:r>
      <w:r w:rsidRPr="00871B8F">
        <w:rPr>
          <w:noProof/>
        </w:rPr>
        <w:t>: Profitability ratio analysis</w:t>
      </w:r>
    </w:p>
    <w:p w14:paraId="5771BE30" w14:textId="77777777" w:rsidR="00451D99" w:rsidRPr="00871B8F" w:rsidRDefault="00000000" w:rsidP="00451D99">
      <w:pPr>
        <w:jc w:val="center"/>
        <w:rPr>
          <w:color w:val="FF0000"/>
        </w:rPr>
      </w:pPr>
      <w:r w:rsidRPr="00871B8F">
        <w:rPr>
          <w:color w:val="FF0000"/>
        </w:rPr>
        <w:t>(Source: Annual report)</w:t>
      </w:r>
    </w:p>
    <w:p w14:paraId="419A1FD0" w14:textId="77777777" w:rsidR="00451D99" w:rsidRPr="00871B8F" w:rsidRDefault="00000000" w:rsidP="00451D99">
      <w:pPr>
        <w:pStyle w:val="Heading2"/>
        <w:rPr>
          <w:color w:val="FF0000"/>
        </w:rPr>
      </w:pPr>
      <w:bookmarkStart w:id="14" w:name="_Toc150277115"/>
      <w:bookmarkStart w:id="15" w:name="_Toc150279666"/>
      <w:r>
        <w:rPr>
          <w:color w:val="FF0000"/>
        </w:rPr>
        <w:t xml:space="preserve">4.2 </w:t>
      </w:r>
      <w:r w:rsidRPr="00871B8F">
        <w:rPr>
          <w:color w:val="FF0000"/>
        </w:rPr>
        <w:t>Gearing ratio</w:t>
      </w:r>
      <w:bookmarkEnd w:id="14"/>
      <w:bookmarkEnd w:id="15"/>
      <w:r w:rsidRPr="00871B8F">
        <w:rPr>
          <w:color w:val="FF0000"/>
        </w:rPr>
        <w:t xml:space="preserve"> </w:t>
      </w:r>
    </w:p>
    <w:p w14:paraId="50C34960" w14:textId="77777777" w:rsidR="00451D99" w:rsidRPr="00581583" w:rsidRDefault="00000000" w:rsidP="00581583">
      <w:pPr>
        <w:pStyle w:val="Heading3"/>
      </w:pPr>
      <w:bookmarkStart w:id="16" w:name="_Toc150279667"/>
      <w:r w:rsidRPr="00581583">
        <w:t>DE ratio</w:t>
      </w:r>
      <w:bookmarkEnd w:id="16"/>
      <w:r w:rsidRPr="00581583">
        <w:t xml:space="preserve"> </w:t>
      </w:r>
    </w:p>
    <w:p w14:paraId="6EE2C768" w14:textId="77777777" w:rsidR="00451D99" w:rsidRPr="00871B8F" w:rsidRDefault="00000000" w:rsidP="00451D99">
      <w:pPr>
        <w:rPr>
          <w:color w:val="FF0000"/>
        </w:rPr>
      </w:pPr>
      <w:r w:rsidRPr="00871B8F">
        <w:rPr>
          <w:color w:val="FF0000"/>
        </w:rPr>
        <w:t>The DE margin represents the debt and equity position of the business</w:t>
      </w:r>
      <w:r>
        <w:rPr>
          <w:color w:val="FF0000"/>
        </w:rPr>
        <w:t xml:space="preserve"> (</w:t>
      </w:r>
      <w:proofErr w:type="spellStart"/>
      <w:r>
        <w:rPr>
          <w:shd w:val="clear" w:color="auto" w:fill="FFFFFF"/>
        </w:rPr>
        <w:t>Hertina</w:t>
      </w:r>
      <w:proofErr w:type="spellEnd"/>
      <w:r>
        <w:rPr>
          <w:shd w:val="clear" w:color="auto" w:fill="FFFFFF"/>
        </w:rPr>
        <w:t>, 2021)</w:t>
      </w:r>
      <w:r w:rsidRPr="00871B8F">
        <w:rPr>
          <w:color w:val="FF0000"/>
        </w:rPr>
        <w:t>. For Sainsbury PLC this ratio is more than 1.00, for that reason, this margin indicates Sainsbury depends on the debt value than equity. On the other side for Tesco PLC this margin was less than 1.00 for the years 2021 and 2022</w:t>
      </w:r>
      <w:r>
        <w:rPr>
          <w:color w:val="FF0000"/>
        </w:rPr>
        <w:t xml:space="preserve"> (</w:t>
      </w:r>
      <w:r>
        <w:t>tescoplc.com, 2022)</w:t>
      </w:r>
      <w:r w:rsidRPr="00871B8F">
        <w:rPr>
          <w:color w:val="FF0000"/>
        </w:rPr>
        <w:t xml:space="preserve">. Morrison's DE margin was less than 1.00 for the last 5 years, this margin also indicates Morrison might be focused on the debt for business </w:t>
      </w:r>
      <w:r w:rsidRPr="00871B8F">
        <w:rPr>
          <w:color w:val="FF0000"/>
        </w:rPr>
        <w:lastRenderedPageBreak/>
        <w:t>development</w:t>
      </w:r>
      <w:r>
        <w:rPr>
          <w:color w:val="FF0000"/>
        </w:rPr>
        <w:t xml:space="preserve"> (</w:t>
      </w:r>
      <w:r w:rsidRPr="001658F4">
        <w:t>morrisons-corporate.com</w:t>
      </w:r>
      <w:r>
        <w:t>, 2022)</w:t>
      </w:r>
      <w:r w:rsidRPr="00871B8F">
        <w:rPr>
          <w:color w:val="FF0000"/>
        </w:rPr>
        <w:t xml:space="preserve">. The higher rate of DE margin increases the risk rate for lower debt-to-equity margins favourable for business. </w:t>
      </w:r>
    </w:p>
    <w:p w14:paraId="0D08D154" w14:textId="77777777" w:rsidR="00451D99" w:rsidRDefault="00000000" w:rsidP="00451D99">
      <w:pPr>
        <w:keepNext/>
        <w:jc w:val="center"/>
      </w:pPr>
      <w:r w:rsidRPr="00871B8F">
        <w:rPr>
          <w:noProof/>
          <w:color w:val="FF0000"/>
          <w:lang w:eastAsia="en-GB"/>
        </w:rPr>
        <w:drawing>
          <wp:inline distT="0" distB="0" distL="0" distR="0" wp14:anchorId="3283DDD7" wp14:editId="07E25315">
            <wp:extent cx="3681095" cy="2185035"/>
            <wp:effectExtent l="19050" t="19050" r="14605" b="247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a:stretch>
                      <a:fillRect/>
                    </a:stretch>
                  </pic:blipFill>
                  <pic:spPr bwMode="auto">
                    <a:xfrm>
                      <a:off x="0" y="0"/>
                      <a:ext cx="3681095" cy="2185035"/>
                    </a:xfrm>
                    <a:prstGeom prst="rect">
                      <a:avLst/>
                    </a:prstGeom>
                    <a:noFill/>
                    <a:ln w="9525">
                      <a:solidFill>
                        <a:schemeClr val="tx1"/>
                      </a:solidFill>
                      <a:miter lim="800000"/>
                      <a:headEnd/>
                      <a:tailEnd/>
                    </a:ln>
                  </pic:spPr>
                </pic:pic>
              </a:graphicData>
            </a:graphic>
          </wp:inline>
        </w:drawing>
      </w:r>
    </w:p>
    <w:p w14:paraId="26533066" w14:textId="77777777" w:rsidR="00451D99" w:rsidRDefault="00000000" w:rsidP="003F1A3F">
      <w:pPr>
        <w:pStyle w:val="Caption"/>
        <w:rPr>
          <w:noProof/>
        </w:rPr>
      </w:pPr>
      <w:r>
        <w:t xml:space="preserve">Figure </w:t>
      </w:r>
      <w:r>
        <w:fldChar w:fldCharType="begin"/>
      </w:r>
      <w:r>
        <w:instrText xml:space="preserve"> SEQ Figure \* ARABIC </w:instrText>
      </w:r>
      <w:r>
        <w:fldChar w:fldCharType="separate"/>
      </w:r>
      <w:r w:rsidR="005B7ECF">
        <w:rPr>
          <w:noProof/>
        </w:rPr>
        <w:t>4</w:t>
      </w:r>
      <w:r>
        <w:rPr>
          <w:noProof/>
        </w:rPr>
        <w:fldChar w:fldCharType="end"/>
      </w:r>
      <w:r>
        <w:rPr>
          <w:noProof/>
        </w:rPr>
        <w:t>: D/E ratio</w:t>
      </w:r>
    </w:p>
    <w:p w14:paraId="60748B53" w14:textId="77777777" w:rsidR="00451D99" w:rsidRPr="00825392" w:rsidRDefault="00000000" w:rsidP="00451D99">
      <w:pPr>
        <w:jc w:val="center"/>
      </w:pPr>
      <w:r>
        <w:t>(Source: sainsburys.co.uk¸2022)</w:t>
      </w:r>
    </w:p>
    <w:p w14:paraId="7211D9EC" w14:textId="77777777" w:rsidR="00451D99" w:rsidRPr="00581583" w:rsidRDefault="00000000" w:rsidP="00581583">
      <w:pPr>
        <w:pStyle w:val="Heading3"/>
      </w:pPr>
      <w:bookmarkStart w:id="17" w:name="_Toc150279668"/>
      <w:r w:rsidRPr="00581583">
        <w:t>Interest coverage ratio</w:t>
      </w:r>
      <w:bookmarkEnd w:id="17"/>
      <w:r w:rsidRPr="00581583">
        <w:t xml:space="preserve"> </w:t>
      </w:r>
    </w:p>
    <w:p w14:paraId="31E22CB8" w14:textId="77777777" w:rsidR="00451D99" w:rsidRPr="0007020E" w:rsidRDefault="00000000" w:rsidP="00451D99">
      <w:pPr>
        <w:rPr>
          <w:color w:val="FF0000"/>
        </w:rPr>
      </w:pPr>
      <w:r w:rsidRPr="0007020E">
        <w:rPr>
          <w:color w:val="FF0000"/>
        </w:rPr>
        <w:t>The interest coverage ratio indicates the ability of the company to cover the interest expenses by its operating profit. In that case, higher rates of interest coverage ratio indicate company easily cover its financial cost by EBIT</w:t>
      </w:r>
      <w:r>
        <w:rPr>
          <w:color w:val="FF0000"/>
        </w:rPr>
        <w:t xml:space="preserve"> (</w:t>
      </w:r>
      <w:r>
        <w:rPr>
          <w:shd w:val="clear" w:color="auto" w:fill="FFFFFF"/>
        </w:rPr>
        <w:t>Kurnia, 2022)</w:t>
      </w:r>
      <w:r w:rsidRPr="0007020E">
        <w:rPr>
          <w:color w:val="FF0000"/>
        </w:rPr>
        <w:t>. According to the analysis section, the interest coverage ratio was 3.590, 0443, 1.603, 1.407and 3.700 for Sainsbury</w:t>
      </w:r>
      <w:r>
        <w:rPr>
          <w:color w:val="FF0000"/>
        </w:rPr>
        <w:t xml:space="preserve"> </w:t>
      </w:r>
      <w:r>
        <w:t>(sainsburys.co.uk, 2022)</w:t>
      </w:r>
      <w:r w:rsidRPr="0007020E">
        <w:rPr>
          <w:color w:val="FF0000"/>
        </w:rPr>
        <w:t xml:space="preserve">. On the other </w:t>
      </w:r>
      <w:proofErr w:type="gramStart"/>
      <w:r w:rsidRPr="0007020E">
        <w:rPr>
          <w:color w:val="FF0000"/>
        </w:rPr>
        <w:t>hand</w:t>
      </w:r>
      <w:proofErr w:type="gramEnd"/>
      <w:r w:rsidRPr="0007020E">
        <w:rPr>
          <w:color w:val="FF0000"/>
        </w:rPr>
        <w:t xml:space="preserve"> for TESCO and Morrison PLC, this margin is also better. For Morrison PLC interest coverage ratio decreased for 2021 and 2022</w:t>
      </w:r>
      <w:r>
        <w:rPr>
          <w:color w:val="FF0000"/>
        </w:rPr>
        <w:t xml:space="preserve"> (</w:t>
      </w:r>
      <w:r w:rsidRPr="001658F4">
        <w:t>morrisons-corporate.com</w:t>
      </w:r>
      <w:r>
        <w:t>, 2022)</w:t>
      </w:r>
      <w:r w:rsidRPr="0007020E">
        <w:rPr>
          <w:color w:val="FF0000"/>
        </w:rPr>
        <w:t xml:space="preserve">. </w:t>
      </w:r>
    </w:p>
    <w:p w14:paraId="4CDA5D98" w14:textId="77777777" w:rsidR="00451D99" w:rsidRDefault="00000000" w:rsidP="00451D99">
      <w:pPr>
        <w:keepNext/>
        <w:jc w:val="center"/>
      </w:pPr>
      <w:r>
        <w:rPr>
          <w:noProof/>
          <w:lang w:eastAsia="en-GB"/>
        </w:rPr>
        <w:lastRenderedPageBreak/>
        <w:drawing>
          <wp:inline distT="0" distB="0" distL="0" distR="0" wp14:anchorId="1099F52B" wp14:editId="7D5F305C">
            <wp:extent cx="3677285" cy="2209800"/>
            <wp:effectExtent l="19050" t="0" r="0" b="0"/>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
                    <pic:cNvPicPr>
                      <a:picLocks noChangeAspect="1" noChangeArrowheads="1"/>
                    </pic:cNvPicPr>
                  </pic:nvPicPr>
                  <pic:blipFill>
                    <a:blip r:embed="rId13"/>
                    <a:stretch>
                      <a:fillRect/>
                    </a:stretch>
                  </pic:blipFill>
                  <pic:spPr bwMode="auto">
                    <a:xfrm>
                      <a:off x="0" y="0"/>
                      <a:ext cx="3677285" cy="2209800"/>
                    </a:xfrm>
                    <a:prstGeom prst="rect">
                      <a:avLst/>
                    </a:prstGeom>
                    <a:noFill/>
                  </pic:spPr>
                </pic:pic>
              </a:graphicData>
            </a:graphic>
          </wp:inline>
        </w:drawing>
      </w:r>
    </w:p>
    <w:p w14:paraId="70456662" w14:textId="77777777" w:rsidR="00451D99" w:rsidRDefault="00000000" w:rsidP="003F1A3F">
      <w:pPr>
        <w:pStyle w:val="Caption"/>
      </w:pPr>
      <w:r>
        <w:t xml:space="preserve">Figure </w:t>
      </w:r>
      <w:r>
        <w:fldChar w:fldCharType="begin"/>
      </w:r>
      <w:r>
        <w:instrText xml:space="preserve"> SEQ Figure \* ARABIC </w:instrText>
      </w:r>
      <w:r>
        <w:fldChar w:fldCharType="separate"/>
      </w:r>
      <w:r w:rsidR="005B7ECF">
        <w:rPr>
          <w:noProof/>
        </w:rPr>
        <w:t>5</w:t>
      </w:r>
      <w:r>
        <w:rPr>
          <w:noProof/>
        </w:rPr>
        <w:fldChar w:fldCharType="end"/>
      </w:r>
      <w:r>
        <w:t>: Interest coverage ratio</w:t>
      </w:r>
    </w:p>
    <w:p w14:paraId="3175B976" w14:textId="77777777" w:rsidR="00451D99" w:rsidRPr="00825392" w:rsidRDefault="00000000" w:rsidP="00451D99">
      <w:pPr>
        <w:jc w:val="center"/>
      </w:pPr>
      <w:r>
        <w:t>(Source: sainsburys.co.uk¸2022)</w:t>
      </w:r>
    </w:p>
    <w:p w14:paraId="0C58A116" w14:textId="77777777" w:rsidR="00451D99" w:rsidRDefault="00000000" w:rsidP="00451D99">
      <w:pPr>
        <w:keepNext/>
        <w:jc w:val="center"/>
      </w:pPr>
      <w:r w:rsidRPr="006966E2">
        <w:rPr>
          <w:noProof/>
          <w:lang w:eastAsia="en-GB"/>
        </w:rPr>
        <w:drawing>
          <wp:inline distT="0" distB="0" distL="0" distR="0" wp14:anchorId="47CF2D09" wp14:editId="71FF9699">
            <wp:extent cx="6587886" cy="1199408"/>
            <wp:effectExtent l="19050" t="0" r="3414" b="0"/>
            <wp:docPr id="1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23"/>
                    <pic:cNvPicPr>
                      <a:picLocks noChangeAspect="1" noChangeArrowheads="1"/>
                    </pic:cNvPicPr>
                  </pic:nvPicPr>
                  <pic:blipFill>
                    <a:blip r:embed="rId14"/>
                    <a:stretch>
                      <a:fillRect/>
                    </a:stretch>
                  </pic:blipFill>
                  <pic:spPr bwMode="auto">
                    <a:xfrm>
                      <a:off x="0" y="0"/>
                      <a:ext cx="6605039" cy="1202531"/>
                    </a:xfrm>
                    <a:prstGeom prst="rect">
                      <a:avLst/>
                    </a:prstGeom>
                    <a:noFill/>
                    <a:ln w="9525">
                      <a:noFill/>
                      <a:miter lim="800000"/>
                      <a:headEnd/>
                      <a:tailEnd/>
                    </a:ln>
                  </pic:spPr>
                </pic:pic>
              </a:graphicData>
            </a:graphic>
          </wp:inline>
        </w:drawing>
      </w:r>
    </w:p>
    <w:p w14:paraId="3F288BD4" w14:textId="77777777" w:rsidR="00451D99" w:rsidRPr="00EA2A0B" w:rsidRDefault="00000000" w:rsidP="003F1A3F">
      <w:pPr>
        <w:pStyle w:val="Caption"/>
      </w:pPr>
      <w:r w:rsidRPr="00EA2A0B">
        <w:t xml:space="preserve">Figure </w:t>
      </w:r>
      <w:r w:rsidRPr="00EA2A0B">
        <w:fldChar w:fldCharType="begin"/>
      </w:r>
      <w:r w:rsidRPr="00EA2A0B">
        <w:instrText xml:space="preserve"> SEQ Figure \* ARABIC </w:instrText>
      </w:r>
      <w:r w:rsidRPr="00EA2A0B">
        <w:fldChar w:fldCharType="separate"/>
      </w:r>
      <w:r w:rsidR="005B7ECF">
        <w:rPr>
          <w:noProof/>
        </w:rPr>
        <w:t>6</w:t>
      </w:r>
      <w:r w:rsidRPr="00EA2A0B">
        <w:fldChar w:fldCharType="end"/>
      </w:r>
      <w:r w:rsidRPr="00EA2A0B">
        <w:t>: Leverage ratio</w:t>
      </w:r>
    </w:p>
    <w:p w14:paraId="11891EC2" w14:textId="77777777" w:rsidR="00451D99" w:rsidRPr="00EA2A0B" w:rsidRDefault="00000000" w:rsidP="00451D99">
      <w:pPr>
        <w:jc w:val="center"/>
        <w:rPr>
          <w:color w:val="FF0000"/>
        </w:rPr>
      </w:pPr>
      <w:r w:rsidRPr="00EA2A0B">
        <w:rPr>
          <w:color w:val="FF0000"/>
        </w:rPr>
        <w:t>(Source: Annual report)</w:t>
      </w:r>
    </w:p>
    <w:p w14:paraId="546DAAAD" w14:textId="77777777" w:rsidR="00451D99" w:rsidRPr="00EA2A0B" w:rsidRDefault="00000000" w:rsidP="00451D99">
      <w:pPr>
        <w:pStyle w:val="Heading2"/>
        <w:rPr>
          <w:color w:val="FF0000"/>
        </w:rPr>
      </w:pPr>
      <w:bookmarkStart w:id="18" w:name="_Toc150277116"/>
      <w:bookmarkStart w:id="19" w:name="_Toc150279669"/>
      <w:r>
        <w:rPr>
          <w:color w:val="FF0000"/>
        </w:rPr>
        <w:t xml:space="preserve">4.3 </w:t>
      </w:r>
      <w:r w:rsidRPr="00EA2A0B">
        <w:rPr>
          <w:color w:val="FF0000"/>
        </w:rPr>
        <w:t>Liquidity ratio</w:t>
      </w:r>
      <w:bookmarkEnd w:id="18"/>
      <w:bookmarkEnd w:id="19"/>
      <w:r w:rsidRPr="00EA2A0B">
        <w:rPr>
          <w:color w:val="FF0000"/>
        </w:rPr>
        <w:t xml:space="preserve"> </w:t>
      </w:r>
    </w:p>
    <w:p w14:paraId="0E39A384" w14:textId="77777777" w:rsidR="00451D99" w:rsidRPr="00581583" w:rsidRDefault="00000000" w:rsidP="00581583">
      <w:pPr>
        <w:pStyle w:val="Heading3"/>
      </w:pPr>
      <w:bookmarkStart w:id="20" w:name="_Toc150279670"/>
      <w:r w:rsidRPr="00581583">
        <w:t>Current ratio</w:t>
      </w:r>
      <w:bookmarkEnd w:id="20"/>
      <w:r w:rsidRPr="00581583">
        <w:t xml:space="preserve"> </w:t>
      </w:r>
    </w:p>
    <w:p w14:paraId="5442AB4F" w14:textId="77777777" w:rsidR="00451D99" w:rsidRPr="00EA2A0B" w:rsidRDefault="00000000" w:rsidP="00451D99">
      <w:pPr>
        <w:rPr>
          <w:color w:val="FF0000"/>
        </w:rPr>
      </w:pPr>
      <w:r w:rsidRPr="00EA2A0B">
        <w:rPr>
          <w:color w:val="FF0000"/>
        </w:rPr>
        <w:t>The current ratio mainly represents the capability of the business, to cover the current liability with its current assets. The higher current ratio indicates that the company easily cover their current liability with its current assets</w:t>
      </w:r>
      <w:r>
        <w:rPr>
          <w:color w:val="FF0000"/>
        </w:rPr>
        <w:t xml:space="preserve"> (</w:t>
      </w:r>
      <w:r>
        <w:rPr>
          <w:shd w:val="clear" w:color="auto" w:fill="FFFFFF"/>
        </w:rPr>
        <w:t>Mulyadi and Sinaga, 2020)</w:t>
      </w:r>
      <w:r w:rsidRPr="00EA2A0B">
        <w:rPr>
          <w:color w:val="FF0000"/>
        </w:rPr>
        <w:t>. As per the analysis section current ratio was 0.683, 0.604, 0.629, 0.637 and 0.763 for Sainsbury PLC</w:t>
      </w:r>
      <w:r>
        <w:rPr>
          <w:color w:val="FF0000"/>
        </w:rPr>
        <w:t xml:space="preserve"> </w:t>
      </w:r>
      <w:r>
        <w:t>(sainsburys.co.uk, 2022)</w:t>
      </w:r>
      <w:r w:rsidRPr="00EA2A0B">
        <w:rPr>
          <w:color w:val="FF0000"/>
        </w:rPr>
        <w:t xml:space="preserve">. Not only Sainsbury, the current ratio is lower for TESCO and Morrison too. The lower rate of the current ratio indicates the weak liquidity position of the business. </w:t>
      </w:r>
    </w:p>
    <w:p w14:paraId="1CB2E3EC" w14:textId="77777777" w:rsidR="00451D99" w:rsidRPr="00EA2A0B" w:rsidRDefault="00000000" w:rsidP="00451D99">
      <w:pPr>
        <w:keepNext/>
        <w:jc w:val="center"/>
        <w:rPr>
          <w:color w:val="FF0000"/>
        </w:rPr>
      </w:pPr>
      <w:r w:rsidRPr="00EA2A0B">
        <w:rPr>
          <w:noProof/>
          <w:color w:val="FF0000"/>
          <w:lang w:eastAsia="en-GB"/>
        </w:rPr>
        <w:lastRenderedPageBreak/>
        <w:drawing>
          <wp:inline distT="0" distB="0" distL="0" distR="0" wp14:anchorId="75414DBC" wp14:editId="655023B3">
            <wp:extent cx="3681095" cy="2232660"/>
            <wp:effectExtent l="19050" t="19050" r="14605" b="15240"/>
            <wp:docPr id="2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7"/>
                    <pic:cNvPicPr>
                      <a:picLocks noChangeAspect="1" noChangeArrowheads="1"/>
                    </pic:cNvPicPr>
                  </pic:nvPicPr>
                  <pic:blipFill>
                    <a:blip r:embed="rId15"/>
                    <a:stretch>
                      <a:fillRect/>
                    </a:stretch>
                  </pic:blipFill>
                  <pic:spPr bwMode="auto">
                    <a:xfrm>
                      <a:off x="0" y="0"/>
                      <a:ext cx="3681095" cy="2232660"/>
                    </a:xfrm>
                    <a:prstGeom prst="rect">
                      <a:avLst/>
                    </a:prstGeom>
                    <a:noFill/>
                    <a:ln w="9525">
                      <a:solidFill>
                        <a:schemeClr val="tx1"/>
                      </a:solidFill>
                      <a:miter lim="800000"/>
                      <a:headEnd/>
                      <a:tailEnd/>
                    </a:ln>
                  </pic:spPr>
                </pic:pic>
              </a:graphicData>
            </a:graphic>
          </wp:inline>
        </w:drawing>
      </w:r>
    </w:p>
    <w:p w14:paraId="15DE8FA2" w14:textId="77777777" w:rsidR="00451D99" w:rsidRDefault="00000000" w:rsidP="003F1A3F">
      <w:pPr>
        <w:pStyle w:val="Caption"/>
        <w:rPr>
          <w:noProof/>
        </w:rPr>
      </w:pPr>
      <w:r w:rsidRPr="00EA2A0B">
        <w:t xml:space="preserve">Figure </w:t>
      </w:r>
      <w:r w:rsidRPr="00EA2A0B">
        <w:fldChar w:fldCharType="begin"/>
      </w:r>
      <w:r w:rsidRPr="00EA2A0B">
        <w:instrText xml:space="preserve"> SEQ Figure \* ARABIC </w:instrText>
      </w:r>
      <w:r w:rsidRPr="00EA2A0B">
        <w:fldChar w:fldCharType="separate"/>
      </w:r>
      <w:r w:rsidR="005B7ECF">
        <w:rPr>
          <w:noProof/>
        </w:rPr>
        <w:t>7</w:t>
      </w:r>
      <w:r w:rsidRPr="00EA2A0B">
        <w:fldChar w:fldCharType="end"/>
      </w:r>
      <w:r w:rsidRPr="00EA2A0B">
        <w:rPr>
          <w:noProof/>
        </w:rPr>
        <w:t>: Current ratio</w:t>
      </w:r>
    </w:p>
    <w:p w14:paraId="1638E47D" w14:textId="77777777" w:rsidR="00451D99" w:rsidRPr="00825392" w:rsidRDefault="00000000" w:rsidP="00451D99">
      <w:pPr>
        <w:jc w:val="center"/>
      </w:pPr>
      <w:r>
        <w:t>(Source: sainsburys.co.uk¸2022)</w:t>
      </w:r>
    </w:p>
    <w:p w14:paraId="1FA25073" w14:textId="77777777" w:rsidR="00451D99" w:rsidRPr="00581583" w:rsidRDefault="00000000" w:rsidP="00581583">
      <w:pPr>
        <w:pStyle w:val="Heading3"/>
      </w:pPr>
      <w:bookmarkStart w:id="21" w:name="_Toc150279671"/>
      <w:r w:rsidRPr="00581583">
        <w:t>Quick ratio</w:t>
      </w:r>
      <w:bookmarkEnd w:id="21"/>
      <w:r w:rsidRPr="00581583">
        <w:t xml:space="preserve"> </w:t>
      </w:r>
    </w:p>
    <w:p w14:paraId="30F518BB" w14:textId="77777777" w:rsidR="00451D99" w:rsidRPr="00EA2A0B" w:rsidRDefault="00000000" w:rsidP="00451D99">
      <w:pPr>
        <w:rPr>
          <w:color w:val="FF0000"/>
        </w:rPr>
      </w:pPr>
      <w:r w:rsidRPr="00EA2A0B">
        <w:rPr>
          <w:color w:val="FF0000"/>
        </w:rPr>
        <w:t>The capability of a business to cover the current liability by current assets without inventories is measured by quick ratio. According to the analysis section, the quick ratio was 0.510, 0.462 for the last 2 years of Sainsbury</w:t>
      </w:r>
      <w:r>
        <w:rPr>
          <w:color w:val="FF0000"/>
        </w:rPr>
        <w:t xml:space="preserve"> </w:t>
      </w:r>
      <w:r>
        <w:t>(sainsburys.co.uk, 2022)</w:t>
      </w:r>
      <w:r w:rsidRPr="00EA2A0B">
        <w:rPr>
          <w:color w:val="FF0000"/>
        </w:rPr>
        <w:t>. On the other side, the quick ratio for TESCO PLC was 0.596 and 0.506</w:t>
      </w:r>
      <w:r>
        <w:rPr>
          <w:color w:val="FF0000"/>
        </w:rPr>
        <w:t xml:space="preserve"> (</w:t>
      </w:r>
      <w:r>
        <w:t>tescoplc.com, 2022)</w:t>
      </w:r>
      <w:r w:rsidRPr="00EA2A0B">
        <w:rPr>
          <w:color w:val="FF0000"/>
        </w:rPr>
        <w:t xml:space="preserve">. As the quick ratio is lower for these retail companies this indicates these companies are not able to meet their current liability with their liquid assets. </w:t>
      </w:r>
    </w:p>
    <w:p w14:paraId="45C28650" w14:textId="77777777" w:rsidR="00451D99" w:rsidRDefault="00000000" w:rsidP="00451D99">
      <w:pPr>
        <w:keepNext/>
        <w:jc w:val="center"/>
      </w:pPr>
      <w:r>
        <w:rPr>
          <w:noProof/>
          <w:lang w:eastAsia="en-GB"/>
        </w:rPr>
        <w:drawing>
          <wp:inline distT="0" distB="0" distL="0" distR="0" wp14:anchorId="4E76745A" wp14:editId="315A70DF">
            <wp:extent cx="3634105" cy="2232660"/>
            <wp:effectExtent l="19050" t="19050" r="23495" b="152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noChangeArrowheads="1"/>
                    </pic:cNvPicPr>
                  </pic:nvPicPr>
                  <pic:blipFill>
                    <a:blip r:embed="rId16"/>
                    <a:stretch>
                      <a:fillRect/>
                    </a:stretch>
                  </pic:blipFill>
                  <pic:spPr bwMode="auto">
                    <a:xfrm>
                      <a:off x="0" y="0"/>
                      <a:ext cx="3634105" cy="2232660"/>
                    </a:xfrm>
                    <a:prstGeom prst="rect">
                      <a:avLst/>
                    </a:prstGeom>
                    <a:noFill/>
                    <a:ln w="9525">
                      <a:solidFill>
                        <a:schemeClr val="tx1"/>
                      </a:solidFill>
                      <a:miter lim="800000"/>
                      <a:headEnd/>
                      <a:tailEnd/>
                    </a:ln>
                  </pic:spPr>
                </pic:pic>
              </a:graphicData>
            </a:graphic>
          </wp:inline>
        </w:drawing>
      </w:r>
    </w:p>
    <w:p w14:paraId="52A796BC" w14:textId="77777777" w:rsidR="00451D99" w:rsidRDefault="00000000" w:rsidP="003F1A3F">
      <w:pPr>
        <w:pStyle w:val="Caption"/>
      </w:pPr>
      <w:r>
        <w:t xml:space="preserve">Figure </w:t>
      </w:r>
      <w:r>
        <w:fldChar w:fldCharType="begin"/>
      </w:r>
      <w:r>
        <w:instrText xml:space="preserve"> SEQ Figure \* ARABIC </w:instrText>
      </w:r>
      <w:r>
        <w:fldChar w:fldCharType="separate"/>
      </w:r>
      <w:r w:rsidR="005B7ECF">
        <w:rPr>
          <w:noProof/>
        </w:rPr>
        <w:t>8</w:t>
      </w:r>
      <w:r>
        <w:rPr>
          <w:noProof/>
        </w:rPr>
        <w:fldChar w:fldCharType="end"/>
      </w:r>
      <w:r>
        <w:t>: Quick ratio</w:t>
      </w:r>
    </w:p>
    <w:p w14:paraId="024E84D0" w14:textId="77777777" w:rsidR="00451D99" w:rsidRPr="00825392" w:rsidRDefault="00000000" w:rsidP="00451D99">
      <w:pPr>
        <w:jc w:val="center"/>
      </w:pPr>
      <w:r>
        <w:t>(Source: sainsburys.co.uk¸2022)</w:t>
      </w:r>
    </w:p>
    <w:p w14:paraId="1949E33A" w14:textId="77777777" w:rsidR="00451D99" w:rsidRPr="004D0443" w:rsidRDefault="00000000" w:rsidP="00451D99">
      <w:pPr>
        <w:keepNext/>
        <w:jc w:val="center"/>
        <w:rPr>
          <w:color w:val="FF0000"/>
        </w:rPr>
      </w:pPr>
      <w:r w:rsidRPr="004D0443">
        <w:rPr>
          <w:noProof/>
          <w:color w:val="FF0000"/>
          <w:lang w:eastAsia="en-GB"/>
        </w:rPr>
        <w:lastRenderedPageBreak/>
        <w:drawing>
          <wp:inline distT="0" distB="0" distL="0" distR="0" wp14:anchorId="75A8DC1F" wp14:editId="6A118B8B">
            <wp:extent cx="6709551" cy="1365662"/>
            <wp:effectExtent l="19050" t="19050" r="15099" b="24988"/>
            <wp:docPr id="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3"/>
                    <pic:cNvPicPr>
                      <a:picLocks noChangeAspect="1" noChangeArrowheads="1"/>
                    </pic:cNvPicPr>
                  </pic:nvPicPr>
                  <pic:blipFill>
                    <a:blip r:embed="rId17"/>
                    <a:stretch>
                      <a:fillRect/>
                    </a:stretch>
                  </pic:blipFill>
                  <pic:spPr bwMode="auto">
                    <a:xfrm>
                      <a:off x="0" y="0"/>
                      <a:ext cx="6727032" cy="1369220"/>
                    </a:xfrm>
                    <a:prstGeom prst="rect">
                      <a:avLst/>
                    </a:prstGeom>
                    <a:noFill/>
                    <a:ln>
                      <a:solidFill>
                        <a:schemeClr val="tx1"/>
                      </a:solidFill>
                    </a:ln>
                  </pic:spPr>
                </pic:pic>
              </a:graphicData>
            </a:graphic>
          </wp:inline>
        </w:drawing>
      </w:r>
    </w:p>
    <w:p w14:paraId="429EDC5F" w14:textId="77777777" w:rsidR="00451D99" w:rsidRPr="004D0443" w:rsidRDefault="00000000" w:rsidP="003F1A3F">
      <w:pPr>
        <w:pStyle w:val="Caption"/>
        <w:rPr>
          <w:noProof/>
        </w:rPr>
      </w:pPr>
      <w:r w:rsidRPr="004D0443">
        <w:t xml:space="preserve">Table </w:t>
      </w:r>
      <w:r w:rsidRPr="004D0443">
        <w:fldChar w:fldCharType="begin"/>
      </w:r>
      <w:r w:rsidRPr="004D0443">
        <w:instrText xml:space="preserve"> SEQ Table \* ARABIC </w:instrText>
      </w:r>
      <w:r w:rsidRPr="004D0443">
        <w:fldChar w:fldCharType="separate"/>
      </w:r>
      <w:r w:rsidR="00C13490">
        <w:rPr>
          <w:noProof/>
        </w:rPr>
        <w:t>2</w:t>
      </w:r>
      <w:r w:rsidRPr="004D0443">
        <w:fldChar w:fldCharType="end"/>
      </w:r>
      <w:r w:rsidRPr="004D0443">
        <w:rPr>
          <w:noProof/>
        </w:rPr>
        <w:t>: Liquidity analysis</w:t>
      </w:r>
    </w:p>
    <w:p w14:paraId="6379111C" w14:textId="77777777" w:rsidR="00FD431F" w:rsidRPr="004D0443" w:rsidRDefault="00000000" w:rsidP="00451D99">
      <w:pPr>
        <w:jc w:val="center"/>
        <w:rPr>
          <w:color w:val="FF0000"/>
        </w:rPr>
      </w:pPr>
      <w:r w:rsidRPr="004D0443">
        <w:rPr>
          <w:color w:val="FF0000"/>
        </w:rPr>
        <w:t>(Source: Annual report)</w:t>
      </w:r>
    </w:p>
    <w:p w14:paraId="36924EE4" w14:textId="77777777" w:rsidR="009259B8" w:rsidRDefault="00000000" w:rsidP="00F53318">
      <w:pPr>
        <w:pStyle w:val="Heading2"/>
        <w:rPr>
          <w:color w:val="FF0000"/>
        </w:rPr>
      </w:pPr>
      <w:bookmarkStart w:id="22" w:name="_Toc150279672"/>
      <w:r>
        <w:rPr>
          <w:color w:val="FF0000"/>
        </w:rPr>
        <w:t xml:space="preserve">4.4 </w:t>
      </w:r>
      <w:r w:rsidR="00AF4B81" w:rsidRPr="00DD3DDE">
        <w:rPr>
          <w:color w:val="FF0000"/>
        </w:rPr>
        <w:t>Efficiency ratio</w:t>
      </w:r>
      <w:bookmarkEnd w:id="22"/>
    </w:p>
    <w:p w14:paraId="25E95400" w14:textId="77777777" w:rsidR="00B846BC" w:rsidRPr="00581583" w:rsidRDefault="00000000" w:rsidP="00581583">
      <w:pPr>
        <w:pStyle w:val="Heading3"/>
      </w:pPr>
      <w:bookmarkStart w:id="23" w:name="_Toc150279673"/>
      <w:r w:rsidRPr="00581583">
        <w:t>Inventory Turnover Ratio</w:t>
      </w:r>
      <w:bookmarkEnd w:id="23"/>
    </w:p>
    <w:p w14:paraId="03484F4F" w14:textId="77777777" w:rsidR="00D04A9B" w:rsidRDefault="00000000" w:rsidP="00D04A9B">
      <w:pPr>
        <w:rPr>
          <w:color w:val="FF0000"/>
        </w:rPr>
      </w:pPr>
      <w:r w:rsidRPr="00DD3DDE">
        <w:rPr>
          <w:color w:val="FF0000"/>
        </w:rPr>
        <w:t>Lower numbers in the con</w:t>
      </w:r>
      <w:r w:rsidR="00852FBF">
        <w:rPr>
          <w:color w:val="FF0000"/>
        </w:rPr>
        <w:t xml:space="preserve">text of inventory turnover days, </w:t>
      </w:r>
      <w:r w:rsidRPr="00DD3DDE">
        <w:rPr>
          <w:color w:val="FF0000"/>
        </w:rPr>
        <w:t>a measure of how long it takes a busines</w:t>
      </w:r>
      <w:r w:rsidR="00C40654">
        <w:rPr>
          <w:color w:val="FF0000"/>
        </w:rPr>
        <w:t xml:space="preserve">s to turn its stocks into sales, </w:t>
      </w:r>
      <w:r w:rsidRPr="00DD3DDE">
        <w:rPr>
          <w:color w:val="FF0000"/>
        </w:rPr>
        <w:t>indicate that Sainsbury and Tesco are adept at handling their inventory</w:t>
      </w:r>
      <w:r w:rsidR="00C9368F">
        <w:rPr>
          <w:color w:val="FF0000"/>
        </w:rPr>
        <w:t xml:space="preserve"> (</w:t>
      </w:r>
      <w:r w:rsidR="0054627D">
        <w:rPr>
          <w:shd w:val="clear" w:color="auto" w:fill="FFFFFF"/>
        </w:rPr>
        <w:t>Amanda, 2019</w:t>
      </w:r>
      <w:r w:rsidR="00C9368F">
        <w:rPr>
          <w:color w:val="FF0000"/>
        </w:rPr>
        <w:t>)</w:t>
      </w:r>
      <w:r w:rsidRPr="00DD3DDE">
        <w:rPr>
          <w:color w:val="FF0000"/>
        </w:rPr>
        <w:t>. Approximately 22.686 days are required for Sainsbury's inventory to be sold, as indicated by their inventory turnover days of 22.686 in 2022</w:t>
      </w:r>
      <w:r w:rsidR="00DB0CC9">
        <w:rPr>
          <w:color w:val="FF0000"/>
        </w:rPr>
        <w:t xml:space="preserve"> </w:t>
      </w:r>
      <w:r w:rsidR="00DB0CC9">
        <w:t>(sainsburys.co.uk, 2022)</w:t>
      </w:r>
      <w:r w:rsidRPr="00DD3DDE">
        <w:rPr>
          <w:color w:val="FF0000"/>
        </w:rPr>
        <w:t>. The exceptional efficiency of Tesco is demonstrated by its result of 0.039 for the same year</w:t>
      </w:r>
      <w:r w:rsidR="0093775C">
        <w:rPr>
          <w:color w:val="FF0000"/>
        </w:rPr>
        <w:t xml:space="preserve"> (</w:t>
      </w:r>
      <w:r w:rsidR="0093775C">
        <w:t>tescoplc.com, 2022)</w:t>
      </w:r>
      <w:r w:rsidRPr="00DD3DDE">
        <w:rPr>
          <w:color w:val="FF0000"/>
        </w:rPr>
        <w:t xml:space="preserve">. Morrisons, on the other hand, have greater values, which may indicate a </w:t>
      </w:r>
      <w:r w:rsidR="00AB5070" w:rsidRPr="00DD3DDE">
        <w:rPr>
          <w:color w:val="FF0000"/>
        </w:rPr>
        <w:t>slower</w:t>
      </w:r>
      <w:r w:rsidRPr="00DD3DDE">
        <w:rPr>
          <w:color w:val="FF0000"/>
        </w:rPr>
        <w:t xml:space="preserve"> turnover of inventory. The inventory turnover days for Morrisons, for instance, came to 0.055 in 2022.</w:t>
      </w:r>
    </w:p>
    <w:p w14:paraId="08172BDF" w14:textId="77777777" w:rsidR="00266313" w:rsidRDefault="00000000" w:rsidP="00266313">
      <w:pPr>
        <w:keepNext/>
        <w:jc w:val="center"/>
      </w:pPr>
      <w:r w:rsidRPr="00860E5F">
        <w:rPr>
          <w:noProof/>
          <w:color w:val="FF0000"/>
        </w:rPr>
        <w:drawing>
          <wp:inline distT="0" distB="0" distL="0" distR="0" wp14:anchorId="3E233E1F" wp14:editId="6912F0F1">
            <wp:extent cx="3686689" cy="2238687"/>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8"/>
                    <a:stretch>
                      <a:fillRect/>
                    </a:stretch>
                  </pic:blipFill>
                  <pic:spPr>
                    <a:xfrm>
                      <a:off x="0" y="0"/>
                      <a:ext cx="3686689" cy="2238687"/>
                    </a:xfrm>
                    <a:prstGeom prst="rect">
                      <a:avLst/>
                    </a:prstGeom>
                  </pic:spPr>
                </pic:pic>
              </a:graphicData>
            </a:graphic>
          </wp:inline>
        </w:drawing>
      </w:r>
    </w:p>
    <w:p w14:paraId="7BFAB6E5" w14:textId="77777777" w:rsidR="00762E94" w:rsidRDefault="00000000" w:rsidP="003F1A3F">
      <w:pPr>
        <w:pStyle w:val="Caption"/>
        <w:rPr>
          <w:noProof/>
        </w:rPr>
      </w:pPr>
      <w:r>
        <w:t xml:space="preserve">Figure </w:t>
      </w:r>
      <w:r>
        <w:fldChar w:fldCharType="begin"/>
      </w:r>
      <w:r>
        <w:instrText xml:space="preserve"> SEQ Figure \* ARABIC </w:instrText>
      </w:r>
      <w:r>
        <w:fldChar w:fldCharType="separate"/>
      </w:r>
      <w:r w:rsidR="005B7ECF">
        <w:rPr>
          <w:noProof/>
        </w:rPr>
        <w:t>9</w:t>
      </w:r>
      <w:r>
        <w:fldChar w:fldCharType="end"/>
      </w:r>
      <w:r>
        <w:t>:</w:t>
      </w:r>
      <w:r>
        <w:rPr>
          <w:noProof/>
        </w:rPr>
        <w:t xml:space="preserve"> Inve</w:t>
      </w:r>
      <w:r w:rsidR="003F6D48">
        <w:rPr>
          <w:noProof/>
        </w:rPr>
        <w:t>n</w:t>
      </w:r>
      <w:r>
        <w:rPr>
          <w:noProof/>
        </w:rPr>
        <w:t>tory Turnover Ratio</w:t>
      </w:r>
    </w:p>
    <w:p w14:paraId="5C475874" w14:textId="77777777" w:rsidR="003F6D48" w:rsidRPr="003F6D48" w:rsidRDefault="00000000" w:rsidP="003F6D48">
      <w:pPr>
        <w:jc w:val="center"/>
      </w:pPr>
      <w:r>
        <w:t>(Source: sainsburys.co.uk¸2022)</w:t>
      </w:r>
    </w:p>
    <w:p w14:paraId="38195300" w14:textId="77777777" w:rsidR="00127414" w:rsidRPr="00581583" w:rsidRDefault="00000000" w:rsidP="00581583">
      <w:pPr>
        <w:pStyle w:val="Heading3"/>
      </w:pPr>
      <w:bookmarkStart w:id="24" w:name="_Toc150279674"/>
      <w:r w:rsidRPr="00581583">
        <w:lastRenderedPageBreak/>
        <w:t>Receivables Turnover Ratio</w:t>
      </w:r>
      <w:bookmarkEnd w:id="24"/>
    </w:p>
    <w:p w14:paraId="3E920051" w14:textId="77777777" w:rsidR="00D04A9B" w:rsidRDefault="00000000" w:rsidP="00D04A9B">
      <w:pPr>
        <w:rPr>
          <w:color w:val="FF0000"/>
        </w:rPr>
      </w:pPr>
      <w:r w:rsidRPr="00DD3DDE">
        <w:rPr>
          <w:color w:val="FF0000"/>
        </w:rPr>
        <w:t xml:space="preserve">The </w:t>
      </w:r>
      <w:r w:rsidR="00BA42D1" w:rsidRPr="00DD3DDE">
        <w:rPr>
          <w:color w:val="FF0000"/>
        </w:rPr>
        <w:t>trade receivable turnover days indicate the speed at which a business is paid by clients. Tesco and Sainsbury's turnover days are shorter, indicating that they are skilled at recovering unpaid invoices. One example of effective cash flow management is Sainsbury's trade receivable turnover days in 2022, which was 8.595</w:t>
      </w:r>
      <w:r w:rsidR="003E52D4">
        <w:rPr>
          <w:color w:val="FF0000"/>
        </w:rPr>
        <w:t xml:space="preserve"> </w:t>
      </w:r>
      <w:r w:rsidR="003E52D4">
        <w:t>(sainsburys.co.uk, 2022)</w:t>
      </w:r>
      <w:r w:rsidR="00BA42D1" w:rsidRPr="00DD3DDE">
        <w:rPr>
          <w:color w:val="FF0000"/>
        </w:rPr>
        <w:t>. As seen by the 2020 number of 0.032, Morrisons, on the other hand, has trade receivables turnover days that are larger, suggesting possible delays in debt collection.</w:t>
      </w:r>
    </w:p>
    <w:p w14:paraId="0222EAB0" w14:textId="77777777" w:rsidR="00A45A1F" w:rsidRDefault="00000000" w:rsidP="00A45A1F">
      <w:pPr>
        <w:keepNext/>
        <w:jc w:val="center"/>
      </w:pPr>
      <w:r w:rsidRPr="00BF2ED4">
        <w:rPr>
          <w:noProof/>
          <w:color w:val="FF0000"/>
        </w:rPr>
        <w:drawing>
          <wp:inline distT="0" distB="0" distL="0" distR="0" wp14:anchorId="16B24AE9" wp14:editId="50F07BB3">
            <wp:extent cx="3686689" cy="22482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9"/>
                    <a:stretch>
                      <a:fillRect/>
                    </a:stretch>
                  </pic:blipFill>
                  <pic:spPr>
                    <a:xfrm>
                      <a:off x="0" y="0"/>
                      <a:ext cx="3686689" cy="2248214"/>
                    </a:xfrm>
                    <a:prstGeom prst="rect">
                      <a:avLst/>
                    </a:prstGeom>
                  </pic:spPr>
                </pic:pic>
              </a:graphicData>
            </a:graphic>
          </wp:inline>
        </w:drawing>
      </w:r>
    </w:p>
    <w:p w14:paraId="10920B73" w14:textId="77777777" w:rsidR="00633F94" w:rsidRDefault="00000000" w:rsidP="00A45A1F">
      <w:pPr>
        <w:pStyle w:val="Caption"/>
        <w:rPr>
          <w:color w:val="FF0000"/>
        </w:rPr>
      </w:pPr>
      <w:r>
        <w:t xml:space="preserve">Figure </w:t>
      </w:r>
      <w:r>
        <w:fldChar w:fldCharType="begin"/>
      </w:r>
      <w:r>
        <w:instrText xml:space="preserve"> SEQ Figure \* ARABIC </w:instrText>
      </w:r>
      <w:r>
        <w:fldChar w:fldCharType="separate"/>
      </w:r>
      <w:r w:rsidR="005B7ECF">
        <w:rPr>
          <w:noProof/>
        </w:rPr>
        <w:t>10</w:t>
      </w:r>
      <w:r>
        <w:fldChar w:fldCharType="end"/>
      </w:r>
      <w:r>
        <w:t>:</w:t>
      </w:r>
      <w:r>
        <w:rPr>
          <w:noProof/>
        </w:rPr>
        <w:t xml:space="preserve"> Receivables Turnover Ratio</w:t>
      </w:r>
    </w:p>
    <w:p w14:paraId="4DCE0662" w14:textId="77777777" w:rsidR="003F1A3F" w:rsidRDefault="00000000" w:rsidP="00457878">
      <w:pPr>
        <w:jc w:val="center"/>
        <w:rPr>
          <w:color w:val="FF0000"/>
        </w:rPr>
      </w:pPr>
      <w:r>
        <w:t>(Source: sainsburys.co.uk¸2022)</w:t>
      </w:r>
    </w:p>
    <w:p w14:paraId="73D7B2A4" w14:textId="77777777" w:rsidR="00B74B57" w:rsidRDefault="00000000" w:rsidP="00B74B57">
      <w:pPr>
        <w:keepNext/>
        <w:jc w:val="center"/>
      </w:pPr>
      <w:r w:rsidRPr="00633F94">
        <w:rPr>
          <w:noProof/>
          <w:color w:val="FF0000"/>
        </w:rPr>
        <w:drawing>
          <wp:inline distT="0" distB="0" distL="0" distR="0" wp14:anchorId="34C65E91" wp14:editId="3926A0AA">
            <wp:extent cx="594360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685800"/>
                    </a:xfrm>
                    <a:prstGeom prst="rect">
                      <a:avLst/>
                    </a:prstGeom>
                  </pic:spPr>
                </pic:pic>
              </a:graphicData>
            </a:graphic>
          </wp:inline>
        </w:drawing>
      </w:r>
    </w:p>
    <w:p w14:paraId="34ED4400" w14:textId="77777777" w:rsidR="00633F94" w:rsidRDefault="00000000" w:rsidP="00B74B57">
      <w:pPr>
        <w:pStyle w:val="Caption"/>
        <w:rPr>
          <w:color w:val="FF0000"/>
        </w:rPr>
      </w:pPr>
      <w:r>
        <w:t xml:space="preserve">Table </w:t>
      </w:r>
      <w:r>
        <w:fldChar w:fldCharType="begin"/>
      </w:r>
      <w:r>
        <w:instrText xml:space="preserve"> SEQ Table \* ARABIC </w:instrText>
      </w:r>
      <w:r>
        <w:fldChar w:fldCharType="separate"/>
      </w:r>
      <w:r w:rsidR="00C13490">
        <w:rPr>
          <w:noProof/>
        </w:rPr>
        <w:t>3</w:t>
      </w:r>
      <w:r>
        <w:fldChar w:fldCharType="end"/>
      </w:r>
      <w:r>
        <w:rPr>
          <w:noProof/>
        </w:rPr>
        <w:t>:</w:t>
      </w:r>
      <w:r w:rsidR="00BD5489">
        <w:rPr>
          <w:noProof/>
        </w:rPr>
        <w:t xml:space="preserve"> </w:t>
      </w:r>
      <w:r>
        <w:rPr>
          <w:noProof/>
        </w:rPr>
        <w:t>Efficiency Ratio</w:t>
      </w:r>
    </w:p>
    <w:p w14:paraId="0D5688BF" w14:textId="77777777" w:rsidR="00FE560E" w:rsidRPr="00DD3DDE" w:rsidRDefault="00000000" w:rsidP="00633F94">
      <w:pPr>
        <w:jc w:val="center"/>
        <w:rPr>
          <w:color w:val="FF0000"/>
        </w:rPr>
      </w:pPr>
      <w:r>
        <w:rPr>
          <w:color w:val="FF0000"/>
        </w:rPr>
        <w:t>(Source: Annual Report)</w:t>
      </w:r>
    </w:p>
    <w:p w14:paraId="4BC8CB92" w14:textId="77777777" w:rsidR="009259B8" w:rsidRDefault="00000000" w:rsidP="00F53318">
      <w:pPr>
        <w:pStyle w:val="Heading2"/>
        <w:rPr>
          <w:color w:val="FF0000"/>
        </w:rPr>
      </w:pPr>
      <w:bookmarkStart w:id="25" w:name="_Toc150279675"/>
      <w:r>
        <w:rPr>
          <w:color w:val="FF0000"/>
        </w:rPr>
        <w:t xml:space="preserve">4.5 </w:t>
      </w:r>
      <w:r w:rsidR="00593658" w:rsidRPr="00DD3DDE">
        <w:rPr>
          <w:color w:val="FF0000"/>
        </w:rPr>
        <w:t>Investment ratio</w:t>
      </w:r>
      <w:bookmarkEnd w:id="25"/>
    </w:p>
    <w:p w14:paraId="7136851D" w14:textId="77777777" w:rsidR="006D5403" w:rsidRPr="00581583" w:rsidRDefault="00000000" w:rsidP="00581583">
      <w:pPr>
        <w:pStyle w:val="Heading3"/>
      </w:pPr>
      <w:bookmarkStart w:id="26" w:name="_Toc150279676"/>
      <w:r w:rsidRPr="00581583">
        <w:t>Dividend Yield</w:t>
      </w:r>
      <w:bookmarkEnd w:id="26"/>
    </w:p>
    <w:p w14:paraId="539DAB03" w14:textId="77777777" w:rsidR="00760D63" w:rsidRDefault="00000000" w:rsidP="00760D63">
      <w:pPr>
        <w:rPr>
          <w:color w:val="FF0000"/>
        </w:rPr>
      </w:pPr>
      <w:r w:rsidRPr="00DD3DDE">
        <w:rPr>
          <w:color w:val="FF0000"/>
        </w:rPr>
        <w:t xml:space="preserve">Investors' return on investment with dividends is known as dividend yield, which is calculated as a proportion of dividend per share to price per share. With dividend yields of 0.054 and 0.049 in 2022, respectively, Sainsbury and Tesco offered investors seeking income-focused investments a </w:t>
      </w:r>
      <w:r w:rsidRPr="00DD3DDE">
        <w:rPr>
          <w:color w:val="FF0000"/>
        </w:rPr>
        <w:lastRenderedPageBreak/>
        <w:t>return of 5.4% and 4.9%</w:t>
      </w:r>
      <w:r w:rsidR="001C508E">
        <w:rPr>
          <w:color w:val="FF0000"/>
        </w:rPr>
        <w:t xml:space="preserve"> </w:t>
      </w:r>
      <w:r w:rsidR="001C508E">
        <w:t>(sainsburys.co.uk, 2022)</w:t>
      </w:r>
      <w:r w:rsidR="0070246E">
        <w:t xml:space="preserve"> </w:t>
      </w:r>
      <w:r w:rsidR="0070246E">
        <w:rPr>
          <w:color w:val="FF0000"/>
        </w:rPr>
        <w:t>(</w:t>
      </w:r>
      <w:r w:rsidR="0070246E">
        <w:t>tescoplc.com, 2022)</w:t>
      </w:r>
      <w:r w:rsidRPr="00DD3DDE">
        <w:rPr>
          <w:color w:val="FF0000"/>
        </w:rPr>
        <w:t>. However, in 2022, Morrisons did not provide dividends.</w:t>
      </w:r>
    </w:p>
    <w:p w14:paraId="62B66722" w14:textId="77777777" w:rsidR="00BB7B04" w:rsidRDefault="00000000" w:rsidP="00BB7B04">
      <w:pPr>
        <w:keepNext/>
        <w:jc w:val="center"/>
      </w:pPr>
      <w:r w:rsidRPr="00014C6A">
        <w:rPr>
          <w:noProof/>
          <w:color w:val="FF0000"/>
        </w:rPr>
        <w:drawing>
          <wp:inline distT="0" distB="0" distL="0" distR="0" wp14:anchorId="19EE783F" wp14:editId="6C87BE3C">
            <wp:extent cx="3705742" cy="2238687"/>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1"/>
                    <a:stretch>
                      <a:fillRect/>
                    </a:stretch>
                  </pic:blipFill>
                  <pic:spPr>
                    <a:xfrm>
                      <a:off x="0" y="0"/>
                      <a:ext cx="3705742" cy="2238687"/>
                    </a:xfrm>
                    <a:prstGeom prst="rect">
                      <a:avLst/>
                    </a:prstGeom>
                  </pic:spPr>
                </pic:pic>
              </a:graphicData>
            </a:graphic>
          </wp:inline>
        </w:drawing>
      </w:r>
    </w:p>
    <w:p w14:paraId="0A9F636A" w14:textId="77777777" w:rsidR="00FF0D6E" w:rsidRDefault="00000000" w:rsidP="00BB7B04">
      <w:pPr>
        <w:pStyle w:val="Caption"/>
        <w:rPr>
          <w:color w:val="FF0000"/>
        </w:rPr>
      </w:pPr>
      <w:r>
        <w:t xml:space="preserve">Figure </w:t>
      </w:r>
      <w:r>
        <w:fldChar w:fldCharType="begin"/>
      </w:r>
      <w:r>
        <w:instrText xml:space="preserve"> SEQ Figure \* ARABIC </w:instrText>
      </w:r>
      <w:r>
        <w:fldChar w:fldCharType="separate"/>
      </w:r>
      <w:r w:rsidR="005B7ECF">
        <w:rPr>
          <w:noProof/>
        </w:rPr>
        <w:t>11</w:t>
      </w:r>
      <w:r>
        <w:fldChar w:fldCharType="end"/>
      </w:r>
      <w:r>
        <w:t>:</w:t>
      </w:r>
      <w:r>
        <w:rPr>
          <w:noProof/>
        </w:rPr>
        <w:t xml:space="preserve"> Dividend Yield</w:t>
      </w:r>
    </w:p>
    <w:p w14:paraId="1FB587BE" w14:textId="77777777" w:rsidR="00EF741F" w:rsidRDefault="00000000" w:rsidP="00FF0D6E">
      <w:pPr>
        <w:jc w:val="center"/>
        <w:rPr>
          <w:color w:val="FF0000"/>
        </w:rPr>
      </w:pPr>
      <w:r>
        <w:t>(Source: sainsburys.co.uk¸2022)</w:t>
      </w:r>
    </w:p>
    <w:p w14:paraId="12253A46" w14:textId="77777777" w:rsidR="00C01281" w:rsidRPr="00581583" w:rsidRDefault="00000000" w:rsidP="00581583">
      <w:pPr>
        <w:pStyle w:val="Heading3"/>
      </w:pPr>
      <w:bookmarkStart w:id="27" w:name="_Toc150279677"/>
      <w:r w:rsidRPr="00581583">
        <w:t>Price-earnings Ratio</w:t>
      </w:r>
      <w:bookmarkEnd w:id="27"/>
    </w:p>
    <w:p w14:paraId="39395663" w14:textId="77777777" w:rsidR="00760D63" w:rsidRDefault="00000000" w:rsidP="00760D63">
      <w:pPr>
        <w:rPr>
          <w:color w:val="FF0000"/>
        </w:rPr>
      </w:pPr>
      <w:r w:rsidRPr="00DD3DDE">
        <w:rPr>
          <w:color w:val="FF0000"/>
        </w:rPr>
        <w:t>An analysis of a company's price-earnings ratio indicates how the market values its potential for future profits</w:t>
      </w:r>
      <w:r w:rsidR="009A75CF">
        <w:rPr>
          <w:color w:val="FF0000"/>
        </w:rPr>
        <w:t xml:space="preserve"> (</w:t>
      </w:r>
      <w:r w:rsidR="009A75CF">
        <w:rPr>
          <w:shd w:val="clear" w:color="auto" w:fill="FFFFFF"/>
        </w:rPr>
        <w:t>Baird, Dodd and Middleton, 2020</w:t>
      </w:r>
      <w:r w:rsidR="009A75CF">
        <w:rPr>
          <w:color w:val="FF0000"/>
        </w:rPr>
        <w:t>)</w:t>
      </w:r>
      <w:r w:rsidRPr="00DD3DDE">
        <w:rPr>
          <w:color w:val="FF0000"/>
        </w:rPr>
        <w:t>. As seen by Sainsbury's and Tesco's 2022 P/E ratios, higher ratios suggest that investors are prepared to pay more for expected future earnings. Positive projections for future growth in earnings were indicated by Sainsbury's P/E ratio of 852.05</w:t>
      </w:r>
      <w:r w:rsidR="000D1DE5">
        <w:rPr>
          <w:color w:val="FF0000"/>
        </w:rPr>
        <w:t xml:space="preserve"> </w:t>
      </w:r>
      <w:r w:rsidR="000D1DE5">
        <w:t>(sainsburys.co.uk, 2022)</w:t>
      </w:r>
      <w:r w:rsidRPr="00DD3DDE">
        <w:rPr>
          <w:color w:val="FF0000"/>
        </w:rPr>
        <w:t>.</w:t>
      </w:r>
    </w:p>
    <w:p w14:paraId="67B3EE54" w14:textId="77777777" w:rsidR="005B7ECF" w:rsidRDefault="00000000" w:rsidP="005B7ECF">
      <w:pPr>
        <w:keepNext/>
        <w:jc w:val="center"/>
      </w:pPr>
      <w:r w:rsidRPr="007A7536">
        <w:rPr>
          <w:noProof/>
          <w:color w:val="FF0000"/>
        </w:rPr>
        <w:drawing>
          <wp:inline distT="0" distB="0" distL="0" distR="0" wp14:anchorId="2E99EA3A" wp14:editId="61BB723C">
            <wp:extent cx="3705742" cy="2238687"/>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2"/>
                    <a:stretch>
                      <a:fillRect/>
                    </a:stretch>
                  </pic:blipFill>
                  <pic:spPr>
                    <a:xfrm>
                      <a:off x="0" y="0"/>
                      <a:ext cx="3705742" cy="2238687"/>
                    </a:xfrm>
                    <a:prstGeom prst="rect">
                      <a:avLst/>
                    </a:prstGeom>
                  </pic:spPr>
                </pic:pic>
              </a:graphicData>
            </a:graphic>
          </wp:inline>
        </w:drawing>
      </w:r>
    </w:p>
    <w:p w14:paraId="7CCAE899" w14:textId="77777777" w:rsidR="00BA7B28" w:rsidRDefault="00000000" w:rsidP="005B7ECF">
      <w:pPr>
        <w:pStyle w:val="Caption"/>
        <w:rPr>
          <w:color w:val="FF0000"/>
        </w:rPr>
      </w:pPr>
      <w:r>
        <w:t xml:space="preserve">Figure </w:t>
      </w:r>
      <w:r>
        <w:fldChar w:fldCharType="begin"/>
      </w:r>
      <w:r>
        <w:instrText xml:space="preserve"> SEQ Figure \* ARABIC </w:instrText>
      </w:r>
      <w:r>
        <w:fldChar w:fldCharType="separate"/>
      </w:r>
      <w:r>
        <w:rPr>
          <w:noProof/>
        </w:rPr>
        <w:t>12</w:t>
      </w:r>
      <w:r>
        <w:fldChar w:fldCharType="end"/>
      </w:r>
      <w:r>
        <w:t>:</w:t>
      </w:r>
      <w:r>
        <w:rPr>
          <w:noProof/>
        </w:rPr>
        <w:t xml:space="preserve"> Price-earnings Ratio</w:t>
      </w:r>
    </w:p>
    <w:p w14:paraId="0F4A3EDB" w14:textId="77777777" w:rsidR="00D72DB6" w:rsidRDefault="00000000" w:rsidP="00BA7B28">
      <w:pPr>
        <w:jc w:val="center"/>
        <w:rPr>
          <w:color w:val="FF0000"/>
        </w:rPr>
      </w:pPr>
      <w:r>
        <w:lastRenderedPageBreak/>
        <w:t>(Source: sainsburys.co.uk¸2022)</w:t>
      </w:r>
    </w:p>
    <w:p w14:paraId="2E5A020B" w14:textId="77777777" w:rsidR="00C13490" w:rsidRDefault="00000000" w:rsidP="00C13490">
      <w:pPr>
        <w:keepNext/>
        <w:jc w:val="center"/>
      </w:pPr>
      <w:r w:rsidRPr="00AB420C">
        <w:rPr>
          <w:noProof/>
          <w:color w:val="FF0000"/>
        </w:rPr>
        <w:drawing>
          <wp:inline distT="0" distB="0" distL="0" distR="0" wp14:anchorId="6F1A465B" wp14:editId="5E09F3BD">
            <wp:extent cx="5943600" cy="6864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3"/>
                    <a:stretch>
                      <a:fillRect/>
                    </a:stretch>
                  </pic:blipFill>
                  <pic:spPr>
                    <a:xfrm>
                      <a:off x="0" y="0"/>
                      <a:ext cx="5943600" cy="686435"/>
                    </a:xfrm>
                    <a:prstGeom prst="rect">
                      <a:avLst/>
                    </a:prstGeom>
                  </pic:spPr>
                </pic:pic>
              </a:graphicData>
            </a:graphic>
          </wp:inline>
        </w:drawing>
      </w:r>
    </w:p>
    <w:p w14:paraId="4E0D3976" w14:textId="77777777" w:rsidR="00AB420C" w:rsidRDefault="00000000" w:rsidP="00C13490">
      <w:pPr>
        <w:pStyle w:val="Caption"/>
        <w:rPr>
          <w:color w:val="FF0000"/>
        </w:rPr>
      </w:pPr>
      <w:r>
        <w:t xml:space="preserve">Table </w:t>
      </w:r>
      <w:r>
        <w:fldChar w:fldCharType="begin"/>
      </w:r>
      <w:r>
        <w:instrText xml:space="preserve"> SEQ Table \* ARABIC </w:instrText>
      </w:r>
      <w:r>
        <w:fldChar w:fldCharType="separate"/>
      </w:r>
      <w:r>
        <w:rPr>
          <w:noProof/>
        </w:rPr>
        <w:t>4</w:t>
      </w:r>
      <w:r>
        <w:fldChar w:fldCharType="end"/>
      </w:r>
      <w:r>
        <w:t>:</w:t>
      </w:r>
      <w:r>
        <w:rPr>
          <w:noProof/>
        </w:rPr>
        <w:t xml:space="preserve"> Investment ratio</w:t>
      </w:r>
    </w:p>
    <w:p w14:paraId="6C62390F" w14:textId="77777777" w:rsidR="00FD3DBF" w:rsidRPr="00DD3DDE" w:rsidRDefault="00000000" w:rsidP="00BA7B28">
      <w:pPr>
        <w:jc w:val="center"/>
        <w:rPr>
          <w:color w:val="FF0000"/>
        </w:rPr>
      </w:pPr>
      <w:r>
        <w:rPr>
          <w:color w:val="FF0000"/>
        </w:rPr>
        <w:t>(Source: Annual Report)</w:t>
      </w:r>
    </w:p>
    <w:p w14:paraId="0F33E272" w14:textId="77777777" w:rsidR="009259B8" w:rsidRPr="00DD3DDE" w:rsidRDefault="00000000" w:rsidP="00F53318">
      <w:pPr>
        <w:pStyle w:val="Heading2"/>
        <w:rPr>
          <w:color w:val="FF0000"/>
        </w:rPr>
      </w:pPr>
      <w:bookmarkStart w:id="28" w:name="_Toc150279678"/>
      <w:r>
        <w:rPr>
          <w:color w:val="FF0000"/>
        </w:rPr>
        <w:t xml:space="preserve">4.6 </w:t>
      </w:r>
      <w:r w:rsidRPr="00DD3DDE">
        <w:rPr>
          <w:color w:val="FF0000"/>
        </w:rPr>
        <w:t>Competitive strategies</w:t>
      </w:r>
      <w:bookmarkEnd w:id="28"/>
    </w:p>
    <w:p w14:paraId="5482FBC4" w14:textId="77777777" w:rsidR="00C71A9E" w:rsidRPr="00DD3DDE" w:rsidRDefault="00000000" w:rsidP="00193C38">
      <w:pPr>
        <w:rPr>
          <w:color w:val="FF0000"/>
        </w:rPr>
      </w:pPr>
      <w:r w:rsidRPr="00DD3DDE">
        <w:rPr>
          <w:color w:val="FF0000"/>
        </w:rPr>
        <w:t>A well-known participant in the very competitive UK retail market, Sainsbury Plc, has used a variety of competitive strategies to attain exceptional results. They employ a hybrid strategy that leverages pricing efficiency and product distinctness, with a focus on cost leadership and differentiation. To sustain profitability while offering competitive pricing, the business's cost-management component is supported by supply chain optimisation, efficient operations, and efficient inventory control.</w:t>
      </w:r>
      <w:r w:rsidR="004D3680" w:rsidRPr="00DD3DDE">
        <w:rPr>
          <w:color w:val="FF0000"/>
        </w:rPr>
        <w:t xml:space="preserve"> </w:t>
      </w:r>
      <w:r w:rsidR="00157907" w:rsidRPr="00DD3DDE">
        <w:rPr>
          <w:color w:val="FF0000"/>
        </w:rPr>
        <w:t>Additionally, to give customers more convenient purchasing alternatives, Sainsbury has consciously increased both its online and retail presence</w:t>
      </w:r>
      <w:r w:rsidR="00576B71">
        <w:rPr>
          <w:color w:val="FF0000"/>
        </w:rPr>
        <w:t xml:space="preserve"> </w:t>
      </w:r>
      <w:r w:rsidR="00576B71">
        <w:t>(sainsburys.co.uk, 2022)</w:t>
      </w:r>
      <w:r w:rsidR="00157907" w:rsidRPr="00DD3DDE">
        <w:rPr>
          <w:color w:val="FF0000"/>
        </w:rPr>
        <w:t>. Sainsbury's focus on corporate social responsibility, sustainability, and community involvement strengthens its advantage over competitors. Its comprehensive approach, which combines cost leadership, distinctiveness, and a dedication to customer-centric operations while integrating sustainability and ethical behaviour, is credited with Sainsbury Plc's accomplishments in the cutthroat industry. They have been able to succeed in the very competitive retail sector because of their well-rounded strategy.</w:t>
      </w:r>
    </w:p>
    <w:p w14:paraId="40016B90" w14:textId="77777777" w:rsidR="00CD0E3A" w:rsidRPr="005C5739" w:rsidRDefault="00000000" w:rsidP="00CD0E3A">
      <w:pPr>
        <w:pStyle w:val="Heading2"/>
        <w:rPr>
          <w:color w:val="FF0000"/>
        </w:rPr>
      </w:pPr>
      <w:bookmarkStart w:id="29" w:name="_Toc150277120"/>
      <w:bookmarkStart w:id="30" w:name="_Toc150279679"/>
      <w:r>
        <w:rPr>
          <w:color w:val="FF0000"/>
        </w:rPr>
        <w:t xml:space="preserve">4.7 </w:t>
      </w:r>
      <w:r w:rsidRPr="005C5739">
        <w:rPr>
          <w:color w:val="FF0000"/>
        </w:rPr>
        <w:t>Trend analysis</w:t>
      </w:r>
      <w:bookmarkEnd w:id="29"/>
      <w:bookmarkEnd w:id="30"/>
      <w:r w:rsidRPr="005C5739">
        <w:rPr>
          <w:color w:val="FF0000"/>
        </w:rPr>
        <w:t xml:space="preserve"> </w:t>
      </w:r>
    </w:p>
    <w:p w14:paraId="11885998" w14:textId="77777777" w:rsidR="00CD0E3A" w:rsidRPr="00E721E8" w:rsidRDefault="00000000" w:rsidP="00CD0E3A">
      <w:pPr>
        <w:rPr>
          <w:color w:val="FF0000"/>
        </w:rPr>
      </w:pPr>
      <w:r w:rsidRPr="00E721E8">
        <w:rPr>
          <w:color w:val="FF0000"/>
        </w:rPr>
        <w:t>Trend analysis is helpful to determine the difference between past and present years. This current trend measures that the revenue and gross profit of Sainsbury's have not highly changed, however, operating profit and net profit value have changed yearly</w:t>
      </w:r>
      <w:r>
        <w:rPr>
          <w:color w:val="FF0000"/>
        </w:rPr>
        <w:t xml:space="preserve"> </w:t>
      </w:r>
      <w:r>
        <w:t>(sainsburys.co.uk, 2022)</w:t>
      </w:r>
      <w:r w:rsidRPr="00E721E8">
        <w:rPr>
          <w:color w:val="FF0000"/>
        </w:rPr>
        <w:t xml:space="preserve">. Though the profit margin decreased in 2021, in the current year both profit margins indicate a positive trend.  </w:t>
      </w:r>
    </w:p>
    <w:p w14:paraId="36E1CD5F" w14:textId="77777777" w:rsidR="00CD0E3A" w:rsidRDefault="00000000" w:rsidP="00CD0E3A">
      <w:pPr>
        <w:keepNext/>
        <w:jc w:val="center"/>
      </w:pPr>
      <w:r>
        <w:rPr>
          <w:noProof/>
          <w:lang w:eastAsia="en-GB"/>
        </w:rPr>
        <w:lastRenderedPageBreak/>
        <w:drawing>
          <wp:inline distT="0" distB="0" distL="0" distR="0" wp14:anchorId="3ED87C0B" wp14:editId="121B786F">
            <wp:extent cx="5723890" cy="2149475"/>
            <wp:effectExtent l="19050" t="19050" r="10160" b="222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noChangeArrowheads="1"/>
                    </pic:cNvPicPr>
                  </pic:nvPicPr>
                  <pic:blipFill>
                    <a:blip r:embed="rId24"/>
                    <a:stretch>
                      <a:fillRect/>
                    </a:stretch>
                  </pic:blipFill>
                  <pic:spPr bwMode="auto">
                    <a:xfrm>
                      <a:off x="0" y="0"/>
                      <a:ext cx="5723890" cy="2149475"/>
                    </a:xfrm>
                    <a:prstGeom prst="rect">
                      <a:avLst/>
                    </a:prstGeom>
                    <a:noFill/>
                    <a:ln w="9525">
                      <a:solidFill>
                        <a:schemeClr val="tx1"/>
                      </a:solidFill>
                      <a:miter lim="800000"/>
                      <a:headEnd/>
                      <a:tailEnd/>
                    </a:ln>
                  </pic:spPr>
                </pic:pic>
              </a:graphicData>
            </a:graphic>
          </wp:inline>
        </w:drawing>
      </w:r>
    </w:p>
    <w:p w14:paraId="0F909559" w14:textId="77777777" w:rsidR="00CD0E3A" w:rsidRDefault="00000000" w:rsidP="003F1A3F">
      <w:pPr>
        <w:pStyle w:val="Caption"/>
      </w:pPr>
      <w:r>
        <w:t xml:space="preserve">Figure </w:t>
      </w:r>
      <w:r>
        <w:fldChar w:fldCharType="begin"/>
      </w:r>
      <w:r>
        <w:instrText xml:space="preserve"> SEQ Figure \* ARABIC </w:instrText>
      </w:r>
      <w:r>
        <w:fldChar w:fldCharType="separate"/>
      </w:r>
      <w:r w:rsidR="005B7ECF">
        <w:rPr>
          <w:noProof/>
        </w:rPr>
        <w:t>13</w:t>
      </w:r>
      <w:r>
        <w:rPr>
          <w:noProof/>
        </w:rPr>
        <w:fldChar w:fldCharType="end"/>
      </w:r>
      <w:r>
        <w:t>: Trend for profitability position</w:t>
      </w:r>
    </w:p>
    <w:p w14:paraId="38BE3706" w14:textId="77777777" w:rsidR="00CD0E3A" w:rsidRPr="00825392" w:rsidRDefault="00000000" w:rsidP="00CD0E3A">
      <w:pPr>
        <w:jc w:val="center"/>
      </w:pPr>
      <w:r>
        <w:t>(Source: sainsburys.co.uk¸2022)</w:t>
      </w:r>
    </w:p>
    <w:p w14:paraId="7451A3CA" w14:textId="77777777" w:rsidR="00CD0E3A" w:rsidRPr="00E721E8" w:rsidRDefault="00000000" w:rsidP="00CD0E3A">
      <w:pPr>
        <w:rPr>
          <w:color w:val="FF0000"/>
        </w:rPr>
      </w:pPr>
      <w:r w:rsidRPr="00E721E8">
        <w:rPr>
          <w:color w:val="FF0000"/>
        </w:rPr>
        <w:t>This trend analysis also shows that the assets margin of this company has increased in the year 2022, after 2020, the assets margin had fallen, and between 2021 and 2022, this margin increased again</w:t>
      </w:r>
      <w:r>
        <w:rPr>
          <w:color w:val="FF0000"/>
        </w:rPr>
        <w:t xml:space="preserve"> </w:t>
      </w:r>
      <w:r>
        <w:t>(sainsburys.co.uk, 2022)</w:t>
      </w:r>
      <w:r w:rsidRPr="00E721E8">
        <w:rPr>
          <w:color w:val="FF0000"/>
        </w:rPr>
        <w:t xml:space="preserve">. </w:t>
      </w:r>
    </w:p>
    <w:p w14:paraId="7B056893" w14:textId="77777777" w:rsidR="00CD0E3A" w:rsidRDefault="00000000" w:rsidP="00CD0E3A">
      <w:pPr>
        <w:keepNext/>
        <w:jc w:val="center"/>
      </w:pPr>
      <w:r>
        <w:rPr>
          <w:noProof/>
          <w:lang w:eastAsia="en-GB"/>
        </w:rPr>
        <w:drawing>
          <wp:inline distT="0" distB="0" distL="0" distR="0" wp14:anchorId="42E7E3E9" wp14:editId="551F3437">
            <wp:extent cx="5943600" cy="2115206"/>
            <wp:effectExtent l="19050" t="19050" r="19050" b="18394"/>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noChangeArrowheads="1"/>
                    </pic:cNvPicPr>
                  </pic:nvPicPr>
                  <pic:blipFill>
                    <a:blip r:embed="rId25"/>
                    <a:stretch>
                      <a:fillRect/>
                    </a:stretch>
                  </pic:blipFill>
                  <pic:spPr bwMode="auto">
                    <a:xfrm>
                      <a:off x="0" y="0"/>
                      <a:ext cx="5943600" cy="2115206"/>
                    </a:xfrm>
                    <a:prstGeom prst="rect">
                      <a:avLst/>
                    </a:prstGeom>
                    <a:noFill/>
                    <a:ln w="9525">
                      <a:solidFill>
                        <a:schemeClr val="tx1"/>
                      </a:solidFill>
                      <a:miter lim="800000"/>
                      <a:headEnd/>
                      <a:tailEnd/>
                    </a:ln>
                  </pic:spPr>
                </pic:pic>
              </a:graphicData>
            </a:graphic>
          </wp:inline>
        </w:drawing>
      </w:r>
    </w:p>
    <w:p w14:paraId="1989DAB2" w14:textId="77777777" w:rsidR="00CD0E3A" w:rsidRDefault="00000000" w:rsidP="003F1A3F">
      <w:pPr>
        <w:pStyle w:val="Caption"/>
      </w:pPr>
      <w:r>
        <w:t xml:space="preserve">Figure </w:t>
      </w:r>
      <w:r>
        <w:fldChar w:fldCharType="begin"/>
      </w:r>
      <w:r>
        <w:instrText xml:space="preserve"> SEQ Figure \* ARABIC </w:instrText>
      </w:r>
      <w:r>
        <w:fldChar w:fldCharType="separate"/>
      </w:r>
      <w:r w:rsidR="005B7ECF">
        <w:rPr>
          <w:noProof/>
        </w:rPr>
        <w:t>14</w:t>
      </w:r>
      <w:r>
        <w:rPr>
          <w:noProof/>
        </w:rPr>
        <w:fldChar w:fldCharType="end"/>
      </w:r>
      <w:r>
        <w:t>: Trend for assets proportion</w:t>
      </w:r>
    </w:p>
    <w:p w14:paraId="5897ABEA" w14:textId="77777777" w:rsidR="00CD0E3A" w:rsidRPr="00825392" w:rsidRDefault="00000000" w:rsidP="00CD0E3A">
      <w:pPr>
        <w:jc w:val="center"/>
      </w:pPr>
      <w:r>
        <w:t>(Source: sainsburys.co.uk¸2022)</w:t>
      </w:r>
    </w:p>
    <w:p w14:paraId="4DAB1443" w14:textId="77777777" w:rsidR="00CD0E3A" w:rsidRPr="00E721E8" w:rsidRDefault="00000000" w:rsidP="00CD0E3A">
      <w:pPr>
        <w:rPr>
          <w:color w:val="FF0000"/>
        </w:rPr>
      </w:pPr>
      <w:r w:rsidRPr="00E721E8">
        <w:rPr>
          <w:color w:val="FF0000"/>
        </w:rPr>
        <w:t>The equity and liability rate increased both in 2020 and in the next year 2021, and the equity margin fell more than the liability rate</w:t>
      </w:r>
      <w:r>
        <w:rPr>
          <w:color w:val="FF0000"/>
        </w:rPr>
        <w:t xml:space="preserve"> </w:t>
      </w:r>
      <w:r>
        <w:t>(sainsburys.co.uk, 2022)</w:t>
      </w:r>
      <w:r w:rsidRPr="00E721E8">
        <w:rPr>
          <w:color w:val="FF0000"/>
        </w:rPr>
        <w:t xml:space="preserve">. However, in recent years equity margin increased effectively. </w:t>
      </w:r>
    </w:p>
    <w:p w14:paraId="37352987" w14:textId="77777777" w:rsidR="00CD0E3A" w:rsidRDefault="00000000" w:rsidP="00CD0E3A">
      <w:pPr>
        <w:keepNext/>
        <w:jc w:val="center"/>
      </w:pPr>
      <w:r>
        <w:rPr>
          <w:noProof/>
          <w:lang w:eastAsia="en-GB"/>
        </w:rPr>
        <w:lastRenderedPageBreak/>
        <w:drawing>
          <wp:inline distT="0" distB="0" distL="0" distR="0" wp14:anchorId="29230244" wp14:editId="3F1AADD7">
            <wp:extent cx="5943600" cy="2166434"/>
            <wp:effectExtent l="19050" t="19050" r="19050" b="24316"/>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noChangeArrowheads="1"/>
                    </pic:cNvPicPr>
                  </pic:nvPicPr>
                  <pic:blipFill>
                    <a:blip r:embed="rId26"/>
                    <a:stretch>
                      <a:fillRect/>
                    </a:stretch>
                  </pic:blipFill>
                  <pic:spPr bwMode="auto">
                    <a:xfrm>
                      <a:off x="0" y="0"/>
                      <a:ext cx="5943600" cy="2166434"/>
                    </a:xfrm>
                    <a:prstGeom prst="rect">
                      <a:avLst/>
                    </a:prstGeom>
                    <a:noFill/>
                    <a:ln w="9525">
                      <a:solidFill>
                        <a:schemeClr val="tx1"/>
                      </a:solidFill>
                      <a:miter lim="800000"/>
                      <a:headEnd/>
                      <a:tailEnd/>
                    </a:ln>
                  </pic:spPr>
                </pic:pic>
              </a:graphicData>
            </a:graphic>
          </wp:inline>
        </w:drawing>
      </w:r>
    </w:p>
    <w:p w14:paraId="0D86FC0F" w14:textId="77777777" w:rsidR="00CD0E3A" w:rsidRDefault="00000000" w:rsidP="003F1A3F">
      <w:pPr>
        <w:pStyle w:val="Caption"/>
      </w:pPr>
      <w:r>
        <w:t xml:space="preserve">Figure </w:t>
      </w:r>
      <w:r>
        <w:fldChar w:fldCharType="begin"/>
      </w:r>
      <w:r>
        <w:instrText xml:space="preserve"> SEQ Figure \* ARABIC </w:instrText>
      </w:r>
      <w:r>
        <w:fldChar w:fldCharType="separate"/>
      </w:r>
      <w:r w:rsidR="005B7ECF">
        <w:rPr>
          <w:noProof/>
        </w:rPr>
        <w:t>15</w:t>
      </w:r>
      <w:r>
        <w:rPr>
          <w:noProof/>
        </w:rPr>
        <w:fldChar w:fldCharType="end"/>
      </w:r>
      <w:r>
        <w:t>: Trend for equity and liability position</w:t>
      </w:r>
    </w:p>
    <w:p w14:paraId="0E808107" w14:textId="77777777" w:rsidR="00A87523" w:rsidRPr="00A87523" w:rsidRDefault="00000000" w:rsidP="009435CE">
      <w:pPr>
        <w:jc w:val="center"/>
        <w:rPr>
          <w:highlight w:val="yellow"/>
        </w:rPr>
      </w:pPr>
      <w:r>
        <w:t>(Source: sainsburys.co.uk¸2022)</w:t>
      </w:r>
    </w:p>
    <w:p w14:paraId="72E29825" w14:textId="77777777" w:rsidR="007E6745" w:rsidRPr="00DD3DDE" w:rsidRDefault="00000000" w:rsidP="007E6745">
      <w:pPr>
        <w:pStyle w:val="Heading1"/>
      </w:pPr>
      <w:bookmarkStart w:id="31" w:name="_Toc150279680"/>
      <w:r w:rsidRPr="00DD3DDE">
        <w:t>5. Treasury management analysis findings</w:t>
      </w:r>
      <w:bookmarkEnd w:id="31"/>
    </w:p>
    <w:p w14:paraId="79F3C2E4" w14:textId="77777777" w:rsidR="00072CA5" w:rsidRPr="00DD3DDE" w:rsidRDefault="00000000" w:rsidP="00072CA5">
      <w:r w:rsidRPr="00DD3DDE">
        <w:t>Treasury management's objective is to guarantee that an organisation's short and also of long-term goals are met. As mentioned by Xiao, Chen and Yu (2021), treasury management can help an organisation minimise risk, effectively manage its liquidity, and make the best use of its resources. Sainsbury is widely recognised to be a British supermarket and across the UK, it is the second largest supermarket. Concerning September 2022, Sainsbury's UK supermarket sales share is about 14.6% (Sainsbury, Annual Report, 2022). Being Sainsbury a large organisation, it is evident that effective treasury management is essential to a business's success.</w:t>
      </w:r>
    </w:p>
    <w:p w14:paraId="1788A3FC" w14:textId="77777777" w:rsidR="00736E19" w:rsidRPr="00DD3DDE" w:rsidRDefault="00000000" w:rsidP="00736E19">
      <w:pPr>
        <w:pStyle w:val="Heading2"/>
        <w:rPr>
          <w:color w:val="FF0000"/>
        </w:rPr>
      </w:pPr>
      <w:bookmarkStart w:id="32" w:name="_Toc150279681"/>
      <w:r>
        <w:rPr>
          <w:color w:val="FF0000"/>
        </w:rPr>
        <w:t xml:space="preserve">5.1 </w:t>
      </w:r>
      <w:r w:rsidRPr="00DD3DDE">
        <w:rPr>
          <w:color w:val="FF0000"/>
        </w:rPr>
        <w:t>Analysing the External Environment of Sainsbury (PESTEL)</w:t>
      </w:r>
      <w:bookmarkEnd w:id="32"/>
    </w:p>
    <w:p w14:paraId="7007B776" w14:textId="77777777" w:rsidR="00F52447" w:rsidRPr="00DD3DDE" w:rsidRDefault="00000000" w:rsidP="00736E19">
      <w:pPr>
        <w:rPr>
          <w:color w:val="FF0000"/>
        </w:rPr>
      </w:pPr>
      <w:r w:rsidRPr="00DD3DDE">
        <w:rPr>
          <w:color w:val="FF0000"/>
        </w:rPr>
        <w:t xml:space="preserve">The PESTAL analysis of Sainsbury represents an </w:t>
      </w:r>
      <w:r w:rsidR="00533DBC" w:rsidRPr="00DD3DDE">
        <w:rPr>
          <w:color w:val="FF0000"/>
        </w:rPr>
        <w:t>elaborate insight</w:t>
      </w:r>
      <w:r w:rsidRPr="00DD3DDE">
        <w:rPr>
          <w:color w:val="FF0000"/>
        </w:rPr>
        <w:t xml:space="preserve"> into the brand's present condition and how it will perform shortly. </w:t>
      </w:r>
    </w:p>
    <w:p w14:paraId="73161D8E" w14:textId="77777777" w:rsidR="008F1C49" w:rsidRPr="00DD3DDE" w:rsidRDefault="00000000" w:rsidP="0011033A">
      <w:pPr>
        <w:rPr>
          <w:color w:val="FF0000"/>
        </w:rPr>
      </w:pPr>
      <w:r w:rsidRPr="00DD3DDE">
        <w:rPr>
          <w:b/>
          <w:bCs/>
          <w:color w:val="FF0000"/>
        </w:rPr>
        <w:t>Political Factors</w:t>
      </w:r>
      <w:r w:rsidR="0011033A" w:rsidRPr="00DD3DDE">
        <w:rPr>
          <w:color w:val="FF0000"/>
        </w:rPr>
        <w:t>:</w:t>
      </w:r>
    </w:p>
    <w:p w14:paraId="3278BBCF" w14:textId="77777777" w:rsidR="00736E19" w:rsidRPr="00DD3DDE" w:rsidRDefault="00000000" w:rsidP="0011033A">
      <w:pPr>
        <w:rPr>
          <w:color w:val="FF0000"/>
        </w:rPr>
      </w:pPr>
      <w:r w:rsidRPr="00DD3DDE">
        <w:rPr>
          <w:color w:val="FF0000"/>
        </w:rPr>
        <w:t>Brexit is the biggest political factor that inevitably increases the product's pricing. As per the research of Xiao, Chen and Yu (2021), Sainsbury thus loses its customers as the potential customers for choosing cheaper wholesale alternatives.</w:t>
      </w:r>
    </w:p>
    <w:p w14:paraId="5CC9CB57" w14:textId="77777777" w:rsidR="00931664" w:rsidRPr="00DD3DDE" w:rsidRDefault="00000000" w:rsidP="0011033A">
      <w:pPr>
        <w:rPr>
          <w:color w:val="FF0000"/>
        </w:rPr>
      </w:pPr>
      <w:r w:rsidRPr="00DD3DDE">
        <w:rPr>
          <w:b/>
          <w:bCs/>
          <w:color w:val="FF0000"/>
        </w:rPr>
        <w:t>Economic Factors</w:t>
      </w:r>
      <w:r w:rsidRPr="00DD3DDE">
        <w:rPr>
          <w:color w:val="FF0000"/>
        </w:rPr>
        <w:t>:</w:t>
      </w:r>
    </w:p>
    <w:p w14:paraId="448AABF6" w14:textId="77777777" w:rsidR="0011033A" w:rsidRPr="00DD3DDE" w:rsidRDefault="00000000" w:rsidP="0011033A">
      <w:pPr>
        <w:rPr>
          <w:color w:val="FF0000"/>
        </w:rPr>
      </w:pPr>
      <w:r w:rsidRPr="00DD3DDE">
        <w:rPr>
          <w:color w:val="FF0000"/>
        </w:rPr>
        <w:lastRenderedPageBreak/>
        <w:t>Sainsbury is widely dependent on road-based transport thus the costs of the products are increasing. This leads to the loss of the potential firmer base. As customers are shifting the cheaper wholesale alternatives. Hence, Sainsbury is required to introduce the products at cost-effective prices within the competitive market.</w:t>
      </w:r>
    </w:p>
    <w:p w14:paraId="16F3D0AA" w14:textId="77777777" w:rsidR="0011033A" w:rsidRPr="00DD3DDE" w:rsidRDefault="00000000" w:rsidP="0011033A">
      <w:pPr>
        <w:rPr>
          <w:color w:val="FF0000"/>
        </w:rPr>
      </w:pPr>
      <w:r w:rsidRPr="00DD3DDE">
        <w:rPr>
          <w:b/>
          <w:bCs/>
          <w:color w:val="FF0000"/>
        </w:rPr>
        <w:t>Social Factors</w:t>
      </w:r>
      <w:r w:rsidRPr="00DD3DDE">
        <w:rPr>
          <w:color w:val="FF0000"/>
        </w:rPr>
        <w:t>:</w:t>
      </w:r>
    </w:p>
    <w:p w14:paraId="2298CA7F" w14:textId="77777777" w:rsidR="0011033A" w:rsidRPr="00DD3DDE" w:rsidRDefault="00000000" w:rsidP="0011033A">
      <w:pPr>
        <w:rPr>
          <w:color w:val="FF0000"/>
        </w:rPr>
      </w:pPr>
      <w:r w:rsidRPr="00DD3DDE">
        <w:rPr>
          <w:color w:val="FF0000"/>
        </w:rPr>
        <w:t>The high rate of the business market turnover of Sainsbury comes from the outlets of fast food. As the high rate of the population is shifting towards health health-conscious diet, Sainsbury has to include healthy options. Moreover, Sainsbury has to analyse the changes in customer behaviours in leading to positive changes.</w:t>
      </w:r>
    </w:p>
    <w:p w14:paraId="5A9D4194" w14:textId="77777777" w:rsidR="0011033A" w:rsidRPr="00DD3DDE" w:rsidRDefault="00000000" w:rsidP="0011033A">
      <w:pPr>
        <w:rPr>
          <w:color w:val="FF0000"/>
        </w:rPr>
      </w:pPr>
      <w:r w:rsidRPr="00DD3DDE">
        <w:rPr>
          <w:b/>
          <w:bCs/>
          <w:color w:val="FF0000"/>
        </w:rPr>
        <w:t>Technological Factors</w:t>
      </w:r>
      <w:r w:rsidRPr="00DD3DDE">
        <w:rPr>
          <w:color w:val="FF0000"/>
        </w:rPr>
        <w:t>:</w:t>
      </w:r>
    </w:p>
    <w:p w14:paraId="5DE9A3A1" w14:textId="77777777" w:rsidR="0011033A" w:rsidRPr="00DD3DDE" w:rsidRDefault="00000000" w:rsidP="0011033A">
      <w:pPr>
        <w:rPr>
          <w:color w:val="FF0000"/>
        </w:rPr>
      </w:pPr>
      <w:r w:rsidRPr="00DD3DDE">
        <w:rPr>
          <w:color w:val="FF0000"/>
        </w:rPr>
        <w:t>As per the research of Jones and Comfort (2019), Sainsbury’s e-commerce stores are highly tech friendly and hence there has been a requirement for the adoption of technology. Sainsbury invests in the adoption of AI and big data services for the understanding of demographical needs.</w:t>
      </w:r>
    </w:p>
    <w:p w14:paraId="673741A9" w14:textId="77777777" w:rsidR="0011033A" w:rsidRPr="00DD3DDE" w:rsidRDefault="00000000" w:rsidP="00736E19">
      <w:pPr>
        <w:rPr>
          <w:color w:val="FF0000"/>
        </w:rPr>
      </w:pPr>
      <w:r w:rsidRPr="00DD3DDE">
        <w:rPr>
          <w:b/>
          <w:bCs/>
          <w:color w:val="FF0000"/>
        </w:rPr>
        <w:t>Legal Factors</w:t>
      </w:r>
      <w:r w:rsidRPr="00DD3DDE">
        <w:rPr>
          <w:color w:val="FF0000"/>
        </w:rPr>
        <w:t>:</w:t>
      </w:r>
    </w:p>
    <w:p w14:paraId="4DDED8FE" w14:textId="77777777" w:rsidR="0011033A" w:rsidRPr="00DD3DDE" w:rsidRDefault="00000000" w:rsidP="00736E19">
      <w:pPr>
        <w:rPr>
          <w:color w:val="FF0000"/>
        </w:rPr>
      </w:pPr>
      <w:r w:rsidRPr="00DD3DDE">
        <w:rPr>
          <w:color w:val="FF0000"/>
        </w:rPr>
        <w:t>Sainsbury lacks in providing different layers of decision-making in dictating systematic changes. With the quickly changing market requirement, Sainsbury needs to ensure that it adopts regulatory approvals for the provision of better customer experiences.</w:t>
      </w:r>
    </w:p>
    <w:p w14:paraId="793777FD" w14:textId="77777777" w:rsidR="0011033A" w:rsidRPr="00DD3DDE" w:rsidRDefault="00000000" w:rsidP="00736E19">
      <w:pPr>
        <w:rPr>
          <w:b/>
          <w:bCs/>
          <w:color w:val="FF0000"/>
        </w:rPr>
      </w:pPr>
      <w:r w:rsidRPr="00DD3DDE">
        <w:rPr>
          <w:b/>
          <w:bCs/>
          <w:color w:val="FF0000"/>
        </w:rPr>
        <w:t>Environmental Factors:</w:t>
      </w:r>
    </w:p>
    <w:p w14:paraId="60031E71" w14:textId="77777777" w:rsidR="0011033A" w:rsidRPr="00DD3DDE" w:rsidRDefault="00000000" w:rsidP="00736E19">
      <w:pPr>
        <w:rPr>
          <w:color w:val="FF0000"/>
        </w:rPr>
      </w:pPr>
      <w:r w:rsidRPr="00DD3DDE">
        <w:rPr>
          <w:color w:val="FF0000"/>
        </w:rPr>
        <w:t>Sainsbury produces a high level of carbon footprints that leads to negative impacts on the environmental constitutions (Upadhyay, Kumar and Akter, 2021). Hence, Sainsbury should concentrate on reducing plastic waste and follow the method of fossil fuel transformation. Sainsbury has to bear high ecological costs in increasing industry outcomes.</w:t>
      </w:r>
    </w:p>
    <w:p w14:paraId="72B3C6DD" w14:textId="77777777" w:rsidR="007977F4" w:rsidRPr="00DD3DDE" w:rsidRDefault="00000000" w:rsidP="007977F4">
      <w:pPr>
        <w:pStyle w:val="Heading2"/>
        <w:rPr>
          <w:color w:val="FF0000"/>
        </w:rPr>
      </w:pPr>
      <w:bookmarkStart w:id="33" w:name="_Toc150279682"/>
      <w:r>
        <w:rPr>
          <w:color w:val="FF0000"/>
        </w:rPr>
        <w:t xml:space="preserve">5.2 </w:t>
      </w:r>
      <w:r w:rsidRPr="00DD3DDE">
        <w:rPr>
          <w:color w:val="FF0000"/>
        </w:rPr>
        <w:t xml:space="preserve">Borrowing Strategies of </w:t>
      </w:r>
      <w:r w:rsidR="00D9287F" w:rsidRPr="00DD3DDE">
        <w:rPr>
          <w:color w:val="FF0000"/>
        </w:rPr>
        <w:t>Sainsbury</w:t>
      </w:r>
      <w:bookmarkEnd w:id="33"/>
    </w:p>
    <w:p w14:paraId="75E1091D" w14:textId="77777777" w:rsidR="003345F6" w:rsidRPr="00DD3DDE" w:rsidRDefault="00000000" w:rsidP="003345F6">
      <w:pPr>
        <w:rPr>
          <w:color w:val="FF0000"/>
        </w:rPr>
      </w:pPr>
      <w:r w:rsidRPr="00DD3DDE">
        <w:rPr>
          <w:color w:val="FF0000"/>
        </w:rPr>
        <w:t>Sainsbury Plc, a prominent retail giant in the United Kingdom, has implemented a comprehensive borrowing plan</w:t>
      </w:r>
      <w:r w:rsidR="00D26ADD">
        <w:rPr>
          <w:color w:val="FF0000"/>
        </w:rPr>
        <w:t xml:space="preserve"> </w:t>
      </w:r>
      <w:r w:rsidR="00481680" w:rsidRPr="00DD3DDE">
        <w:rPr>
          <w:color w:val="FF0000"/>
        </w:rPr>
        <w:t xml:space="preserve">to </w:t>
      </w:r>
      <w:r w:rsidR="00D26ADD" w:rsidRPr="00DD3DDE">
        <w:rPr>
          <w:color w:val="FF0000"/>
        </w:rPr>
        <w:t>satisfy its financial responsibilities and</w:t>
      </w:r>
      <w:r w:rsidR="00481680">
        <w:rPr>
          <w:color w:val="FF0000"/>
        </w:rPr>
        <w:t xml:space="preserve"> optimise its capital structure.</w:t>
      </w:r>
      <w:r w:rsidR="00624971">
        <w:rPr>
          <w:color w:val="FF0000"/>
        </w:rPr>
        <w:t xml:space="preserve"> This is a combination of long</w:t>
      </w:r>
      <w:r w:rsidR="00FE16D8">
        <w:rPr>
          <w:color w:val="FF0000"/>
        </w:rPr>
        <w:t>-term</w:t>
      </w:r>
      <w:r w:rsidRPr="00DD3DDE">
        <w:rPr>
          <w:color w:val="FF0000"/>
        </w:rPr>
        <w:t xml:space="preserve"> and short-term loan instruments that are intended to strike a balance between risk management and cost-effectiveness. To meet its short-term working capital needs, Sainsbury issues commercial paper, which is a reasonably priced financing option with durations </w:t>
      </w:r>
      <w:r w:rsidRPr="00DD3DDE">
        <w:rPr>
          <w:color w:val="FF0000"/>
        </w:rPr>
        <w:lastRenderedPageBreak/>
        <w:t>spanning from 30 to 270 days</w:t>
      </w:r>
      <w:r w:rsidR="00114580">
        <w:rPr>
          <w:color w:val="FF0000"/>
        </w:rPr>
        <w:t xml:space="preserve"> </w:t>
      </w:r>
      <w:r w:rsidR="00114580">
        <w:t>(sainsburys.co.uk, 2022)</w:t>
      </w:r>
      <w:r w:rsidRPr="00DD3DDE">
        <w:rPr>
          <w:color w:val="FF0000"/>
        </w:rPr>
        <w:t>. Another aid in reducing liquidity issues is revolving credit arrangements. Sainsbury sells commercial bonds to secure cash for extended periods, frequently longer than ten years, to finance long-term projects. By diversifying the debt portfolios, this approach reduces the risk associated with refinancing and guarantees that competitive interest rates reflect current market conditions.</w:t>
      </w:r>
    </w:p>
    <w:p w14:paraId="55278F0D" w14:textId="77777777" w:rsidR="00072CA5" w:rsidRPr="00DD3DDE" w:rsidRDefault="00000000" w:rsidP="00072CA5">
      <w:pPr>
        <w:pStyle w:val="Heading2"/>
      </w:pPr>
      <w:bookmarkStart w:id="34" w:name="_Toc150279683"/>
      <w:r>
        <w:t xml:space="preserve">5.3 </w:t>
      </w:r>
      <w:r w:rsidR="002B6626" w:rsidRPr="00DD3DDE">
        <w:t>Analysis of Sainsbury’s financial performance and management decisions</w:t>
      </w:r>
      <w:bookmarkEnd w:id="34"/>
    </w:p>
    <w:p w14:paraId="69A7C6C1" w14:textId="77777777" w:rsidR="00072CA5" w:rsidRPr="00DD3DDE" w:rsidRDefault="00000000" w:rsidP="00072CA5">
      <w:r w:rsidRPr="00DD3DDE">
        <w:t>Treasury management plays a significant role in the financial planning of the organisation. By reviewing, Sainsbury's entire financial performance for the five years, it is possible to gain a deep analysis referring to which Sainsbury could act best to conduct and maintain an effective treasury management system. Relating to the results different management decisions are exposed.</w:t>
      </w:r>
    </w:p>
    <w:p w14:paraId="6480BC91" w14:textId="77777777" w:rsidR="00072CA5" w:rsidRPr="00DD3DDE" w:rsidRDefault="00000000" w:rsidP="00072CA5">
      <w:r w:rsidRPr="00DD3DDE">
        <w:rPr>
          <w:b/>
          <w:bCs/>
        </w:rPr>
        <w:t>Net profit margin</w:t>
      </w:r>
      <w:r w:rsidRPr="00DD3DDE">
        <w:t xml:space="preserve"> is the difference between the total revenue and all the firm’s expenses (</w:t>
      </w:r>
      <w:r w:rsidRPr="00DD3DDE">
        <w:rPr>
          <w:rFonts w:cs="Times New Roman"/>
          <w:szCs w:val="24"/>
        </w:rPr>
        <w:t>Haydock and Smith, 2019)</w:t>
      </w:r>
      <w:r w:rsidRPr="00DD3DDE">
        <w:t xml:space="preserve">. Reviewing the 2018 – 2022 period of Sainsbury regarding the net profit margin, it is accounted that in 2022 the net profit margin has been 2.26% which is greater than the rest period of 1.09% in 2018, 0.64% in 2019, 0.52% in 2020, -0.69% in 2021 respectively. A greater profit margin is desirable as the company could generate better profits from its sales. A certain improved net profit margin in Sainsbury presently denotes that the company is attaining profits from selling items. While, Sainsbury needs to prioritise, maintain and monitor the </w:t>
      </w:r>
      <w:r w:rsidRPr="00DD3DDE">
        <w:rPr>
          <w:b/>
          <w:bCs/>
        </w:rPr>
        <w:t xml:space="preserve">financial, sales management and liquidity </w:t>
      </w:r>
      <w:r w:rsidRPr="00DD3DDE">
        <w:t>and</w:t>
      </w:r>
      <w:r w:rsidRPr="00DD3DDE">
        <w:rPr>
          <w:b/>
          <w:bCs/>
        </w:rPr>
        <w:t xml:space="preserve"> cash management of the firm</w:t>
      </w:r>
      <w:r w:rsidRPr="00DD3DDE">
        <w:t xml:space="preserve"> of the firm to outgrow. Sainsbury put efforts into increasing sales volumes with lowered profit margins.   </w:t>
      </w:r>
    </w:p>
    <w:p w14:paraId="39CEFA71" w14:textId="77777777" w:rsidR="00072CA5" w:rsidRPr="00DD3DDE" w:rsidRDefault="00000000" w:rsidP="00072CA5">
      <w:pPr>
        <w:rPr>
          <w:color w:val="FF0000"/>
        </w:rPr>
      </w:pPr>
      <w:r w:rsidRPr="00DD3DDE">
        <w:rPr>
          <w:color w:val="FF0000"/>
        </w:rPr>
        <w:t xml:space="preserve">As per Guo and Wang (2019), the </w:t>
      </w:r>
      <w:r w:rsidR="00DE2C72" w:rsidRPr="00DD3DDE">
        <w:rPr>
          <w:b/>
          <w:bCs/>
          <w:color w:val="FF0000"/>
        </w:rPr>
        <w:t>operating profit margin</w:t>
      </w:r>
      <w:r w:rsidRPr="00DD3DDE">
        <w:rPr>
          <w:color w:val="FF0000"/>
        </w:rPr>
        <w:t xml:space="preserve"> is investigated by dividing the overall net operating profit and is denoted by earnings before taxes and interest called EBIT by </w:t>
      </w:r>
      <w:r w:rsidR="00156F78" w:rsidRPr="00DD3DDE">
        <w:rPr>
          <w:color w:val="FF0000"/>
        </w:rPr>
        <w:t>revenue</w:t>
      </w:r>
      <w:r w:rsidRPr="00DD3DDE">
        <w:rPr>
          <w:color w:val="FF0000"/>
        </w:rPr>
        <w:t xml:space="preserve">. Reviewing the period of 2018 – 2022 of Sainsbury, the </w:t>
      </w:r>
      <w:r w:rsidR="00156F78" w:rsidRPr="00DD3DDE">
        <w:rPr>
          <w:color w:val="FF0000"/>
        </w:rPr>
        <w:t>OPR</w:t>
      </w:r>
      <w:r w:rsidRPr="00DD3DDE">
        <w:rPr>
          <w:color w:val="FF0000"/>
        </w:rPr>
        <w:t xml:space="preserve"> has been raised as in 2018, the </w:t>
      </w:r>
      <w:r w:rsidR="00156F78" w:rsidRPr="00DD3DDE">
        <w:rPr>
          <w:color w:val="FF0000"/>
        </w:rPr>
        <w:t>OPR</w:t>
      </w:r>
      <w:r w:rsidRPr="00DD3DDE">
        <w:rPr>
          <w:color w:val="FF0000"/>
        </w:rPr>
        <w:t xml:space="preserve"> was only 1.82% while, in 2022, the </w:t>
      </w:r>
      <w:r w:rsidR="00156F78" w:rsidRPr="00DD3DDE">
        <w:rPr>
          <w:color w:val="FF0000"/>
        </w:rPr>
        <w:t>OPR</w:t>
      </w:r>
      <w:r w:rsidRPr="00DD3DDE">
        <w:rPr>
          <w:color w:val="FF0000"/>
        </w:rPr>
        <w:t xml:space="preserve"> is 3.87. Presently, Sainsbury’s company value has increased since the </w:t>
      </w:r>
      <w:r w:rsidR="00156F78" w:rsidRPr="00DD3DDE">
        <w:rPr>
          <w:color w:val="FF0000"/>
        </w:rPr>
        <w:t>OPR</w:t>
      </w:r>
      <w:r w:rsidRPr="00DD3DDE">
        <w:rPr>
          <w:color w:val="FF0000"/>
        </w:rPr>
        <w:t xml:space="preserve"> has improved. Higher </w:t>
      </w:r>
      <w:r w:rsidR="00156F78" w:rsidRPr="00DD3DDE">
        <w:rPr>
          <w:color w:val="FF0000"/>
        </w:rPr>
        <w:t xml:space="preserve">OPR </w:t>
      </w:r>
      <w:r w:rsidRPr="00DD3DDE">
        <w:rPr>
          <w:color w:val="FF0000"/>
        </w:rPr>
        <w:t xml:space="preserve">projects a higher estimation of the firm’s value that is returned to stakeholders as profit amount. It would be immensely beneficial if Sainsbury stresses better </w:t>
      </w:r>
      <w:r w:rsidRPr="00DD3DDE">
        <w:rPr>
          <w:b/>
          <w:bCs/>
          <w:color w:val="FF0000"/>
        </w:rPr>
        <w:t>working capital management</w:t>
      </w:r>
      <w:r w:rsidRPr="00DD3DDE">
        <w:rPr>
          <w:color w:val="FF0000"/>
        </w:rPr>
        <w:t xml:space="preserve"> and </w:t>
      </w:r>
      <w:r w:rsidRPr="00DD3DDE">
        <w:rPr>
          <w:b/>
          <w:bCs/>
          <w:color w:val="FF0000"/>
        </w:rPr>
        <w:t xml:space="preserve">stakeholder management </w:t>
      </w:r>
      <w:r w:rsidRPr="00DD3DDE">
        <w:rPr>
          <w:color w:val="FF0000"/>
        </w:rPr>
        <w:t xml:space="preserve">such that it contributes to raised </w:t>
      </w:r>
      <w:r w:rsidR="00156F78" w:rsidRPr="00DD3DDE">
        <w:rPr>
          <w:color w:val="FF0000"/>
        </w:rPr>
        <w:t xml:space="preserve">OPR </w:t>
      </w:r>
      <w:r w:rsidRPr="00DD3DDE">
        <w:rPr>
          <w:color w:val="FF0000"/>
        </w:rPr>
        <w:t>reflecting better profits overall.</w:t>
      </w:r>
    </w:p>
    <w:p w14:paraId="546A8CE1" w14:textId="77777777" w:rsidR="009C5D7C" w:rsidRPr="00DD3DDE" w:rsidRDefault="00000000" w:rsidP="009C5D7C">
      <w:pPr>
        <w:keepNext/>
        <w:jc w:val="center"/>
      </w:pPr>
      <w:r w:rsidRPr="00DD3DDE">
        <w:rPr>
          <w:noProof/>
          <w:lang w:eastAsia="en-GB"/>
        </w:rPr>
        <w:lastRenderedPageBreak/>
        <w:drawing>
          <wp:inline distT="0" distB="0" distL="0" distR="0" wp14:anchorId="7D8BE15A" wp14:editId="7A512823">
            <wp:extent cx="5943600" cy="2362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7"/>
                    <a:stretch>
                      <a:fillRect/>
                    </a:stretch>
                  </pic:blipFill>
                  <pic:spPr>
                    <a:xfrm>
                      <a:off x="0" y="0"/>
                      <a:ext cx="5943600" cy="2362200"/>
                    </a:xfrm>
                    <a:prstGeom prst="rect">
                      <a:avLst/>
                    </a:prstGeom>
                  </pic:spPr>
                </pic:pic>
              </a:graphicData>
            </a:graphic>
          </wp:inline>
        </w:drawing>
      </w:r>
    </w:p>
    <w:p w14:paraId="16AB66B0" w14:textId="77777777" w:rsidR="00072CA5" w:rsidRPr="00DD3DDE" w:rsidRDefault="00000000" w:rsidP="003F1A3F">
      <w:pPr>
        <w:pStyle w:val="Caption"/>
      </w:pPr>
      <w:r w:rsidRPr="00DD3DDE">
        <w:t xml:space="preserve">Figure </w:t>
      </w:r>
      <w:r w:rsidR="007107B9" w:rsidRPr="00DD3DDE">
        <w:fldChar w:fldCharType="begin"/>
      </w:r>
      <w:r w:rsidRPr="00DD3DDE">
        <w:instrText xml:space="preserve"> SEQ Figure \* ARABIC </w:instrText>
      </w:r>
      <w:r w:rsidR="007107B9" w:rsidRPr="00DD3DDE">
        <w:fldChar w:fldCharType="separate"/>
      </w:r>
      <w:r w:rsidR="005B7ECF">
        <w:rPr>
          <w:noProof/>
        </w:rPr>
        <w:t>16</w:t>
      </w:r>
      <w:r w:rsidR="007107B9" w:rsidRPr="00DD3DDE">
        <w:fldChar w:fldCharType="end"/>
      </w:r>
      <w:r w:rsidRPr="00DD3DDE">
        <w:t>:Net Profit Margin and Operating Profit Margin at Sainsbury</w:t>
      </w:r>
    </w:p>
    <w:p w14:paraId="488F2456" w14:textId="77777777" w:rsidR="00072CA5" w:rsidRPr="00DD3DDE" w:rsidRDefault="00000000" w:rsidP="00072CA5">
      <w:pPr>
        <w:jc w:val="center"/>
      </w:pPr>
      <w:r w:rsidRPr="00DD3DDE">
        <w:t>(Source: Author)</w:t>
      </w:r>
    </w:p>
    <w:p w14:paraId="3671CC23" w14:textId="77777777" w:rsidR="00072CA5" w:rsidRPr="00DD3DDE" w:rsidRDefault="00000000" w:rsidP="00072CA5">
      <w:r w:rsidRPr="00DD3DDE">
        <w:t xml:space="preserve">As noted by Jones and Comfort (2020), the </w:t>
      </w:r>
      <w:r w:rsidRPr="00DD3DDE">
        <w:rPr>
          <w:b/>
          <w:bCs/>
        </w:rPr>
        <w:t>interest coverage ratio</w:t>
      </w:r>
      <w:r w:rsidRPr="00DD3DDE">
        <w:t xml:space="preserve"> is a profitability and debt ratio that is utilised to determine how comfortably a firm can act to pay its interest on its amount of debt. Analysing Sainsbury’s interest coverage ratio, in 2018, 2019 and 2020, it was 0.270, 0710, and 0.612 respectively while it raised to 2.256 in 2021 and again experienced a decline to 0.279 in 2022.  In 2021, Sainsbury was experiencing a better operating profit in meeting the interest payments while with a drop in the ratio Sainsbury has become vulnerable to the interest rates being volatile. Sainsbury in this situation needs to stress maintaining </w:t>
      </w:r>
      <w:r w:rsidRPr="00DD3DDE">
        <w:rPr>
          <w:b/>
          <w:bCs/>
        </w:rPr>
        <w:t>interest risk management</w:t>
      </w:r>
      <w:r w:rsidRPr="00DD3DDE">
        <w:t xml:space="preserve"> as in that condition it can fulfil all its financial obligations.</w:t>
      </w:r>
    </w:p>
    <w:p w14:paraId="46B12CD6" w14:textId="77777777" w:rsidR="00072CA5" w:rsidRPr="00DD3DDE" w:rsidRDefault="00000000" w:rsidP="00072CA5">
      <w:r w:rsidRPr="00DD3DDE">
        <w:t xml:space="preserve">As stated by </w:t>
      </w:r>
      <w:r w:rsidRPr="00DD3DDE">
        <w:rPr>
          <w:rFonts w:cs="Times New Roman"/>
          <w:szCs w:val="24"/>
        </w:rPr>
        <w:t>Jones and Comfort (2021)</w:t>
      </w:r>
      <w:r w:rsidRPr="00DD3DDE">
        <w:t>, </w:t>
      </w:r>
      <w:r w:rsidRPr="00DD3DDE">
        <w:rPr>
          <w:rStyle w:val="Strong"/>
        </w:rPr>
        <w:t>the debt – debt-to-equity ratio</w:t>
      </w:r>
      <w:r w:rsidRPr="00DD3DDE">
        <w:t> signifies the amount of debt a firm retains in comparison to its assets. Reviewing Sainsbury’s debt–to–equity ratio concerning the period 2018 – 2022, it is found that earlier in 2018, Sainsbury debt – to – equity ratio was 5.52 while, in a jump, it was reduced to 1.29, 1.13, 0.96 and 1.69 consecutively for the year 2019, 2020, 2021 and 2022. A lower debt–to–equity ratio is preferred always since; it showcases less debt on a firm’s balance sheet. Previously, Sainsbury used to suffer from higher debts yet, now the situation has healed. Sainsbury has remained successful in maintaining and practising an effective </w:t>
      </w:r>
      <w:r w:rsidRPr="00DD3DDE">
        <w:rPr>
          <w:rStyle w:val="Strong"/>
        </w:rPr>
        <w:t>internal debt management</w:t>
      </w:r>
      <w:r w:rsidRPr="00DD3DDE">
        <w:t> function which is necessary for them to outgrow.  </w:t>
      </w:r>
    </w:p>
    <w:p w14:paraId="1611EA95" w14:textId="77777777" w:rsidR="00E95FBB" w:rsidRPr="00DD3DDE" w:rsidRDefault="00000000" w:rsidP="00CC619D">
      <w:pPr>
        <w:keepNext/>
        <w:jc w:val="center"/>
      </w:pPr>
      <w:r w:rsidRPr="00DD3DDE">
        <w:rPr>
          <w:noProof/>
          <w:lang w:eastAsia="en-GB"/>
        </w:rPr>
        <w:lastRenderedPageBreak/>
        <w:drawing>
          <wp:inline distT="0" distB="0" distL="0" distR="0" wp14:anchorId="167DBD08" wp14:editId="70C98830">
            <wp:extent cx="5943600" cy="2459990"/>
            <wp:effectExtent l="0" t="0" r="0" b="0"/>
            <wp:docPr id="748898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898525" name=""/>
                    <pic:cNvPicPr/>
                  </pic:nvPicPr>
                  <pic:blipFill>
                    <a:blip r:embed="rId28"/>
                    <a:stretch>
                      <a:fillRect/>
                    </a:stretch>
                  </pic:blipFill>
                  <pic:spPr>
                    <a:xfrm>
                      <a:off x="0" y="0"/>
                      <a:ext cx="5943600" cy="2459990"/>
                    </a:xfrm>
                    <a:prstGeom prst="rect">
                      <a:avLst/>
                    </a:prstGeom>
                  </pic:spPr>
                </pic:pic>
              </a:graphicData>
            </a:graphic>
          </wp:inline>
        </w:drawing>
      </w:r>
    </w:p>
    <w:p w14:paraId="48610BA1" w14:textId="77777777" w:rsidR="00072CA5" w:rsidRPr="00DD3DDE" w:rsidRDefault="00000000" w:rsidP="003F1A3F">
      <w:pPr>
        <w:pStyle w:val="Caption"/>
      </w:pPr>
      <w:r w:rsidRPr="00DD3DDE">
        <w:t xml:space="preserve">Figure </w:t>
      </w:r>
      <w:r w:rsidR="007107B9" w:rsidRPr="00DD3DDE">
        <w:fldChar w:fldCharType="begin"/>
      </w:r>
      <w:r w:rsidRPr="00DD3DDE">
        <w:instrText xml:space="preserve"> SEQ Figure \* ARABIC </w:instrText>
      </w:r>
      <w:r w:rsidR="007107B9" w:rsidRPr="00DD3DDE">
        <w:fldChar w:fldCharType="separate"/>
      </w:r>
      <w:r w:rsidR="005B7ECF">
        <w:rPr>
          <w:noProof/>
        </w:rPr>
        <w:t>17</w:t>
      </w:r>
      <w:r w:rsidR="007107B9" w:rsidRPr="00DD3DDE">
        <w:fldChar w:fldCharType="end"/>
      </w:r>
      <w:r w:rsidRPr="00DD3DDE">
        <w:t>:Debt–to–equity ratio and Interest coverage ratio</w:t>
      </w:r>
    </w:p>
    <w:p w14:paraId="4E07ED7D" w14:textId="77777777" w:rsidR="00072CA5" w:rsidRPr="00DD3DDE" w:rsidRDefault="00000000" w:rsidP="00072CA5">
      <w:pPr>
        <w:jc w:val="center"/>
      </w:pPr>
      <w:r w:rsidRPr="00DD3DDE">
        <w:t>(Source: Author)</w:t>
      </w:r>
    </w:p>
    <w:p w14:paraId="212EB1A0" w14:textId="77777777" w:rsidR="00072CA5" w:rsidRPr="00DD3DDE" w:rsidRDefault="00000000" w:rsidP="00072CA5">
      <w:r w:rsidRPr="00DD3DDE">
        <w:t xml:space="preserve">As mentioned by </w:t>
      </w:r>
      <w:proofErr w:type="spellStart"/>
      <w:r w:rsidRPr="00DD3DDE">
        <w:t>Newing</w:t>
      </w:r>
      <w:proofErr w:type="spellEnd"/>
      <w:r w:rsidRPr="00DD3DDE">
        <w:t xml:space="preserve">, Hood and </w:t>
      </w:r>
      <w:proofErr w:type="spellStart"/>
      <w:r w:rsidRPr="00DD3DDE">
        <w:t>Sterland</w:t>
      </w:r>
      <w:proofErr w:type="spellEnd"/>
      <w:r w:rsidRPr="00DD3DDE">
        <w:t xml:space="preserve"> (2020), the </w:t>
      </w:r>
      <w:r w:rsidRPr="00DD3DDE">
        <w:rPr>
          <w:b/>
          <w:bCs/>
        </w:rPr>
        <w:t>current ratio</w:t>
      </w:r>
      <w:r w:rsidRPr="00DD3DDE">
        <w:t> is termed the liquidity ratio measuring the company’s capability to pay the short-term obligations or the due amounts within 1 year. Reviewing the period 2018 – 2022 in Sainsbury, it is noted that currently, the current ratio in Sainsbury has reduced to an extent as it was about 0.763 in 2018 while, in 2022 it is 0.683. As a higher current ratio is better for business, Sainsbury's condition presently would suffer from more distress or risks. An effective current ratio should be between 1.2 – 2. Sainsbury shall stress better </w:t>
      </w:r>
      <w:r w:rsidRPr="00DD3DDE">
        <w:rPr>
          <w:b/>
          <w:bCs/>
        </w:rPr>
        <w:t>asset management</w:t>
      </w:r>
      <w:r w:rsidRPr="00DD3DDE">
        <w:t> such that it has more present assets compared to the liabilities for covering all its underlying debts. </w:t>
      </w:r>
    </w:p>
    <w:p w14:paraId="1760F91B" w14:textId="77777777" w:rsidR="00072CA5" w:rsidRPr="00DD3DDE" w:rsidRDefault="00000000" w:rsidP="00072CA5">
      <w:pPr>
        <w:rPr>
          <w:rFonts w:eastAsia="Times New Roman" w:cs="Times New Roman"/>
          <w:b/>
          <w:bCs/>
          <w:color w:val="000000"/>
          <w:kern w:val="0"/>
          <w:szCs w:val="24"/>
          <w:lang w:eastAsia="en-IN"/>
        </w:rPr>
      </w:pPr>
      <w:r w:rsidRPr="00DD3DDE">
        <w:rPr>
          <w:rStyle w:val="Strong"/>
          <w:color w:val="0E101A"/>
        </w:rPr>
        <w:t>The quick ratio</w:t>
      </w:r>
      <w:r w:rsidRPr="00DD3DDE">
        <w:t xml:space="preserve"> measures the ability of the company to meet short-term obligations with the availability of the most liquid assets. As per the research of </w:t>
      </w:r>
      <w:proofErr w:type="spellStart"/>
      <w:r w:rsidRPr="00DD3DDE">
        <w:t>Bulah</w:t>
      </w:r>
      <w:proofErr w:type="spellEnd"/>
      <w:r w:rsidRPr="00DD3DDE">
        <w:t> </w:t>
      </w:r>
      <w:r w:rsidRPr="00DD3DDE">
        <w:rPr>
          <w:rStyle w:val="Emphasis"/>
          <w:color w:val="0E101A"/>
        </w:rPr>
        <w:t>et al.</w:t>
      </w:r>
      <w:r w:rsidRPr="00DD3DDE">
        <w:t xml:space="preserve"> (2023), the quick ratio of Sainsbury Group remains less than one throughout the years. Thus, it means Sainsbury Group does not have enough quick assets that it can use for the meeting up of the short-term obligations. Hence, Sainsbury Group may face certain issues in paying cash to the creditors. To improve the quick ratio of Sainsbury Group, it is required to grow sales with the reduction of expenses in the increasing of the business market competitiveness. To stabilise the level of the quick ratios, Sainsbury Group should decrease the level of the inventories by adopting effective </w:t>
      </w:r>
      <w:r w:rsidRPr="00DD3DDE">
        <w:rPr>
          <w:b/>
        </w:rPr>
        <w:t>inventory management</w:t>
      </w:r>
      <w:r w:rsidRPr="00DD3DDE">
        <w:t xml:space="preserve"> and hence help in the process of decreasing the le</w:t>
      </w:r>
      <w:r w:rsidR="0045417F">
        <w:t>vel of the current liabilities.</w:t>
      </w:r>
    </w:p>
    <w:p w14:paraId="7E413A33" w14:textId="77777777" w:rsidR="00CC619D" w:rsidRPr="00DD3DDE" w:rsidRDefault="00000000" w:rsidP="00204D23">
      <w:pPr>
        <w:keepNext/>
        <w:jc w:val="center"/>
      </w:pPr>
      <w:r w:rsidRPr="00DD3DDE">
        <w:rPr>
          <w:noProof/>
          <w:lang w:eastAsia="en-GB"/>
        </w:rPr>
        <w:lastRenderedPageBreak/>
        <w:drawing>
          <wp:inline distT="0" distB="0" distL="0" distR="0" wp14:anchorId="7E7A80AF" wp14:editId="3CA7C577">
            <wp:extent cx="5943600" cy="2557780"/>
            <wp:effectExtent l="0" t="0" r="0" b="0"/>
            <wp:docPr id="2131027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27425" name=""/>
                    <pic:cNvPicPr/>
                  </pic:nvPicPr>
                  <pic:blipFill>
                    <a:blip r:embed="rId29"/>
                    <a:stretch>
                      <a:fillRect/>
                    </a:stretch>
                  </pic:blipFill>
                  <pic:spPr>
                    <a:xfrm>
                      <a:off x="0" y="0"/>
                      <a:ext cx="5943600" cy="2557780"/>
                    </a:xfrm>
                    <a:prstGeom prst="rect">
                      <a:avLst/>
                    </a:prstGeom>
                  </pic:spPr>
                </pic:pic>
              </a:graphicData>
            </a:graphic>
          </wp:inline>
        </w:drawing>
      </w:r>
    </w:p>
    <w:p w14:paraId="2762BBFA" w14:textId="77777777" w:rsidR="00072CA5" w:rsidRPr="00DD3DDE" w:rsidRDefault="00000000" w:rsidP="003F1A3F">
      <w:pPr>
        <w:pStyle w:val="Caption"/>
      </w:pPr>
      <w:r w:rsidRPr="00DD3DDE">
        <w:t xml:space="preserve">Figure </w:t>
      </w:r>
      <w:r w:rsidR="007107B9" w:rsidRPr="00DD3DDE">
        <w:fldChar w:fldCharType="begin"/>
      </w:r>
      <w:r w:rsidRPr="00DD3DDE">
        <w:instrText xml:space="preserve"> SEQ Figure \* ARABIC </w:instrText>
      </w:r>
      <w:r w:rsidR="007107B9" w:rsidRPr="00DD3DDE">
        <w:fldChar w:fldCharType="separate"/>
      </w:r>
      <w:r w:rsidR="005B7ECF">
        <w:rPr>
          <w:noProof/>
        </w:rPr>
        <w:t>18</w:t>
      </w:r>
      <w:r w:rsidR="007107B9" w:rsidRPr="00DD3DDE">
        <w:fldChar w:fldCharType="end"/>
      </w:r>
      <w:r w:rsidRPr="00DD3DDE">
        <w:t>:Current Ratio and Quick Ratio</w:t>
      </w:r>
    </w:p>
    <w:p w14:paraId="11D22CA1" w14:textId="77777777" w:rsidR="00072CA5" w:rsidRPr="00DD3DDE" w:rsidRDefault="00000000" w:rsidP="00072CA5">
      <w:pPr>
        <w:jc w:val="center"/>
      </w:pPr>
      <w:r w:rsidRPr="00DD3DDE">
        <w:t>(Source: Author)</w:t>
      </w:r>
    </w:p>
    <w:p w14:paraId="4706E8EA" w14:textId="77777777" w:rsidR="00072CA5" w:rsidRPr="00DD3DDE" w:rsidRDefault="00000000" w:rsidP="00072CA5">
      <w:r w:rsidRPr="00DD3DDE">
        <w:rPr>
          <w:rFonts w:eastAsia="Times New Roman" w:cs="Times New Roman"/>
          <w:b/>
          <w:bCs/>
          <w:color w:val="000000"/>
          <w:kern w:val="0"/>
          <w:szCs w:val="24"/>
          <w:lang w:eastAsia="en-IN"/>
        </w:rPr>
        <w:t xml:space="preserve">Inventory turnover days </w:t>
      </w:r>
      <w:r w:rsidRPr="00DD3DDE">
        <w:t xml:space="preserve">calculate the time that passes from the day, the company purchases products until it is sold. It indicates the average number of days it takes to convert inventory to sales. As per the research of </w:t>
      </w:r>
      <w:r w:rsidRPr="00DD3DDE">
        <w:rPr>
          <w:rFonts w:cs="Times New Roman"/>
          <w:color w:val="222222"/>
          <w:szCs w:val="24"/>
        </w:rPr>
        <w:t>Collin-</w:t>
      </w:r>
      <w:proofErr w:type="spellStart"/>
      <w:r w:rsidRPr="00DD3DDE">
        <w:rPr>
          <w:rFonts w:cs="Times New Roman"/>
          <w:color w:val="222222"/>
          <w:szCs w:val="24"/>
        </w:rPr>
        <w:t>Lachaud</w:t>
      </w:r>
      <w:r w:rsidRPr="00DD3DDE">
        <w:rPr>
          <w:i/>
        </w:rPr>
        <w:t>et</w:t>
      </w:r>
      <w:proofErr w:type="spellEnd"/>
      <w:r w:rsidRPr="00DD3DDE">
        <w:rPr>
          <w:i/>
        </w:rPr>
        <w:t xml:space="preserve"> al.</w:t>
      </w:r>
      <w:r w:rsidRPr="00DD3DDE">
        <w:t xml:space="preserve"> (2023), Sainsbury Group maintains stable inventory turnover days which indicates the quality of </w:t>
      </w:r>
      <w:r w:rsidRPr="00DD3DDE">
        <w:rPr>
          <w:b/>
        </w:rPr>
        <w:t>inventory management</w:t>
      </w:r>
      <w:r w:rsidRPr="00DD3DDE">
        <w:t xml:space="preserve">. As Sainsbury Group efforts to maintain stable inventory turnover days, it faces less damage to the products. For the avoidance of unnecessary waste and loss, Sainsbury Group Plc maintain the proper rules and regulation of inventory management. Thus, Sainsbury Group should consistently maintain effective </w:t>
      </w:r>
      <w:r w:rsidRPr="00DD3DDE">
        <w:rPr>
          <w:b/>
        </w:rPr>
        <w:t>Financial Modelling</w:t>
      </w:r>
      <w:r w:rsidRPr="00DD3DDE">
        <w:t xml:space="preserve"> to take minimum days in selling the inventories. This could help the gaining of the business market competitiveness and the attracting of the potential customer base. </w:t>
      </w:r>
    </w:p>
    <w:p w14:paraId="6F223D56" w14:textId="77777777" w:rsidR="00072CA5" w:rsidRPr="00DD3DDE" w:rsidRDefault="00072CA5" w:rsidP="00072CA5">
      <w:pPr>
        <w:spacing w:after="0" w:line="240" w:lineRule="auto"/>
      </w:pPr>
    </w:p>
    <w:p w14:paraId="0F97EE67" w14:textId="77777777" w:rsidR="00072CA5" w:rsidRPr="00DD3DDE" w:rsidRDefault="00000000" w:rsidP="00072CA5">
      <w:r w:rsidRPr="00DD3DDE">
        <w:rPr>
          <w:b/>
        </w:rPr>
        <w:t>Trade receivables turnover days</w:t>
      </w:r>
      <w:r w:rsidRPr="00DD3DDE">
        <w:t xml:space="preserve"> indicate how frequently a company converts its accounts receivable into cash over a given time frame. A high rate of receivable turnover is considered to be better as it indicates that the company collects payments from the customers quickly, avoiding a long waiting period. As per the research of </w:t>
      </w:r>
      <w:r w:rsidRPr="00DD3DDE">
        <w:rPr>
          <w:rFonts w:cs="Times New Roman"/>
          <w:color w:val="222222"/>
          <w:szCs w:val="24"/>
        </w:rPr>
        <w:t xml:space="preserve">Dhyani and Kumar (2022), </w:t>
      </w:r>
      <w:r w:rsidRPr="00DD3DDE">
        <w:t xml:space="preserve">the trade receivable turnover of Sainsbury Group has decreased hence, strong credit policies are required to be implemented. Effective </w:t>
      </w:r>
      <w:r w:rsidRPr="00DD3DDE">
        <w:rPr>
          <w:b/>
        </w:rPr>
        <w:t>debt management</w:t>
      </w:r>
      <w:r w:rsidRPr="00DD3DDE">
        <w:t xml:space="preserve"> policies are required to be included in the managerial operation of Sainsbury Group Plc. This can help in the process of reducing the time the consumer </w:t>
      </w:r>
      <w:r w:rsidRPr="00DD3DDE">
        <w:lastRenderedPageBreak/>
        <w:t xml:space="preserve">has to pay in billing and developing the credit procedure to make sure that the bill is sent out quickly. Technologies are to be undertaken for the generation of automated invoices consisting of customer records. </w:t>
      </w:r>
    </w:p>
    <w:p w14:paraId="52A19718" w14:textId="77777777" w:rsidR="00072CA5" w:rsidRPr="00DD3DDE" w:rsidRDefault="00072CA5" w:rsidP="00072CA5">
      <w:pPr>
        <w:spacing w:after="0" w:line="240" w:lineRule="auto"/>
        <w:rPr>
          <w:rFonts w:eastAsia="Times New Roman" w:cs="Times New Roman"/>
          <w:b/>
          <w:bCs/>
          <w:color w:val="000000"/>
          <w:kern w:val="0"/>
          <w:szCs w:val="24"/>
          <w:lang w:eastAsia="en-IN"/>
        </w:rPr>
      </w:pPr>
    </w:p>
    <w:p w14:paraId="1C2E5DF8" w14:textId="77777777" w:rsidR="00216E16" w:rsidRPr="00DD3DDE" w:rsidRDefault="00000000" w:rsidP="009F0C97">
      <w:pPr>
        <w:keepNext/>
        <w:jc w:val="center"/>
      </w:pPr>
      <w:r w:rsidRPr="00DD3DDE">
        <w:rPr>
          <w:noProof/>
          <w:lang w:eastAsia="en-GB"/>
        </w:rPr>
        <w:drawing>
          <wp:inline distT="0" distB="0" distL="0" distR="0" wp14:anchorId="0B4F44DE" wp14:editId="7B11BBEE">
            <wp:extent cx="5943600" cy="22332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30"/>
                    <a:stretch>
                      <a:fillRect/>
                    </a:stretch>
                  </pic:blipFill>
                  <pic:spPr>
                    <a:xfrm>
                      <a:off x="0" y="0"/>
                      <a:ext cx="5943600" cy="2233295"/>
                    </a:xfrm>
                    <a:prstGeom prst="rect">
                      <a:avLst/>
                    </a:prstGeom>
                  </pic:spPr>
                </pic:pic>
              </a:graphicData>
            </a:graphic>
          </wp:inline>
        </w:drawing>
      </w:r>
    </w:p>
    <w:p w14:paraId="39D7BC4D" w14:textId="77777777" w:rsidR="00072CA5" w:rsidRPr="00DD3DDE" w:rsidRDefault="00000000" w:rsidP="003F1A3F">
      <w:pPr>
        <w:pStyle w:val="Caption"/>
      </w:pPr>
      <w:r w:rsidRPr="00DD3DDE">
        <w:t xml:space="preserve">Figure </w:t>
      </w:r>
      <w:r w:rsidR="007107B9" w:rsidRPr="00DD3DDE">
        <w:fldChar w:fldCharType="begin"/>
      </w:r>
      <w:r w:rsidRPr="00DD3DDE">
        <w:instrText xml:space="preserve"> SEQ Figure \* ARABIC </w:instrText>
      </w:r>
      <w:r w:rsidR="007107B9" w:rsidRPr="00DD3DDE">
        <w:fldChar w:fldCharType="separate"/>
      </w:r>
      <w:r w:rsidR="005B7ECF">
        <w:rPr>
          <w:noProof/>
        </w:rPr>
        <w:t>19</w:t>
      </w:r>
      <w:r w:rsidR="007107B9" w:rsidRPr="00DD3DDE">
        <w:fldChar w:fldCharType="end"/>
      </w:r>
      <w:r w:rsidRPr="00DD3DDE">
        <w:t>:Inventory turnover days and Trade receivables turnover days</w:t>
      </w:r>
    </w:p>
    <w:p w14:paraId="245F9B35" w14:textId="77777777" w:rsidR="00072CA5" w:rsidRPr="00DD3DDE" w:rsidRDefault="00000000" w:rsidP="00072CA5">
      <w:pPr>
        <w:jc w:val="center"/>
      </w:pPr>
      <w:r w:rsidRPr="00DD3DDE">
        <w:rPr>
          <w:rFonts w:eastAsia="Times New Roman" w:cs="Times New Roman"/>
          <w:color w:val="000000"/>
          <w:kern w:val="0"/>
          <w:szCs w:val="24"/>
          <w:lang w:eastAsia="en-IN"/>
        </w:rPr>
        <w:t>(Source: Author)</w:t>
      </w:r>
    </w:p>
    <w:p w14:paraId="02D213CE" w14:textId="77777777" w:rsidR="00072CA5" w:rsidRPr="00DD3DDE" w:rsidRDefault="00000000" w:rsidP="00072CA5">
      <w:r w:rsidRPr="00DD3DDE">
        <w:rPr>
          <w:b/>
        </w:rPr>
        <w:t>Dividend Yield</w:t>
      </w:r>
      <w:r w:rsidRPr="00DD3DDE">
        <w:t xml:space="preserve"> is a metric that investors use to indicate how much of their current share value was earned as recurring income in the previous year. Dividend yield is a common metric used by investors to determine whether buying and holding a stock would be advantageous. As per the research of Ghai and </w:t>
      </w:r>
      <w:proofErr w:type="spellStart"/>
      <w:r w:rsidRPr="00DD3DDE">
        <w:t>Kargeti</w:t>
      </w:r>
      <w:proofErr w:type="spellEnd"/>
      <w:r w:rsidRPr="00DD3DDE">
        <w:t xml:space="preserve"> (2022), the dividend yield of Sainsbury Group is less than 1, hence Sainsbury Group's dividend yield is lower than the average industry. Hence to stabilise dividend yield Sainsbury Group Plc should initiate dividend-payment programmes the attract business market quality investors. Hence shaping the dividend yield can lead to attracting the potential business market customer base.  </w:t>
      </w:r>
      <w:r w:rsidRPr="00DD3DDE">
        <w:rPr>
          <w:b/>
        </w:rPr>
        <w:t>The dividend discount model</w:t>
      </w:r>
      <w:r w:rsidRPr="00DD3DDE">
        <w:t xml:space="preserve"> has to be followed accurately by the operational managers of Sainsbury Group Plc the ensure the positive cash flows to distributed perfectly among the stakeholders. </w:t>
      </w:r>
    </w:p>
    <w:p w14:paraId="504E6741" w14:textId="77777777" w:rsidR="00072CA5" w:rsidRPr="00DD3DDE" w:rsidRDefault="00000000" w:rsidP="00072CA5">
      <w:r w:rsidRPr="00DD3DDE">
        <w:t xml:space="preserve">The ratio of a company's share price to its earnings per share is known as the </w:t>
      </w:r>
      <w:r w:rsidRPr="00DD3DDE">
        <w:rPr>
          <w:b/>
        </w:rPr>
        <w:t>price-earnings ratio</w:t>
      </w:r>
      <w:r w:rsidRPr="00DD3DDE">
        <w:t xml:space="preserve">. A high price-earnings ratio may indicate that investors are pricing in rapid future growth or that the stock of the company is overvalued. As per the research of </w:t>
      </w:r>
      <w:r w:rsidRPr="00DD3DDE">
        <w:rPr>
          <w:rFonts w:cs="Times New Roman"/>
          <w:color w:val="222222"/>
          <w:szCs w:val="24"/>
        </w:rPr>
        <w:t xml:space="preserve">Haydock and Smith (2019), </w:t>
      </w:r>
      <w:r w:rsidRPr="00DD3DDE">
        <w:t xml:space="preserve">Compared to 2021, in 2022 the price-earnings ratios of Sainsbury Group Plc have been sharply improved. Hence, Sainsbury Group Plc has to be consistent throughout the years and for this </w:t>
      </w:r>
      <w:r w:rsidRPr="00DD3DDE">
        <w:lastRenderedPageBreak/>
        <w:t xml:space="preserve">effective </w:t>
      </w:r>
      <w:r w:rsidRPr="00DD3DDE">
        <w:rPr>
          <w:b/>
        </w:rPr>
        <w:t>stock management</w:t>
      </w:r>
      <w:r w:rsidRPr="00DD3DDE">
        <w:t xml:space="preserve"> policies and the regulation are to be followed by the higher authorities of Sainsbury Group Plc. </w:t>
      </w:r>
    </w:p>
    <w:p w14:paraId="6ADC02E7" w14:textId="77777777" w:rsidR="00D87239" w:rsidRPr="00DD3DDE" w:rsidRDefault="00000000" w:rsidP="00D87239">
      <w:pPr>
        <w:keepNext/>
        <w:jc w:val="center"/>
      </w:pPr>
      <w:r w:rsidRPr="00DD3DDE">
        <w:rPr>
          <w:noProof/>
          <w:lang w:eastAsia="en-GB"/>
        </w:rPr>
        <w:drawing>
          <wp:inline distT="0" distB="0" distL="0" distR="0" wp14:anchorId="72639E02" wp14:editId="72B19900">
            <wp:extent cx="5611008" cy="2181529"/>
            <wp:effectExtent l="0" t="0" r="889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31"/>
                    <a:stretch>
                      <a:fillRect/>
                    </a:stretch>
                  </pic:blipFill>
                  <pic:spPr>
                    <a:xfrm>
                      <a:off x="0" y="0"/>
                      <a:ext cx="5611008" cy="2181529"/>
                    </a:xfrm>
                    <a:prstGeom prst="rect">
                      <a:avLst/>
                    </a:prstGeom>
                  </pic:spPr>
                </pic:pic>
              </a:graphicData>
            </a:graphic>
          </wp:inline>
        </w:drawing>
      </w:r>
    </w:p>
    <w:p w14:paraId="1568440B" w14:textId="77777777" w:rsidR="00072CA5" w:rsidRPr="00DD3DDE" w:rsidRDefault="00000000" w:rsidP="003F1A3F">
      <w:pPr>
        <w:pStyle w:val="Caption"/>
      </w:pPr>
      <w:r w:rsidRPr="00DD3DDE">
        <w:t xml:space="preserve">Figure </w:t>
      </w:r>
      <w:r w:rsidR="007107B9" w:rsidRPr="00DD3DDE">
        <w:fldChar w:fldCharType="begin"/>
      </w:r>
      <w:r w:rsidRPr="00DD3DDE">
        <w:instrText xml:space="preserve"> SEQ Figure \* ARABIC </w:instrText>
      </w:r>
      <w:r w:rsidR="007107B9" w:rsidRPr="00DD3DDE">
        <w:fldChar w:fldCharType="separate"/>
      </w:r>
      <w:r w:rsidR="005B7ECF">
        <w:rPr>
          <w:noProof/>
        </w:rPr>
        <w:t>20</w:t>
      </w:r>
      <w:r w:rsidR="007107B9" w:rsidRPr="00DD3DDE">
        <w:fldChar w:fldCharType="end"/>
      </w:r>
      <w:r w:rsidRPr="00DD3DDE">
        <w:t>:Dividend Yield and Price-earnings ratio</w:t>
      </w:r>
    </w:p>
    <w:p w14:paraId="5C0711AB" w14:textId="77777777" w:rsidR="00072CA5" w:rsidRPr="00DD3DDE" w:rsidRDefault="00000000" w:rsidP="00072CA5">
      <w:pPr>
        <w:jc w:val="center"/>
      </w:pPr>
      <w:r w:rsidRPr="00DD3DDE">
        <w:rPr>
          <w:rFonts w:eastAsia="Times New Roman" w:cs="Times New Roman"/>
          <w:color w:val="000000"/>
          <w:kern w:val="0"/>
          <w:szCs w:val="24"/>
          <w:lang w:eastAsia="en-IN"/>
        </w:rPr>
        <w:t>(Source: Author)</w:t>
      </w:r>
    </w:p>
    <w:p w14:paraId="163DA564" w14:textId="77777777" w:rsidR="00072CA5" w:rsidRPr="00DD3DDE" w:rsidRDefault="00000000" w:rsidP="00072CA5">
      <w:pPr>
        <w:pStyle w:val="Heading2"/>
      </w:pPr>
      <w:bookmarkStart w:id="35" w:name="_Toc150279684"/>
      <w:r>
        <w:t xml:space="preserve">5.4 </w:t>
      </w:r>
      <w:r w:rsidR="002B6626" w:rsidRPr="00DD3DDE">
        <w:t>Key insights from Sa</w:t>
      </w:r>
      <w:r w:rsidR="00AB372F" w:rsidRPr="00DD3DDE">
        <w:t>insbury's financial performance</w:t>
      </w:r>
      <w:bookmarkEnd w:id="35"/>
    </w:p>
    <w:p w14:paraId="55FE9FC1" w14:textId="77777777" w:rsidR="00072CA5" w:rsidRPr="00DD3DDE" w:rsidRDefault="00000000" w:rsidP="00072CA5">
      <w:pPr>
        <w:rPr>
          <w:color w:val="FF0000"/>
        </w:rPr>
      </w:pPr>
      <w:r w:rsidRPr="00DD3DDE">
        <w:t xml:space="preserve">The following recommendations regarding financial factors, conditions of business, and strategies are meant to improve the financial performance of J Sainsbury </w:t>
      </w:r>
      <w:r w:rsidR="00151C4F" w:rsidRPr="00DD3DDE">
        <w:t>Plc</w:t>
      </w:r>
      <w:r w:rsidR="00151C4F">
        <w:t xml:space="preserve"> </w:t>
      </w:r>
      <w:r w:rsidR="00F52447" w:rsidRPr="00DD3DDE">
        <w:rPr>
          <w:color w:val="FF0000"/>
        </w:rPr>
        <w:t xml:space="preserve">and this would allow Sainsbury to raise their competitive </w:t>
      </w:r>
      <w:r w:rsidR="00151C4F" w:rsidRPr="00DD3DDE">
        <w:rPr>
          <w:color w:val="FF0000"/>
        </w:rPr>
        <w:t>strategy. Financially</w:t>
      </w:r>
      <w:r w:rsidRPr="00DD3DDE">
        <w:rPr>
          <w:color w:val="FF0000"/>
        </w:rPr>
        <w:t xml:space="preserve"> speaking, </w:t>
      </w:r>
      <w:r w:rsidRPr="00DD3DDE">
        <w:rPr>
          <w:rFonts w:cs="Times New Roman"/>
          <w:color w:val="FF0000"/>
          <w:szCs w:val="24"/>
        </w:rPr>
        <w:t xml:space="preserve">Raina and Gupta (2022) </w:t>
      </w:r>
      <w:r w:rsidRPr="00DD3DDE">
        <w:rPr>
          <w:color w:val="FF0000"/>
        </w:rPr>
        <w:t xml:space="preserve">stated that it is determined that Sainsbury's would be stronger by renting more properties compared to purchasing them, particularly if doing in that way would allow the business to terminate the lease early and set aside funds for short-term lease ownership in the future. This is because net income has decreased as a result of operating expenses, or administrative costs, rising far faster than gross profit growth. Secondly, Sainsbury can act to transfer risk to the lessor (buyer) by leasing back a few less significant fixed assets after selling them particularly. Consequently, the business may continue to use the asset as the lessee. Thirdly, improved cost control will allow the business to appoint more seasoned managers who can keep an eye on the ratio's trend, routinely evaluate potential suppliers to secure better deals, and precisely calculate bulk purchase discounts should the business choose to take financial chances. While they wait, the purchasing department should put in place a system to quickly ascertain the availability and demand for each product and keep lines of communication open with the sales department. </w:t>
      </w:r>
    </w:p>
    <w:p w14:paraId="24439252" w14:textId="77777777" w:rsidR="00072CA5" w:rsidRPr="00DD3DDE" w:rsidRDefault="00000000" w:rsidP="00072CA5">
      <w:pPr>
        <w:rPr>
          <w:color w:val="FF0000"/>
        </w:rPr>
      </w:pPr>
      <w:r w:rsidRPr="00DD3DDE">
        <w:rPr>
          <w:color w:val="FF0000"/>
        </w:rPr>
        <w:lastRenderedPageBreak/>
        <w:t>To sum up, it would be beneficial for Sainsbury to use the customer loyalty Nectar card more frequently to ascertain which products are selling at a faster rate and which ones are not as well-liked by consumers. Following that trend would make it possible for Sainsbury Plc. to understand upon acting in which way, the firm’s profitability can rise</w:t>
      </w:r>
      <w:r w:rsidR="00F52447" w:rsidRPr="00DD3DDE">
        <w:rPr>
          <w:color w:val="FF0000"/>
        </w:rPr>
        <w:t xml:space="preserve"> and help them to gain the competitive advantages.</w:t>
      </w:r>
      <w:r w:rsidRPr="00DD3DDE">
        <w:rPr>
          <w:color w:val="FF0000"/>
        </w:rPr>
        <w:t xml:space="preserve"> According to </w:t>
      </w:r>
      <w:proofErr w:type="spellStart"/>
      <w:r w:rsidRPr="00DD3DDE">
        <w:rPr>
          <w:rFonts w:cs="Times New Roman"/>
          <w:color w:val="FF0000"/>
          <w:szCs w:val="24"/>
        </w:rPr>
        <w:t>Newing</w:t>
      </w:r>
      <w:proofErr w:type="spellEnd"/>
      <w:r w:rsidRPr="00DD3DDE">
        <w:rPr>
          <w:rFonts w:cs="Times New Roman"/>
          <w:color w:val="FF0000"/>
          <w:szCs w:val="24"/>
        </w:rPr>
        <w:t xml:space="preserve">, Hood and </w:t>
      </w:r>
      <w:proofErr w:type="spellStart"/>
      <w:r w:rsidRPr="00DD3DDE">
        <w:rPr>
          <w:rFonts w:cs="Times New Roman"/>
          <w:color w:val="FF0000"/>
          <w:szCs w:val="24"/>
        </w:rPr>
        <w:t>Sterland</w:t>
      </w:r>
      <w:proofErr w:type="spellEnd"/>
      <w:r w:rsidRPr="00DD3DDE">
        <w:rPr>
          <w:rFonts w:cs="Times New Roman"/>
          <w:color w:val="FF0000"/>
          <w:szCs w:val="24"/>
        </w:rPr>
        <w:t xml:space="preserve"> (2020)</w:t>
      </w:r>
      <w:r w:rsidRPr="00DD3DDE">
        <w:rPr>
          <w:color w:val="FF0000"/>
        </w:rPr>
        <w:t xml:space="preserve">, Sainsbury Plc. should continue operating in the market and adhering to ethical supplier, employer, and business practices. Given the saturation of the UK retail market, Sainsbury's should consider expanding internationally to gain a competitive edge in this extremely competitive sector. Growing into developing nations like China and as well as India it makes some sense. As mentioned by </w:t>
      </w:r>
      <w:r w:rsidRPr="00DD3DDE">
        <w:rPr>
          <w:rFonts w:cs="Times New Roman"/>
          <w:color w:val="FF0000"/>
          <w:szCs w:val="24"/>
        </w:rPr>
        <w:t>Rohwer and Topić (2019)</w:t>
      </w:r>
      <w:r w:rsidRPr="00DD3DDE">
        <w:rPr>
          <w:color w:val="FF0000"/>
        </w:rPr>
        <w:t xml:space="preserve">, It is noted that discount retailers called Aldi and Lidl are seen to be competing with Sainsbury's despite customers placing a higher value on the quality of products and with the detrimental impacts the company is reportedly in an unfavourable position of inflation on earnings. </w:t>
      </w:r>
    </w:p>
    <w:p w14:paraId="4F511A25" w14:textId="77777777" w:rsidR="00072CA5" w:rsidRPr="00DD3DDE" w:rsidRDefault="00000000" w:rsidP="00072CA5">
      <w:r w:rsidRPr="00DD3DDE">
        <w:t xml:space="preserve">As mentioned by </w:t>
      </w:r>
      <w:r w:rsidRPr="00DD3DDE">
        <w:rPr>
          <w:rFonts w:cs="Times New Roman"/>
          <w:szCs w:val="24"/>
        </w:rPr>
        <w:t>Upadhyay, Kumar and Akter (2021)</w:t>
      </w:r>
      <w:r w:rsidRPr="00DD3DDE">
        <w:t>, younger customers who consume less amount of food and do not have major time to cook are becoming more frequent type of customers of Sainsbury's Local, a convenience store that remains open late in the Metro areas. Compared to Tesco Express, there is a far wider variety of excellent pre-prepared food options and this necessitates Sainsbury modernising its current facilities and growing its network of convenience stores (Sainsbury, Annual Report, 2019). All these strategies if taken up by Sainsbury then it is evident that Sainsbury could expect a strong financial performance shortly. Embracing onto effective treasury management system would allow them to deal with the local and international factors that impact how the flow of money happens around their operations and across the countries.</w:t>
      </w:r>
    </w:p>
    <w:p w14:paraId="7564ECC8" w14:textId="77777777" w:rsidR="00564168" w:rsidRDefault="00000000" w:rsidP="00564168">
      <w:r w:rsidRPr="00DD3DDE">
        <w:t xml:space="preserve">Sainsbury Group manages its financing by the diversification of the funding sources. As per the research of </w:t>
      </w:r>
      <w:proofErr w:type="spellStart"/>
      <w:r w:rsidRPr="00DD3DDE">
        <w:t>Anesbury</w:t>
      </w:r>
      <w:proofErr w:type="spellEnd"/>
      <w:r w:rsidRPr="00DD3DDE">
        <w:t> </w:t>
      </w:r>
      <w:r w:rsidRPr="00DD3DDE">
        <w:rPr>
          <w:i/>
          <w:iCs/>
        </w:rPr>
        <w:t>et al.</w:t>
      </w:r>
      <w:r w:rsidRPr="00DD3DDE">
        <w:t xml:space="preserve"> (2020), the process includes the structuring of long-term maturities and core borrowing. Sainsbury Group revolves around the credit facilities by maintaining an adequate level of committed funding. Sainsbury Group should increase investment in maintaining a suitable level of funding capacity for the minimisation of liquidity risks (Sainsbury, Annual report, 2022). The financial committee of Sainsbury Group assess the secured and the unsecured borrowing facilities of the business the level of the appropriateness in tender and the specific amount that the Group is in requirement. During the course of the five-year viability assessment, the Committee </w:t>
      </w:r>
      <w:r w:rsidRPr="00DD3DDE">
        <w:lastRenderedPageBreak/>
        <w:t>closely examined the company's financial liquidity, accounting for cash flows, current debt levels, and the possibility of future financing. The Committee decided which scenarios would be tested using the corporate plan of the company and discussed the viability assessment in March 2022</w:t>
      </w:r>
      <w:r w:rsidR="00FB1134">
        <w:t xml:space="preserve"> </w:t>
      </w:r>
      <w:r w:rsidR="00736E19" w:rsidRPr="00DD3DDE">
        <w:t>(Sainsbury, Annual report, 2022)</w:t>
      </w:r>
      <w:r w:rsidRPr="00DD3DDE">
        <w:t xml:space="preserve">. As per the research of Biddle </w:t>
      </w:r>
      <w:r w:rsidRPr="00DD3DDE">
        <w:rPr>
          <w:i/>
          <w:iCs/>
        </w:rPr>
        <w:t>et al.</w:t>
      </w:r>
      <w:r w:rsidRPr="00DD3DDE">
        <w:t> (2023), the aim of the risk management policies driven by the managers of the treasury accounts is to minimise any negative impact on the financial performance of the Group by identifying financial exposures and establishing suitable risk limits and controls. The risk management procedures driven by Sainsbury Group will guarantee that cash assets are invested securely, and the Group will have enough liquidity to meet its predictable financial obligations in future.</w:t>
      </w:r>
    </w:p>
    <w:p w14:paraId="3BDCB1B6" w14:textId="77777777" w:rsidR="007E6745" w:rsidRPr="00DD3DDE" w:rsidRDefault="00000000" w:rsidP="00564168">
      <w:pPr>
        <w:pStyle w:val="Heading1"/>
      </w:pPr>
      <w:bookmarkStart w:id="36" w:name="_Toc150279685"/>
      <w:r w:rsidRPr="00DD3DDE">
        <w:t>6. Synthesis and conclusions</w:t>
      </w:r>
      <w:bookmarkEnd w:id="36"/>
    </w:p>
    <w:p w14:paraId="1C9A731A" w14:textId="77777777" w:rsidR="005C07E0" w:rsidRPr="00DD3DDE" w:rsidRDefault="00000000" w:rsidP="009D7622">
      <w:pPr>
        <w:pStyle w:val="Heading2"/>
      </w:pPr>
      <w:bookmarkStart w:id="37" w:name="_Toc150279686"/>
      <w:r>
        <w:t xml:space="preserve">6.1 </w:t>
      </w:r>
      <w:r w:rsidR="002B6626" w:rsidRPr="00DD3DDE">
        <w:t>Synthesis</w:t>
      </w:r>
      <w:bookmarkEnd w:id="37"/>
    </w:p>
    <w:p w14:paraId="6C3E7A12" w14:textId="77777777" w:rsidR="009D7622" w:rsidRPr="00DD3DDE" w:rsidRDefault="00000000" w:rsidP="009D7622">
      <w:r w:rsidRPr="00DD3DDE">
        <w:t xml:space="preserve">The organisation's financial planning heavily relies on treasury management. Given the size of Sainsbury, its successful treasury management is critical to a company's success. Reviewing the financial performance of Sainsbury, it has remained successful in drawing the necessary implications regarding treasury management instincts. Sainsbury's current improved net profit margin showcases that the company is making money from selling goods. Sainsbury worked hard to boost sales while cutting profit margins. Since the ROCE has improved, Sainsbury's company value has grown. A higher ROCE indicates a higher estimate of the value of Sainsbury that is given back to stakeholders in the form of profit. While Sainsbury's operating profit was higher when it came to paying interest, a decline in the ratio made Sainsbury more susceptible to fluctuations in interest rates. It is always desirable to have a lower debt-to-equity ratio because it shows less debt on a company's balance sheet and aligning with </w:t>
      </w:r>
      <w:proofErr w:type="gramStart"/>
      <w:r w:rsidRPr="00DD3DDE">
        <w:t>it</w:t>
      </w:r>
      <w:proofErr w:type="gramEnd"/>
      <w:r w:rsidRPr="00DD3DDE">
        <w:t xml:space="preserve"> Sainsbury is working its best to have a lower debt–to–equity ratio. </w:t>
      </w:r>
    </w:p>
    <w:p w14:paraId="33DDE546" w14:textId="77777777" w:rsidR="009D7622" w:rsidRPr="00DD3DDE" w:rsidRDefault="00000000" w:rsidP="009D7622">
      <w:r w:rsidRPr="00DD3DDE">
        <w:t xml:space="preserve">Since a higher current ratio is advantageous to businesses, Sainsbury's current state would be more </w:t>
      </w:r>
      <w:r w:rsidR="0045417F" w:rsidRPr="00DD3DDE">
        <w:t>precarious. There</w:t>
      </w:r>
      <w:r w:rsidRPr="00DD3DDE">
        <w:t xml:space="preserve"> are not enough short-term assets available to Sainsbury Group to cover its obligations. Sainsbury Group might run into some difficulties making cash payments to its creditors. Sainsbury Group experiences less product damage as it works to maintain steady inventory turnover days. Since the Sainsbury Group's trade receivable turnover has decreased, strict credit policies must be put in place. Sainsbury Group Plc's price-earnings ratios have significantly improved. Therefore, Sainsbury Group Plc must maintain consistency over time, and </w:t>
      </w:r>
      <w:r w:rsidRPr="00DD3DDE">
        <w:lastRenderedPageBreak/>
        <w:t>to do this, the company's higher authorities must abide by the law and effective stock management policies to allow business outgrowth and business resiliency overall.</w:t>
      </w:r>
    </w:p>
    <w:p w14:paraId="62B17516" w14:textId="77777777" w:rsidR="00B267EA" w:rsidRPr="00DD3DDE" w:rsidRDefault="00000000" w:rsidP="00945413">
      <w:pPr>
        <w:pStyle w:val="Heading2"/>
      </w:pPr>
      <w:bookmarkStart w:id="38" w:name="_Toc150279687"/>
      <w:r>
        <w:t xml:space="preserve">6.2 </w:t>
      </w:r>
      <w:r w:rsidR="002B6626" w:rsidRPr="00DD3DDE">
        <w:t>Conclusion</w:t>
      </w:r>
      <w:bookmarkEnd w:id="38"/>
    </w:p>
    <w:p w14:paraId="4CE5B1D8" w14:textId="77777777" w:rsidR="00B267EA" w:rsidRPr="00224AA8" w:rsidRDefault="00000000" w:rsidP="00F43F59">
      <w:pPr>
        <w:rPr>
          <w:color w:val="FF0000"/>
        </w:rPr>
      </w:pPr>
      <w:r w:rsidRPr="00224AA8">
        <w:rPr>
          <w:color w:val="FF0000"/>
        </w:rPr>
        <w:t>A detailed examination of both the financial and non-financial outcomes of Sainsbury Plc over the last five years paints a complex picture. Morrisons and Tesco are two major competitors for Sainsbury's market share, and the company's profitability as measured by net profit as well as operating profit margins shows both strengths and weaknesses. Liquidity ratio analysis highlights worries about the company's short-term debt serviceability, albeit this problem also affects its rivals. Sainsbury's operational agility is demonstrated by its trade receivable turnover days and effective inventory management. Though Sainsbury's strong P/E ratio calls for examination, investors have experienced profits. Overall, the trend analysis points to inconsistent performance, emphasising the need for ongoing attention to detail and calculated adjustments in this very competitive retail environment.</w:t>
      </w:r>
    </w:p>
    <w:p w14:paraId="22E4980B" w14:textId="77777777" w:rsidR="00AB372F" w:rsidRPr="00DD3DDE" w:rsidRDefault="00000000" w:rsidP="00B267EA">
      <w:r w:rsidRPr="00DD3DDE">
        <w:t>Treasury management is one of the most crucial considerations in any business. Treasury management facilitates Sainsbury’s utilisation of its financial resources and risk management. However, Sainsbury is in a requirement to carefully handle the treasury operations to ensure that they have adequate cash on hand to settle any impending debts and to make investments in long-term growth prospects. Treasury management plays a significant role to manage and mitigate the company’s underlying risks. In this contemporary evolving business scenario, interest rate risks, foreign exchange risks and liquidity risks arise while Sainsbury’s competence in efficient treasury management shall work best to mitigate the risks by relying upon strategic investments.</w:t>
      </w:r>
    </w:p>
    <w:p w14:paraId="36A9990A" w14:textId="77777777" w:rsidR="007E6745" w:rsidRPr="00DD3DDE" w:rsidRDefault="00000000">
      <w:pPr>
        <w:spacing w:line="259" w:lineRule="auto"/>
        <w:jc w:val="left"/>
        <w:rPr>
          <w:rFonts w:eastAsiaTheme="majorEastAsia" w:cstheme="majorBidi"/>
          <w:b/>
          <w:sz w:val="28"/>
          <w:szCs w:val="32"/>
        </w:rPr>
      </w:pPr>
      <w:r w:rsidRPr="00DD3DDE">
        <w:br w:type="page"/>
      </w:r>
    </w:p>
    <w:p w14:paraId="2360F392" w14:textId="77777777" w:rsidR="007E6745" w:rsidRPr="00DD3DDE" w:rsidRDefault="00000000" w:rsidP="007E6745">
      <w:pPr>
        <w:pStyle w:val="Heading1"/>
      </w:pPr>
      <w:bookmarkStart w:id="39" w:name="_Toc150279688"/>
      <w:r w:rsidRPr="00DD3DDE">
        <w:lastRenderedPageBreak/>
        <w:t>7. References and Bibliography</w:t>
      </w:r>
      <w:bookmarkEnd w:id="39"/>
    </w:p>
    <w:p w14:paraId="596CE0D5" w14:textId="77777777" w:rsidR="00C54749" w:rsidRPr="00C54749" w:rsidRDefault="00000000" w:rsidP="00C54749">
      <w:pPr>
        <w:rPr>
          <w:shd w:val="clear" w:color="auto" w:fill="FFFFFF"/>
        </w:rPr>
      </w:pPr>
      <w:r w:rsidRPr="00C54749">
        <w:rPr>
          <w:shd w:val="clear" w:color="auto" w:fill="FFFFFF"/>
        </w:rPr>
        <w:t xml:space="preserve">Amanda, R.I., (2019). The impact of cash turnover, receivable turnover, inventory turnover, current ratio and debt-to-equity ratio on profitability. </w:t>
      </w:r>
      <w:r w:rsidRPr="00C54749">
        <w:rPr>
          <w:i/>
          <w:iCs/>
          <w:shd w:val="clear" w:color="auto" w:fill="FFFFFF"/>
        </w:rPr>
        <w:t>Journal of research in management</w:t>
      </w:r>
      <w:r w:rsidRPr="00C54749">
        <w:rPr>
          <w:shd w:val="clear" w:color="auto" w:fill="FFFFFF"/>
        </w:rPr>
        <w:t>, </w:t>
      </w:r>
      <w:r w:rsidRPr="00C54749">
        <w:rPr>
          <w:i/>
          <w:iCs/>
          <w:shd w:val="clear" w:color="auto" w:fill="FFFFFF"/>
        </w:rPr>
        <w:t>2</w:t>
      </w:r>
      <w:r w:rsidRPr="00C54749">
        <w:rPr>
          <w:shd w:val="clear" w:color="auto" w:fill="FFFFFF"/>
        </w:rPr>
        <w:t xml:space="preserve">(2), pp.14-22. </w:t>
      </w:r>
      <w:hyperlink r:id="rId32" w:history="1">
        <w:r w:rsidRPr="00C54749">
          <w:rPr>
            <w:rStyle w:val="Hyperlink"/>
            <w:shd w:val="clear" w:color="auto" w:fill="FFFFFF"/>
          </w:rPr>
          <w:t>https://scholar.archive.org/work/v7h6yj5rkjfevmcnduh4fqou5u/access/wayback/http://irs-managementstudies.com/index.php/irs/article/download/66/50</w:t>
        </w:r>
      </w:hyperlink>
    </w:p>
    <w:p w14:paraId="40FA3F71" w14:textId="77777777" w:rsidR="00C54749" w:rsidRPr="00C54749" w:rsidRDefault="00000000" w:rsidP="00C54749">
      <w:r w:rsidRPr="00C54749">
        <w:t xml:space="preserve">Amesbury, Z.W., </w:t>
      </w:r>
      <w:proofErr w:type="spellStart"/>
      <w:r w:rsidRPr="00C54749">
        <w:t>Driesener</w:t>
      </w:r>
      <w:proofErr w:type="spellEnd"/>
      <w:r w:rsidRPr="00C54749">
        <w:t xml:space="preserve">, C.B., Page, B., Bellman, S. and Sharp, B., (2020). Net audiences: a comparison of the Sainsbury Normal Method and the Sainsbury Weighted Method. </w:t>
      </w:r>
      <w:r w:rsidRPr="00C54749">
        <w:rPr>
          <w:i/>
          <w:iCs/>
        </w:rPr>
        <w:t>Journal of Marketing Management</w:t>
      </w:r>
      <w:r w:rsidRPr="00C54749">
        <w:t>, </w:t>
      </w:r>
      <w:r w:rsidRPr="00C54749">
        <w:rPr>
          <w:i/>
          <w:iCs/>
        </w:rPr>
        <w:t>36</w:t>
      </w:r>
      <w:r w:rsidRPr="00C54749">
        <w:t>(15-16), pp.1591-1610. </w:t>
      </w:r>
      <w:hyperlink r:id="rId33" w:tgtFrame="_blank" w:history="1">
        <w:r w:rsidRPr="00C54749">
          <w:rPr>
            <w:rStyle w:val="Hyperlink"/>
            <w:rFonts w:cs="Times New Roman"/>
            <w:color w:val="1155CC"/>
            <w:szCs w:val="24"/>
          </w:rPr>
          <w:t>https://www.tandfonline.com/doi/abs/10.1080/0267257X.2020.1794933</w:t>
        </w:r>
      </w:hyperlink>
    </w:p>
    <w:p w14:paraId="5B60B9C0" w14:textId="77777777" w:rsidR="00C54749" w:rsidRPr="00C54749" w:rsidRDefault="00000000" w:rsidP="00C54749">
      <w:pPr>
        <w:rPr>
          <w:shd w:val="clear" w:color="auto" w:fill="FFFFFF"/>
        </w:rPr>
      </w:pPr>
      <w:r w:rsidRPr="00C54749">
        <w:rPr>
          <w:shd w:val="clear" w:color="auto" w:fill="FFFFFF"/>
        </w:rPr>
        <w:t xml:space="preserve">Baird, G., Dodd, J. and Middleton, L., (2020). A growth-adjusted price-earnings ratio. </w:t>
      </w:r>
      <w:proofErr w:type="spellStart"/>
      <w:r w:rsidRPr="00C54749">
        <w:rPr>
          <w:i/>
          <w:iCs/>
          <w:shd w:val="clear" w:color="auto" w:fill="FFFFFF"/>
        </w:rPr>
        <w:t>arXiv</w:t>
      </w:r>
      <w:proofErr w:type="spellEnd"/>
      <w:r w:rsidRPr="00C54749">
        <w:rPr>
          <w:i/>
          <w:iCs/>
          <w:shd w:val="clear" w:color="auto" w:fill="FFFFFF"/>
        </w:rPr>
        <w:t xml:space="preserve"> preprint arXiv:2001.08240</w:t>
      </w:r>
      <w:r w:rsidRPr="00C54749">
        <w:rPr>
          <w:shd w:val="clear" w:color="auto" w:fill="FFFFFF"/>
        </w:rPr>
        <w:t xml:space="preserve">. </w:t>
      </w:r>
      <w:hyperlink r:id="rId34" w:history="1">
        <w:r w:rsidRPr="00C54749">
          <w:rPr>
            <w:rStyle w:val="Hyperlink"/>
            <w:shd w:val="clear" w:color="auto" w:fill="FFFFFF"/>
          </w:rPr>
          <w:t>https://arxiv.org/abs/2001.08240</w:t>
        </w:r>
      </w:hyperlink>
    </w:p>
    <w:p w14:paraId="28C2E394" w14:textId="77777777" w:rsidR="00C54749" w:rsidRPr="00C54749" w:rsidRDefault="00000000" w:rsidP="00C54749">
      <w:r w:rsidRPr="00C54749">
        <w:t xml:space="preserve">Biddle, L., </w:t>
      </w:r>
      <w:proofErr w:type="spellStart"/>
      <w:r w:rsidRPr="00C54749">
        <w:t>Derges</w:t>
      </w:r>
      <w:proofErr w:type="spellEnd"/>
      <w:r w:rsidRPr="00C54749">
        <w:t xml:space="preserve">, J., Cliffe, B., </w:t>
      </w:r>
      <w:proofErr w:type="spellStart"/>
      <w:r w:rsidRPr="00C54749">
        <w:t>Gooberman</w:t>
      </w:r>
      <w:proofErr w:type="spellEnd"/>
      <w:r w:rsidRPr="00C54749">
        <w:t xml:space="preserve">-Hill, R., Linton, M.J., Moran, P. and Bould, H., (2023). "Pouring their heart out in Sainsbury's": qualitative study of young people's, parents and mental health practitioners' experiences of adapting to remote online mental health appointments during COVID-19. </w:t>
      </w:r>
      <w:r w:rsidRPr="00C54749">
        <w:rPr>
          <w:i/>
          <w:iCs/>
        </w:rPr>
        <w:t>BMC psychiatry</w:t>
      </w:r>
      <w:r w:rsidRPr="00C54749">
        <w:t>, </w:t>
      </w:r>
      <w:r w:rsidRPr="00C54749">
        <w:rPr>
          <w:i/>
          <w:iCs/>
        </w:rPr>
        <w:t>23</w:t>
      </w:r>
      <w:r w:rsidRPr="00C54749">
        <w:t>(1), p.641. </w:t>
      </w:r>
      <w:hyperlink r:id="rId35" w:tgtFrame="_blank" w:history="1">
        <w:r w:rsidRPr="00C54749">
          <w:rPr>
            <w:rStyle w:val="Hyperlink"/>
            <w:rFonts w:cs="Times New Roman"/>
            <w:color w:val="1155CC"/>
            <w:szCs w:val="24"/>
          </w:rPr>
          <w:t>https://link.springer.com/article/10.1186/s12888-023-05126-8</w:t>
        </w:r>
      </w:hyperlink>
    </w:p>
    <w:p w14:paraId="57A15CA9" w14:textId="77777777" w:rsidR="00C54749" w:rsidRPr="00C54749" w:rsidRDefault="00000000" w:rsidP="00C54749">
      <w:proofErr w:type="spellStart"/>
      <w:r w:rsidRPr="00C54749">
        <w:t>Bulah</w:t>
      </w:r>
      <w:proofErr w:type="spellEnd"/>
      <w:r w:rsidRPr="00C54749">
        <w:t xml:space="preserve">, B.M., </w:t>
      </w:r>
      <w:proofErr w:type="spellStart"/>
      <w:r w:rsidRPr="00C54749">
        <w:t>Tziva</w:t>
      </w:r>
      <w:proofErr w:type="spellEnd"/>
      <w:r w:rsidRPr="00C54749">
        <w:t xml:space="preserve">, M., </w:t>
      </w:r>
      <w:proofErr w:type="spellStart"/>
      <w:r w:rsidRPr="00C54749">
        <w:t>Bidmon</w:t>
      </w:r>
      <w:proofErr w:type="spellEnd"/>
      <w:r w:rsidRPr="00C54749">
        <w:t xml:space="preserve">, C. and Hekkert, M.P., (2023). Incumbent entry modes and entry timing in sustainable niches: The plant-based protein transition in the United States, Netherlands, and the United Kingdom. </w:t>
      </w:r>
      <w:r w:rsidRPr="00C54749">
        <w:rPr>
          <w:i/>
          <w:iCs/>
        </w:rPr>
        <w:t>Environmental Innovation and Societal Transitions</w:t>
      </w:r>
      <w:r w:rsidRPr="00C54749">
        <w:t>, </w:t>
      </w:r>
      <w:r w:rsidRPr="00C54749">
        <w:rPr>
          <w:i/>
          <w:iCs/>
        </w:rPr>
        <w:t>48</w:t>
      </w:r>
      <w:r w:rsidRPr="00C54749">
        <w:t>, p.100735. </w:t>
      </w:r>
      <w:hyperlink r:id="rId36" w:tgtFrame="_blank" w:history="1">
        <w:r w:rsidRPr="00C54749">
          <w:rPr>
            <w:rStyle w:val="Hyperlink"/>
            <w:rFonts w:cs="Times New Roman"/>
            <w:color w:val="1155CC"/>
            <w:szCs w:val="24"/>
          </w:rPr>
          <w:t>https://www.sciencedirect.com/science/article/pii/S221042242300045X</w:t>
        </w:r>
      </w:hyperlink>
    </w:p>
    <w:p w14:paraId="646CAC90" w14:textId="77777777" w:rsidR="00C54749" w:rsidRPr="00C54749" w:rsidRDefault="00000000" w:rsidP="00C54749">
      <w:pPr>
        <w:rPr>
          <w:shd w:val="clear" w:color="auto" w:fill="FFFFFF"/>
        </w:rPr>
      </w:pPr>
      <w:proofErr w:type="spellStart"/>
      <w:r w:rsidRPr="00C54749">
        <w:rPr>
          <w:shd w:val="clear" w:color="auto" w:fill="FFFFFF"/>
        </w:rPr>
        <w:t>Choiriyah</w:t>
      </w:r>
      <w:proofErr w:type="spellEnd"/>
      <w:r w:rsidRPr="00C54749">
        <w:rPr>
          <w:shd w:val="clear" w:color="auto" w:fill="FFFFFF"/>
        </w:rPr>
        <w:t xml:space="preserve">, C., Fatimah, F., Agustina, S. and </w:t>
      </w:r>
      <w:proofErr w:type="spellStart"/>
      <w:r w:rsidRPr="00C54749">
        <w:rPr>
          <w:shd w:val="clear" w:color="auto" w:fill="FFFFFF"/>
        </w:rPr>
        <w:t>Ulfa</w:t>
      </w:r>
      <w:proofErr w:type="spellEnd"/>
      <w:r w:rsidRPr="00C54749">
        <w:rPr>
          <w:shd w:val="clear" w:color="auto" w:fill="FFFFFF"/>
        </w:rPr>
        <w:t xml:space="preserve">, U., (2020). The effect of return on assets, return on equity, net profit margin, earning per share, and operating profit margin on stock prices of banking companies in the Indonesia Stock Exchange. </w:t>
      </w:r>
      <w:r w:rsidRPr="00C54749">
        <w:rPr>
          <w:i/>
          <w:iCs/>
          <w:shd w:val="clear" w:color="auto" w:fill="FFFFFF"/>
        </w:rPr>
        <w:t>International Journal of Finance Research</w:t>
      </w:r>
      <w:r w:rsidRPr="00C54749">
        <w:rPr>
          <w:shd w:val="clear" w:color="auto" w:fill="FFFFFF"/>
        </w:rPr>
        <w:t>, </w:t>
      </w:r>
      <w:r w:rsidRPr="00C54749">
        <w:rPr>
          <w:i/>
          <w:iCs/>
          <w:shd w:val="clear" w:color="auto" w:fill="FFFFFF"/>
        </w:rPr>
        <w:t>1</w:t>
      </w:r>
      <w:r w:rsidRPr="00C54749">
        <w:rPr>
          <w:shd w:val="clear" w:color="auto" w:fill="FFFFFF"/>
        </w:rPr>
        <w:t>(2), pp.103-123.</w:t>
      </w:r>
      <w:r w:rsidRPr="00E41725">
        <w:t xml:space="preserve"> </w:t>
      </w:r>
      <w:hyperlink r:id="rId37" w:history="1">
        <w:r w:rsidRPr="00C54749">
          <w:rPr>
            <w:rStyle w:val="Hyperlink"/>
            <w:shd w:val="clear" w:color="auto" w:fill="FFFFFF"/>
          </w:rPr>
          <w:t>http://journal.jis-institute.org/index.php/ijfr/article/view/280</w:t>
        </w:r>
      </w:hyperlink>
      <w:r w:rsidRPr="00C54749">
        <w:rPr>
          <w:shd w:val="clear" w:color="auto" w:fill="FFFFFF"/>
        </w:rPr>
        <w:t xml:space="preserve"> </w:t>
      </w:r>
    </w:p>
    <w:p w14:paraId="3825031A" w14:textId="77777777" w:rsidR="00C54749" w:rsidRPr="00C54749" w:rsidRDefault="00000000" w:rsidP="00C54749">
      <w:r w:rsidRPr="00C54749">
        <w:t>Collin-</w:t>
      </w:r>
      <w:proofErr w:type="spellStart"/>
      <w:r w:rsidRPr="00C54749">
        <w:t>Lachaud</w:t>
      </w:r>
      <w:proofErr w:type="spellEnd"/>
      <w:r w:rsidRPr="00C54749">
        <w:t xml:space="preserve">, I., Do Vale, G., Reynolds, J. and Cuthbertson, R., (2023). A retailing dilemma: sell only in-person or go multiple channels and digital? </w:t>
      </w:r>
      <w:r w:rsidRPr="00C54749">
        <w:rPr>
          <w:i/>
          <w:iCs/>
        </w:rPr>
        <w:t>Journal of Business Strategy</w:t>
      </w:r>
      <w:r w:rsidRPr="00C54749">
        <w:t>. </w:t>
      </w:r>
      <w:hyperlink r:id="rId38" w:tgtFrame="_blank" w:history="1">
        <w:r w:rsidRPr="00C54749">
          <w:rPr>
            <w:rStyle w:val="Hyperlink"/>
            <w:rFonts w:cs="Times New Roman"/>
            <w:color w:val="1155CC"/>
            <w:szCs w:val="24"/>
          </w:rPr>
          <w:t>https://www.emerald.com/insight/content/doi/10.1108/JBS-07-2023-0149/full/html</w:t>
        </w:r>
      </w:hyperlink>
    </w:p>
    <w:p w14:paraId="7EF4E0C5" w14:textId="77777777" w:rsidR="00C54749" w:rsidRPr="00C54749" w:rsidRDefault="00000000" w:rsidP="00C54749">
      <w:r w:rsidRPr="00C54749">
        <w:lastRenderedPageBreak/>
        <w:t xml:space="preserve">Dhyani, B. and Kumar, A., (2022). How can Sainsbury’s use management information systems to develop a competitive advantage in its reward card </w:t>
      </w:r>
      <w:proofErr w:type="gramStart"/>
      <w:r w:rsidRPr="00C54749">
        <w:t>offering?.</w:t>
      </w:r>
      <w:proofErr w:type="gramEnd"/>
      <w:r w:rsidRPr="00C54749">
        <w:t> </w:t>
      </w:r>
      <w:r w:rsidRPr="00C54749">
        <w:rPr>
          <w:i/>
          <w:iCs/>
        </w:rPr>
        <w:t>Central European Management Journal</w:t>
      </w:r>
      <w:r w:rsidRPr="00C54749">
        <w:t>, </w:t>
      </w:r>
      <w:r w:rsidRPr="00C54749">
        <w:rPr>
          <w:i/>
          <w:iCs/>
        </w:rPr>
        <w:t>30</w:t>
      </w:r>
      <w:r w:rsidRPr="00C54749">
        <w:t>(3), pp.368-372. </w:t>
      </w:r>
      <w:hyperlink r:id="rId39" w:tgtFrame="_blank" w:history="1">
        <w:r w:rsidRPr="00C54749">
          <w:rPr>
            <w:rStyle w:val="Hyperlink"/>
            <w:rFonts w:cs="Times New Roman"/>
            <w:color w:val="1155CC"/>
            <w:szCs w:val="24"/>
          </w:rPr>
          <w:t>http://journals.kozminski.cem-j.org/index.php/pl_cemj/article/view/529</w:t>
        </w:r>
      </w:hyperlink>
    </w:p>
    <w:p w14:paraId="135FEE17" w14:textId="77777777" w:rsidR="00C54749" w:rsidRPr="00C54749" w:rsidRDefault="00000000" w:rsidP="00C54749">
      <w:r w:rsidRPr="00C54749">
        <w:t xml:space="preserve">Doody, K., (2021). Tesco, Morrisons and Sainsbury's shopping rules as laws change. </w:t>
      </w:r>
      <w:r w:rsidRPr="00C54749">
        <w:rPr>
          <w:i/>
          <w:iCs/>
        </w:rPr>
        <w:t>Lancashire Telegraph (Blackburn, England)</w:t>
      </w:r>
      <w:r w:rsidRPr="00C54749">
        <w:t>, pp.NA-NA. </w:t>
      </w:r>
      <w:hyperlink r:id="rId40" w:tgtFrame="_blank" w:history="1">
        <w:r w:rsidRPr="00C54749">
          <w:rPr>
            <w:rStyle w:val="Hyperlink"/>
            <w:rFonts w:cs="Times New Roman"/>
            <w:color w:val="1155CC"/>
            <w:szCs w:val="24"/>
          </w:rPr>
          <w:t>https://go.gale.com/ps/i.do?p=HRCA&amp;sw=w&amp;issn=&amp;v=2.1&amp;it=r&amp;id=GALE%7CA662980510&amp;sid=googleScholar&amp;linkaccess=abs</w:t>
        </w:r>
      </w:hyperlink>
    </w:p>
    <w:p w14:paraId="623D9A08" w14:textId="77777777" w:rsidR="00C54749" w:rsidRPr="00C54749" w:rsidRDefault="00000000" w:rsidP="00C54749">
      <w:r w:rsidRPr="00C54749">
        <w:t xml:space="preserve">Ghai, S. and </w:t>
      </w:r>
      <w:proofErr w:type="spellStart"/>
      <w:r w:rsidRPr="00C54749">
        <w:t>Kargeti</w:t>
      </w:r>
      <w:proofErr w:type="spellEnd"/>
      <w:r w:rsidRPr="00C54749">
        <w:t>, H., (2022). Evaluating how Knowledge Management Impacts Company Performance: A Case Study of Sainsbury. </w:t>
      </w:r>
      <w:r w:rsidRPr="00C54749">
        <w:rPr>
          <w:i/>
          <w:iCs/>
        </w:rPr>
        <w:t>Central European Management Journal</w:t>
      </w:r>
      <w:r w:rsidRPr="00C54749">
        <w:t>, </w:t>
      </w:r>
      <w:r w:rsidRPr="00C54749">
        <w:rPr>
          <w:i/>
          <w:iCs/>
        </w:rPr>
        <w:t>30</w:t>
      </w:r>
      <w:r w:rsidRPr="00C54749">
        <w:t>(1), pp.27-29. </w:t>
      </w:r>
      <w:hyperlink r:id="rId41" w:tgtFrame="_blank" w:history="1">
        <w:r w:rsidRPr="00C54749">
          <w:rPr>
            <w:rStyle w:val="Hyperlink"/>
            <w:rFonts w:cs="Times New Roman"/>
            <w:color w:val="1155CC"/>
            <w:szCs w:val="24"/>
          </w:rPr>
          <w:t>http://journals.kozminski.cem-j.org/index.php/pl_cemj/article/view/541</w:t>
        </w:r>
      </w:hyperlink>
    </w:p>
    <w:p w14:paraId="704B0F27" w14:textId="77777777" w:rsidR="00C54749" w:rsidRPr="00C54749" w:rsidRDefault="00000000" w:rsidP="00C54749">
      <w:r w:rsidRPr="00C54749">
        <w:t xml:space="preserve">Guo, L. and Wang, Z., (2019). Ratio analysis of J Sainsbury plc's financial performance between 2015 and 2018 in comparison with Tesco and Morrisons. </w:t>
      </w:r>
      <w:r w:rsidRPr="00C54749">
        <w:rPr>
          <w:i/>
          <w:iCs/>
        </w:rPr>
        <w:t>American Journal of Industrial and Business Management</w:t>
      </w:r>
      <w:r w:rsidRPr="00C54749">
        <w:t>, </w:t>
      </w:r>
      <w:r w:rsidRPr="00C54749">
        <w:rPr>
          <w:i/>
          <w:iCs/>
        </w:rPr>
        <w:t>9</w:t>
      </w:r>
      <w:r w:rsidRPr="00C54749">
        <w:t>(2), pp.325-341. </w:t>
      </w:r>
      <w:hyperlink r:id="rId42" w:tgtFrame="_blank" w:history="1">
        <w:r w:rsidRPr="00C54749">
          <w:rPr>
            <w:rStyle w:val="Hyperlink"/>
            <w:rFonts w:cs="Times New Roman"/>
            <w:color w:val="1155CC"/>
            <w:szCs w:val="24"/>
          </w:rPr>
          <w:t>https://www.scirp.org/journal/paperinformation.aspx?paperid=90798</w:t>
        </w:r>
      </w:hyperlink>
    </w:p>
    <w:p w14:paraId="0A913ABD" w14:textId="77777777" w:rsidR="00C54749" w:rsidRPr="00C54749" w:rsidRDefault="00000000" w:rsidP="00C54749">
      <w:r w:rsidRPr="00C54749">
        <w:t>Haydock, J. and Smith, T., (2019). No magic dust: The relationship between the national and local assessments in Sainsbury’s/Asda. </w:t>
      </w:r>
      <w:r w:rsidRPr="00C54749">
        <w:rPr>
          <w:i/>
          <w:iCs/>
        </w:rPr>
        <w:t>Journal of Competition Law &amp; Economics</w:t>
      </w:r>
      <w:r w:rsidRPr="00C54749">
        <w:t>, </w:t>
      </w:r>
      <w:r w:rsidRPr="00C54749">
        <w:rPr>
          <w:i/>
          <w:iCs/>
        </w:rPr>
        <w:t>15</w:t>
      </w:r>
      <w:r w:rsidRPr="00C54749">
        <w:t>(4), pp.538-558. </w:t>
      </w:r>
      <w:hyperlink r:id="rId43" w:tgtFrame="_blank" w:history="1">
        <w:r w:rsidRPr="00C54749">
          <w:rPr>
            <w:rStyle w:val="Hyperlink"/>
            <w:rFonts w:cs="Times New Roman"/>
            <w:color w:val="1155CC"/>
            <w:szCs w:val="24"/>
          </w:rPr>
          <w:t>https://academic.oup.com/jcle/article-abstract/15/4/538/5753968</w:t>
        </w:r>
      </w:hyperlink>
    </w:p>
    <w:p w14:paraId="008729F9" w14:textId="77777777" w:rsidR="00C54749" w:rsidRPr="00C54749" w:rsidRDefault="00000000" w:rsidP="00C54749">
      <w:pPr>
        <w:rPr>
          <w:shd w:val="clear" w:color="auto" w:fill="FFFFFF"/>
        </w:rPr>
      </w:pPr>
      <w:proofErr w:type="spellStart"/>
      <w:r w:rsidRPr="00C54749">
        <w:rPr>
          <w:shd w:val="clear" w:color="auto" w:fill="FFFFFF"/>
        </w:rPr>
        <w:t>Hertina</w:t>
      </w:r>
      <w:proofErr w:type="spellEnd"/>
      <w:r w:rsidRPr="00C54749">
        <w:rPr>
          <w:shd w:val="clear" w:color="auto" w:fill="FFFFFF"/>
        </w:rPr>
        <w:t>, D., (2021). The influence of current ratio, debt to equity ratio and company size on return on assets. </w:t>
      </w:r>
      <w:r w:rsidRPr="00C54749">
        <w:rPr>
          <w:i/>
          <w:iCs/>
          <w:shd w:val="clear" w:color="auto" w:fill="FFFFFF"/>
        </w:rPr>
        <w:t>Turkish Journal of Computer and Mathematics Education (TURCOMAT)</w:t>
      </w:r>
      <w:r w:rsidRPr="00C54749">
        <w:rPr>
          <w:shd w:val="clear" w:color="auto" w:fill="FFFFFF"/>
        </w:rPr>
        <w:t>, </w:t>
      </w:r>
      <w:r w:rsidRPr="00C54749">
        <w:rPr>
          <w:i/>
          <w:iCs/>
          <w:shd w:val="clear" w:color="auto" w:fill="FFFFFF"/>
        </w:rPr>
        <w:t>12</w:t>
      </w:r>
      <w:r w:rsidRPr="00C54749">
        <w:rPr>
          <w:shd w:val="clear" w:color="auto" w:fill="FFFFFF"/>
        </w:rPr>
        <w:t>(8), pp.1702-1709.</w:t>
      </w:r>
      <w:r w:rsidRPr="00E41725">
        <w:t xml:space="preserve"> </w:t>
      </w:r>
      <w:hyperlink r:id="rId44" w:history="1">
        <w:r w:rsidRPr="00C54749">
          <w:rPr>
            <w:rStyle w:val="Hyperlink"/>
            <w:shd w:val="clear" w:color="auto" w:fill="FFFFFF"/>
          </w:rPr>
          <w:t>https://turcomat.org/index.php/turkbilmat/article/view/3237</w:t>
        </w:r>
      </w:hyperlink>
      <w:r w:rsidRPr="00C54749">
        <w:rPr>
          <w:shd w:val="clear" w:color="auto" w:fill="FFFFFF"/>
        </w:rPr>
        <w:t xml:space="preserve"> </w:t>
      </w:r>
    </w:p>
    <w:p w14:paraId="5C61E99B" w14:textId="77777777" w:rsidR="00C54749" w:rsidRPr="00C54749" w:rsidRDefault="00000000" w:rsidP="00C54749">
      <w:r w:rsidRPr="00C54749">
        <w:t>Jones, P. and Comfort, D.</w:t>
      </w:r>
      <w:proofErr w:type="gramStart"/>
      <w:r w:rsidRPr="00C54749">
        <w:t>,  (</w:t>
      </w:r>
      <w:proofErr w:type="gramEnd"/>
      <w:r w:rsidRPr="00C54749">
        <w:t xml:space="preserve">2019 ). An exploratory case study of resilience and the leading retailers in the UK. </w:t>
      </w:r>
      <w:r w:rsidRPr="00C54749">
        <w:rPr>
          <w:i/>
          <w:iCs/>
        </w:rPr>
        <w:t>International Journal of Management Cases</w:t>
      </w:r>
      <w:r w:rsidRPr="00C54749">
        <w:t>, </w:t>
      </w:r>
      <w:r w:rsidRPr="00C54749">
        <w:rPr>
          <w:i/>
          <w:iCs/>
        </w:rPr>
        <w:t>21</w:t>
      </w:r>
      <w:r w:rsidRPr="00C54749">
        <w:t>(4), pp.5-18. </w:t>
      </w:r>
      <w:hyperlink r:id="rId45" w:anchor="page=5" w:tgtFrame="_blank" w:history="1">
        <w:r w:rsidRPr="00C54749">
          <w:rPr>
            <w:rStyle w:val="Hyperlink"/>
            <w:rFonts w:cs="Times New Roman"/>
            <w:color w:val="1155CC"/>
            <w:szCs w:val="24"/>
          </w:rPr>
          <w:t>https://www.circleinternational.co.uk/wp-content/uploads/2021/01/21.4.pdf#page=5</w:t>
        </w:r>
      </w:hyperlink>
    </w:p>
    <w:p w14:paraId="334BC956" w14:textId="77777777" w:rsidR="00C54749" w:rsidRPr="00C54749" w:rsidRDefault="00000000" w:rsidP="00C54749">
      <w:r w:rsidRPr="00C54749">
        <w:t>Jones, P. and Comfort, D., (2019). “Better Retail, Better World”: A commentary on British retailers and the sustainable development goals. </w:t>
      </w:r>
      <w:r w:rsidRPr="00C54749">
        <w:rPr>
          <w:i/>
          <w:iCs/>
        </w:rPr>
        <w:t>Journal of Public Affairs</w:t>
      </w:r>
      <w:r w:rsidRPr="00C54749">
        <w:t>, </w:t>
      </w:r>
      <w:r w:rsidRPr="00C54749">
        <w:rPr>
          <w:i/>
          <w:iCs/>
        </w:rPr>
        <w:t>19</w:t>
      </w:r>
      <w:r w:rsidRPr="00C54749">
        <w:t>(2), p.e1910. </w:t>
      </w:r>
      <w:hyperlink r:id="rId46" w:tgtFrame="_blank" w:history="1">
        <w:r w:rsidRPr="00C54749">
          <w:rPr>
            <w:rStyle w:val="Hyperlink"/>
            <w:rFonts w:cs="Times New Roman"/>
            <w:color w:val="1155CC"/>
            <w:szCs w:val="24"/>
          </w:rPr>
          <w:t>https://onlinelibrary.wiley.com/doi/abs/10.1002/pa.1910</w:t>
        </w:r>
      </w:hyperlink>
    </w:p>
    <w:p w14:paraId="7D77A801" w14:textId="77777777" w:rsidR="00C54749" w:rsidRPr="00C54749" w:rsidRDefault="00000000" w:rsidP="00C54749">
      <w:r w:rsidRPr="00C54749">
        <w:lastRenderedPageBreak/>
        <w:t>Jones, P. and Comfort, D., (2020). Sustainability in retail supply chains. </w:t>
      </w:r>
      <w:r w:rsidRPr="00C54749">
        <w:rPr>
          <w:i/>
          <w:iCs/>
        </w:rPr>
        <w:t>International Journal of Sales, Retailing and Marketing</w:t>
      </w:r>
      <w:r w:rsidRPr="00C54749">
        <w:t>, </w:t>
      </w:r>
      <w:r w:rsidRPr="00C54749">
        <w:rPr>
          <w:i/>
          <w:iCs/>
        </w:rPr>
        <w:t>9</w:t>
      </w:r>
      <w:r w:rsidRPr="00C54749">
        <w:t>(2), pp.51-60. </w:t>
      </w:r>
      <w:hyperlink r:id="rId47" w:tgtFrame="_blank" w:history="1">
        <w:r w:rsidRPr="00C54749">
          <w:rPr>
            <w:rStyle w:val="Hyperlink"/>
            <w:rFonts w:cs="Times New Roman"/>
            <w:color w:val="1155CC"/>
            <w:szCs w:val="24"/>
          </w:rPr>
          <w:t>https://eprints.glos.ac.uk/8457/</w:t>
        </w:r>
      </w:hyperlink>
    </w:p>
    <w:p w14:paraId="72751E4E" w14:textId="77777777" w:rsidR="00C54749" w:rsidRPr="00C54749" w:rsidRDefault="00000000" w:rsidP="00C54749">
      <w:r w:rsidRPr="00C54749">
        <w:t>Jones, P. and Comfort, D., (2021). The sustainable development goals and leading European retailers. </w:t>
      </w:r>
      <w:r w:rsidRPr="00C54749">
        <w:rPr>
          <w:i/>
          <w:iCs/>
        </w:rPr>
        <w:t>Athens Journal of Business and Economics</w:t>
      </w:r>
      <w:r w:rsidRPr="00C54749">
        <w:t>, </w:t>
      </w:r>
      <w:r w:rsidRPr="00C54749">
        <w:rPr>
          <w:i/>
          <w:iCs/>
        </w:rPr>
        <w:t>7</w:t>
      </w:r>
      <w:r w:rsidRPr="00C54749">
        <w:t>(1), pp.105-122. </w:t>
      </w:r>
      <w:hyperlink r:id="rId48" w:tgtFrame="_blank" w:history="1">
        <w:r w:rsidRPr="00C54749">
          <w:rPr>
            <w:rStyle w:val="Hyperlink"/>
            <w:rFonts w:cs="Times New Roman"/>
            <w:color w:val="1155CC"/>
            <w:szCs w:val="24"/>
          </w:rPr>
          <w:t>https://eprints.glos.ac.uk/9197/</w:t>
        </w:r>
      </w:hyperlink>
    </w:p>
    <w:p w14:paraId="12187E90" w14:textId="77777777" w:rsidR="00C54749" w:rsidRDefault="00000000" w:rsidP="00C54749">
      <w:r>
        <w:t xml:space="preserve">Kunst, A. (2023) </w:t>
      </w:r>
      <w:r w:rsidRPr="00C54749">
        <w:rPr>
          <w:i/>
          <w:iCs/>
        </w:rPr>
        <w:t>Sainsbury’s brand profile UK 2022</w:t>
      </w:r>
      <w:r>
        <w:t xml:space="preserve">, </w:t>
      </w:r>
      <w:r w:rsidRPr="00C54749">
        <w:rPr>
          <w:i/>
          <w:iCs/>
        </w:rPr>
        <w:t>Statista</w:t>
      </w:r>
      <w:r>
        <w:t xml:space="preserve">. Available at: https://www.statista.com/forecasts/1304374/sainsbury-s-online-grocery-delivery-brand-profile-in-the-united-kingdom (Accessed: 07 November 2023). </w:t>
      </w:r>
    </w:p>
    <w:p w14:paraId="50BC2743" w14:textId="77777777" w:rsidR="00C54749" w:rsidRPr="00C54749" w:rsidRDefault="00000000" w:rsidP="00C54749">
      <w:pPr>
        <w:rPr>
          <w:shd w:val="clear" w:color="auto" w:fill="FFFFFF"/>
        </w:rPr>
      </w:pPr>
      <w:r w:rsidRPr="00C54749">
        <w:rPr>
          <w:shd w:val="clear" w:color="auto" w:fill="FFFFFF"/>
        </w:rPr>
        <w:t>Kurnia, M.R., (2022). </w:t>
      </w:r>
      <w:proofErr w:type="spellStart"/>
      <w:r w:rsidRPr="00C54749">
        <w:rPr>
          <w:shd w:val="clear" w:color="auto" w:fill="FFFFFF"/>
        </w:rPr>
        <w:t>Pengaruh</w:t>
      </w:r>
      <w:proofErr w:type="spellEnd"/>
      <w:r w:rsidRPr="00C54749">
        <w:rPr>
          <w:shd w:val="clear" w:color="auto" w:fill="FFFFFF"/>
        </w:rPr>
        <w:t xml:space="preserve"> Interest Coverage Ratio (ICR), Basic Earning Power (BEP), dan Earning Per Share (EPS) </w:t>
      </w:r>
      <w:proofErr w:type="spellStart"/>
      <w:r w:rsidRPr="00C54749">
        <w:rPr>
          <w:shd w:val="clear" w:color="auto" w:fill="FFFFFF"/>
        </w:rPr>
        <w:t>Terhadap</w:t>
      </w:r>
      <w:proofErr w:type="spellEnd"/>
      <w:r w:rsidRPr="00C54749">
        <w:rPr>
          <w:shd w:val="clear" w:color="auto" w:fill="FFFFFF"/>
        </w:rPr>
        <w:t xml:space="preserve"> Harga Saham Pada Perusahaan yang </w:t>
      </w:r>
      <w:proofErr w:type="spellStart"/>
      <w:r w:rsidRPr="00C54749">
        <w:rPr>
          <w:shd w:val="clear" w:color="auto" w:fill="FFFFFF"/>
        </w:rPr>
        <w:t>terdaftar</w:t>
      </w:r>
      <w:proofErr w:type="spellEnd"/>
      <w:r w:rsidRPr="00C54749">
        <w:rPr>
          <w:shd w:val="clear" w:color="auto" w:fill="FFFFFF"/>
        </w:rPr>
        <w:t xml:space="preserve"> di Index Saham Syariah Indonesia (ISSI</w:t>
      </w:r>
      <w:proofErr w:type="gramStart"/>
      <w:r w:rsidRPr="00C54749">
        <w:rPr>
          <w:shd w:val="clear" w:color="auto" w:fill="FFFFFF"/>
        </w:rPr>
        <w:t>)(</w:t>
      </w:r>
      <w:proofErr w:type="gramEnd"/>
      <w:r w:rsidRPr="00C54749">
        <w:rPr>
          <w:shd w:val="clear" w:color="auto" w:fill="FFFFFF"/>
        </w:rPr>
        <w:t xml:space="preserve">Studi Kasus di PT Indofood </w:t>
      </w:r>
      <w:proofErr w:type="spellStart"/>
      <w:r w:rsidRPr="00C54749">
        <w:rPr>
          <w:shd w:val="clear" w:color="auto" w:fill="FFFFFF"/>
        </w:rPr>
        <w:t>Sukses</w:t>
      </w:r>
      <w:proofErr w:type="spellEnd"/>
      <w:r w:rsidRPr="00C54749">
        <w:rPr>
          <w:shd w:val="clear" w:color="auto" w:fill="FFFFFF"/>
        </w:rPr>
        <w:t xml:space="preserve"> Makmur </w:t>
      </w:r>
      <w:proofErr w:type="spellStart"/>
      <w:r w:rsidRPr="00C54749">
        <w:rPr>
          <w:shd w:val="clear" w:color="auto" w:fill="FFFFFF"/>
        </w:rPr>
        <w:t>Tbk</w:t>
      </w:r>
      <w:proofErr w:type="spellEnd"/>
      <w:r w:rsidRPr="00C54749">
        <w:rPr>
          <w:shd w:val="clear" w:color="auto" w:fill="FFFFFF"/>
        </w:rPr>
        <w:t xml:space="preserve">. </w:t>
      </w:r>
      <w:proofErr w:type="spellStart"/>
      <w:r w:rsidRPr="00C54749">
        <w:rPr>
          <w:shd w:val="clear" w:color="auto" w:fill="FFFFFF"/>
        </w:rPr>
        <w:t>Periode</w:t>
      </w:r>
      <w:proofErr w:type="spellEnd"/>
      <w:r w:rsidRPr="00C54749">
        <w:rPr>
          <w:shd w:val="clear" w:color="auto" w:fill="FFFFFF"/>
        </w:rPr>
        <w:t xml:space="preserve"> 2011-2020) (Doctoral dissertation, UIN SMH BANTEN).</w:t>
      </w:r>
      <w:r w:rsidRPr="00E41725">
        <w:t xml:space="preserve"> </w:t>
      </w:r>
      <w:hyperlink r:id="rId49" w:history="1">
        <w:r w:rsidRPr="00C54749">
          <w:rPr>
            <w:rStyle w:val="Hyperlink"/>
            <w:shd w:val="clear" w:color="auto" w:fill="FFFFFF"/>
          </w:rPr>
          <w:t>http://repository.uinbanten.ac.id/7851/2/2.LAMPIRAN%20DEPAN%20TESIS.pdf</w:t>
        </w:r>
      </w:hyperlink>
      <w:r w:rsidRPr="00C54749">
        <w:rPr>
          <w:shd w:val="clear" w:color="auto" w:fill="FFFFFF"/>
        </w:rPr>
        <w:t xml:space="preserve"> </w:t>
      </w:r>
    </w:p>
    <w:p w14:paraId="5D3B2415" w14:textId="77777777" w:rsidR="00C54749" w:rsidRPr="00C54749" w:rsidRDefault="00000000" w:rsidP="00C54749">
      <w:r w:rsidRPr="00C54749">
        <w:t>Li, L., Wang, Y. and Zhang, Y.Y., (2023). A critical examination of M&amp;S's current strategic and marketing position, as well as potential sustainable competitive marketing strategies. </w:t>
      </w:r>
      <w:r w:rsidRPr="00C54749">
        <w:rPr>
          <w:i/>
          <w:iCs/>
        </w:rPr>
        <w:t>International Journal of Science and Business</w:t>
      </w:r>
      <w:r w:rsidRPr="00C54749">
        <w:t>, </w:t>
      </w:r>
      <w:r w:rsidRPr="00C54749">
        <w:rPr>
          <w:i/>
          <w:iCs/>
        </w:rPr>
        <w:t>18</w:t>
      </w:r>
      <w:r w:rsidRPr="00C54749">
        <w:t>(1), pp.108-117. </w:t>
      </w:r>
      <w:hyperlink r:id="rId50" w:tgtFrame="_blank" w:history="1">
        <w:r w:rsidRPr="00C54749">
          <w:rPr>
            <w:rStyle w:val="Hyperlink"/>
            <w:rFonts w:cs="Times New Roman"/>
            <w:color w:val="1155CC"/>
            <w:szCs w:val="24"/>
          </w:rPr>
          <w: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w:t>
        </w:r>
      </w:hyperlink>
    </w:p>
    <w:p w14:paraId="40E4254D" w14:textId="77777777" w:rsidR="00C54749" w:rsidRDefault="00000000" w:rsidP="00C54749">
      <w:r w:rsidRPr="001658F4">
        <w:t>morrisons-corporate.com</w:t>
      </w:r>
      <w:r>
        <w:t xml:space="preserve">. (2022) </w:t>
      </w:r>
      <w:r w:rsidRPr="00C54749">
        <w:rPr>
          <w:i/>
          <w:iCs/>
        </w:rPr>
        <w:t>Annual report 2020/21 - Morrisons corporate</w:t>
      </w:r>
      <w:r>
        <w:t xml:space="preserve">, </w:t>
      </w:r>
      <w:r w:rsidRPr="00C54749">
        <w:rPr>
          <w:i/>
          <w:iCs/>
        </w:rPr>
        <w:t>Morrisons</w:t>
      </w:r>
      <w:r>
        <w:t xml:space="preserve">. Available at: https://www.morrisons-corporate.com/Morrisons-plc/annual-report/ (Accessed: 07 November 2023). </w:t>
      </w:r>
    </w:p>
    <w:p w14:paraId="0B77D57D" w14:textId="77777777" w:rsidR="00C54749" w:rsidRPr="00C54749" w:rsidRDefault="00000000" w:rsidP="00C54749">
      <w:pPr>
        <w:rPr>
          <w:shd w:val="clear" w:color="auto" w:fill="FFFFFF"/>
        </w:rPr>
      </w:pPr>
      <w:r w:rsidRPr="00C54749">
        <w:rPr>
          <w:shd w:val="clear" w:color="auto" w:fill="FFFFFF"/>
        </w:rPr>
        <w:t>Mulyadi, D. and Sinaga, O., (2020). Analysis of Current Ratio, Net Profit Margin, and Good Corporate Governance against Company Value. </w:t>
      </w:r>
      <w:r w:rsidRPr="00C54749">
        <w:rPr>
          <w:i/>
          <w:iCs/>
          <w:shd w:val="clear" w:color="auto" w:fill="FFFFFF"/>
        </w:rPr>
        <w:t>Systematic Reviews in Pharmacy</w:t>
      </w:r>
      <w:r w:rsidRPr="00C54749">
        <w:rPr>
          <w:shd w:val="clear" w:color="auto" w:fill="FFFFFF"/>
        </w:rPr>
        <w:t>, </w:t>
      </w:r>
      <w:r w:rsidRPr="00C54749">
        <w:rPr>
          <w:i/>
          <w:iCs/>
          <w:shd w:val="clear" w:color="auto" w:fill="FFFFFF"/>
        </w:rPr>
        <w:t>11</w:t>
      </w:r>
      <w:r w:rsidRPr="00C54749">
        <w:rPr>
          <w:shd w:val="clear" w:color="auto" w:fill="FFFFFF"/>
        </w:rPr>
        <w:t>(1).</w:t>
      </w:r>
      <w:r w:rsidRPr="00E41725">
        <w:t xml:space="preserve"> </w:t>
      </w:r>
      <w:hyperlink r:id="rId51" w:history="1">
        <w:r w:rsidRPr="00C54749">
          <w:rPr>
            <w:rStyle w:val="Hyperlink"/>
            <w:shd w:val="clear" w:color="auto" w:fill="FFFFFF"/>
          </w:rPr>
          <w:t>https://search.ebscohost.com/login.aspx?direct=true&amp;profile=ehost&amp;scope=site&amp;authtype=crawler&amp;jrnl=09758453&amp;AN=144513102&amp;h=cuti9OU87FfBhqdhWb%2FrMySHzJQBd8Dj6HU0RzMWWWqOA%2F3aBOev5G5EaxfjtVVNhieqk1ypi7143ACeY%2Fb%2BdA%3D%3D&amp;crl=c</w:t>
        </w:r>
      </w:hyperlink>
      <w:r w:rsidRPr="00C54749">
        <w:rPr>
          <w:shd w:val="clear" w:color="auto" w:fill="FFFFFF"/>
        </w:rPr>
        <w:t xml:space="preserve"> </w:t>
      </w:r>
    </w:p>
    <w:p w14:paraId="0F45E013" w14:textId="77777777" w:rsidR="00C54749" w:rsidRPr="00C54749" w:rsidRDefault="00000000" w:rsidP="00C54749">
      <w:proofErr w:type="spellStart"/>
      <w:r w:rsidRPr="00C54749">
        <w:lastRenderedPageBreak/>
        <w:t>Newing</w:t>
      </w:r>
      <w:proofErr w:type="spellEnd"/>
      <w:r w:rsidRPr="00C54749">
        <w:t xml:space="preserve">, A., Hood, N. and </w:t>
      </w:r>
      <w:proofErr w:type="spellStart"/>
      <w:r w:rsidRPr="00C54749">
        <w:t>Sterland</w:t>
      </w:r>
      <w:proofErr w:type="spellEnd"/>
      <w:r w:rsidRPr="00C54749">
        <w:t>, I., (2020). 29. Planning support systems for retail location planning. </w:t>
      </w:r>
      <w:r w:rsidRPr="00C54749">
        <w:rPr>
          <w:i/>
          <w:iCs/>
        </w:rPr>
        <w:t>Handbook of Planning Support Science</w:t>
      </w:r>
      <w:r w:rsidRPr="00C54749">
        <w:t>, p.459. </w:t>
      </w:r>
      <w:hyperlink r:id="rId52" w:tgtFrame="_blank" w:history="1">
        <w:r w:rsidRPr="00C54749">
          <w:rPr>
            <w:rStyle w:val="Hyperlink"/>
            <w:rFonts w:cs="Times New Roman"/>
            <w:color w:val="1155CC"/>
            <w:szCs w:val="24"/>
          </w:rPr>
          <w:t>https://books.google.com/books?hl=en&amp;lr=&amp;id=2MvSDwAAQBAJ&amp;oi=fnd&amp;pg=PA459&amp;dq=strategies+of+sainsbury+retail&amp;ots=tKeX3Zdjy6&amp;sig=BgpgZEZ-K1zkgG0Cl6rys25pef0</w:t>
        </w:r>
      </w:hyperlink>
    </w:p>
    <w:p w14:paraId="06B1ED35" w14:textId="77777777" w:rsidR="00C54749" w:rsidRPr="00C54749" w:rsidRDefault="00000000" w:rsidP="00C54749">
      <w:r w:rsidRPr="00C54749">
        <w:t>Raina, K. and Gupta, O., (2022). How can the 'big 4 UK supermarkets (</w:t>
      </w:r>
      <w:proofErr w:type="spellStart"/>
      <w:proofErr w:type="gramStart"/>
      <w:r w:rsidRPr="00C54749">
        <w:t>ie</w:t>
      </w:r>
      <w:proofErr w:type="spellEnd"/>
      <w:proofErr w:type="gramEnd"/>
      <w:r w:rsidRPr="00C54749">
        <w:t xml:space="preserve"> Morrisons, Asda, Tesco and Sainsbury's) effectively compete with discount supermarkets (</w:t>
      </w:r>
      <w:proofErr w:type="spellStart"/>
      <w:r w:rsidRPr="00C54749">
        <w:t>eg</w:t>
      </w:r>
      <w:proofErr w:type="spellEnd"/>
      <w:r w:rsidRPr="00C54749">
        <w:t xml:space="preserve"> Lidl, Aldi)? </w:t>
      </w:r>
      <w:r w:rsidRPr="00C54749">
        <w:rPr>
          <w:i/>
          <w:iCs/>
        </w:rPr>
        <w:t>Central European Management Journal</w:t>
      </w:r>
      <w:r w:rsidRPr="00C54749">
        <w:t>, </w:t>
      </w:r>
      <w:r w:rsidRPr="00C54749">
        <w:rPr>
          <w:i/>
          <w:iCs/>
        </w:rPr>
        <w:t>30</w:t>
      </w:r>
      <w:r w:rsidRPr="00C54749">
        <w:t>(2), pp.37-42. </w:t>
      </w:r>
      <w:hyperlink r:id="rId53" w:tgtFrame="_blank" w:history="1">
        <w:r w:rsidRPr="00C54749">
          <w:rPr>
            <w:rStyle w:val="Hyperlink"/>
            <w:rFonts w:cs="Times New Roman"/>
            <w:color w:val="1155CC"/>
            <w:szCs w:val="24"/>
          </w:rPr>
          <w:t>http://journals.kozminski.cem-j.org/index.php/pl_cemj/article/view/557</w:t>
        </w:r>
      </w:hyperlink>
    </w:p>
    <w:p w14:paraId="72E5B57C" w14:textId="77777777" w:rsidR="00C54749" w:rsidRPr="00C54749" w:rsidRDefault="00000000" w:rsidP="00C54749">
      <w:r w:rsidRPr="00C54749">
        <w:t>Rohwer, L. and Topić, M., (2019). The communication of Corporate–NGO Partnerships: analysis of Sainsbury’s collaboration with Comic Relief. </w:t>
      </w:r>
      <w:r w:rsidRPr="00C54749">
        <w:rPr>
          <w:i/>
          <w:iCs/>
        </w:rPr>
        <w:t>Journal of Brand Management</w:t>
      </w:r>
      <w:r w:rsidRPr="00C54749">
        <w:t>, </w:t>
      </w:r>
      <w:r w:rsidRPr="00C54749">
        <w:rPr>
          <w:i/>
          <w:iCs/>
        </w:rPr>
        <w:t>26</w:t>
      </w:r>
      <w:r w:rsidRPr="00C54749">
        <w:t>, pp.35-48. </w:t>
      </w:r>
      <w:hyperlink r:id="rId54" w:tgtFrame="_blank" w:history="1">
        <w:r w:rsidRPr="00C54749">
          <w:rPr>
            <w:rStyle w:val="Hyperlink"/>
            <w:rFonts w:cs="Times New Roman"/>
            <w:color w:val="1155CC"/>
            <w:szCs w:val="24"/>
          </w:rPr>
          <w:t>http://eprints.leedsbeckett.ac.uk/4203/1/TheCommunicationofCorporateNGOAM_TOPIC.pdf</w:t>
        </w:r>
      </w:hyperlink>
    </w:p>
    <w:p w14:paraId="71704ED4" w14:textId="77777777" w:rsidR="00C54749" w:rsidRPr="00DD3DDE" w:rsidRDefault="00000000" w:rsidP="00C54749">
      <w:r w:rsidRPr="00DD3DDE">
        <w:t xml:space="preserve">Sainsbury (2019) </w:t>
      </w:r>
      <w:r w:rsidRPr="00C54749">
        <w:rPr>
          <w:i/>
          <w:iCs/>
        </w:rPr>
        <w:t>Annualreports.com</w:t>
      </w:r>
      <w:r w:rsidRPr="00DD3DDE">
        <w:t xml:space="preserve">. Available at: https://www.annualreports.com/HostedData/AnnualReports/PDF/LSE_SIG_2019.pdf (Accessed: 02 November 2023). </w:t>
      </w:r>
    </w:p>
    <w:p w14:paraId="7C8D13B9" w14:textId="77777777" w:rsidR="00C54749" w:rsidRPr="00DD3DDE" w:rsidRDefault="00000000" w:rsidP="00C54749">
      <w:r w:rsidRPr="00DD3DDE">
        <w:t xml:space="preserve">Sainsbury (2020) </w:t>
      </w:r>
      <w:r w:rsidRPr="00C54749">
        <w:rPr>
          <w:i/>
          <w:iCs/>
        </w:rPr>
        <w:t>Annualreports.com</w:t>
      </w:r>
      <w:r w:rsidRPr="00DD3DDE">
        <w:t xml:space="preserve">. Available at: https://www.annualreports.com/HostedData/AnnualReports/PDF/LSE_SIG_2020.pdf (Accessed: 02 November 2023). </w:t>
      </w:r>
    </w:p>
    <w:p w14:paraId="4B3A9206" w14:textId="77777777" w:rsidR="00C54749" w:rsidRPr="00DD3DDE" w:rsidRDefault="00000000" w:rsidP="00C54749">
      <w:r w:rsidRPr="00DD3DDE">
        <w:t xml:space="preserve">Sainsbury (2021) </w:t>
      </w:r>
      <w:r w:rsidRPr="00C54749">
        <w:rPr>
          <w:i/>
          <w:iCs/>
        </w:rPr>
        <w:t>Annualreports.com</w:t>
      </w:r>
      <w:r w:rsidRPr="00DD3DDE">
        <w:t xml:space="preserve">. Available at: https://www.annualreports.com/HostedData/AnnualReports/PDF/LSE_SIG_2021.pdf (Accessed: 02 November 2023). </w:t>
      </w:r>
    </w:p>
    <w:p w14:paraId="2100C6B9" w14:textId="77777777" w:rsidR="00C54749" w:rsidRDefault="00000000" w:rsidP="00C54749">
      <w:r>
        <w:t xml:space="preserve">sainsburys.co.uk (2022) </w:t>
      </w:r>
      <w:r w:rsidRPr="00C54749">
        <w:rPr>
          <w:i/>
          <w:iCs/>
        </w:rPr>
        <w:t>Results, reports and presentations – Sainsbury’s</w:t>
      </w:r>
      <w:r>
        <w:t xml:space="preserve">. Available at: https://about.sainsburys.co.uk/investors/results-reports-and-presentations/results-reports-and-presentations (Accessed: 07 November 2023). </w:t>
      </w:r>
    </w:p>
    <w:p w14:paraId="35D4792E" w14:textId="77777777" w:rsidR="00C54749" w:rsidRDefault="00000000" w:rsidP="00C54749">
      <w:r>
        <w:t xml:space="preserve">tescoplc.com (2022) </w:t>
      </w:r>
      <w:r w:rsidRPr="00C54749">
        <w:rPr>
          <w:i/>
          <w:iCs/>
        </w:rPr>
        <w:t>Annual report 2022</w:t>
      </w:r>
      <w:r>
        <w:t xml:space="preserve">, </w:t>
      </w:r>
      <w:r w:rsidRPr="00C54749">
        <w:rPr>
          <w:i/>
          <w:iCs/>
        </w:rPr>
        <w:t>Tesco PLC</w:t>
      </w:r>
      <w:r>
        <w:t xml:space="preserve">. Available at: https://www.tescoplc.com/investors/reports-results-and-presentations/annual-report-2022/ (Accessed: 07 November 2023). </w:t>
      </w:r>
    </w:p>
    <w:p w14:paraId="3339A89D" w14:textId="77777777" w:rsidR="00C54749" w:rsidRPr="00C54749" w:rsidRDefault="00000000" w:rsidP="00C54749">
      <w:r w:rsidRPr="00C54749">
        <w:lastRenderedPageBreak/>
        <w:t>Upadhyay, A., Kumar, A. and Akter, S., (2021). An analysis of UK retailers’ initiatives towards circular economy transition and policy-driven directions. </w:t>
      </w:r>
      <w:r w:rsidRPr="00C54749">
        <w:rPr>
          <w:i/>
          <w:iCs/>
        </w:rPr>
        <w:t>Clean Technologies and Environmental Policy</w:t>
      </w:r>
      <w:r w:rsidRPr="00C54749">
        <w:t>, pp.1-9. </w:t>
      </w:r>
      <w:hyperlink r:id="rId55" w:tgtFrame="_blank" w:history="1">
        <w:r w:rsidRPr="00C54749">
          <w:rPr>
            <w:rStyle w:val="Hyperlink"/>
            <w:rFonts w:cs="Times New Roman"/>
            <w:color w:val="1155CC"/>
            <w:szCs w:val="24"/>
          </w:rPr>
          <w:t>https://link.springer.com/article/10.1007/s10098-020-02004-9</w:t>
        </w:r>
      </w:hyperlink>
    </w:p>
    <w:p w14:paraId="46064CC7" w14:textId="77777777" w:rsidR="00C54749" w:rsidRPr="00C54749" w:rsidRDefault="00000000" w:rsidP="00C54749">
      <w:r w:rsidRPr="00C54749">
        <w:t>Xiao, B., Chen, Q. and Yu, Z., (2021), April. Research on the Investment Value of Sainsbury’s. In </w:t>
      </w:r>
      <w:r w:rsidRPr="00C54749">
        <w:rPr>
          <w:i/>
          <w:iCs/>
        </w:rPr>
        <w:t>2021 6th International Conference on Social Sciences and Economic Development (ICSSED 2021)</w:t>
      </w:r>
      <w:r w:rsidRPr="00C54749">
        <w:t> (pp. 108-115). Atlantis Press. </w:t>
      </w:r>
      <w:hyperlink r:id="rId56" w:tgtFrame="_blank" w:history="1">
        <w:r w:rsidRPr="00C54749">
          <w:rPr>
            <w:rStyle w:val="Hyperlink"/>
            <w:rFonts w:cs="Times New Roman"/>
            <w:color w:val="1155CC"/>
            <w:szCs w:val="24"/>
          </w:rPr>
          <w:t>https://www.atlantis-press.com/proceedings/icssed-21/125955205</w:t>
        </w:r>
      </w:hyperlink>
    </w:p>
    <w:p w14:paraId="7ABC3B8A" w14:textId="77777777" w:rsidR="00FD27DE" w:rsidRPr="00A828BE" w:rsidRDefault="00000000" w:rsidP="00FD27DE">
      <w:r w:rsidRPr="00C54749">
        <w:t>Yamoah, F.A., (2019). Fairtrade UK in retrospect: from the niche genesis to the revelatory mainstreaming marketing strategy era (late 1950s-late 2000s). </w:t>
      </w:r>
      <w:r w:rsidRPr="00C54749">
        <w:rPr>
          <w:i/>
          <w:iCs/>
        </w:rPr>
        <w:t>International Review of Management and Marketing</w:t>
      </w:r>
      <w:r w:rsidRPr="00C54749">
        <w:t>, </w:t>
      </w:r>
      <w:r w:rsidRPr="00C54749">
        <w:rPr>
          <w:i/>
          <w:iCs/>
        </w:rPr>
        <w:t>9</w:t>
      </w:r>
      <w:r w:rsidRPr="00C54749">
        <w:t>(4), p.110. </w:t>
      </w:r>
      <w:hyperlink r:id="rId57" w:tgtFrame="_blank" w:history="1">
        <w:r w:rsidRPr="00C54749">
          <w:rPr>
            <w:rStyle w:val="Hyperlink"/>
            <w:rFonts w:cs="Times New Roman"/>
            <w:color w:val="1155CC"/>
            <w:szCs w:val="24"/>
          </w:rPr>
          <w:t>https://search.proquest.com/openview/0ddac2fc69f6ca3a94ea43ee1ba827b4/1?pq-origsite=gscholar&amp;cbl=816339</w:t>
        </w:r>
      </w:hyperlink>
    </w:p>
    <w:p w14:paraId="224527C1" w14:textId="77777777" w:rsidR="00C9368F" w:rsidRDefault="00000000">
      <w:pPr>
        <w:spacing w:line="259" w:lineRule="auto"/>
        <w:jc w:val="left"/>
        <w:rPr>
          <w:shd w:val="clear" w:color="auto" w:fill="FFFFFF"/>
        </w:rPr>
      </w:pPr>
      <w:r>
        <w:rPr>
          <w:shd w:val="clear" w:color="auto" w:fill="FFFFFF"/>
        </w:rPr>
        <w:br w:type="page"/>
      </w:r>
    </w:p>
    <w:p w14:paraId="5212CC16" w14:textId="77777777" w:rsidR="00C9368F" w:rsidRDefault="00000000" w:rsidP="00C9368F">
      <w:pPr>
        <w:pStyle w:val="Heading1"/>
      </w:pPr>
      <w:bookmarkStart w:id="40" w:name="_Toc150279689"/>
      <w:r>
        <w:lastRenderedPageBreak/>
        <w:t>Appendix</w:t>
      </w:r>
      <w:bookmarkEnd w:id="40"/>
      <w:r>
        <w:t xml:space="preserve"> </w:t>
      </w:r>
    </w:p>
    <w:p w14:paraId="362C51F1" w14:textId="77777777" w:rsidR="00C9368F" w:rsidRDefault="00000000" w:rsidP="00C9368F">
      <w:r>
        <w:rPr>
          <w:noProof/>
          <w:lang w:eastAsia="en-GB"/>
        </w:rPr>
        <w:drawing>
          <wp:inline distT="0" distB="0" distL="0" distR="0" wp14:anchorId="224792F5" wp14:editId="2EDD8185">
            <wp:extent cx="5943600" cy="1485804"/>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pic:cNvPicPr>
                      <a:picLocks noChangeAspect="1" noChangeArrowheads="1"/>
                    </pic:cNvPicPr>
                  </pic:nvPicPr>
                  <pic:blipFill>
                    <a:blip r:embed="rId58"/>
                    <a:stretch>
                      <a:fillRect/>
                    </a:stretch>
                  </pic:blipFill>
                  <pic:spPr bwMode="auto">
                    <a:xfrm>
                      <a:off x="0" y="0"/>
                      <a:ext cx="5943600" cy="1485804"/>
                    </a:xfrm>
                    <a:prstGeom prst="rect">
                      <a:avLst/>
                    </a:prstGeom>
                    <a:noFill/>
                    <a:ln w="9525">
                      <a:noFill/>
                      <a:miter lim="800000"/>
                      <a:headEnd/>
                      <a:tailEnd/>
                    </a:ln>
                  </pic:spPr>
                </pic:pic>
              </a:graphicData>
            </a:graphic>
          </wp:inline>
        </w:drawing>
      </w:r>
    </w:p>
    <w:p w14:paraId="5D505E3F" w14:textId="77777777" w:rsidR="00C9368F" w:rsidRPr="002257D8" w:rsidRDefault="00000000" w:rsidP="00C9368F">
      <w:pPr>
        <w:jc w:val="center"/>
        <w:rPr>
          <w:b/>
        </w:rPr>
      </w:pPr>
      <w:r w:rsidRPr="002257D8">
        <w:rPr>
          <w:b/>
        </w:rPr>
        <w:t xml:space="preserve">Income statement </w:t>
      </w:r>
    </w:p>
    <w:p w14:paraId="6F3C6C9A" w14:textId="77777777" w:rsidR="00C9368F" w:rsidRDefault="00000000" w:rsidP="00C9368F">
      <w:pPr>
        <w:jc w:val="center"/>
      </w:pPr>
      <w:r>
        <w:rPr>
          <w:noProof/>
          <w:lang w:eastAsia="en-GB"/>
        </w:rPr>
        <w:drawing>
          <wp:inline distT="0" distB="0" distL="0" distR="0" wp14:anchorId="02BE8DDB" wp14:editId="6354C96C">
            <wp:extent cx="4417695" cy="4488815"/>
            <wp:effectExtent l="1905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4"/>
                    <pic:cNvPicPr>
                      <a:picLocks noChangeAspect="1" noChangeArrowheads="1"/>
                    </pic:cNvPicPr>
                  </pic:nvPicPr>
                  <pic:blipFill>
                    <a:blip r:embed="rId59"/>
                    <a:stretch>
                      <a:fillRect/>
                    </a:stretch>
                  </pic:blipFill>
                  <pic:spPr bwMode="auto">
                    <a:xfrm>
                      <a:off x="0" y="0"/>
                      <a:ext cx="4417695" cy="4488815"/>
                    </a:xfrm>
                    <a:prstGeom prst="rect">
                      <a:avLst/>
                    </a:prstGeom>
                    <a:noFill/>
                    <a:ln w="9525">
                      <a:noFill/>
                      <a:miter lim="800000"/>
                      <a:headEnd/>
                      <a:tailEnd/>
                    </a:ln>
                  </pic:spPr>
                </pic:pic>
              </a:graphicData>
            </a:graphic>
          </wp:inline>
        </w:drawing>
      </w:r>
    </w:p>
    <w:p w14:paraId="7C1F485A" w14:textId="77777777" w:rsidR="00C9368F" w:rsidRDefault="00000000" w:rsidP="00C9368F">
      <w:pPr>
        <w:jc w:val="center"/>
      </w:pPr>
      <w:r>
        <w:rPr>
          <w:noProof/>
          <w:lang w:eastAsia="en-GB"/>
        </w:rPr>
        <w:lastRenderedPageBreak/>
        <w:drawing>
          <wp:inline distT="0" distB="0" distL="0" distR="0" wp14:anchorId="46C01D49" wp14:editId="53305D53">
            <wp:extent cx="4429760" cy="2434590"/>
            <wp:effectExtent l="1905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7"/>
                    <pic:cNvPicPr>
                      <a:picLocks noChangeAspect="1" noChangeArrowheads="1"/>
                    </pic:cNvPicPr>
                  </pic:nvPicPr>
                  <pic:blipFill>
                    <a:blip r:embed="rId60"/>
                    <a:stretch>
                      <a:fillRect/>
                    </a:stretch>
                  </pic:blipFill>
                  <pic:spPr bwMode="auto">
                    <a:xfrm>
                      <a:off x="0" y="0"/>
                      <a:ext cx="4429760" cy="2434590"/>
                    </a:xfrm>
                    <a:prstGeom prst="rect">
                      <a:avLst/>
                    </a:prstGeom>
                    <a:noFill/>
                    <a:ln w="9525">
                      <a:noFill/>
                      <a:miter lim="800000"/>
                      <a:headEnd/>
                      <a:tailEnd/>
                    </a:ln>
                  </pic:spPr>
                </pic:pic>
              </a:graphicData>
            </a:graphic>
          </wp:inline>
        </w:drawing>
      </w:r>
    </w:p>
    <w:p w14:paraId="5727A100" w14:textId="77777777" w:rsidR="00C9368F" w:rsidRPr="00DD3DDE" w:rsidRDefault="00C9368F" w:rsidP="00FD27DE">
      <w:pPr>
        <w:rPr>
          <w:shd w:val="clear" w:color="auto" w:fill="FFFFFF"/>
        </w:rPr>
      </w:pPr>
    </w:p>
    <w:sectPr w:rsidR="00C9368F" w:rsidRPr="00DD3DDE" w:rsidSect="00052E88">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37D49" w14:textId="77777777" w:rsidR="0050348D" w:rsidRDefault="0050348D">
      <w:pPr>
        <w:spacing w:after="0" w:line="240" w:lineRule="auto"/>
      </w:pPr>
      <w:r>
        <w:separator/>
      </w:r>
    </w:p>
  </w:endnote>
  <w:endnote w:type="continuationSeparator" w:id="0">
    <w:p w14:paraId="4CC25D11" w14:textId="77777777" w:rsidR="0050348D" w:rsidRDefault="00503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8151908"/>
      <w:docPartObj>
        <w:docPartGallery w:val="Page Numbers (Bottom of Page)"/>
        <w:docPartUnique/>
      </w:docPartObj>
    </w:sdtPr>
    <w:sdtEndPr>
      <w:rPr>
        <w:noProof/>
      </w:rPr>
    </w:sdtEndPr>
    <w:sdtContent>
      <w:p w14:paraId="2A7B42DB" w14:textId="77777777" w:rsidR="00CC6000" w:rsidRDefault="00000000">
        <w:pPr>
          <w:pStyle w:val="Footer"/>
          <w:jc w:val="right"/>
        </w:pPr>
        <w:r>
          <w:fldChar w:fldCharType="begin"/>
        </w:r>
        <w:r w:rsidR="0049354D">
          <w:instrText xml:space="preserve"> PAGE   \* MERGEFORMAT </w:instrText>
        </w:r>
        <w:r>
          <w:fldChar w:fldCharType="separate"/>
        </w:r>
        <w:r w:rsidR="002E2534">
          <w:rPr>
            <w:noProof/>
          </w:rPr>
          <w:t>2</w:t>
        </w:r>
        <w:r>
          <w:rPr>
            <w:noProof/>
          </w:rPr>
          <w:fldChar w:fldCharType="end"/>
        </w:r>
      </w:p>
    </w:sdtContent>
  </w:sdt>
  <w:p w14:paraId="55C09AC2" w14:textId="77777777" w:rsidR="00CC6000" w:rsidRDefault="00CC6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E1F3D" w14:textId="77777777" w:rsidR="0050348D" w:rsidRDefault="0050348D">
      <w:pPr>
        <w:spacing w:after="0" w:line="240" w:lineRule="auto"/>
      </w:pPr>
      <w:r>
        <w:separator/>
      </w:r>
    </w:p>
  </w:footnote>
  <w:footnote w:type="continuationSeparator" w:id="0">
    <w:p w14:paraId="568D199B" w14:textId="77777777" w:rsidR="0050348D" w:rsidRDefault="00503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D22ED"/>
    <w:multiLevelType w:val="hybridMultilevel"/>
    <w:tmpl w:val="5024F668"/>
    <w:lvl w:ilvl="0" w:tplc="F418CAB0">
      <w:start w:val="1"/>
      <w:numFmt w:val="bullet"/>
      <w:lvlText w:val=""/>
      <w:lvlJc w:val="left"/>
      <w:pPr>
        <w:ind w:left="720" w:hanging="360"/>
      </w:pPr>
      <w:rPr>
        <w:rFonts w:ascii="Symbol" w:hAnsi="Symbol" w:hint="default"/>
      </w:rPr>
    </w:lvl>
    <w:lvl w:ilvl="1" w:tplc="60A64266" w:tentative="1">
      <w:start w:val="1"/>
      <w:numFmt w:val="bullet"/>
      <w:lvlText w:val="o"/>
      <w:lvlJc w:val="left"/>
      <w:pPr>
        <w:ind w:left="1440" w:hanging="360"/>
      </w:pPr>
      <w:rPr>
        <w:rFonts w:ascii="Courier New" w:hAnsi="Courier New" w:cs="Courier New" w:hint="default"/>
      </w:rPr>
    </w:lvl>
    <w:lvl w:ilvl="2" w:tplc="922AF832" w:tentative="1">
      <w:start w:val="1"/>
      <w:numFmt w:val="bullet"/>
      <w:lvlText w:val=""/>
      <w:lvlJc w:val="left"/>
      <w:pPr>
        <w:ind w:left="2160" w:hanging="360"/>
      </w:pPr>
      <w:rPr>
        <w:rFonts w:ascii="Wingdings" w:hAnsi="Wingdings" w:hint="default"/>
      </w:rPr>
    </w:lvl>
    <w:lvl w:ilvl="3" w:tplc="3F9A7DCA" w:tentative="1">
      <w:start w:val="1"/>
      <w:numFmt w:val="bullet"/>
      <w:lvlText w:val=""/>
      <w:lvlJc w:val="left"/>
      <w:pPr>
        <w:ind w:left="2880" w:hanging="360"/>
      </w:pPr>
      <w:rPr>
        <w:rFonts w:ascii="Symbol" w:hAnsi="Symbol" w:hint="default"/>
      </w:rPr>
    </w:lvl>
    <w:lvl w:ilvl="4" w:tplc="2BACB66C" w:tentative="1">
      <w:start w:val="1"/>
      <w:numFmt w:val="bullet"/>
      <w:lvlText w:val="o"/>
      <w:lvlJc w:val="left"/>
      <w:pPr>
        <w:ind w:left="3600" w:hanging="360"/>
      </w:pPr>
      <w:rPr>
        <w:rFonts w:ascii="Courier New" w:hAnsi="Courier New" w:cs="Courier New" w:hint="default"/>
      </w:rPr>
    </w:lvl>
    <w:lvl w:ilvl="5" w:tplc="C5AC068A" w:tentative="1">
      <w:start w:val="1"/>
      <w:numFmt w:val="bullet"/>
      <w:lvlText w:val=""/>
      <w:lvlJc w:val="left"/>
      <w:pPr>
        <w:ind w:left="4320" w:hanging="360"/>
      </w:pPr>
      <w:rPr>
        <w:rFonts w:ascii="Wingdings" w:hAnsi="Wingdings" w:hint="default"/>
      </w:rPr>
    </w:lvl>
    <w:lvl w:ilvl="6" w:tplc="2C5EA1A8" w:tentative="1">
      <w:start w:val="1"/>
      <w:numFmt w:val="bullet"/>
      <w:lvlText w:val=""/>
      <w:lvlJc w:val="left"/>
      <w:pPr>
        <w:ind w:left="5040" w:hanging="360"/>
      </w:pPr>
      <w:rPr>
        <w:rFonts w:ascii="Symbol" w:hAnsi="Symbol" w:hint="default"/>
      </w:rPr>
    </w:lvl>
    <w:lvl w:ilvl="7" w:tplc="1B60A79E" w:tentative="1">
      <w:start w:val="1"/>
      <w:numFmt w:val="bullet"/>
      <w:lvlText w:val="o"/>
      <w:lvlJc w:val="left"/>
      <w:pPr>
        <w:ind w:left="5760" w:hanging="360"/>
      </w:pPr>
      <w:rPr>
        <w:rFonts w:ascii="Courier New" w:hAnsi="Courier New" w:cs="Courier New" w:hint="default"/>
      </w:rPr>
    </w:lvl>
    <w:lvl w:ilvl="8" w:tplc="D80AAA72" w:tentative="1">
      <w:start w:val="1"/>
      <w:numFmt w:val="bullet"/>
      <w:lvlText w:val=""/>
      <w:lvlJc w:val="left"/>
      <w:pPr>
        <w:ind w:left="6480" w:hanging="360"/>
      </w:pPr>
      <w:rPr>
        <w:rFonts w:ascii="Wingdings" w:hAnsi="Wingdings" w:hint="default"/>
      </w:rPr>
    </w:lvl>
  </w:abstractNum>
  <w:abstractNum w:abstractNumId="1" w15:restartNumberingAfterBreak="0">
    <w:nsid w:val="6D522B28"/>
    <w:multiLevelType w:val="hybridMultilevel"/>
    <w:tmpl w:val="B47C6E98"/>
    <w:lvl w:ilvl="0" w:tplc="F7EC99A0">
      <w:start w:val="1"/>
      <w:numFmt w:val="decimal"/>
      <w:lvlText w:val="%1."/>
      <w:lvlJc w:val="left"/>
      <w:pPr>
        <w:ind w:left="720" w:hanging="360"/>
      </w:pPr>
    </w:lvl>
    <w:lvl w:ilvl="1" w:tplc="1D849464" w:tentative="1">
      <w:start w:val="1"/>
      <w:numFmt w:val="lowerLetter"/>
      <w:lvlText w:val="%2."/>
      <w:lvlJc w:val="left"/>
      <w:pPr>
        <w:ind w:left="1440" w:hanging="360"/>
      </w:pPr>
    </w:lvl>
    <w:lvl w:ilvl="2" w:tplc="36DAA6C6" w:tentative="1">
      <w:start w:val="1"/>
      <w:numFmt w:val="lowerRoman"/>
      <w:lvlText w:val="%3."/>
      <w:lvlJc w:val="right"/>
      <w:pPr>
        <w:ind w:left="2160" w:hanging="180"/>
      </w:pPr>
    </w:lvl>
    <w:lvl w:ilvl="3" w:tplc="7668F2C8" w:tentative="1">
      <w:start w:val="1"/>
      <w:numFmt w:val="decimal"/>
      <w:lvlText w:val="%4."/>
      <w:lvlJc w:val="left"/>
      <w:pPr>
        <w:ind w:left="2880" w:hanging="360"/>
      </w:pPr>
    </w:lvl>
    <w:lvl w:ilvl="4" w:tplc="9BB64090" w:tentative="1">
      <w:start w:val="1"/>
      <w:numFmt w:val="lowerLetter"/>
      <w:lvlText w:val="%5."/>
      <w:lvlJc w:val="left"/>
      <w:pPr>
        <w:ind w:left="3600" w:hanging="360"/>
      </w:pPr>
    </w:lvl>
    <w:lvl w:ilvl="5" w:tplc="5E06917A" w:tentative="1">
      <w:start w:val="1"/>
      <w:numFmt w:val="lowerRoman"/>
      <w:lvlText w:val="%6."/>
      <w:lvlJc w:val="right"/>
      <w:pPr>
        <w:ind w:left="4320" w:hanging="180"/>
      </w:pPr>
    </w:lvl>
    <w:lvl w:ilvl="6" w:tplc="59CA02C0" w:tentative="1">
      <w:start w:val="1"/>
      <w:numFmt w:val="decimal"/>
      <w:lvlText w:val="%7."/>
      <w:lvlJc w:val="left"/>
      <w:pPr>
        <w:ind w:left="5040" w:hanging="360"/>
      </w:pPr>
    </w:lvl>
    <w:lvl w:ilvl="7" w:tplc="F5206D04" w:tentative="1">
      <w:start w:val="1"/>
      <w:numFmt w:val="lowerLetter"/>
      <w:lvlText w:val="%8."/>
      <w:lvlJc w:val="left"/>
      <w:pPr>
        <w:ind w:left="5760" w:hanging="360"/>
      </w:pPr>
    </w:lvl>
    <w:lvl w:ilvl="8" w:tplc="C944D0C8" w:tentative="1">
      <w:start w:val="1"/>
      <w:numFmt w:val="lowerRoman"/>
      <w:lvlText w:val="%9."/>
      <w:lvlJc w:val="right"/>
      <w:pPr>
        <w:ind w:left="6480" w:hanging="180"/>
      </w:pPr>
    </w:lvl>
  </w:abstractNum>
  <w:abstractNum w:abstractNumId="2" w15:restartNumberingAfterBreak="0">
    <w:nsid w:val="744A0F4D"/>
    <w:multiLevelType w:val="hybridMultilevel"/>
    <w:tmpl w:val="4F76B00C"/>
    <w:lvl w:ilvl="0" w:tplc="453EBD88">
      <w:start w:val="1"/>
      <w:numFmt w:val="decimal"/>
      <w:lvlText w:val="%1."/>
      <w:lvlJc w:val="left"/>
      <w:pPr>
        <w:ind w:left="720" w:hanging="360"/>
      </w:pPr>
    </w:lvl>
    <w:lvl w:ilvl="1" w:tplc="C416374C" w:tentative="1">
      <w:start w:val="1"/>
      <w:numFmt w:val="lowerLetter"/>
      <w:lvlText w:val="%2."/>
      <w:lvlJc w:val="left"/>
      <w:pPr>
        <w:ind w:left="1440" w:hanging="360"/>
      </w:pPr>
    </w:lvl>
    <w:lvl w:ilvl="2" w:tplc="CDB8C3F6" w:tentative="1">
      <w:start w:val="1"/>
      <w:numFmt w:val="lowerRoman"/>
      <w:lvlText w:val="%3."/>
      <w:lvlJc w:val="right"/>
      <w:pPr>
        <w:ind w:left="2160" w:hanging="180"/>
      </w:pPr>
    </w:lvl>
    <w:lvl w:ilvl="3" w:tplc="3EE06668" w:tentative="1">
      <w:start w:val="1"/>
      <w:numFmt w:val="decimal"/>
      <w:lvlText w:val="%4."/>
      <w:lvlJc w:val="left"/>
      <w:pPr>
        <w:ind w:left="2880" w:hanging="360"/>
      </w:pPr>
    </w:lvl>
    <w:lvl w:ilvl="4" w:tplc="32007B4C" w:tentative="1">
      <w:start w:val="1"/>
      <w:numFmt w:val="lowerLetter"/>
      <w:lvlText w:val="%5."/>
      <w:lvlJc w:val="left"/>
      <w:pPr>
        <w:ind w:left="3600" w:hanging="360"/>
      </w:pPr>
    </w:lvl>
    <w:lvl w:ilvl="5" w:tplc="956A78B8" w:tentative="1">
      <w:start w:val="1"/>
      <w:numFmt w:val="lowerRoman"/>
      <w:lvlText w:val="%6."/>
      <w:lvlJc w:val="right"/>
      <w:pPr>
        <w:ind w:left="4320" w:hanging="180"/>
      </w:pPr>
    </w:lvl>
    <w:lvl w:ilvl="6" w:tplc="90988CAA" w:tentative="1">
      <w:start w:val="1"/>
      <w:numFmt w:val="decimal"/>
      <w:lvlText w:val="%7."/>
      <w:lvlJc w:val="left"/>
      <w:pPr>
        <w:ind w:left="5040" w:hanging="360"/>
      </w:pPr>
    </w:lvl>
    <w:lvl w:ilvl="7" w:tplc="F2D6A8D8" w:tentative="1">
      <w:start w:val="1"/>
      <w:numFmt w:val="lowerLetter"/>
      <w:lvlText w:val="%8."/>
      <w:lvlJc w:val="left"/>
      <w:pPr>
        <w:ind w:left="5760" w:hanging="360"/>
      </w:pPr>
    </w:lvl>
    <w:lvl w:ilvl="8" w:tplc="037E46CE" w:tentative="1">
      <w:start w:val="1"/>
      <w:numFmt w:val="lowerRoman"/>
      <w:lvlText w:val="%9."/>
      <w:lvlJc w:val="right"/>
      <w:pPr>
        <w:ind w:left="6480" w:hanging="180"/>
      </w:pPr>
    </w:lvl>
  </w:abstractNum>
  <w:num w:numId="1" w16cid:durableId="1709993377">
    <w:abstractNumId w:val="1"/>
  </w:num>
  <w:num w:numId="2" w16cid:durableId="1817989380">
    <w:abstractNumId w:val="0"/>
  </w:num>
  <w:num w:numId="3" w16cid:durableId="20664405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B3"/>
    <w:rsid w:val="000019E2"/>
    <w:rsid w:val="00005B18"/>
    <w:rsid w:val="00014AEC"/>
    <w:rsid w:val="00014C6A"/>
    <w:rsid w:val="00014DE0"/>
    <w:rsid w:val="000365D9"/>
    <w:rsid w:val="00045ED9"/>
    <w:rsid w:val="00052E88"/>
    <w:rsid w:val="0007020E"/>
    <w:rsid w:val="0007111C"/>
    <w:rsid w:val="00071D17"/>
    <w:rsid w:val="00071DD3"/>
    <w:rsid w:val="00072CA5"/>
    <w:rsid w:val="00072EC3"/>
    <w:rsid w:val="00076369"/>
    <w:rsid w:val="00083197"/>
    <w:rsid w:val="000A0463"/>
    <w:rsid w:val="000A192F"/>
    <w:rsid w:val="000A6572"/>
    <w:rsid w:val="000B3571"/>
    <w:rsid w:val="000D0915"/>
    <w:rsid w:val="000D1DE5"/>
    <w:rsid w:val="000D3C4D"/>
    <w:rsid w:val="000D6C7E"/>
    <w:rsid w:val="000E4C25"/>
    <w:rsid w:val="0011033A"/>
    <w:rsid w:val="00110F13"/>
    <w:rsid w:val="00114109"/>
    <w:rsid w:val="001142A9"/>
    <w:rsid w:val="00114580"/>
    <w:rsid w:val="001161CF"/>
    <w:rsid w:val="00127414"/>
    <w:rsid w:val="001276FE"/>
    <w:rsid w:val="001363A9"/>
    <w:rsid w:val="0013658F"/>
    <w:rsid w:val="00144A9E"/>
    <w:rsid w:val="0015033D"/>
    <w:rsid w:val="00151C4F"/>
    <w:rsid w:val="00156F78"/>
    <w:rsid w:val="00157907"/>
    <w:rsid w:val="001658F4"/>
    <w:rsid w:val="001770DE"/>
    <w:rsid w:val="001926F5"/>
    <w:rsid w:val="00193C38"/>
    <w:rsid w:val="0019788F"/>
    <w:rsid w:val="001A3345"/>
    <w:rsid w:val="001C508E"/>
    <w:rsid w:val="001D1AA7"/>
    <w:rsid w:val="001E17E7"/>
    <w:rsid w:val="001E474E"/>
    <w:rsid w:val="001E4E34"/>
    <w:rsid w:val="001E64A2"/>
    <w:rsid w:val="00204D23"/>
    <w:rsid w:val="00216E16"/>
    <w:rsid w:val="00224AA8"/>
    <w:rsid w:val="002257D8"/>
    <w:rsid w:val="00233AB0"/>
    <w:rsid w:val="00246195"/>
    <w:rsid w:val="00250CB5"/>
    <w:rsid w:val="002571D1"/>
    <w:rsid w:val="00260C0C"/>
    <w:rsid w:val="00266313"/>
    <w:rsid w:val="002878A7"/>
    <w:rsid w:val="00293061"/>
    <w:rsid w:val="002A7202"/>
    <w:rsid w:val="002B3755"/>
    <w:rsid w:val="002B6626"/>
    <w:rsid w:val="002B7FB2"/>
    <w:rsid w:val="002C2E04"/>
    <w:rsid w:val="002D065B"/>
    <w:rsid w:val="002E1345"/>
    <w:rsid w:val="002E2534"/>
    <w:rsid w:val="00300B16"/>
    <w:rsid w:val="00302FFB"/>
    <w:rsid w:val="0031036B"/>
    <w:rsid w:val="003230B8"/>
    <w:rsid w:val="003253B2"/>
    <w:rsid w:val="00330D3F"/>
    <w:rsid w:val="003345F6"/>
    <w:rsid w:val="00345B44"/>
    <w:rsid w:val="00352C5D"/>
    <w:rsid w:val="0035437B"/>
    <w:rsid w:val="0037503D"/>
    <w:rsid w:val="00381DB7"/>
    <w:rsid w:val="003C17C2"/>
    <w:rsid w:val="003D7BD3"/>
    <w:rsid w:val="003E4EC9"/>
    <w:rsid w:val="003E52D4"/>
    <w:rsid w:val="003F1A3F"/>
    <w:rsid w:val="003F232A"/>
    <w:rsid w:val="003F42FE"/>
    <w:rsid w:val="003F6D48"/>
    <w:rsid w:val="00406BAF"/>
    <w:rsid w:val="004176FE"/>
    <w:rsid w:val="004209A7"/>
    <w:rsid w:val="004269EA"/>
    <w:rsid w:val="004326C0"/>
    <w:rsid w:val="00451D99"/>
    <w:rsid w:val="0045417F"/>
    <w:rsid w:val="00457878"/>
    <w:rsid w:val="00481680"/>
    <w:rsid w:val="00485D9A"/>
    <w:rsid w:val="0048650C"/>
    <w:rsid w:val="0049354D"/>
    <w:rsid w:val="004A0B15"/>
    <w:rsid w:val="004B1089"/>
    <w:rsid w:val="004C144A"/>
    <w:rsid w:val="004C520F"/>
    <w:rsid w:val="004D0443"/>
    <w:rsid w:val="004D3680"/>
    <w:rsid w:val="004E4083"/>
    <w:rsid w:val="004E436A"/>
    <w:rsid w:val="0050348D"/>
    <w:rsid w:val="00511926"/>
    <w:rsid w:val="00511A32"/>
    <w:rsid w:val="0051395F"/>
    <w:rsid w:val="00515668"/>
    <w:rsid w:val="00533DBC"/>
    <w:rsid w:val="005375DA"/>
    <w:rsid w:val="0054627D"/>
    <w:rsid w:val="005506E4"/>
    <w:rsid w:val="005575E3"/>
    <w:rsid w:val="00564168"/>
    <w:rsid w:val="00567C35"/>
    <w:rsid w:val="00573291"/>
    <w:rsid w:val="00576B71"/>
    <w:rsid w:val="00581583"/>
    <w:rsid w:val="0059175B"/>
    <w:rsid w:val="00593658"/>
    <w:rsid w:val="00595609"/>
    <w:rsid w:val="00597F7E"/>
    <w:rsid w:val="005B1D3B"/>
    <w:rsid w:val="005B7ECF"/>
    <w:rsid w:val="005C07E0"/>
    <w:rsid w:val="005C56C7"/>
    <w:rsid w:val="005C5739"/>
    <w:rsid w:val="005D29A7"/>
    <w:rsid w:val="00604EE0"/>
    <w:rsid w:val="0061648C"/>
    <w:rsid w:val="006209F1"/>
    <w:rsid w:val="00624971"/>
    <w:rsid w:val="00626B70"/>
    <w:rsid w:val="00633F94"/>
    <w:rsid w:val="00646BEB"/>
    <w:rsid w:val="0066736E"/>
    <w:rsid w:val="00675710"/>
    <w:rsid w:val="00681EC4"/>
    <w:rsid w:val="00682731"/>
    <w:rsid w:val="00691921"/>
    <w:rsid w:val="006D5403"/>
    <w:rsid w:val="006F0C06"/>
    <w:rsid w:val="006F465A"/>
    <w:rsid w:val="0070246E"/>
    <w:rsid w:val="007107B9"/>
    <w:rsid w:val="00711403"/>
    <w:rsid w:val="00724E30"/>
    <w:rsid w:val="007321FE"/>
    <w:rsid w:val="00733528"/>
    <w:rsid w:val="007339F9"/>
    <w:rsid w:val="00736933"/>
    <w:rsid w:val="00736E19"/>
    <w:rsid w:val="007516FA"/>
    <w:rsid w:val="00760D63"/>
    <w:rsid w:val="00762E94"/>
    <w:rsid w:val="00763828"/>
    <w:rsid w:val="00772AF5"/>
    <w:rsid w:val="007977F4"/>
    <w:rsid w:val="007A03B7"/>
    <w:rsid w:val="007A4504"/>
    <w:rsid w:val="007A7536"/>
    <w:rsid w:val="007B0A98"/>
    <w:rsid w:val="007B6774"/>
    <w:rsid w:val="007C14C2"/>
    <w:rsid w:val="007C7B35"/>
    <w:rsid w:val="007D1C89"/>
    <w:rsid w:val="007D379B"/>
    <w:rsid w:val="007D6B4C"/>
    <w:rsid w:val="007E6745"/>
    <w:rsid w:val="0080013C"/>
    <w:rsid w:val="00810BCE"/>
    <w:rsid w:val="00825392"/>
    <w:rsid w:val="00841974"/>
    <w:rsid w:val="008500C3"/>
    <w:rsid w:val="00852FBF"/>
    <w:rsid w:val="00860E5F"/>
    <w:rsid w:val="00871B8F"/>
    <w:rsid w:val="008834FA"/>
    <w:rsid w:val="00885C94"/>
    <w:rsid w:val="008963EB"/>
    <w:rsid w:val="008C54B8"/>
    <w:rsid w:val="008F1C49"/>
    <w:rsid w:val="009140F2"/>
    <w:rsid w:val="009259B8"/>
    <w:rsid w:val="00931664"/>
    <w:rsid w:val="00937162"/>
    <w:rsid w:val="0093775C"/>
    <w:rsid w:val="009435CE"/>
    <w:rsid w:val="00945413"/>
    <w:rsid w:val="00950622"/>
    <w:rsid w:val="00955BFF"/>
    <w:rsid w:val="00965111"/>
    <w:rsid w:val="00977A4B"/>
    <w:rsid w:val="009A4357"/>
    <w:rsid w:val="009A6408"/>
    <w:rsid w:val="009A71D0"/>
    <w:rsid w:val="009A75CF"/>
    <w:rsid w:val="009B511B"/>
    <w:rsid w:val="009C5D7C"/>
    <w:rsid w:val="009D5132"/>
    <w:rsid w:val="009D7622"/>
    <w:rsid w:val="009E2730"/>
    <w:rsid w:val="009F0C97"/>
    <w:rsid w:val="00A307E8"/>
    <w:rsid w:val="00A338C2"/>
    <w:rsid w:val="00A35F23"/>
    <w:rsid w:val="00A45A1F"/>
    <w:rsid w:val="00A5279F"/>
    <w:rsid w:val="00A52CCC"/>
    <w:rsid w:val="00A54263"/>
    <w:rsid w:val="00A631DD"/>
    <w:rsid w:val="00A7390C"/>
    <w:rsid w:val="00A828BE"/>
    <w:rsid w:val="00A87523"/>
    <w:rsid w:val="00A91B5A"/>
    <w:rsid w:val="00A95544"/>
    <w:rsid w:val="00AB372F"/>
    <w:rsid w:val="00AB420C"/>
    <w:rsid w:val="00AB5070"/>
    <w:rsid w:val="00AC208F"/>
    <w:rsid w:val="00AD1FAF"/>
    <w:rsid w:val="00AE2ACF"/>
    <w:rsid w:val="00AE76A4"/>
    <w:rsid w:val="00AF4B81"/>
    <w:rsid w:val="00B03FB9"/>
    <w:rsid w:val="00B14E86"/>
    <w:rsid w:val="00B267EA"/>
    <w:rsid w:val="00B336E8"/>
    <w:rsid w:val="00B346BF"/>
    <w:rsid w:val="00B3791B"/>
    <w:rsid w:val="00B5152F"/>
    <w:rsid w:val="00B66C02"/>
    <w:rsid w:val="00B71B22"/>
    <w:rsid w:val="00B74B57"/>
    <w:rsid w:val="00B74CA9"/>
    <w:rsid w:val="00B80ED0"/>
    <w:rsid w:val="00B81FB6"/>
    <w:rsid w:val="00B830E2"/>
    <w:rsid w:val="00B83E67"/>
    <w:rsid w:val="00B846BC"/>
    <w:rsid w:val="00B91E53"/>
    <w:rsid w:val="00B94C54"/>
    <w:rsid w:val="00B954F9"/>
    <w:rsid w:val="00BA42D1"/>
    <w:rsid w:val="00BA7B28"/>
    <w:rsid w:val="00BB7B04"/>
    <w:rsid w:val="00BD5489"/>
    <w:rsid w:val="00BE0B7B"/>
    <w:rsid w:val="00BE3EBD"/>
    <w:rsid w:val="00BF2ED4"/>
    <w:rsid w:val="00BF46D5"/>
    <w:rsid w:val="00C00056"/>
    <w:rsid w:val="00C01281"/>
    <w:rsid w:val="00C03891"/>
    <w:rsid w:val="00C13490"/>
    <w:rsid w:val="00C2091A"/>
    <w:rsid w:val="00C319E9"/>
    <w:rsid w:val="00C3226F"/>
    <w:rsid w:val="00C3322C"/>
    <w:rsid w:val="00C40654"/>
    <w:rsid w:val="00C54749"/>
    <w:rsid w:val="00C60D0F"/>
    <w:rsid w:val="00C61FC6"/>
    <w:rsid w:val="00C66F99"/>
    <w:rsid w:val="00C71A9E"/>
    <w:rsid w:val="00C82354"/>
    <w:rsid w:val="00C87CB3"/>
    <w:rsid w:val="00C91E50"/>
    <w:rsid w:val="00C9368F"/>
    <w:rsid w:val="00CA0FF6"/>
    <w:rsid w:val="00CA666D"/>
    <w:rsid w:val="00CC067D"/>
    <w:rsid w:val="00CC6000"/>
    <w:rsid w:val="00CC619D"/>
    <w:rsid w:val="00CD0E3A"/>
    <w:rsid w:val="00CE0465"/>
    <w:rsid w:val="00CF2344"/>
    <w:rsid w:val="00D04A9B"/>
    <w:rsid w:val="00D11236"/>
    <w:rsid w:val="00D26ADD"/>
    <w:rsid w:val="00D4335A"/>
    <w:rsid w:val="00D45512"/>
    <w:rsid w:val="00D51B68"/>
    <w:rsid w:val="00D60C92"/>
    <w:rsid w:val="00D61601"/>
    <w:rsid w:val="00D71849"/>
    <w:rsid w:val="00D72DB6"/>
    <w:rsid w:val="00D83032"/>
    <w:rsid w:val="00D86F8F"/>
    <w:rsid w:val="00D87239"/>
    <w:rsid w:val="00D90A76"/>
    <w:rsid w:val="00D9287F"/>
    <w:rsid w:val="00DA0006"/>
    <w:rsid w:val="00DA54D2"/>
    <w:rsid w:val="00DB0CC9"/>
    <w:rsid w:val="00DB13E2"/>
    <w:rsid w:val="00DB256A"/>
    <w:rsid w:val="00DD3DDE"/>
    <w:rsid w:val="00DE152B"/>
    <w:rsid w:val="00DE2C72"/>
    <w:rsid w:val="00DF010E"/>
    <w:rsid w:val="00E006BD"/>
    <w:rsid w:val="00E10411"/>
    <w:rsid w:val="00E41725"/>
    <w:rsid w:val="00E528F9"/>
    <w:rsid w:val="00E5357B"/>
    <w:rsid w:val="00E621EC"/>
    <w:rsid w:val="00E721E8"/>
    <w:rsid w:val="00E80663"/>
    <w:rsid w:val="00E868B3"/>
    <w:rsid w:val="00E95FBB"/>
    <w:rsid w:val="00EA2A0B"/>
    <w:rsid w:val="00EA58BA"/>
    <w:rsid w:val="00EB46EA"/>
    <w:rsid w:val="00EB5E69"/>
    <w:rsid w:val="00EB7A6C"/>
    <w:rsid w:val="00EE4C05"/>
    <w:rsid w:val="00EF4662"/>
    <w:rsid w:val="00EF741F"/>
    <w:rsid w:val="00F00FA4"/>
    <w:rsid w:val="00F1466E"/>
    <w:rsid w:val="00F2698B"/>
    <w:rsid w:val="00F36616"/>
    <w:rsid w:val="00F414D8"/>
    <w:rsid w:val="00F43F59"/>
    <w:rsid w:val="00F44C21"/>
    <w:rsid w:val="00F52447"/>
    <w:rsid w:val="00F53318"/>
    <w:rsid w:val="00F54A91"/>
    <w:rsid w:val="00F72A59"/>
    <w:rsid w:val="00FB10B7"/>
    <w:rsid w:val="00FB1134"/>
    <w:rsid w:val="00FD19BD"/>
    <w:rsid w:val="00FD27DE"/>
    <w:rsid w:val="00FD3DBF"/>
    <w:rsid w:val="00FD431F"/>
    <w:rsid w:val="00FD4879"/>
    <w:rsid w:val="00FE16D8"/>
    <w:rsid w:val="00FE560E"/>
    <w:rsid w:val="00FE7610"/>
    <w:rsid w:val="00FF0D6E"/>
    <w:rsid w:val="00FF1F19"/>
    <w:rsid w:val="00FF2D28"/>
    <w:rsid w:val="00FF31E4"/>
    <w:rsid w:val="00FF3B9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FEA92"/>
  <w15:docId w15:val="{8BC5029A-7C1C-49E7-96D6-994881754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674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E674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581583"/>
    <w:pPr>
      <w:keepNext/>
      <w:keepLines/>
      <w:spacing w:before="40" w:after="0"/>
      <w:outlineLvl w:val="2"/>
    </w:pPr>
    <w:rPr>
      <w:rFonts w:eastAsiaTheme="majorEastAsia" w:cstheme="majorBidi"/>
      <w:b/>
      <w:i/>
      <w:color w:val="FF0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745"/>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7E6745"/>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7E67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745"/>
    <w:rPr>
      <w:rFonts w:ascii="Times New Roman" w:hAnsi="Times New Roman"/>
      <w:sz w:val="24"/>
      <w:lang w:val="en-GB"/>
    </w:rPr>
  </w:style>
  <w:style w:type="paragraph" w:styleId="Footer">
    <w:name w:val="footer"/>
    <w:basedOn w:val="Normal"/>
    <w:link w:val="FooterChar"/>
    <w:uiPriority w:val="99"/>
    <w:unhideWhenUsed/>
    <w:rsid w:val="007E67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6745"/>
    <w:rPr>
      <w:rFonts w:ascii="Times New Roman" w:hAnsi="Times New Roman"/>
      <w:sz w:val="24"/>
      <w:lang w:val="en-GB"/>
    </w:rPr>
  </w:style>
  <w:style w:type="paragraph" w:styleId="TOCHeading">
    <w:name w:val="TOC Heading"/>
    <w:basedOn w:val="Heading1"/>
    <w:next w:val="Normal"/>
    <w:autoRedefine/>
    <w:uiPriority w:val="39"/>
    <w:unhideWhenUsed/>
    <w:qFormat/>
    <w:rsid w:val="00083197"/>
    <w:pPr>
      <w:jc w:val="left"/>
      <w:outlineLvl w:val="9"/>
    </w:pPr>
    <w:rPr>
      <w:i/>
      <w:kern w:val="0"/>
      <w:sz w:val="32"/>
      <w:lang w:val="en-US"/>
    </w:rPr>
  </w:style>
  <w:style w:type="paragraph" w:styleId="TOC1">
    <w:name w:val="toc 1"/>
    <w:basedOn w:val="Normal"/>
    <w:next w:val="Normal"/>
    <w:autoRedefine/>
    <w:uiPriority w:val="39"/>
    <w:unhideWhenUsed/>
    <w:rsid w:val="007E6745"/>
    <w:pPr>
      <w:spacing w:after="100"/>
    </w:pPr>
  </w:style>
  <w:style w:type="character" w:styleId="Hyperlink">
    <w:name w:val="Hyperlink"/>
    <w:basedOn w:val="DefaultParagraphFont"/>
    <w:uiPriority w:val="99"/>
    <w:unhideWhenUsed/>
    <w:rsid w:val="007E6745"/>
    <w:rPr>
      <w:color w:val="0563C1" w:themeColor="hyperlink"/>
      <w:u w:val="single"/>
    </w:rPr>
  </w:style>
  <w:style w:type="paragraph" w:styleId="BalloonText">
    <w:name w:val="Balloon Text"/>
    <w:basedOn w:val="Normal"/>
    <w:link w:val="BalloonTextChar"/>
    <w:uiPriority w:val="99"/>
    <w:semiHidden/>
    <w:unhideWhenUsed/>
    <w:rsid w:val="00045E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ED9"/>
    <w:rPr>
      <w:rFonts w:ascii="Tahoma" w:hAnsi="Tahoma" w:cs="Tahoma"/>
      <w:sz w:val="16"/>
      <w:szCs w:val="16"/>
      <w:lang w:val="en-GB"/>
    </w:rPr>
  </w:style>
  <w:style w:type="paragraph" w:styleId="Caption">
    <w:name w:val="caption"/>
    <w:basedOn w:val="Normal"/>
    <w:next w:val="Normal"/>
    <w:autoRedefine/>
    <w:uiPriority w:val="35"/>
    <w:unhideWhenUsed/>
    <w:qFormat/>
    <w:rsid w:val="003F1A3F"/>
    <w:pPr>
      <w:spacing w:after="200"/>
      <w:jc w:val="center"/>
    </w:pPr>
    <w:rPr>
      <w:b/>
      <w:bCs/>
      <w:i/>
      <w:szCs w:val="18"/>
    </w:rPr>
  </w:style>
  <w:style w:type="character" w:customStyle="1" w:styleId="Heading3Char">
    <w:name w:val="Heading 3 Char"/>
    <w:basedOn w:val="DefaultParagraphFont"/>
    <w:link w:val="Heading3"/>
    <w:uiPriority w:val="9"/>
    <w:rsid w:val="00581583"/>
    <w:rPr>
      <w:rFonts w:ascii="Times New Roman" w:eastAsiaTheme="majorEastAsia" w:hAnsi="Times New Roman" w:cstheme="majorBidi"/>
      <w:b/>
      <w:i/>
      <w:color w:val="FF0000"/>
      <w:sz w:val="24"/>
      <w:szCs w:val="24"/>
      <w:lang w:val="en-GB"/>
    </w:rPr>
  </w:style>
  <w:style w:type="character" w:styleId="Strong">
    <w:name w:val="Strong"/>
    <w:basedOn w:val="DefaultParagraphFont"/>
    <w:uiPriority w:val="22"/>
    <w:qFormat/>
    <w:rsid w:val="00485D9A"/>
    <w:rPr>
      <w:b/>
      <w:bCs/>
    </w:rPr>
  </w:style>
  <w:style w:type="character" w:styleId="Emphasis">
    <w:name w:val="Emphasis"/>
    <w:basedOn w:val="DefaultParagraphFont"/>
    <w:uiPriority w:val="20"/>
    <w:qFormat/>
    <w:rsid w:val="00072CA5"/>
    <w:rPr>
      <w:i/>
      <w:iCs/>
    </w:rPr>
  </w:style>
  <w:style w:type="paragraph" w:styleId="ListParagraph">
    <w:name w:val="List Paragraph"/>
    <w:basedOn w:val="Normal"/>
    <w:uiPriority w:val="34"/>
    <w:qFormat/>
    <w:rsid w:val="007D1C89"/>
    <w:pPr>
      <w:ind w:left="720"/>
      <w:contextualSpacing/>
    </w:pPr>
  </w:style>
  <w:style w:type="paragraph" w:styleId="TOC2">
    <w:name w:val="toc 2"/>
    <w:basedOn w:val="Normal"/>
    <w:next w:val="Normal"/>
    <w:autoRedefine/>
    <w:uiPriority w:val="39"/>
    <w:unhideWhenUsed/>
    <w:rsid w:val="00515668"/>
    <w:pPr>
      <w:spacing w:after="100"/>
      <w:ind w:left="240"/>
    </w:pPr>
  </w:style>
  <w:style w:type="paragraph" w:styleId="TOC3">
    <w:name w:val="toc 3"/>
    <w:basedOn w:val="Normal"/>
    <w:next w:val="Normal"/>
    <w:autoRedefine/>
    <w:uiPriority w:val="39"/>
    <w:unhideWhenUsed/>
    <w:rsid w:val="005156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journals.kozminski.cem-j.org/index.php/pl_cemj/article/view/529" TargetMode="External"/><Relationship Id="rId21" Type="http://schemas.openxmlformats.org/officeDocument/2006/relationships/image" Target="media/image14.png"/><Relationship Id="rId34" Type="http://schemas.openxmlformats.org/officeDocument/2006/relationships/hyperlink" Target="https://arxiv.org/abs/2001.08240" TargetMode="External"/><Relationship Id="rId42" Type="http://schemas.openxmlformats.org/officeDocument/2006/relationships/hyperlink" Target="https://www.scirp.org/journal/paperinformation.aspx?paperid=90798" TargetMode="External"/><Relationship Id="rId47" Type="http://schemas.openxmlformats.org/officeDocument/2006/relationships/hyperlink" Target="https://eprints.glos.ac.uk/8457/" TargetMode="External"/><Relationship Id="rId50" Type="http://schemas.openxmlformats.org/officeDocument/2006/relationships/hyperlink" Targe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 TargetMode="External"/><Relationship Id="rId55" Type="http://schemas.openxmlformats.org/officeDocument/2006/relationships/hyperlink" Target="https://link.springer.com/article/10.1007/s10098-020-02004-9"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scholar.archive.org/work/v7h6yj5rkjfevmcnduh4fqou5u/access/wayback/http://irs-managementstudies.com/index.php/irs/article/download/66/50" TargetMode="External"/><Relationship Id="rId37" Type="http://schemas.openxmlformats.org/officeDocument/2006/relationships/hyperlink" Target="http://journal.jis-institute.org/index.php/ijfr/article/view/280" TargetMode="External"/><Relationship Id="rId40" Type="http://schemas.openxmlformats.org/officeDocument/2006/relationships/hyperlink" Target="https://go.gale.com/ps/i.do?p=HRCA&amp;sw=w&amp;issn=&amp;v=2.1&amp;it=r&amp;id=GALE%7CA662980510&amp;sid=googleScholar&amp;linkaccess=abs" TargetMode="External"/><Relationship Id="rId45" Type="http://schemas.openxmlformats.org/officeDocument/2006/relationships/hyperlink" Target="https://www.circleinternational.co.uk/wp-content/uploads/2021/01/21.4.pdf" TargetMode="External"/><Relationship Id="rId53" Type="http://schemas.openxmlformats.org/officeDocument/2006/relationships/hyperlink" Target="http://journals.kozminski.cem-j.org/index.php/pl_cemj/article/view/557" TargetMode="External"/><Relationship Id="rId58" Type="http://schemas.openxmlformats.org/officeDocument/2006/relationships/image" Target="media/image25.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link.springer.com/article/10.1186/s12888-023-05126-8" TargetMode="External"/><Relationship Id="rId43" Type="http://schemas.openxmlformats.org/officeDocument/2006/relationships/hyperlink" Target="https://academic.oup.com/jcle/article-abstract/15/4/538/5753968" TargetMode="External"/><Relationship Id="rId48" Type="http://schemas.openxmlformats.org/officeDocument/2006/relationships/hyperlink" Target="https://eprints.glos.ac.uk/9197/" TargetMode="External"/><Relationship Id="rId56" Type="http://schemas.openxmlformats.org/officeDocument/2006/relationships/hyperlink" Target="https://www.atlantis-press.com/proceedings/icssed-21/125955205" TargetMode="External"/><Relationship Id="rId8" Type="http://schemas.openxmlformats.org/officeDocument/2006/relationships/image" Target="media/image1.png"/><Relationship Id="rId51" Type="http://schemas.openxmlformats.org/officeDocument/2006/relationships/hyperlink" Target="https://search.ebscohost.com/login.aspx?direct=true&amp;profile=ehost&amp;scope=site&amp;authtype=crawler&amp;jrnl=09758453&amp;AN=144513102&amp;h=cuti9OU87FfBhqdhWb%2FrMySHzJQBd8Dj6HU0RzMWWWqOA%2F3aBOev5G5EaxfjtVVNhieqk1ypi7143ACeY%2Fb%2BdA%3D%3D&amp;crl=c"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tandfonline.com/doi/abs/10.1080/0267257X.2020.1794933" TargetMode="External"/><Relationship Id="rId38" Type="http://schemas.openxmlformats.org/officeDocument/2006/relationships/hyperlink" Target="https://www.emerald.com/insight/content/doi/10.1108/JBS-07-2023-0149/full/html" TargetMode="External"/><Relationship Id="rId46" Type="http://schemas.openxmlformats.org/officeDocument/2006/relationships/hyperlink" Target="https://onlinelibrary.wiley.com/doi/abs/10.1002/pa.1910" TargetMode="External"/><Relationship Id="rId59" Type="http://schemas.openxmlformats.org/officeDocument/2006/relationships/image" Target="media/image26.png"/><Relationship Id="rId20" Type="http://schemas.openxmlformats.org/officeDocument/2006/relationships/image" Target="media/image13.png"/><Relationship Id="rId41" Type="http://schemas.openxmlformats.org/officeDocument/2006/relationships/hyperlink" Target="http://journals.kozminski.cem-j.org/index.php/pl_cemj/article/view/541" TargetMode="External"/><Relationship Id="rId54" Type="http://schemas.openxmlformats.org/officeDocument/2006/relationships/hyperlink" Target="http://eprints.leedsbeckett.ac.uk/4203/1/TheCommunicationofCorporateNGOAM_TOPIC.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ciencedirect.com/science/article/pii/S221042242300045X" TargetMode="External"/><Relationship Id="rId49" Type="http://schemas.openxmlformats.org/officeDocument/2006/relationships/hyperlink" Target="http://repository.uinbanten.ac.id/7851/2/2.LAMPIRAN%20DEPAN%20TESIS.pdf" TargetMode="External"/><Relationship Id="rId57" Type="http://schemas.openxmlformats.org/officeDocument/2006/relationships/hyperlink" Target="https://search.proquest.com/openview/0ddac2fc69f6ca3a94ea43ee1ba827b4/1?pq-origsite=gscholar&amp;cbl=816339"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turcomat.org/index.php/turkbilmat/article/view/3237" TargetMode="External"/><Relationship Id="rId52" Type="http://schemas.openxmlformats.org/officeDocument/2006/relationships/hyperlink" Target="https://books.google.com/books?hl=en&amp;lr=&amp;id=2MvSDwAAQBAJ&amp;oi=fnd&amp;pg=PA459&amp;dq=strategies+of+sainsbury+retail&amp;ots=tKeX3Zdjy6&amp;sig=BgpgZEZ-K1zkgG0Cl6rys25pef0" TargetMode="External"/><Relationship Id="rId60"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B00F2-4CA1-4B29-B11E-BFC9265DC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7417</Words>
  <Characters>42282</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NISHWA PATEL</dc:creator>
  <cp:lastModifiedBy>NISHWA PATEL</cp:lastModifiedBy>
  <cp:revision>3</cp:revision>
  <dcterms:created xsi:type="dcterms:W3CDTF">2023-11-19T21:48:00Z</dcterms:created>
  <dcterms:modified xsi:type="dcterms:W3CDTF">2023-11-19T21:49:00Z</dcterms:modified>
</cp:coreProperties>
</file>