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21DB" w:rsidRPr="0061606F" w:rsidRDefault="006121DB" w:rsidP="005C116A">
      <w:pPr>
        <w:spacing w:line="276" w:lineRule="auto"/>
        <w:jc w:val="center"/>
        <w:rPr>
          <w:rFonts w:ascii="Arial" w:hAnsi="Arial" w:cs="Arial"/>
          <w:sz w:val="24"/>
        </w:rPr>
      </w:pPr>
      <w:bookmarkStart w:id="0" w:name="_GoBack"/>
      <w:r w:rsidRPr="0061606F">
        <w:rPr>
          <w:rFonts w:ascii="Arial" w:hAnsi="Arial" w:cs="Arial"/>
          <w:sz w:val="24"/>
        </w:rPr>
        <w:t>Safeguarding Reflection</w:t>
      </w:r>
    </w:p>
    <w:p w:rsidR="00C752D0" w:rsidRPr="0061606F" w:rsidRDefault="00C752D0" w:rsidP="005C116A">
      <w:pPr>
        <w:spacing w:line="276" w:lineRule="auto"/>
        <w:rPr>
          <w:rFonts w:ascii="Arial" w:hAnsi="Arial" w:cs="Arial"/>
          <w:sz w:val="24"/>
        </w:rPr>
      </w:pPr>
      <w:r w:rsidRPr="0061606F">
        <w:rPr>
          <w:rFonts w:ascii="Arial" w:hAnsi="Arial" w:cs="Arial"/>
          <w:sz w:val="24"/>
        </w:rPr>
        <w:t>Introduction</w:t>
      </w:r>
    </w:p>
    <w:p w:rsidR="00A72094" w:rsidRPr="0061606F" w:rsidRDefault="00A72094" w:rsidP="005C116A">
      <w:pPr>
        <w:spacing w:line="276" w:lineRule="auto"/>
        <w:rPr>
          <w:rFonts w:ascii="Arial" w:hAnsi="Arial" w:cs="Arial"/>
          <w:sz w:val="24"/>
        </w:rPr>
      </w:pPr>
      <w:r w:rsidRPr="0061606F">
        <w:rPr>
          <w:rFonts w:ascii="Arial" w:hAnsi="Arial" w:cs="Arial"/>
          <w:sz w:val="24"/>
        </w:rPr>
        <w:t xml:space="preserve">According to Safeguarding children and young people (2014), safeguarding is a term which is broader than child protection, it can relate to the action taken required to improve the welfare of children and to protect them from harm. Working together to safeguard children 2013 defines safeguarding as, protecting children from maltreatment, preventing impairment of children’s health and development, ensuring that children grow up in circumstances consistent with the provision of safe and effective care and taking action to enable all children have the best outcomes. </w:t>
      </w:r>
    </w:p>
    <w:p w:rsidR="00C752D0" w:rsidRPr="0061606F" w:rsidRDefault="00C752D0" w:rsidP="005C116A">
      <w:pPr>
        <w:spacing w:line="276" w:lineRule="auto"/>
        <w:rPr>
          <w:rFonts w:ascii="Arial" w:hAnsi="Arial" w:cs="Arial"/>
          <w:sz w:val="24"/>
        </w:rPr>
      </w:pPr>
      <w:r w:rsidRPr="0061606F">
        <w:rPr>
          <w:rFonts w:ascii="Arial" w:hAnsi="Arial" w:cs="Arial"/>
          <w:sz w:val="24"/>
        </w:rPr>
        <w:t>Roles</w:t>
      </w:r>
    </w:p>
    <w:p w:rsidR="00916A83" w:rsidRPr="0061606F" w:rsidRDefault="00916A83" w:rsidP="005C116A">
      <w:pPr>
        <w:spacing w:line="276" w:lineRule="auto"/>
        <w:rPr>
          <w:rFonts w:ascii="Arial" w:hAnsi="Arial" w:cs="Arial"/>
          <w:sz w:val="24"/>
        </w:rPr>
      </w:pPr>
      <w:r w:rsidRPr="0061606F">
        <w:rPr>
          <w:rFonts w:ascii="Arial" w:hAnsi="Arial" w:cs="Arial"/>
          <w:sz w:val="24"/>
        </w:rPr>
        <w:t xml:space="preserve">During preparing for our initial child protection conference I played the role as the key worker. I learnt a lot about the role of the key worker such as </w:t>
      </w:r>
      <w:r w:rsidR="00DB7601">
        <w:rPr>
          <w:rFonts w:ascii="Arial" w:hAnsi="Arial" w:cs="Arial"/>
          <w:sz w:val="24"/>
        </w:rPr>
        <w:t>following the All Wales Child P</w:t>
      </w:r>
      <w:r w:rsidRPr="0061606F">
        <w:rPr>
          <w:rFonts w:ascii="Arial" w:hAnsi="Arial" w:cs="Arial"/>
          <w:sz w:val="24"/>
        </w:rPr>
        <w:t xml:space="preserve">rotection </w:t>
      </w:r>
      <w:r w:rsidR="00EB31B6" w:rsidRPr="0061606F">
        <w:rPr>
          <w:rFonts w:ascii="Arial" w:hAnsi="Arial" w:cs="Arial"/>
          <w:sz w:val="24"/>
        </w:rPr>
        <w:t>Procedures (AWCPP) (2008),</w:t>
      </w:r>
      <w:r w:rsidRPr="0061606F">
        <w:rPr>
          <w:rFonts w:ascii="Arial" w:hAnsi="Arial" w:cs="Arial"/>
          <w:sz w:val="24"/>
        </w:rPr>
        <w:t xml:space="preserve"> when dealing with concerns about a child. </w:t>
      </w:r>
      <w:r w:rsidR="002E4560" w:rsidRPr="0061606F">
        <w:rPr>
          <w:rFonts w:ascii="Arial" w:hAnsi="Arial" w:cs="Arial"/>
          <w:sz w:val="24"/>
        </w:rPr>
        <w:t>The AWCPP (2008)</w:t>
      </w:r>
      <w:r w:rsidR="00DB7601">
        <w:rPr>
          <w:rFonts w:ascii="Arial" w:hAnsi="Arial" w:cs="Arial"/>
          <w:sz w:val="24"/>
        </w:rPr>
        <w:t>,</w:t>
      </w:r>
      <w:r w:rsidR="002E4560" w:rsidRPr="0061606F">
        <w:rPr>
          <w:rFonts w:ascii="Arial" w:hAnsi="Arial" w:cs="Arial"/>
          <w:sz w:val="24"/>
        </w:rPr>
        <w:t xml:space="preserve"> states that procedures are essential for all individuals working with children, including, professionals and multi-agencies. </w:t>
      </w:r>
      <w:r w:rsidR="00EB31B6" w:rsidRPr="0061606F">
        <w:rPr>
          <w:rFonts w:ascii="Arial" w:hAnsi="Arial" w:cs="Arial"/>
          <w:sz w:val="24"/>
        </w:rPr>
        <w:t xml:space="preserve">According to the AWCPP (2008) children and young people are referred to children under the age of eighteen, even when a sixteen year old is living independently or in further education they are still entitled to services under the Children Act (1989).  </w:t>
      </w:r>
      <w:r w:rsidR="002E4560" w:rsidRPr="0061606F">
        <w:rPr>
          <w:rFonts w:ascii="Arial" w:hAnsi="Arial" w:cs="Arial"/>
          <w:sz w:val="24"/>
        </w:rPr>
        <w:t>The key workers role in any safeguarding situation is to record, monitor and inform a manager of any concerns</w:t>
      </w:r>
      <w:r w:rsidR="00F315A3" w:rsidRPr="0061606F">
        <w:rPr>
          <w:rFonts w:ascii="Arial" w:hAnsi="Arial" w:cs="Arial"/>
          <w:sz w:val="24"/>
        </w:rPr>
        <w:t xml:space="preserve"> as Safeguarding children and young people (2014), state that safeguarding is everyone’s responsibility</w:t>
      </w:r>
      <w:r w:rsidR="002E4560" w:rsidRPr="0061606F">
        <w:rPr>
          <w:rFonts w:ascii="Arial" w:hAnsi="Arial" w:cs="Arial"/>
          <w:sz w:val="24"/>
        </w:rPr>
        <w:t>. I learnt that each setting follows their own procedures for recording, however all setting</w:t>
      </w:r>
      <w:r w:rsidR="00F315A3" w:rsidRPr="0061606F">
        <w:rPr>
          <w:rFonts w:ascii="Arial" w:hAnsi="Arial" w:cs="Arial"/>
          <w:sz w:val="24"/>
        </w:rPr>
        <w:t>s</w:t>
      </w:r>
      <w:r w:rsidR="002E4560" w:rsidRPr="0061606F">
        <w:rPr>
          <w:rFonts w:ascii="Arial" w:hAnsi="Arial" w:cs="Arial"/>
          <w:sz w:val="24"/>
        </w:rPr>
        <w:t xml:space="preserve"> should follow guidance from the AWCPP (2008).</w:t>
      </w:r>
      <w:r w:rsidR="00470B63" w:rsidRPr="0061606F">
        <w:rPr>
          <w:rFonts w:ascii="Arial" w:hAnsi="Arial" w:cs="Arial"/>
          <w:sz w:val="24"/>
        </w:rPr>
        <w:t xml:space="preserve"> I found that the key worker as an important role as they see children from day to day and have the responsibility of informing their manager of any concerns or they could ring multi-agencies themselves if they find necessary. </w:t>
      </w:r>
      <w:r w:rsidR="0054633D" w:rsidRPr="0061606F">
        <w:rPr>
          <w:rFonts w:ascii="Arial" w:hAnsi="Arial" w:cs="Arial"/>
          <w:sz w:val="24"/>
        </w:rPr>
        <w:t>The Data Protection A</w:t>
      </w:r>
      <w:r w:rsidR="007008D2" w:rsidRPr="0061606F">
        <w:rPr>
          <w:rFonts w:ascii="Arial" w:hAnsi="Arial" w:cs="Arial"/>
          <w:sz w:val="24"/>
        </w:rPr>
        <w:t>ct 1998, as this is in place</w:t>
      </w:r>
      <w:r w:rsidR="0054633D" w:rsidRPr="0061606F">
        <w:rPr>
          <w:rFonts w:ascii="Arial" w:hAnsi="Arial" w:cs="Arial"/>
          <w:sz w:val="24"/>
        </w:rPr>
        <w:t xml:space="preserve"> as it controls the way organisations business’ and the government use personal information. This is </w:t>
      </w:r>
      <w:r w:rsidR="007008D2" w:rsidRPr="0061606F">
        <w:rPr>
          <w:rFonts w:ascii="Arial" w:hAnsi="Arial" w:cs="Arial"/>
          <w:sz w:val="24"/>
        </w:rPr>
        <w:t>for an appropriate way of sharing information</w:t>
      </w:r>
      <w:r w:rsidR="0054633D" w:rsidRPr="0061606F">
        <w:rPr>
          <w:rFonts w:ascii="Arial" w:hAnsi="Arial" w:cs="Arial"/>
          <w:sz w:val="24"/>
        </w:rPr>
        <w:t xml:space="preserve"> making sure it is safe and secure, accurate, kept no longer than necessary and more</w:t>
      </w:r>
      <w:r w:rsidR="007008D2" w:rsidRPr="0061606F">
        <w:rPr>
          <w:rFonts w:ascii="Arial" w:hAnsi="Arial" w:cs="Arial"/>
          <w:sz w:val="24"/>
        </w:rPr>
        <w:t>,</w:t>
      </w:r>
      <w:r w:rsidR="00593434" w:rsidRPr="0061606F">
        <w:rPr>
          <w:rFonts w:ascii="Arial" w:hAnsi="Arial" w:cs="Arial"/>
          <w:sz w:val="24"/>
        </w:rPr>
        <w:t xml:space="preserve"> everyone is responsible of using data has to strictly follow those rules known as the ‘data protection principles’. T</w:t>
      </w:r>
      <w:r w:rsidR="007008D2" w:rsidRPr="0061606F">
        <w:rPr>
          <w:rFonts w:ascii="Arial" w:hAnsi="Arial" w:cs="Arial"/>
          <w:sz w:val="24"/>
        </w:rPr>
        <w:t>his helped me in understanding who a keyworker or any individual can share in</w:t>
      </w:r>
      <w:r w:rsidR="0054633D" w:rsidRPr="0061606F">
        <w:rPr>
          <w:rFonts w:ascii="Arial" w:hAnsi="Arial" w:cs="Arial"/>
          <w:sz w:val="24"/>
        </w:rPr>
        <w:t>formation or any concerns with knowing that</w:t>
      </w:r>
      <w:r w:rsidR="00593434" w:rsidRPr="0061606F">
        <w:rPr>
          <w:rFonts w:ascii="Arial" w:hAnsi="Arial" w:cs="Arial"/>
          <w:sz w:val="24"/>
        </w:rPr>
        <w:t xml:space="preserve"> it is</w:t>
      </w:r>
      <w:r w:rsidR="0054633D" w:rsidRPr="0061606F">
        <w:rPr>
          <w:rFonts w:ascii="Arial" w:hAnsi="Arial" w:cs="Arial"/>
          <w:sz w:val="24"/>
        </w:rPr>
        <w:t xml:space="preserve"> shared in the appropriate way and with the right individuals or agencies</w:t>
      </w:r>
      <w:r w:rsidR="00E96DE2" w:rsidRPr="0061606F">
        <w:rPr>
          <w:rFonts w:ascii="Arial" w:hAnsi="Arial" w:cs="Arial"/>
          <w:sz w:val="24"/>
        </w:rPr>
        <w:t xml:space="preserve"> knowing it is safe</w:t>
      </w:r>
      <w:r w:rsidR="0054633D" w:rsidRPr="0061606F">
        <w:rPr>
          <w:rFonts w:ascii="Arial" w:hAnsi="Arial" w:cs="Arial"/>
          <w:sz w:val="24"/>
        </w:rPr>
        <w:t xml:space="preserve">. </w:t>
      </w:r>
    </w:p>
    <w:p w:rsidR="00C752D0" w:rsidRPr="0061606F" w:rsidRDefault="00182584" w:rsidP="005C116A">
      <w:pPr>
        <w:spacing w:line="276" w:lineRule="auto"/>
        <w:rPr>
          <w:rFonts w:ascii="Arial" w:hAnsi="Arial" w:cs="Arial"/>
          <w:sz w:val="24"/>
        </w:rPr>
      </w:pPr>
      <w:r w:rsidRPr="0061606F">
        <w:rPr>
          <w:rFonts w:ascii="Arial" w:hAnsi="Arial" w:cs="Arial"/>
          <w:sz w:val="24"/>
        </w:rPr>
        <w:t>During researching for the conference I found other roles as important as a key worker such as a health visitor which was demonstrated by Victoria. According to the National Health Service (NHS)</w:t>
      </w:r>
      <w:r w:rsidR="00DB7601">
        <w:rPr>
          <w:rFonts w:ascii="Arial" w:hAnsi="Arial" w:cs="Arial"/>
          <w:sz w:val="24"/>
        </w:rPr>
        <w:t xml:space="preserve"> (no date),</w:t>
      </w:r>
      <w:r w:rsidRPr="0061606F">
        <w:rPr>
          <w:rFonts w:ascii="Arial" w:hAnsi="Arial" w:cs="Arial"/>
          <w:sz w:val="24"/>
        </w:rPr>
        <w:t xml:space="preserve"> health visitors have an important role with regards to safeguarding in cooperation with other organisations to protect children. As health visitors usually work with children from birth until 5 years old, they are usually the first to recognise whether or not a child is at risk of any harm. As well as being trained in recognising triggers for concern and risk factors, health visitors are able to support families during safeguarding arrangements.</w:t>
      </w:r>
      <w:r w:rsidR="000850D5" w:rsidRPr="0061606F">
        <w:rPr>
          <w:rFonts w:ascii="Arial" w:hAnsi="Arial" w:cs="Arial"/>
          <w:sz w:val="24"/>
        </w:rPr>
        <w:t xml:space="preserve"> </w:t>
      </w:r>
    </w:p>
    <w:p w:rsidR="00C752D0" w:rsidRPr="0061606F" w:rsidRDefault="0020270C" w:rsidP="005C116A">
      <w:pPr>
        <w:spacing w:line="276" w:lineRule="auto"/>
        <w:rPr>
          <w:rFonts w:ascii="Arial" w:hAnsi="Arial" w:cs="Arial"/>
          <w:sz w:val="24"/>
        </w:rPr>
      </w:pPr>
      <w:r w:rsidRPr="0061606F">
        <w:rPr>
          <w:rFonts w:ascii="Arial" w:hAnsi="Arial" w:cs="Arial"/>
          <w:sz w:val="24"/>
        </w:rPr>
        <w:lastRenderedPageBreak/>
        <w:t xml:space="preserve">Another role I found particularly important with safeguarding children is the designated safeguarding lead. </w:t>
      </w:r>
      <w:r w:rsidR="000850D5" w:rsidRPr="0061606F">
        <w:rPr>
          <w:rFonts w:ascii="Arial" w:hAnsi="Arial" w:cs="Arial"/>
          <w:sz w:val="24"/>
        </w:rPr>
        <w:t>In our professional discussion Rachel had the role of the manager also th</w:t>
      </w:r>
      <w:r w:rsidRPr="0061606F">
        <w:rPr>
          <w:rFonts w:ascii="Arial" w:hAnsi="Arial" w:cs="Arial"/>
          <w:sz w:val="24"/>
        </w:rPr>
        <w:t>e designated safeguarding lead</w:t>
      </w:r>
      <w:r w:rsidR="00F21F84">
        <w:rPr>
          <w:rFonts w:ascii="Arial" w:hAnsi="Arial" w:cs="Arial"/>
          <w:sz w:val="24"/>
        </w:rPr>
        <w:t xml:space="preserve"> (DSL)</w:t>
      </w:r>
      <w:r w:rsidR="000850D5" w:rsidRPr="0061606F">
        <w:rPr>
          <w:rFonts w:ascii="Arial" w:hAnsi="Arial" w:cs="Arial"/>
          <w:sz w:val="24"/>
        </w:rPr>
        <w:t>. With research I found that the role of the designated safeguarding</w:t>
      </w:r>
      <w:r w:rsidRPr="0061606F">
        <w:rPr>
          <w:rFonts w:ascii="Arial" w:hAnsi="Arial" w:cs="Arial"/>
          <w:sz w:val="24"/>
        </w:rPr>
        <w:t xml:space="preserve"> lead</w:t>
      </w:r>
      <w:r w:rsidR="000850D5" w:rsidRPr="0061606F">
        <w:rPr>
          <w:rFonts w:ascii="Arial" w:hAnsi="Arial" w:cs="Arial"/>
          <w:sz w:val="24"/>
        </w:rPr>
        <w:t xml:space="preserve"> was specified in the Children Act 2004, this ensured that every organisation has a named person for safeguarding. According to the NSPCC (2017), all schools must have a designated safeguarding lead in place in order to deal with concerns about child protection. The designated safeguarding lead should either be on the school </w:t>
      </w:r>
      <w:r w:rsidRPr="0061606F">
        <w:rPr>
          <w:rFonts w:ascii="Arial" w:hAnsi="Arial" w:cs="Arial"/>
          <w:sz w:val="24"/>
        </w:rPr>
        <w:t>premises</w:t>
      </w:r>
      <w:r w:rsidR="000850D5" w:rsidRPr="0061606F">
        <w:rPr>
          <w:rFonts w:ascii="Arial" w:hAnsi="Arial" w:cs="Arial"/>
          <w:sz w:val="24"/>
        </w:rPr>
        <w:t>, or be able to be contacted by phone or email, either way they must be available during school hours</w:t>
      </w:r>
      <w:r w:rsidRPr="0061606F">
        <w:rPr>
          <w:rFonts w:ascii="Arial" w:hAnsi="Arial" w:cs="Arial"/>
          <w:sz w:val="24"/>
        </w:rPr>
        <w:t xml:space="preserve"> to be contacted of any concerns. Additionally their responsibilities widen as the DSL is also responsible of handling referrals, for example, in our professional </w:t>
      </w:r>
      <w:r w:rsidR="00A936ED" w:rsidRPr="0061606F">
        <w:rPr>
          <w:rFonts w:ascii="Arial" w:hAnsi="Arial" w:cs="Arial"/>
          <w:sz w:val="24"/>
        </w:rPr>
        <w:t xml:space="preserve">discussion, I as </w:t>
      </w:r>
      <w:r w:rsidRPr="0061606F">
        <w:rPr>
          <w:rFonts w:ascii="Arial" w:hAnsi="Arial" w:cs="Arial"/>
          <w:sz w:val="24"/>
        </w:rPr>
        <w:t xml:space="preserve">the practitioner put a referral through to Rachel.  </w:t>
      </w:r>
      <w:r w:rsidR="003C0E04" w:rsidRPr="0061606F">
        <w:rPr>
          <w:rFonts w:ascii="Arial" w:hAnsi="Arial" w:cs="Arial"/>
          <w:sz w:val="24"/>
        </w:rPr>
        <w:t xml:space="preserve">Other referrals that their responsible is refer cases of suspected abuse to Children’s Socials Care, and give support to the staff who have raised concerns about a child, also refer cases to the Disclosure and Barring Service, this is according to the NSPCC (2017). </w:t>
      </w:r>
      <w:r w:rsidR="00470B63" w:rsidRPr="0061606F">
        <w:rPr>
          <w:rFonts w:ascii="Arial" w:hAnsi="Arial" w:cs="Arial"/>
          <w:sz w:val="24"/>
        </w:rPr>
        <w:t xml:space="preserve">To work with children every individual would need a Disclosure Barring Service (DBS), this aids </w:t>
      </w:r>
      <w:r w:rsidR="00EA247D" w:rsidRPr="0061606F">
        <w:rPr>
          <w:rFonts w:ascii="Arial" w:hAnsi="Arial" w:cs="Arial"/>
          <w:sz w:val="24"/>
        </w:rPr>
        <w:t>employers</w:t>
      </w:r>
      <w:r w:rsidR="00470B63" w:rsidRPr="0061606F">
        <w:rPr>
          <w:rFonts w:ascii="Arial" w:hAnsi="Arial" w:cs="Arial"/>
          <w:sz w:val="24"/>
        </w:rPr>
        <w:t xml:space="preserve"> make secure decisions on who to recruit, this also prevents unsuitable individuals from working with children and </w:t>
      </w:r>
      <w:r w:rsidR="00EA247D" w:rsidRPr="0061606F">
        <w:rPr>
          <w:rFonts w:ascii="Arial" w:hAnsi="Arial" w:cs="Arial"/>
          <w:sz w:val="24"/>
        </w:rPr>
        <w:t>vulnerable</w:t>
      </w:r>
      <w:r w:rsidR="00470B63" w:rsidRPr="0061606F">
        <w:rPr>
          <w:rFonts w:ascii="Arial" w:hAnsi="Arial" w:cs="Arial"/>
          <w:sz w:val="24"/>
        </w:rPr>
        <w:t xml:space="preserve"> groups</w:t>
      </w:r>
      <w:r w:rsidR="002313C6" w:rsidRPr="0061606F">
        <w:rPr>
          <w:rFonts w:ascii="Arial" w:hAnsi="Arial" w:cs="Arial"/>
          <w:sz w:val="24"/>
        </w:rPr>
        <w:t>, as it checks on individuals past records</w:t>
      </w:r>
      <w:r w:rsidR="00470B63" w:rsidRPr="0061606F">
        <w:rPr>
          <w:rFonts w:ascii="Arial" w:hAnsi="Arial" w:cs="Arial"/>
          <w:sz w:val="24"/>
        </w:rPr>
        <w:t xml:space="preserve">. The DBS </w:t>
      </w:r>
      <w:r w:rsidR="00EA247D" w:rsidRPr="0061606F">
        <w:rPr>
          <w:rFonts w:ascii="Arial" w:hAnsi="Arial" w:cs="Arial"/>
          <w:sz w:val="24"/>
        </w:rPr>
        <w:t xml:space="preserve">has replaced Criminal Records Bureau (CRB) and the Independent Safeguarding Authority (ISA).  The minimum age for an individual to apply for a DBS is 16 years old. </w:t>
      </w:r>
      <w:r w:rsidR="00276B0C" w:rsidRPr="0061606F">
        <w:rPr>
          <w:rFonts w:ascii="Arial" w:hAnsi="Arial" w:cs="Arial"/>
          <w:sz w:val="24"/>
        </w:rPr>
        <w:t>Other responsibilities of the designated safeguarding lead, stated by the NSPCC (2017), is record keeping, which includes keeping knowledge and skills up to date, training of other staff, working together, and raising awareness.</w:t>
      </w:r>
      <w:r w:rsidR="008F2E8D" w:rsidRPr="0061606F">
        <w:rPr>
          <w:rFonts w:ascii="Arial" w:hAnsi="Arial" w:cs="Arial"/>
          <w:sz w:val="24"/>
        </w:rPr>
        <w:t xml:space="preserve"> </w:t>
      </w:r>
    </w:p>
    <w:p w:rsidR="00A936ED" w:rsidRPr="0061606F" w:rsidRDefault="00C752D0" w:rsidP="005C116A">
      <w:pPr>
        <w:spacing w:line="276" w:lineRule="auto"/>
        <w:rPr>
          <w:rFonts w:ascii="Arial" w:hAnsi="Arial" w:cs="Arial"/>
          <w:sz w:val="24"/>
        </w:rPr>
      </w:pPr>
      <w:r w:rsidRPr="0061606F">
        <w:rPr>
          <w:rFonts w:ascii="Arial" w:hAnsi="Arial" w:cs="Arial"/>
          <w:sz w:val="24"/>
        </w:rPr>
        <w:t xml:space="preserve">The final </w:t>
      </w:r>
      <w:r w:rsidR="008F2E8D" w:rsidRPr="0061606F">
        <w:rPr>
          <w:rFonts w:ascii="Arial" w:hAnsi="Arial" w:cs="Arial"/>
          <w:sz w:val="24"/>
        </w:rPr>
        <w:t xml:space="preserve">role involved in our discussion was the role of a social worker. As Rachel had </w:t>
      </w:r>
      <w:r w:rsidR="007E7B48" w:rsidRPr="0061606F">
        <w:rPr>
          <w:rFonts w:ascii="Arial" w:hAnsi="Arial" w:cs="Arial"/>
          <w:sz w:val="24"/>
        </w:rPr>
        <w:t>referred</w:t>
      </w:r>
      <w:r w:rsidR="00557C47" w:rsidRPr="0061606F">
        <w:rPr>
          <w:rFonts w:ascii="Arial" w:hAnsi="Arial" w:cs="Arial"/>
          <w:sz w:val="24"/>
        </w:rPr>
        <w:t xml:space="preserve"> our </w:t>
      </w:r>
      <w:r w:rsidR="008F2E8D" w:rsidRPr="0061606F">
        <w:rPr>
          <w:rFonts w:ascii="Arial" w:hAnsi="Arial" w:cs="Arial"/>
          <w:sz w:val="24"/>
        </w:rPr>
        <w:t>case to the social workers, Jodi was our designated social worker. Prior to our discussion I knew very little about the roles and responsibilities of social workers, I found that when a social worker is allocated to a case the designated social worker will look through previous and current records and information that may be held by other agencies regarding the child. This may be the reason that this can be a long-lasting process. However, this aids the social worker to have more knowledge about the family. Moreover, the social worker will hold interviews with relevant persons involved regarding the case. A child protection conference, similar to the one we demonstrated,</w:t>
      </w:r>
      <w:r w:rsidR="00C1771B" w:rsidRPr="0061606F">
        <w:rPr>
          <w:rFonts w:ascii="Arial" w:hAnsi="Arial" w:cs="Arial"/>
          <w:sz w:val="24"/>
        </w:rPr>
        <w:t xml:space="preserve"> will be held</w:t>
      </w:r>
      <w:r w:rsidR="008F2E8D" w:rsidRPr="0061606F">
        <w:rPr>
          <w:rFonts w:ascii="Arial" w:hAnsi="Arial" w:cs="Arial"/>
          <w:sz w:val="24"/>
        </w:rPr>
        <w:t xml:space="preserve"> and it is the social workers responsibly to report the investigation to all agencies </w:t>
      </w:r>
      <w:r w:rsidR="004365DF" w:rsidRPr="0061606F">
        <w:rPr>
          <w:rFonts w:ascii="Arial" w:hAnsi="Arial" w:cs="Arial"/>
          <w:sz w:val="24"/>
        </w:rPr>
        <w:t>that have or had concerns previous</w:t>
      </w:r>
      <w:r w:rsidR="008F2E8D" w:rsidRPr="0061606F">
        <w:rPr>
          <w:rFonts w:ascii="Arial" w:hAnsi="Arial" w:cs="Arial"/>
          <w:sz w:val="24"/>
        </w:rPr>
        <w:t xml:space="preserve">, during and after the conference. I established that in extreme circumstances a social worker is able </w:t>
      </w:r>
      <w:r w:rsidR="00F50289" w:rsidRPr="0061606F">
        <w:rPr>
          <w:rFonts w:ascii="Arial" w:hAnsi="Arial" w:cs="Arial"/>
          <w:sz w:val="24"/>
        </w:rPr>
        <w:t>to apply</w:t>
      </w:r>
      <w:r w:rsidR="008F2E8D" w:rsidRPr="0061606F">
        <w:rPr>
          <w:rFonts w:ascii="Arial" w:hAnsi="Arial" w:cs="Arial"/>
          <w:sz w:val="24"/>
        </w:rPr>
        <w:t xml:space="preserve"> for an Emergency Protection Order </w:t>
      </w:r>
      <w:r w:rsidR="007E7B48" w:rsidRPr="0061606F">
        <w:rPr>
          <w:rFonts w:ascii="Arial" w:hAnsi="Arial" w:cs="Arial"/>
          <w:sz w:val="24"/>
        </w:rPr>
        <w:t>from the court for the child to</w:t>
      </w:r>
      <w:r w:rsidR="008F2E8D" w:rsidRPr="0061606F">
        <w:rPr>
          <w:rFonts w:ascii="Arial" w:hAnsi="Arial" w:cs="Arial"/>
          <w:sz w:val="24"/>
        </w:rPr>
        <w:t xml:space="preserve"> be removed from the home and placed in foster care. Furthermore, </w:t>
      </w:r>
      <w:r w:rsidR="007E7B48" w:rsidRPr="0061606F">
        <w:rPr>
          <w:rFonts w:ascii="Arial" w:hAnsi="Arial" w:cs="Arial"/>
          <w:sz w:val="24"/>
        </w:rPr>
        <w:t>social workers will be continuously involved within the family for assessment</w:t>
      </w:r>
      <w:r w:rsidR="003B296D" w:rsidRPr="0061606F">
        <w:rPr>
          <w:rFonts w:ascii="Arial" w:hAnsi="Arial" w:cs="Arial"/>
          <w:sz w:val="24"/>
        </w:rPr>
        <w:t>s and reviews on the situation (Hobart and Frankel, 2005)</w:t>
      </w:r>
    </w:p>
    <w:p w:rsidR="00C752D0" w:rsidRPr="0061606F" w:rsidRDefault="00C752D0" w:rsidP="005C116A">
      <w:pPr>
        <w:spacing w:line="276" w:lineRule="auto"/>
        <w:rPr>
          <w:rFonts w:ascii="Arial" w:hAnsi="Arial" w:cs="Arial"/>
          <w:sz w:val="24"/>
        </w:rPr>
      </w:pPr>
      <w:r w:rsidRPr="0061606F">
        <w:rPr>
          <w:rFonts w:ascii="Arial" w:hAnsi="Arial" w:cs="Arial"/>
          <w:sz w:val="24"/>
        </w:rPr>
        <w:t>Acts</w:t>
      </w:r>
    </w:p>
    <w:p w:rsidR="003E5C96" w:rsidRPr="0061606F" w:rsidRDefault="00BA5709" w:rsidP="005C116A">
      <w:pPr>
        <w:spacing w:line="276" w:lineRule="auto"/>
        <w:rPr>
          <w:rFonts w:ascii="Arial" w:hAnsi="Arial" w:cs="Arial"/>
          <w:sz w:val="24"/>
        </w:rPr>
      </w:pPr>
      <w:r w:rsidRPr="0061606F">
        <w:rPr>
          <w:rFonts w:ascii="Arial" w:hAnsi="Arial" w:cs="Arial"/>
          <w:sz w:val="24"/>
        </w:rPr>
        <w:lastRenderedPageBreak/>
        <w:t>During this module I have learnt that t</w:t>
      </w:r>
      <w:r w:rsidR="003E5C96" w:rsidRPr="0061606F">
        <w:rPr>
          <w:rFonts w:ascii="Arial" w:hAnsi="Arial" w:cs="Arial"/>
          <w:sz w:val="24"/>
        </w:rPr>
        <w:t>here are many children acts in place</w:t>
      </w:r>
      <w:r w:rsidR="00D559C9" w:rsidRPr="0061606F">
        <w:rPr>
          <w:rFonts w:ascii="Arial" w:hAnsi="Arial" w:cs="Arial"/>
          <w:sz w:val="24"/>
        </w:rPr>
        <w:t xml:space="preserve"> to improve</w:t>
      </w:r>
      <w:r w:rsidRPr="0061606F">
        <w:rPr>
          <w:rFonts w:ascii="Arial" w:hAnsi="Arial" w:cs="Arial"/>
          <w:sz w:val="24"/>
        </w:rPr>
        <w:t xml:space="preserve"> children’s safety and welfare and how they had a substantial impact with safeguarding children. According to Hobart and Frankel (2009), to participate an effective part in protection of the children in your care, as a practitioner I would need to have a clear understanding of the rights of the children, legal frameworks and the national and local guidelines published for any professionals working with children.  In November 1959 the United Nations (UN) issued a document declaring the rights of the child. Later on in 1989 additional point were added which was then called The Children Act 1989, which had a significant impact on law relating children (Hobart and Frankel, 2009).</w:t>
      </w:r>
      <w:r w:rsidR="003E5C96" w:rsidRPr="0061606F">
        <w:rPr>
          <w:rFonts w:ascii="Arial" w:hAnsi="Arial" w:cs="Arial"/>
          <w:sz w:val="24"/>
        </w:rPr>
        <w:t xml:space="preserve"> The Children Act (1989), introduced the voice of the child, physically and vocally, partnership with parents</w:t>
      </w:r>
      <w:r w:rsidR="000C23BD" w:rsidRPr="0061606F">
        <w:rPr>
          <w:rFonts w:ascii="Arial" w:hAnsi="Arial" w:cs="Arial"/>
          <w:sz w:val="24"/>
        </w:rPr>
        <w:t xml:space="preserve"> as it was believed the child was best looked after within the family (Hobart and Frankel, 2009)</w:t>
      </w:r>
      <w:r w:rsidR="003E5C96" w:rsidRPr="0061606F">
        <w:rPr>
          <w:rFonts w:ascii="Arial" w:hAnsi="Arial" w:cs="Arial"/>
          <w:sz w:val="24"/>
        </w:rPr>
        <w:t>, local safeguarding board, keeping families together, and that the welfare of the child is paramount.</w:t>
      </w:r>
      <w:r w:rsidR="00803746" w:rsidRPr="0061606F">
        <w:rPr>
          <w:rFonts w:ascii="Arial" w:hAnsi="Arial" w:cs="Arial"/>
          <w:sz w:val="24"/>
        </w:rPr>
        <w:t xml:space="preserve"> I discovered that, the voice of the child can link with the United Nation Convention Rights of the Child (UNCRC) According to UNICEF (2011), as article 12 establishes the right of the children to be involved in discussions that affect them both as individuals and as a group. The right to be heard and taken seriously is one of the fundamental values of the Convention. </w:t>
      </w:r>
      <w:r w:rsidR="000C23BD" w:rsidRPr="0061606F">
        <w:rPr>
          <w:rFonts w:ascii="Arial" w:hAnsi="Arial" w:cs="Arial"/>
          <w:sz w:val="24"/>
        </w:rPr>
        <w:t>GOV</w:t>
      </w:r>
      <w:r w:rsidR="00803746" w:rsidRPr="0061606F">
        <w:rPr>
          <w:rFonts w:ascii="Arial" w:hAnsi="Arial" w:cs="Arial"/>
          <w:sz w:val="24"/>
        </w:rPr>
        <w:t xml:space="preserve"> (2015) also agrees with this stating children are involved in any type of family case and have the right to have their views hears when discussions are made that will affect them</w:t>
      </w:r>
      <w:r w:rsidR="000C23BD" w:rsidRPr="0061606F">
        <w:rPr>
          <w:rFonts w:ascii="Arial" w:hAnsi="Arial" w:cs="Arial"/>
          <w:sz w:val="24"/>
        </w:rPr>
        <w:t xml:space="preserve">. According to Hobart and Frankel (2009), the Human Rights 1998, came into place in the United Kingdom in 2000 and it reflects the European Convention on Human Rights. This act demonstrates the same rights on children as it does adults as they have the right to be involved on a decision about their future. </w:t>
      </w:r>
      <w:r w:rsidR="003E5C96" w:rsidRPr="0061606F">
        <w:rPr>
          <w:rFonts w:ascii="Arial" w:hAnsi="Arial" w:cs="Arial"/>
          <w:sz w:val="24"/>
        </w:rPr>
        <w:t xml:space="preserve"> Then </w:t>
      </w:r>
      <w:r w:rsidR="000B5D7E" w:rsidRPr="0061606F">
        <w:rPr>
          <w:rFonts w:ascii="Arial" w:hAnsi="Arial" w:cs="Arial"/>
          <w:sz w:val="24"/>
        </w:rPr>
        <w:t xml:space="preserve">came the Children Act 2004, </w:t>
      </w:r>
      <w:r w:rsidR="003E5C96" w:rsidRPr="0061606F">
        <w:rPr>
          <w:rFonts w:ascii="Arial" w:hAnsi="Arial" w:cs="Arial"/>
          <w:sz w:val="24"/>
        </w:rPr>
        <w:t>became after the case of Victoria Climbie,</w:t>
      </w:r>
      <w:r w:rsidR="00D559C9" w:rsidRPr="0061606F">
        <w:rPr>
          <w:rFonts w:ascii="Arial" w:hAnsi="Arial" w:cs="Arial"/>
          <w:sz w:val="24"/>
        </w:rPr>
        <w:t xml:space="preserve"> which led to The Victoria Climbie Inquiry written by Chairman Lord L</w:t>
      </w:r>
      <w:r w:rsidR="000B5D7E" w:rsidRPr="0061606F">
        <w:rPr>
          <w:rFonts w:ascii="Arial" w:hAnsi="Arial" w:cs="Arial"/>
          <w:sz w:val="24"/>
        </w:rPr>
        <w:t>aming</w:t>
      </w:r>
      <w:r w:rsidR="00D559C9" w:rsidRPr="0061606F">
        <w:rPr>
          <w:rFonts w:ascii="Arial" w:hAnsi="Arial" w:cs="Arial"/>
          <w:sz w:val="24"/>
        </w:rPr>
        <w:t xml:space="preserve"> (2003),</w:t>
      </w:r>
      <w:r w:rsidR="000B5D7E" w:rsidRPr="0061606F">
        <w:rPr>
          <w:rFonts w:ascii="Arial" w:hAnsi="Arial" w:cs="Arial"/>
          <w:sz w:val="24"/>
        </w:rPr>
        <w:t xml:space="preserve"> </w:t>
      </w:r>
      <w:r w:rsidR="00D559C9" w:rsidRPr="0061606F">
        <w:rPr>
          <w:rFonts w:ascii="Arial" w:hAnsi="Arial" w:cs="Arial"/>
          <w:sz w:val="24"/>
        </w:rPr>
        <w:t>also known as the Laming R</w:t>
      </w:r>
      <w:r w:rsidR="00803746" w:rsidRPr="0061606F">
        <w:rPr>
          <w:rFonts w:ascii="Arial" w:hAnsi="Arial" w:cs="Arial"/>
          <w:sz w:val="24"/>
        </w:rPr>
        <w:t>eport, this</w:t>
      </w:r>
      <w:r w:rsidR="000B5D7E" w:rsidRPr="0061606F">
        <w:rPr>
          <w:rFonts w:ascii="Arial" w:hAnsi="Arial" w:cs="Arial"/>
          <w:sz w:val="24"/>
        </w:rPr>
        <w:t xml:space="preserve"> </w:t>
      </w:r>
      <w:r w:rsidR="00D559C9" w:rsidRPr="0061606F">
        <w:rPr>
          <w:rFonts w:ascii="Arial" w:hAnsi="Arial" w:cs="Arial"/>
          <w:sz w:val="24"/>
        </w:rPr>
        <w:t xml:space="preserve">includes the story of Victoria Climbie, social services and more, </w:t>
      </w:r>
      <w:r w:rsidR="00537968" w:rsidRPr="0061606F">
        <w:rPr>
          <w:rFonts w:ascii="Arial" w:hAnsi="Arial" w:cs="Arial"/>
          <w:sz w:val="24"/>
        </w:rPr>
        <w:t xml:space="preserve">eventually </w:t>
      </w:r>
      <w:r w:rsidR="00D559C9" w:rsidRPr="0061606F">
        <w:rPr>
          <w:rFonts w:ascii="Arial" w:hAnsi="Arial" w:cs="Arial"/>
          <w:sz w:val="24"/>
        </w:rPr>
        <w:t xml:space="preserve">this </w:t>
      </w:r>
      <w:r w:rsidR="000B5D7E" w:rsidRPr="0061606F">
        <w:rPr>
          <w:rFonts w:ascii="Arial" w:hAnsi="Arial" w:cs="Arial"/>
          <w:sz w:val="24"/>
        </w:rPr>
        <w:t xml:space="preserve">then led to the </w:t>
      </w:r>
      <w:r w:rsidR="00ED4D82" w:rsidRPr="0061606F">
        <w:rPr>
          <w:rFonts w:ascii="Arial" w:hAnsi="Arial" w:cs="Arial"/>
          <w:sz w:val="24"/>
        </w:rPr>
        <w:t>Children A</w:t>
      </w:r>
      <w:r w:rsidR="000B5D7E" w:rsidRPr="0061606F">
        <w:rPr>
          <w:rFonts w:ascii="Arial" w:hAnsi="Arial" w:cs="Arial"/>
          <w:sz w:val="24"/>
        </w:rPr>
        <w:t xml:space="preserve">ct 2004. </w:t>
      </w:r>
      <w:r w:rsidR="008517ED" w:rsidRPr="0061606F">
        <w:rPr>
          <w:rFonts w:ascii="Arial" w:hAnsi="Arial" w:cs="Arial"/>
          <w:sz w:val="24"/>
        </w:rPr>
        <w:t>During my research I discovered t</w:t>
      </w:r>
      <w:r w:rsidR="000B5D7E" w:rsidRPr="0061606F">
        <w:rPr>
          <w:rFonts w:ascii="Arial" w:hAnsi="Arial" w:cs="Arial"/>
          <w:sz w:val="24"/>
        </w:rPr>
        <w:t xml:space="preserve">hese acts are in place to make the United Kingdom improved and safer for children, also to aid in co-ordination of multi-agencies to improve overall well-being of children. </w:t>
      </w:r>
    </w:p>
    <w:p w:rsidR="003E5C96" w:rsidRPr="0061606F" w:rsidRDefault="00C752D0" w:rsidP="005C116A">
      <w:pPr>
        <w:spacing w:line="276" w:lineRule="auto"/>
        <w:rPr>
          <w:rFonts w:ascii="Arial" w:hAnsi="Arial" w:cs="Arial"/>
          <w:sz w:val="24"/>
        </w:rPr>
      </w:pPr>
      <w:r w:rsidRPr="0061606F">
        <w:rPr>
          <w:rFonts w:ascii="Arial" w:hAnsi="Arial" w:cs="Arial"/>
          <w:sz w:val="24"/>
        </w:rPr>
        <w:t>Adverse Childhood Experiences (ACES)</w:t>
      </w:r>
    </w:p>
    <w:p w:rsidR="00146C10" w:rsidRPr="0061606F" w:rsidRDefault="004B10C2" w:rsidP="005C116A">
      <w:pPr>
        <w:spacing w:before="240" w:line="276" w:lineRule="auto"/>
        <w:rPr>
          <w:rFonts w:ascii="Arial" w:hAnsi="Arial" w:cs="Arial"/>
          <w:sz w:val="24"/>
        </w:rPr>
      </w:pPr>
      <w:r w:rsidRPr="0061606F">
        <w:rPr>
          <w:rFonts w:ascii="Arial" w:hAnsi="Arial" w:cs="Arial"/>
          <w:sz w:val="24"/>
        </w:rPr>
        <w:t xml:space="preserve">According to NHS Wales (2016), adverse childhood experiences, experiences that occur before the age of 18 and which can be remembered and affect an individual through to adulthood. During research I found that a lot of safeguarding is to prevent children from experiencing ACEs. ACE’s can affect a child holistically as according to the NHS Wales (2016), there has been evidence that determines children who experiences ACEs are more likely to develop anti-social behaviours, more likely to not perform well in school, more likely to fall into involvement with crime and finally not likely to be a useful member of society. </w:t>
      </w:r>
      <w:r w:rsidR="004D357F" w:rsidRPr="0061606F">
        <w:rPr>
          <w:rFonts w:ascii="Arial" w:hAnsi="Arial" w:cs="Arial"/>
          <w:sz w:val="24"/>
        </w:rPr>
        <w:t xml:space="preserve">A Welsh Adverse Childhood Experience study was carried out and the results shown that if a child was to suffer four or more harmful experiences in childhood it increases the chance of high-risk drinking in adulthood, smoking is six times and being involved in violence in the last year by </w:t>
      </w:r>
      <w:r w:rsidR="004D357F" w:rsidRPr="0061606F">
        <w:rPr>
          <w:rFonts w:ascii="Arial" w:hAnsi="Arial" w:cs="Arial"/>
          <w:sz w:val="24"/>
        </w:rPr>
        <w:lastRenderedPageBreak/>
        <w:t xml:space="preserve">fourteen times. When discovering these result I had not realised how </w:t>
      </w:r>
      <w:r w:rsidR="00146C10" w:rsidRPr="0061606F">
        <w:rPr>
          <w:rFonts w:ascii="Arial" w:hAnsi="Arial" w:cs="Arial"/>
          <w:sz w:val="24"/>
        </w:rPr>
        <w:t>severely</w:t>
      </w:r>
      <w:r w:rsidR="004D357F" w:rsidRPr="0061606F">
        <w:rPr>
          <w:rFonts w:ascii="Arial" w:hAnsi="Arial" w:cs="Arial"/>
          <w:sz w:val="24"/>
        </w:rPr>
        <w:t xml:space="preserve"> ACEs could affect children and their development. </w:t>
      </w:r>
      <w:r w:rsidR="00146C10" w:rsidRPr="0061606F">
        <w:rPr>
          <w:rFonts w:ascii="Arial" w:hAnsi="Arial" w:cs="Arial"/>
          <w:sz w:val="24"/>
        </w:rPr>
        <w:t>There appears to be an unfortunate pattern when a child experiences ACEs as this makes the child more likely to grow up</w:t>
      </w:r>
      <w:r w:rsidR="008B26F3" w:rsidRPr="0061606F">
        <w:rPr>
          <w:rFonts w:ascii="Arial" w:hAnsi="Arial" w:cs="Arial"/>
          <w:sz w:val="24"/>
        </w:rPr>
        <w:t xml:space="preserve"> heavy drinkers, smokers and involved in crime and violence. </w:t>
      </w:r>
      <w:r w:rsidR="00C22933" w:rsidRPr="0061606F">
        <w:rPr>
          <w:rFonts w:ascii="Arial" w:hAnsi="Arial" w:cs="Arial"/>
          <w:sz w:val="24"/>
        </w:rPr>
        <w:t xml:space="preserve">This </w:t>
      </w:r>
      <w:r w:rsidR="00A42796" w:rsidRPr="0061606F">
        <w:rPr>
          <w:rFonts w:ascii="Arial" w:hAnsi="Arial" w:cs="Arial"/>
          <w:sz w:val="24"/>
        </w:rPr>
        <w:t>could be linked to Bandura’s learnt behaviour</w:t>
      </w:r>
      <w:r w:rsidR="009B3C98">
        <w:rPr>
          <w:rFonts w:ascii="Arial" w:hAnsi="Arial" w:cs="Arial"/>
          <w:sz w:val="24"/>
        </w:rPr>
        <w:t xml:space="preserve"> theory (</w:t>
      </w:r>
      <w:proofErr w:type="spellStart"/>
      <w:r w:rsidR="009B3C98">
        <w:rPr>
          <w:rFonts w:ascii="Arial" w:hAnsi="Arial" w:cs="Arial"/>
          <w:sz w:val="24"/>
        </w:rPr>
        <w:t>Goslin</w:t>
      </w:r>
      <w:proofErr w:type="spellEnd"/>
      <w:r w:rsidR="009B3C98">
        <w:rPr>
          <w:rFonts w:ascii="Arial" w:hAnsi="Arial" w:cs="Arial"/>
          <w:sz w:val="24"/>
        </w:rPr>
        <w:t>, 1969).</w:t>
      </w:r>
    </w:p>
    <w:p w:rsidR="00A20138" w:rsidRPr="0061606F" w:rsidRDefault="008F2E8D" w:rsidP="005C116A">
      <w:pPr>
        <w:spacing w:line="276" w:lineRule="auto"/>
        <w:rPr>
          <w:rFonts w:ascii="Arial" w:hAnsi="Arial" w:cs="Arial"/>
          <w:sz w:val="24"/>
        </w:rPr>
      </w:pPr>
      <w:r w:rsidRPr="0061606F">
        <w:rPr>
          <w:rFonts w:ascii="Arial" w:hAnsi="Arial" w:cs="Arial"/>
          <w:sz w:val="24"/>
        </w:rPr>
        <w:t>Conclusion</w:t>
      </w:r>
    </w:p>
    <w:p w:rsidR="008F2E8D" w:rsidRPr="0061606F" w:rsidRDefault="00351EDB" w:rsidP="005C116A">
      <w:pPr>
        <w:spacing w:line="276" w:lineRule="auto"/>
        <w:rPr>
          <w:rFonts w:ascii="Arial" w:hAnsi="Arial" w:cs="Arial"/>
          <w:sz w:val="24"/>
        </w:rPr>
      </w:pPr>
      <w:r w:rsidRPr="0061606F">
        <w:rPr>
          <w:rFonts w:ascii="Arial" w:hAnsi="Arial" w:cs="Arial"/>
          <w:sz w:val="24"/>
        </w:rPr>
        <w:t xml:space="preserve">In conclusion I have learnt considerable amount of information regarding safeguarding which I believe has given me advanced confidence as a practitioner working with children. Additionally to </w:t>
      </w:r>
      <w:r w:rsidR="00BE1F8E" w:rsidRPr="0061606F">
        <w:rPr>
          <w:rFonts w:ascii="Arial" w:hAnsi="Arial" w:cs="Arial"/>
          <w:sz w:val="24"/>
        </w:rPr>
        <w:t xml:space="preserve">the </w:t>
      </w:r>
      <w:r w:rsidRPr="0061606F">
        <w:rPr>
          <w:rFonts w:ascii="Arial" w:hAnsi="Arial" w:cs="Arial"/>
          <w:sz w:val="24"/>
        </w:rPr>
        <w:t xml:space="preserve">learning of my role as a practitioner I have learnt </w:t>
      </w:r>
      <w:r w:rsidR="00BE1F8E" w:rsidRPr="0061606F">
        <w:rPr>
          <w:rFonts w:ascii="Arial" w:hAnsi="Arial" w:cs="Arial"/>
          <w:sz w:val="24"/>
        </w:rPr>
        <w:t>further</w:t>
      </w:r>
      <w:r w:rsidRPr="0061606F">
        <w:rPr>
          <w:rFonts w:ascii="Arial" w:hAnsi="Arial" w:cs="Arial"/>
          <w:sz w:val="24"/>
        </w:rPr>
        <w:t xml:space="preserve"> information about other roles within safeguarding children such as the health visitor, designated safeguarding lead, also social workers. </w:t>
      </w:r>
      <w:r w:rsidR="008F2E8D" w:rsidRPr="0061606F">
        <w:rPr>
          <w:rFonts w:ascii="Arial" w:hAnsi="Arial" w:cs="Arial"/>
          <w:sz w:val="24"/>
        </w:rPr>
        <w:t xml:space="preserve">Because of the responsibilities, duties and power that social services have they known to be the main point of contact for children who they have concerns about. Social service departments have specific legal duties in regards to children. Their general duties are to safeguard and promote the welfare of children in their designated area who are in need. They are also responsible for providing support and services to the child’s needs such as, counselling, time at child care settings, family support </w:t>
      </w:r>
      <w:r w:rsidRPr="0061606F">
        <w:rPr>
          <w:rFonts w:ascii="Arial" w:hAnsi="Arial" w:cs="Arial"/>
          <w:sz w:val="24"/>
        </w:rPr>
        <w:t xml:space="preserve">and practical help in the home (Hobart and Frankel, 2009). I had not realised the impact that procedures and Acts have on safeguarding, for example, procedures such as the Children Act 1989, and Children Act 2004, are there to provide main legislative contact for the AWCPP (2008), and place duty on designation individuals to promote the welfare of children and safeguard them. The procedures also reflect the principles and values of the UNCRC. Also the Welsh Assembly Government developed principles and values </w:t>
      </w:r>
      <w:r w:rsidR="00BE1F8E" w:rsidRPr="0061606F">
        <w:rPr>
          <w:rFonts w:ascii="Arial" w:hAnsi="Arial" w:cs="Arial"/>
          <w:sz w:val="24"/>
        </w:rPr>
        <w:t>for</w:t>
      </w:r>
      <w:r w:rsidRPr="0061606F">
        <w:rPr>
          <w:rFonts w:ascii="Arial" w:hAnsi="Arial" w:cs="Arial"/>
          <w:sz w:val="24"/>
        </w:rPr>
        <w:t xml:space="preserve"> children and young people, such as, Rights to Action 2004, with this they </w:t>
      </w:r>
      <w:r w:rsidR="002C2B6F" w:rsidRPr="0061606F">
        <w:rPr>
          <w:rFonts w:ascii="Arial" w:hAnsi="Arial" w:cs="Arial"/>
          <w:sz w:val="24"/>
        </w:rPr>
        <w:t>adopted</w:t>
      </w:r>
      <w:r w:rsidRPr="0061606F">
        <w:rPr>
          <w:rFonts w:ascii="Arial" w:hAnsi="Arial" w:cs="Arial"/>
          <w:sz w:val="24"/>
        </w:rPr>
        <w:t xml:space="preserve"> core aim</w:t>
      </w:r>
      <w:r w:rsidR="00BE1F8E" w:rsidRPr="0061606F">
        <w:rPr>
          <w:rFonts w:ascii="Arial" w:hAnsi="Arial" w:cs="Arial"/>
          <w:sz w:val="24"/>
        </w:rPr>
        <w:t>s and outcomes,</w:t>
      </w:r>
      <w:r w:rsidRPr="0061606F">
        <w:rPr>
          <w:rFonts w:ascii="Arial" w:hAnsi="Arial" w:cs="Arial"/>
          <w:sz w:val="24"/>
        </w:rPr>
        <w:t xml:space="preserve"> which it is </w:t>
      </w:r>
      <w:r w:rsidR="00BE1F8E" w:rsidRPr="0061606F">
        <w:rPr>
          <w:rFonts w:ascii="Arial" w:hAnsi="Arial" w:cs="Arial"/>
          <w:sz w:val="24"/>
        </w:rPr>
        <w:t>dedicated</w:t>
      </w:r>
      <w:r w:rsidRPr="0061606F">
        <w:rPr>
          <w:rFonts w:ascii="Arial" w:hAnsi="Arial" w:cs="Arial"/>
          <w:sz w:val="24"/>
        </w:rPr>
        <w:t xml:space="preserve"> to work with children and young people, key outcomes for improving </w:t>
      </w:r>
      <w:r w:rsidR="002C2B6F" w:rsidRPr="0061606F">
        <w:rPr>
          <w:rFonts w:ascii="Arial" w:hAnsi="Arial" w:cs="Arial"/>
          <w:sz w:val="24"/>
        </w:rPr>
        <w:t>wellbeing</w:t>
      </w:r>
      <w:r w:rsidRPr="0061606F">
        <w:rPr>
          <w:rFonts w:ascii="Arial" w:hAnsi="Arial" w:cs="Arial"/>
          <w:sz w:val="24"/>
        </w:rPr>
        <w:t xml:space="preserve"> of children from conception through to adulthood</w:t>
      </w:r>
      <w:r w:rsidR="00BE1F8E" w:rsidRPr="0061606F">
        <w:rPr>
          <w:rFonts w:ascii="Arial" w:hAnsi="Arial" w:cs="Arial"/>
          <w:sz w:val="24"/>
        </w:rPr>
        <w:t xml:space="preserve"> (AWCPP, 2008)</w:t>
      </w:r>
      <w:r w:rsidRPr="0061606F">
        <w:rPr>
          <w:rFonts w:ascii="Arial" w:hAnsi="Arial" w:cs="Arial"/>
          <w:sz w:val="24"/>
        </w:rPr>
        <w:t xml:space="preserve">. </w:t>
      </w:r>
      <w:r w:rsidR="00BE1F8E" w:rsidRPr="0061606F">
        <w:rPr>
          <w:rFonts w:ascii="Arial" w:hAnsi="Arial" w:cs="Arial"/>
          <w:sz w:val="24"/>
        </w:rPr>
        <w:t>I have learnt that it is good practice as a practitioner to explain to children their rights, this can be demonstrated by teacher children their rights, their body belongs to them, and their right to say no to anything inappropriate they do not like (Hobart and Frankel, 2009).</w:t>
      </w:r>
      <w:r w:rsidR="002D57B5" w:rsidRPr="0061606F">
        <w:rPr>
          <w:rFonts w:ascii="Arial" w:hAnsi="Arial" w:cs="Arial"/>
          <w:sz w:val="24"/>
        </w:rPr>
        <w:t xml:space="preserve"> Overall, I have found this module extremely supportive</w:t>
      </w:r>
      <w:r w:rsidR="00BE1F8E" w:rsidRPr="0061606F">
        <w:rPr>
          <w:rFonts w:ascii="Arial" w:hAnsi="Arial" w:cs="Arial"/>
          <w:sz w:val="24"/>
        </w:rPr>
        <w:t xml:space="preserve"> </w:t>
      </w:r>
      <w:r w:rsidR="002D57B5" w:rsidRPr="0061606F">
        <w:rPr>
          <w:rFonts w:ascii="Arial" w:hAnsi="Arial" w:cs="Arial"/>
          <w:sz w:val="24"/>
        </w:rPr>
        <w:t xml:space="preserve">with aiding in becoming a professional practitioner. </w:t>
      </w:r>
    </w:p>
    <w:bookmarkEnd w:id="0"/>
    <w:p w:rsidR="00C54205" w:rsidRPr="0061606F" w:rsidRDefault="00C54205" w:rsidP="0061606F">
      <w:pPr>
        <w:spacing w:line="276" w:lineRule="auto"/>
        <w:rPr>
          <w:rFonts w:ascii="Arial" w:hAnsi="Arial" w:cs="Arial"/>
          <w:sz w:val="24"/>
        </w:rPr>
      </w:pPr>
    </w:p>
    <w:p w:rsidR="00B57EEE" w:rsidRPr="0061606F" w:rsidRDefault="00B57EEE"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9B3C98" w:rsidRDefault="009B3C98" w:rsidP="00507ACB">
      <w:pPr>
        <w:spacing w:line="276" w:lineRule="auto"/>
        <w:rPr>
          <w:rFonts w:ascii="Arial" w:hAnsi="Arial" w:cs="Arial"/>
          <w:sz w:val="24"/>
        </w:rPr>
      </w:pPr>
    </w:p>
    <w:p w:rsidR="00F315A3" w:rsidRDefault="00F315A3" w:rsidP="00507ACB">
      <w:pPr>
        <w:spacing w:line="276" w:lineRule="auto"/>
        <w:rPr>
          <w:rFonts w:ascii="Arial" w:hAnsi="Arial" w:cs="Arial"/>
          <w:sz w:val="24"/>
        </w:rPr>
      </w:pPr>
      <w:r w:rsidRPr="0061606F">
        <w:rPr>
          <w:rFonts w:ascii="Arial" w:hAnsi="Arial" w:cs="Arial"/>
          <w:sz w:val="24"/>
        </w:rPr>
        <w:lastRenderedPageBreak/>
        <w:t xml:space="preserve">References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All Wales Child Protection Procedures (2008)</w:t>
      </w:r>
    </w:p>
    <w:p w:rsidR="00EB014D" w:rsidRPr="007312BC" w:rsidRDefault="00EB014D" w:rsidP="00507ACB">
      <w:pPr>
        <w:spacing w:line="276" w:lineRule="auto"/>
        <w:rPr>
          <w:rFonts w:ascii="Arial" w:hAnsi="Arial" w:cs="Arial"/>
          <w:sz w:val="24"/>
          <w:szCs w:val="24"/>
        </w:rPr>
      </w:pPr>
      <w:hyperlink r:id="rId7" w:history="1">
        <w:r w:rsidRPr="007312BC">
          <w:rPr>
            <w:rStyle w:val="Hyperlink"/>
            <w:rFonts w:ascii="Arial" w:hAnsi="Arial" w:cs="Arial"/>
            <w:sz w:val="24"/>
            <w:szCs w:val="24"/>
          </w:rPr>
          <w:t>www.awcppp.org</w:t>
        </w:r>
      </w:hyperlink>
    </w:p>
    <w:p w:rsidR="00EB014D" w:rsidRPr="007312BC" w:rsidRDefault="007312BC"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 </w:t>
      </w:r>
    </w:p>
    <w:p w:rsidR="003478F5" w:rsidRPr="007312BC" w:rsidRDefault="003478F5" w:rsidP="00507ACB">
      <w:pPr>
        <w:spacing w:line="276" w:lineRule="auto"/>
        <w:rPr>
          <w:rFonts w:ascii="Arial" w:hAnsi="Arial" w:cs="Arial"/>
          <w:sz w:val="24"/>
          <w:szCs w:val="24"/>
        </w:rPr>
      </w:pPr>
      <w:r w:rsidRPr="007312BC">
        <w:rPr>
          <w:rStyle w:val="normaltextrun"/>
          <w:rFonts w:ascii="Arial" w:hAnsi="Arial" w:cs="Arial"/>
          <w:sz w:val="24"/>
          <w:szCs w:val="24"/>
        </w:rPr>
        <w:t>Boyd, D. and Bee, H. (2010) </w:t>
      </w:r>
      <w:proofErr w:type="gramStart"/>
      <w:r w:rsidRPr="007312BC">
        <w:rPr>
          <w:rStyle w:val="normaltextrun"/>
          <w:rFonts w:ascii="Arial" w:hAnsi="Arial" w:cs="Arial"/>
          <w:i/>
          <w:iCs/>
          <w:sz w:val="24"/>
          <w:szCs w:val="24"/>
        </w:rPr>
        <w:t>The</w:t>
      </w:r>
      <w:proofErr w:type="gramEnd"/>
      <w:r w:rsidRPr="007312BC">
        <w:rPr>
          <w:rStyle w:val="normaltextrun"/>
          <w:rFonts w:ascii="Arial" w:hAnsi="Arial" w:cs="Arial"/>
          <w:i/>
          <w:iCs/>
          <w:sz w:val="24"/>
          <w:szCs w:val="24"/>
        </w:rPr>
        <w:t xml:space="preserve"> growing child</w:t>
      </w:r>
      <w:r w:rsidRPr="007312BC">
        <w:rPr>
          <w:rStyle w:val="normaltextrun"/>
          <w:rFonts w:ascii="Arial" w:hAnsi="Arial" w:cs="Arial"/>
          <w:sz w:val="24"/>
          <w:szCs w:val="24"/>
        </w:rPr>
        <w:t>. Boston: Pearson education Limited.</w:t>
      </w:r>
      <w:r w:rsidRPr="007312BC">
        <w:rPr>
          <w:rStyle w:val="eop"/>
          <w:rFonts w:ascii="Arial" w:hAnsi="Arial" w:cs="Arial"/>
          <w:sz w:val="24"/>
          <w:szCs w:val="24"/>
        </w:rPr>
        <w:t>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Children Act 1989</w:t>
      </w:r>
    </w:p>
    <w:p w:rsidR="00EB014D" w:rsidRPr="007312BC" w:rsidRDefault="00EB014D" w:rsidP="00507ACB">
      <w:pPr>
        <w:spacing w:line="276" w:lineRule="auto"/>
        <w:rPr>
          <w:rFonts w:ascii="Arial" w:hAnsi="Arial" w:cs="Arial"/>
          <w:sz w:val="24"/>
          <w:szCs w:val="24"/>
        </w:rPr>
      </w:pPr>
      <w:hyperlink r:id="rId8" w:history="1">
        <w:r w:rsidRPr="007312BC">
          <w:rPr>
            <w:rStyle w:val="Hyperlink"/>
            <w:rFonts w:ascii="Arial" w:hAnsi="Arial" w:cs="Arial"/>
            <w:sz w:val="24"/>
            <w:szCs w:val="24"/>
          </w:rPr>
          <w:t>http://www.legislation.gov.uk/ukpga/1989/41/contents</w:t>
        </w:r>
      </w:hyperlink>
    </w:p>
    <w:p w:rsidR="00EB014D" w:rsidRPr="007312BC" w:rsidRDefault="007312BC"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 xml:space="preserve">Children Act 2004 </w:t>
      </w:r>
    </w:p>
    <w:p w:rsidR="00EB014D" w:rsidRPr="007312BC" w:rsidRDefault="00EB014D" w:rsidP="00507ACB">
      <w:pPr>
        <w:spacing w:line="276" w:lineRule="auto"/>
        <w:rPr>
          <w:rFonts w:ascii="Arial" w:hAnsi="Arial" w:cs="Arial"/>
          <w:sz w:val="24"/>
          <w:szCs w:val="24"/>
        </w:rPr>
      </w:pPr>
      <w:hyperlink r:id="rId9" w:history="1">
        <w:r w:rsidRPr="007312BC">
          <w:rPr>
            <w:rStyle w:val="Hyperlink"/>
            <w:rFonts w:ascii="Arial" w:hAnsi="Arial" w:cs="Arial"/>
            <w:sz w:val="24"/>
            <w:szCs w:val="24"/>
          </w:rPr>
          <w:t>https://www.legislation.gov.uk/ukpga/2004/31/contents</w:t>
        </w:r>
      </w:hyperlink>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[Accessed on 18</w:t>
      </w:r>
      <w:r w:rsidRPr="007312BC">
        <w:rPr>
          <w:rFonts w:ascii="Arial" w:hAnsi="Arial" w:cs="Arial"/>
          <w:sz w:val="24"/>
          <w:szCs w:val="24"/>
          <w:vertAlign w:val="superscript"/>
        </w:rPr>
        <w:t>th</w:t>
      </w:r>
      <w:r w:rsidRPr="007312BC">
        <w:rPr>
          <w:rFonts w:ascii="Arial" w:hAnsi="Arial" w:cs="Arial"/>
          <w:sz w:val="24"/>
          <w:szCs w:val="24"/>
        </w:rPr>
        <w:t xml:space="preserve"> March, 2018] </w:t>
      </w:r>
    </w:p>
    <w:p w:rsidR="003478F5" w:rsidRPr="007312BC" w:rsidRDefault="003478F5" w:rsidP="00507ACB">
      <w:pPr>
        <w:pStyle w:val="paragraph"/>
        <w:spacing w:before="0" w:beforeAutospacing="0" w:after="0" w:afterAutospacing="0" w:line="276" w:lineRule="auto"/>
        <w:jc w:val="both"/>
        <w:textAlignment w:val="baseline"/>
        <w:rPr>
          <w:rStyle w:val="normaltextrun"/>
          <w:rFonts w:ascii="Arial" w:hAnsi="Arial" w:cs="Arial"/>
          <w:shd w:val="clear" w:color="auto" w:fill="FFFFFF"/>
        </w:rPr>
      </w:pPr>
      <w:r w:rsidRPr="007312BC">
        <w:rPr>
          <w:rStyle w:val="normaltextrun"/>
          <w:rFonts w:ascii="Arial" w:hAnsi="Arial" w:cs="Arial"/>
          <w:shd w:val="clear" w:color="auto" w:fill="FFFFFF"/>
        </w:rPr>
        <w:t>Children in Wales. (2018) ‘Safeguarding Children Boards’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0" w:tgtFrame="_blank" w:history="1">
        <w:r w:rsidRPr="007312BC">
          <w:rPr>
            <w:rStyle w:val="normaltextrun"/>
            <w:rFonts w:ascii="Arial" w:hAnsi="Arial" w:cs="Arial"/>
            <w:u w:val="single"/>
            <w:shd w:val="clear" w:color="auto" w:fill="FFFFFF"/>
          </w:rPr>
          <w:t>http://www.childreninwales.org.uk/in-your-area/safeguarding-children-boards/</w:t>
        </w:r>
      </w:hyperlink>
      <w:r w:rsidRPr="007312BC">
        <w:rPr>
          <w:rStyle w:val="normaltextrun"/>
          <w:rFonts w:ascii="Arial" w:hAnsi="Arial" w:cs="Arial"/>
          <w:shd w:val="clear" w:color="auto" w:fill="FFFFFF"/>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12 March 2018].</w:t>
      </w:r>
      <w:r w:rsidRPr="007312BC">
        <w:rPr>
          <w:rStyle w:val="normaltextrun"/>
          <w:rFonts w:ascii="Arial" w:hAnsi="Arial" w:cs="Arial"/>
          <w:i/>
          <w:iCs/>
          <w:shd w:val="clear" w:color="auto" w:fill="FFFFFF"/>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Citizens Advice. (2018) ‘Citizens advice’</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1" w:tgtFrame="_blank" w:history="1">
        <w:r w:rsidRPr="007312BC">
          <w:rPr>
            <w:rStyle w:val="normaltextrun"/>
            <w:rFonts w:ascii="Arial" w:hAnsi="Arial" w:cs="Arial"/>
            <w:color w:val="0563C1"/>
            <w:u w:val="single"/>
            <w:shd w:val="clear" w:color="auto" w:fill="FFFFFF"/>
          </w:rPr>
          <w:t>https://www.citizensadvice.org.uk/</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19</w:t>
      </w:r>
      <w:r w:rsidRPr="007312BC">
        <w:rPr>
          <w:rStyle w:val="normaltextrun"/>
          <w:rFonts w:ascii="Arial" w:hAnsi="Arial" w:cs="Arial"/>
          <w:shd w:val="clear" w:color="auto" w:fill="FFFFFF"/>
          <w:vertAlign w:val="superscript"/>
        </w:rPr>
        <w:t>th</w:t>
      </w:r>
      <w:r w:rsidRPr="007312BC">
        <w:rPr>
          <w:rStyle w:val="normaltextrun"/>
          <w:rFonts w:ascii="Arial" w:hAnsi="Arial" w:cs="Arial"/>
          <w:shd w:val="clear" w:color="auto" w:fill="FFFFFF"/>
        </w:rPr>
        <w:t> March 2018]. </w:t>
      </w:r>
      <w:r w:rsidRPr="007312BC">
        <w:rPr>
          <w:rStyle w:val="eop"/>
          <w:rFonts w:ascii="Arial" w:hAnsi="Arial" w:cs="Arial"/>
        </w:rPr>
        <w:t> </w:t>
      </w:r>
    </w:p>
    <w:p w:rsidR="003478F5" w:rsidRPr="007312BC" w:rsidRDefault="003478F5" w:rsidP="00507ACB">
      <w:pPr>
        <w:spacing w:line="276" w:lineRule="auto"/>
        <w:rPr>
          <w:rFonts w:ascii="Arial" w:hAnsi="Arial" w:cs="Arial"/>
          <w:sz w:val="24"/>
          <w:szCs w:val="24"/>
        </w:rPr>
      </w:pP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Department for Health. (2018) ‘Safer Communication guidelines’</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2" w:tgtFrame="_blank" w:history="1">
        <w:r w:rsidRPr="007312BC">
          <w:rPr>
            <w:rStyle w:val="normaltextrun"/>
            <w:rFonts w:ascii="Arial" w:hAnsi="Arial" w:cs="Arial"/>
            <w:color w:val="0563C1"/>
            <w:u w:val="single"/>
          </w:rPr>
          <w:t>https://www.gov.uk/government/uploads/system/uploads/attachment_data/file/208132/NHS_Safer_Leaflet_Final.pdf</w:t>
        </w:r>
      </w:hyperlink>
      <w:r w:rsidRPr="007312BC">
        <w:rPr>
          <w:rStyle w:val="normaltextrun"/>
          <w:rFonts w:ascii="Arial" w:hAnsi="Arial" w:cs="Arial"/>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12 March 2018].</w:t>
      </w:r>
      <w:r w:rsidRPr="007312BC">
        <w:rPr>
          <w:rStyle w:val="eop"/>
          <w:rFonts w:ascii="Arial" w:hAnsi="Arial" w:cs="Arial"/>
        </w:rPr>
        <w:t> </w:t>
      </w:r>
    </w:p>
    <w:p w:rsidR="00507ACB" w:rsidRDefault="00507ACB" w:rsidP="00507ACB">
      <w:pPr>
        <w:spacing w:line="276" w:lineRule="auto"/>
        <w:rPr>
          <w:rFonts w:ascii="Arial" w:hAnsi="Arial" w:cs="Arial"/>
          <w:sz w:val="24"/>
          <w:szCs w:val="24"/>
        </w:rPr>
      </w:pP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Disclosure and Barring Service, About Us (no date)</w:t>
      </w:r>
    </w:p>
    <w:p w:rsidR="00EB014D" w:rsidRPr="007312BC" w:rsidRDefault="00EB014D" w:rsidP="00507ACB">
      <w:pPr>
        <w:spacing w:line="276" w:lineRule="auto"/>
        <w:rPr>
          <w:rFonts w:ascii="Arial" w:hAnsi="Arial" w:cs="Arial"/>
          <w:sz w:val="24"/>
          <w:szCs w:val="24"/>
        </w:rPr>
      </w:pPr>
      <w:hyperlink r:id="rId13" w:history="1">
        <w:r w:rsidRPr="007312BC">
          <w:rPr>
            <w:rStyle w:val="Hyperlink"/>
            <w:rFonts w:ascii="Arial" w:hAnsi="Arial" w:cs="Arial"/>
            <w:sz w:val="24"/>
            <w:szCs w:val="24"/>
          </w:rPr>
          <w:t>https://www.gov.uk/government/organisations/disclosure-and-barring-service/about</w:t>
        </w:r>
      </w:hyperlink>
    </w:p>
    <w:p w:rsidR="00EB014D" w:rsidRDefault="007312BC" w:rsidP="00507ACB">
      <w:pPr>
        <w:spacing w:line="276" w:lineRule="auto"/>
        <w:rPr>
          <w:rFonts w:ascii="Arial" w:hAnsi="Arial" w:cs="Arial"/>
          <w:sz w:val="24"/>
          <w:szCs w:val="24"/>
        </w:rPr>
      </w:pPr>
      <w:r>
        <w:rPr>
          <w:rFonts w:ascii="Arial" w:hAnsi="Arial" w:cs="Arial"/>
          <w:sz w:val="24"/>
          <w:szCs w:val="24"/>
        </w:rPr>
        <w:t>[Accessed:</w:t>
      </w:r>
      <w:r w:rsidR="00507ACB">
        <w:rPr>
          <w:rFonts w:ascii="Arial" w:hAnsi="Arial" w:cs="Arial"/>
          <w:sz w:val="24"/>
          <w:szCs w:val="24"/>
        </w:rPr>
        <w:t xml:space="preserve"> </w:t>
      </w:r>
      <w:r w:rsidR="00EB014D" w:rsidRPr="007312BC">
        <w:rPr>
          <w:rFonts w:ascii="Arial" w:hAnsi="Arial" w:cs="Arial"/>
          <w:sz w:val="24"/>
          <w:szCs w:val="24"/>
        </w:rPr>
        <w:t>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w:t>
      </w:r>
    </w:p>
    <w:p w:rsidR="00015ECF" w:rsidRDefault="00015ECF" w:rsidP="00015ECF">
      <w:pPr>
        <w:spacing w:line="276" w:lineRule="auto"/>
        <w:rPr>
          <w:rFonts w:ascii="Arial" w:hAnsi="Arial" w:cs="Arial"/>
          <w:sz w:val="24"/>
        </w:rPr>
      </w:pPr>
      <w:proofErr w:type="spellStart"/>
      <w:r>
        <w:rPr>
          <w:rFonts w:ascii="Arial" w:hAnsi="Arial" w:cs="Arial"/>
          <w:sz w:val="24"/>
        </w:rPr>
        <w:t>Goslin</w:t>
      </w:r>
      <w:proofErr w:type="spellEnd"/>
      <w:r>
        <w:rPr>
          <w:rFonts w:ascii="Arial" w:hAnsi="Arial" w:cs="Arial"/>
          <w:sz w:val="24"/>
        </w:rPr>
        <w:t>, D, A. (1969) ‘Social Learning Theory of Identificatory Process’</w:t>
      </w:r>
    </w:p>
    <w:p w:rsidR="00015ECF" w:rsidRDefault="00015ECF" w:rsidP="00015ECF">
      <w:pPr>
        <w:spacing w:line="276" w:lineRule="auto"/>
        <w:rPr>
          <w:rFonts w:ascii="Arial" w:hAnsi="Arial" w:cs="Arial"/>
          <w:sz w:val="24"/>
        </w:rPr>
      </w:pPr>
      <w:hyperlink r:id="rId14" w:history="1">
        <w:r w:rsidRPr="00264CF7">
          <w:rPr>
            <w:rStyle w:val="Hyperlink"/>
            <w:rFonts w:ascii="Arial" w:hAnsi="Arial" w:cs="Arial"/>
            <w:sz w:val="24"/>
          </w:rPr>
          <w:t>http://www.uky.edu/~eushe2/Bandura/Bandura1969HSTR.pdf</w:t>
        </w:r>
      </w:hyperlink>
    </w:p>
    <w:p w:rsidR="00015ECF" w:rsidRPr="0061606F" w:rsidRDefault="00015ECF" w:rsidP="00015ECF">
      <w:pPr>
        <w:spacing w:line="276" w:lineRule="auto"/>
        <w:rPr>
          <w:rFonts w:ascii="Arial" w:hAnsi="Arial" w:cs="Arial"/>
          <w:sz w:val="24"/>
        </w:rPr>
      </w:pPr>
      <w:r>
        <w:rPr>
          <w:rFonts w:ascii="Arial" w:hAnsi="Arial" w:cs="Arial"/>
          <w:sz w:val="24"/>
        </w:rPr>
        <w:t>[Accessed: 19</w:t>
      </w:r>
      <w:r w:rsidRPr="00F21F84">
        <w:rPr>
          <w:rFonts w:ascii="Arial" w:hAnsi="Arial" w:cs="Arial"/>
          <w:sz w:val="24"/>
          <w:vertAlign w:val="superscript"/>
        </w:rPr>
        <w:t>th</w:t>
      </w:r>
      <w:r>
        <w:rPr>
          <w:rFonts w:ascii="Arial" w:hAnsi="Arial" w:cs="Arial"/>
          <w:sz w:val="24"/>
        </w:rPr>
        <w:t xml:space="preserve"> March 2018]</w:t>
      </w:r>
    </w:p>
    <w:p w:rsidR="00015ECF" w:rsidRPr="007312BC" w:rsidRDefault="00015ECF" w:rsidP="00507ACB">
      <w:pPr>
        <w:spacing w:line="276" w:lineRule="auto"/>
        <w:rPr>
          <w:rFonts w:ascii="Arial" w:hAnsi="Arial" w:cs="Arial"/>
          <w:sz w:val="24"/>
          <w:szCs w:val="24"/>
        </w:rPr>
      </w:pP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 xml:space="preserve">GOV, Data Protection Act 1998 </w:t>
      </w:r>
    </w:p>
    <w:p w:rsidR="00EB014D" w:rsidRPr="007312BC" w:rsidRDefault="00EB014D" w:rsidP="00507ACB">
      <w:pPr>
        <w:spacing w:line="276" w:lineRule="auto"/>
        <w:rPr>
          <w:rFonts w:ascii="Arial" w:hAnsi="Arial" w:cs="Arial"/>
          <w:sz w:val="24"/>
          <w:szCs w:val="24"/>
        </w:rPr>
      </w:pPr>
      <w:hyperlink r:id="rId15" w:history="1">
        <w:r w:rsidRPr="007312BC">
          <w:rPr>
            <w:rStyle w:val="Hyperlink"/>
            <w:rFonts w:ascii="Arial" w:hAnsi="Arial" w:cs="Arial"/>
            <w:sz w:val="24"/>
            <w:szCs w:val="24"/>
          </w:rPr>
          <w:t>https://www.gov.uk/data-protection</w:t>
        </w:r>
      </w:hyperlink>
    </w:p>
    <w:p w:rsidR="00EB014D" w:rsidRPr="007312BC" w:rsidRDefault="007312BC"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 </w:t>
      </w:r>
    </w:p>
    <w:p w:rsidR="00EB014D" w:rsidRPr="007312BC" w:rsidRDefault="00507ACB" w:rsidP="00507ACB">
      <w:pPr>
        <w:spacing w:line="276" w:lineRule="auto"/>
        <w:rPr>
          <w:rFonts w:ascii="Arial" w:hAnsi="Arial" w:cs="Arial"/>
          <w:sz w:val="24"/>
          <w:szCs w:val="24"/>
        </w:rPr>
      </w:pPr>
      <w:r>
        <w:rPr>
          <w:rFonts w:ascii="Arial" w:hAnsi="Arial" w:cs="Arial"/>
          <w:sz w:val="24"/>
          <w:szCs w:val="24"/>
        </w:rPr>
        <w:t>GOV</w:t>
      </w:r>
      <w:r w:rsidR="00EB014D" w:rsidRPr="007312BC">
        <w:rPr>
          <w:rFonts w:ascii="Arial" w:hAnsi="Arial" w:cs="Arial"/>
          <w:sz w:val="24"/>
          <w:szCs w:val="24"/>
        </w:rPr>
        <w:t>, ‘Voice of the child: children to be more clearly heard in decisions about their future’ (2015)</w:t>
      </w:r>
    </w:p>
    <w:p w:rsidR="00EB014D" w:rsidRPr="007312BC" w:rsidRDefault="00EB014D" w:rsidP="00507ACB">
      <w:pPr>
        <w:spacing w:line="276" w:lineRule="auto"/>
        <w:rPr>
          <w:rFonts w:ascii="Arial" w:hAnsi="Arial" w:cs="Arial"/>
          <w:sz w:val="24"/>
          <w:szCs w:val="24"/>
        </w:rPr>
      </w:pPr>
      <w:hyperlink r:id="rId16" w:history="1">
        <w:r w:rsidRPr="007312BC">
          <w:rPr>
            <w:rStyle w:val="Hyperlink"/>
            <w:rFonts w:ascii="Arial" w:hAnsi="Arial" w:cs="Arial"/>
            <w:sz w:val="24"/>
            <w:szCs w:val="24"/>
          </w:rPr>
          <w:t>https://www.gov.uk/government/news/voice-of-the-child-children-to-be-more-clearly-heard-in-decisions-about-their-future</w:t>
        </w:r>
      </w:hyperlink>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[Acce</w:t>
      </w:r>
      <w:r w:rsidR="007312BC">
        <w:rPr>
          <w:rFonts w:ascii="Arial" w:hAnsi="Arial" w:cs="Arial"/>
          <w:sz w:val="24"/>
          <w:szCs w:val="24"/>
        </w:rPr>
        <w:t>ssed:</w:t>
      </w:r>
      <w:r w:rsidRPr="007312BC">
        <w:rPr>
          <w:rFonts w:ascii="Arial" w:hAnsi="Arial" w:cs="Arial"/>
          <w:sz w:val="24"/>
          <w:szCs w:val="24"/>
        </w:rPr>
        <w:t xml:space="preserve"> 21</w:t>
      </w:r>
      <w:r w:rsidRPr="007312BC">
        <w:rPr>
          <w:rFonts w:ascii="Arial" w:hAnsi="Arial" w:cs="Arial"/>
          <w:sz w:val="24"/>
          <w:szCs w:val="24"/>
          <w:vertAlign w:val="superscript"/>
        </w:rPr>
        <w:t>st</w:t>
      </w:r>
      <w:r w:rsidRPr="007312BC">
        <w:rPr>
          <w:rFonts w:ascii="Arial" w:hAnsi="Arial" w:cs="Arial"/>
          <w:sz w:val="24"/>
          <w:szCs w:val="24"/>
        </w:rPr>
        <w:t xml:space="preserve"> March, 2018]</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(1989) ‘Children Act 1989’</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7" w:tgtFrame="_blank" w:history="1">
        <w:r w:rsidRPr="007312BC">
          <w:rPr>
            <w:rStyle w:val="normaltextrun"/>
            <w:rFonts w:ascii="Arial" w:hAnsi="Arial" w:cs="Arial"/>
            <w:color w:val="0563C1"/>
            <w:u w:val="single"/>
          </w:rPr>
          <w:t>https://www.legislation.gov.uk/ukpga/1989/41/contents</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9th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(2004) ‘Children Act 2004’</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8" w:tgtFrame="_blank" w:history="1">
        <w:r w:rsidRPr="007312BC">
          <w:rPr>
            <w:rStyle w:val="normaltextrun"/>
            <w:rFonts w:ascii="Arial" w:hAnsi="Arial" w:cs="Arial"/>
            <w:color w:val="0563C1"/>
            <w:u w:val="single"/>
          </w:rPr>
          <w:t>http://www.legislation.gov.uk/ukpga/2004/31/pdfs/ukpga_20040031_en.pdf</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(1998) ‘Data Protection Act 1998’</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9" w:tgtFrame="_blank" w:history="1">
        <w:r w:rsidRPr="007312BC">
          <w:rPr>
            <w:rStyle w:val="normaltextrun"/>
            <w:rFonts w:ascii="Arial" w:hAnsi="Arial" w:cs="Arial"/>
            <w:color w:val="0563C1"/>
            <w:u w:val="single"/>
          </w:rPr>
          <w:t>https://www.legislation.gov.uk/ukpga/1998/29/contents</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(2015) ‘Working together to safeguard children’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20" w:tgtFrame="_blank" w:history="1">
        <w:r w:rsidRPr="007312BC">
          <w:rPr>
            <w:rStyle w:val="normaltextrun"/>
            <w:rFonts w:ascii="Arial" w:hAnsi="Arial" w:cs="Arial"/>
            <w:color w:val="0563C1"/>
            <w:u w:val="single"/>
          </w:rPr>
          <w:t>https://www.gov.uk/government/uploads/system/uploads/attachment_data/file/592101/Working_Together_to_Safeguard_Children_20170213.pdf</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(2006) ‘Childcare Act 2006’</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21" w:tgtFrame="_blank" w:history="1">
        <w:r w:rsidRPr="007312BC">
          <w:rPr>
            <w:rStyle w:val="normaltextrun"/>
            <w:rFonts w:ascii="Arial" w:hAnsi="Arial" w:cs="Arial"/>
            <w:color w:val="0563C1"/>
            <w:u w:val="single"/>
          </w:rPr>
          <w:t>http://www.legislation.gov.uk/ukpga/2006/21/pdfs/ukpga_20060021_en.pdf</w:t>
        </w:r>
      </w:hyperlink>
      <w:r w:rsidRPr="007312BC">
        <w:rPr>
          <w:rStyle w:val="eop"/>
          <w:rFonts w:ascii="Arial" w:hAnsi="Arial" w:cs="Arial"/>
        </w:rPr>
        <w:t> </w:t>
      </w:r>
    </w:p>
    <w:p w:rsidR="003478F5" w:rsidRPr="007312BC" w:rsidRDefault="007312BC" w:rsidP="00507ACB">
      <w:pPr>
        <w:pStyle w:val="paragraph"/>
        <w:spacing w:before="0" w:beforeAutospacing="0" w:after="0" w:afterAutospacing="0" w:line="276" w:lineRule="auto"/>
        <w:jc w:val="both"/>
        <w:textAlignment w:val="baseline"/>
        <w:rPr>
          <w:rFonts w:ascii="Arial" w:hAnsi="Arial" w:cs="Arial"/>
        </w:rPr>
      </w:pPr>
      <w:r>
        <w:rPr>
          <w:rStyle w:val="normaltextrun"/>
          <w:rFonts w:ascii="Arial" w:hAnsi="Arial" w:cs="Arial"/>
        </w:rPr>
        <w:t xml:space="preserve">[Accessed: </w:t>
      </w:r>
      <w:r w:rsidR="003478F5" w:rsidRPr="007312BC">
        <w:rPr>
          <w:rStyle w:val="normaltextrun"/>
          <w:rFonts w:ascii="Arial" w:hAnsi="Arial" w:cs="Arial"/>
        </w:rPr>
        <w:t>13</w:t>
      </w:r>
      <w:r w:rsidR="003478F5" w:rsidRPr="007312BC">
        <w:rPr>
          <w:rStyle w:val="normaltextrun"/>
          <w:rFonts w:ascii="Arial" w:hAnsi="Arial" w:cs="Arial"/>
          <w:vertAlign w:val="superscript"/>
        </w:rPr>
        <w:t>th</w:t>
      </w:r>
      <w:r w:rsidR="003478F5" w:rsidRPr="007312BC">
        <w:rPr>
          <w:rStyle w:val="normaltextrun"/>
          <w:rFonts w:ascii="Arial" w:hAnsi="Arial" w:cs="Arial"/>
        </w:rPr>
        <w:t> March, 2018]</w:t>
      </w:r>
      <w:r w:rsidR="003478F5"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 xml:space="preserve">Hobart, C and Frankel, J (2009) </w:t>
      </w:r>
      <w:r w:rsidRPr="007312BC">
        <w:rPr>
          <w:rFonts w:ascii="Arial" w:hAnsi="Arial" w:cs="Arial"/>
          <w:i/>
          <w:sz w:val="24"/>
          <w:szCs w:val="24"/>
        </w:rPr>
        <w:t>Good Practice in Safe Guarding Children</w:t>
      </w:r>
      <w:r w:rsidRPr="007312BC">
        <w:rPr>
          <w:rFonts w:ascii="Arial" w:hAnsi="Arial" w:cs="Arial"/>
          <w:sz w:val="24"/>
          <w:szCs w:val="24"/>
        </w:rPr>
        <w:t xml:space="preserve"> (3</w:t>
      </w:r>
      <w:r w:rsidRPr="007312BC">
        <w:rPr>
          <w:rFonts w:ascii="Arial" w:hAnsi="Arial" w:cs="Arial"/>
          <w:sz w:val="24"/>
          <w:szCs w:val="24"/>
          <w:vertAlign w:val="superscript"/>
        </w:rPr>
        <w:t>rd</w:t>
      </w:r>
      <w:r w:rsidRPr="007312BC">
        <w:rPr>
          <w:rFonts w:ascii="Arial" w:hAnsi="Arial" w:cs="Arial"/>
          <w:sz w:val="24"/>
          <w:szCs w:val="24"/>
        </w:rPr>
        <w:t xml:space="preserve"> Ed). Nelson Thornes LTD: Cheltenham.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Home Start. (2018) ‘Home-Start in Wales’</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22" w:tgtFrame="_blank" w:history="1">
        <w:r w:rsidRPr="007312BC">
          <w:rPr>
            <w:rStyle w:val="normaltextrun"/>
            <w:rFonts w:ascii="Arial" w:hAnsi="Arial" w:cs="Arial"/>
            <w:color w:val="0563C1"/>
            <w:u w:val="single"/>
            <w:shd w:val="clear" w:color="auto" w:fill="FFFFFF"/>
          </w:rPr>
          <w:t>https://www.home-start.org.uk/Pages/Category/home-start-wales</w:t>
        </w:r>
      </w:hyperlink>
      <w:r w:rsidRPr="007312BC">
        <w:rPr>
          <w:rStyle w:val="normaltextrun"/>
          <w:rFonts w:ascii="Arial" w:hAnsi="Arial" w:cs="Arial"/>
          <w:shd w:val="clear" w:color="auto" w:fill="FFFFFF"/>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12 March 2018].</w:t>
      </w:r>
      <w:r w:rsidRPr="007312BC">
        <w:rPr>
          <w:rStyle w:val="eop"/>
          <w:rFonts w:ascii="Arial" w:hAnsi="Arial" w:cs="Arial"/>
        </w:rPr>
        <w:t> </w:t>
      </w:r>
    </w:p>
    <w:p w:rsidR="0061606F" w:rsidRDefault="0061606F" w:rsidP="00507ACB">
      <w:pPr>
        <w:pStyle w:val="paragraph"/>
        <w:spacing w:before="0" w:beforeAutospacing="0" w:after="0" w:afterAutospacing="0" w:line="276" w:lineRule="auto"/>
        <w:jc w:val="both"/>
        <w:textAlignment w:val="baseline"/>
        <w:rPr>
          <w:rFonts w:ascii="Arial" w:eastAsiaTheme="minorHAnsi" w:hAnsi="Arial" w:cs="Arial"/>
          <w:lang w:eastAsia="en-US"/>
        </w:rPr>
      </w:pP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color w:val="000000"/>
        </w:rPr>
        <w:t>Maslow, A. H. (2012) </w:t>
      </w:r>
      <w:r w:rsidRPr="007312BC">
        <w:rPr>
          <w:rStyle w:val="normaltextrun"/>
          <w:rFonts w:ascii="Arial" w:hAnsi="Arial" w:cs="Arial"/>
          <w:i/>
          <w:iCs/>
          <w:color w:val="000000"/>
        </w:rPr>
        <w:t>A theory of human motivation</w:t>
      </w:r>
      <w:r w:rsidRPr="007312BC">
        <w:rPr>
          <w:rStyle w:val="normaltextrun"/>
          <w:rFonts w:ascii="Arial" w:hAnsi="Arial" w:cs="Arial"/>
          <w:color w:val="000000"/>
        </w:rPr>
        <w:t>. United States: Start publishing.</w:t>
      </w:r>
      <w:r w:rsidRPr="007312BC">
        <w:rPr>
          <w:rStyle w:val="eop"/>
          <w:rFonts w:ascii="Arial" w:hAnsi="Arial" w:cs="Arial"/>
        </w:rPr>
        <w:t> </w:t>
      </w:r>
    </w:p>
    <w:p w:rsidR="0061606F" w:rsidRDefault="0061606F" w:rsidP="00507ACB">
      <w:pPr>
        <w:pStyle w:val="paragraph"/>
        <w:spacing w:before="0" w:beforeAutospacing="0" w:after="0" w:afterAutospacing="0" w:line="276" w:lineRule="auto"/>
        <w:jc w:val="both"/>
        <w:textAlignment w:val="baseline"/>
        <w:rPr>
          <w:rFonts w:ascii="Arial" w:eastAsiaTheme="minorHAnsi" w:hAnsi="Arial" w:cs="Arial"/>
          <w:lang w:eastAsia="en-US"/>
        </w:rPr>
      </w:pP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color w:val="000000"/>
        </w:rPr>
        <w:t>National </w:t>
      </w:r>
      <w:proofErr w:type="spellStart"/>
      <w:r w:rsidRPr="007312BC">
        <w:rPr>
          <w:rStyle w:val="spellingerror"/>
          <w:rFonts w:ascii="Arial" w:hAnsi="Arial" w:cs="Arial"/>
          <w:color w:val="000000"/>
        </w:rPr>
        <w:t>Debtline</w:t>
      </w:r>
      <w:proofErr w:type="spellEnd"/>
      <w:r w:rsidRPr="007312BC">
        <w:rPr>
          <w:rStyle w:val="normaltextrun"/>
          <w:rFonts w:ascii="Arial" w:hAnsi="Arial" w:cs="Arial"/>
          <w:color w:val="000000"/>
        </w:rPr>
        <w:t>. (2018) ‘National </w:t>
      </w:r>
      <w:proofErr w:type="spellStart"/>
      <w:r w:rsidRPr="007312BC">
        <w:rPr>
          <w:rStyle w:val="spellingerror"/>
          <w:rFonts w:ascii="Arial" w:hAnsi="Arial" w:cs="Arial"/>
          <w:color w:val="000000"/>
        </w:rPr>
        <w:t>Debtline</w:t>
      </w:r>
      <w:proofErr w:type="spellEnd"/>
      <w:r w:rsidRPr="007312BC">
        <w:rPr>
          <w:rStyle w:val="normaltextrun"/>
          <w:rFonts w:ascii="Arial" w:hAnsi="Arial" w:cs="Arial"/>
          <w:color w:val="000000"/>
        </w:rPr>
        <w:t>’</w:t>
      </w:r>
      <w:r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hyperlink r:id="rId23" w:tgtFrame="_blank" w:history="1">
        <w:r w:rsidRPr="007312BC">
          <w:rPr>
            <w:rStyle w:val="normaltextrun"/>
            <w:rFonts w:ascii="Arial" w:hAnsi="Arial" w:cs="Arial"/>
            <w:color w:val="0563C1"/>
            <w:u w:val="single"/>
          </w:rPr>
          <w:t>https://www.nationaldebtline.org</w:t>
        </w:r>
      </w:hyperlink>
      <w:r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19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507ACB" w:rsidRDefault="00507ACB" w:rsidP="00507ACB">
      <w:pPr>
        <w:spacing w:line="276" w:lineRule="auto"/>
        <w:rPr>
          <w:rFonts w:ascii="Arial" w:hAnsi="Arial" w:cs="Arial"/>
          <w:sz w:val="24"/>
          <w:szCs w:val="24"/>
        </w:rPr>
      </w:pP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lastRenderedPageBreak/>
        <w:t>National Health Service (NHS), Health Visitor (No Date)</w:t>
      </w:r>
    </w:p>
    <w:p w:rsidR="00EB014D" w:rsidRPr="007312BC" w:rsidRDefault="00EB014D" w:rsidP="00507ACB">
      <w:pPr>
        <w:spacing w:line="276" w:lineRule="auto"/>
        <w:rPr>
          <w:rFonts w:ascii="Arial" w:hAnsi="Arial" w:cs="Arial"/>
          <w:sz w:val="24"/>
          <w:szCs w:val="24"/>
        </w:rPr>
      </w:pPr>
      <w:hyperlink r:id="rId24" w:history="1">
        <w:r w:rsidRPr="007312BC">
          <w:rPr>
            <w:rStyle w:val="Hyperlink"/>
            <w:rFonts w:ascii="Arial" w:hAnsi="Arial" w:cs="Arial"/>
            <w:sz w:val="24"/>
            <w:szCs w:val="24"/>
          </w:rPr>
          <w:t>https://www.healthcareers.nhs.uk/explore-roles/public-health/roles-public-health/health-visitor</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 xml:space="preserve">[Accessed: </w:t>
      </w:r>
      <w:r w:rsidR="00EB014D" w:rsidRPr="007312BC">
        <w:rPr>
          <w:rFonts w:ascii="Arial" w:hAnsi="Arial" w:cs="Arial"/>
          <w:sz w:val="24"/>
          <w:szCs w:val="24"/>
        </w:rPr>
        <w:t>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NHS Wales, (2016) ‘Adverse Childhood Experiences (ACEs)’</w:t>
      </w:r>
    </w:p>
    <w:p w:rsidR="00EB014D" w:rsidRPr="007312BC" w:rsidRDefault="00EB014D" w:rsidP="00507ACB">
      <w:pPr>
        <w:spacing w:line="276" w:lineRule="auto"/>
        <w:rPr>
          <w:rFonts w:ascii="Arial" w:hAnsi="Arial" w:cs="Arial"/>
          <w:sz w:val="24"/>
          <w:szCs w:val="24"/>
        </w:rPr>
      </w:pPr>
      <w:hyperlink r:id="rId25" w:history="1">
        <w:r w:rsidRPr="007312BC">
          <w:rPr>
            <w:rStyle w:val="Hyperlink"/>
            <w:rFonts w:ascii="Arial" w:hAnsi="Arial" w:cs="Arial"/>
            <w:sz w:val="24"/>
            <w:szCs w:val="24"/>
          </w:rPr>
          <w:t>http://www.wales.nhs.uk/sitesplus/888/page/88524</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21</w:t>
      </w:r>
      <w:r w:rsidR="00EB014D" w:rsidRPr="007312BC">
        <w:rPr>
          <w:rFonts w:ascii="Arial" w:hAnsi="Arial" w:cs="Arial"/>
          <w:sz w:val="24"/>
          <w:szCs w:val="24"/>
          <w:vertAlign w:val="superscript"/>
        </w:rPr>
        <w:t>st</w:t>
      </w:r>
      <w:r w:rsidR="00EB014D" w:rsidRPr="007312BC">
        <w:rPr>
          <w:rFonts w:ascii="Arial" w:hAnsi="Arial" w:cs="Arial"/>
          <w:sz w:val="24"/>
          <w:szCs w:val="24"/>
        </w:rPr>
        <w:t xml:space="preserve"> March 2018]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NHS Wales, (2016) ‘ACE Report 1’</w:t>
      </w:r>
    </w:p>
    <w:p w:rsidR="00EB014D" w:rsidRPr="007312BC" w:rsidRDefault="00EB014D" w:rsidP="00507ACB">
      <w:pPr>
        <w:spacing w:line="276" w:lineRule="auto"/>
        <w:rPr>
          <w:rFonts w:ascii="Arial" w:hAnsi="Arial" w:cs="Arial"/>
          <w:sz w:val="24"/>
          <w:szCs w:val="24"/>
        </w:rPr>
      </w:pPr>
      <w:hyperlink r:id="rId26" w:history="1">
        <w:r w:rsidRPr="007312BC">
          <w:rPr>
            <w:rStyle w:val="Hyperlink"/>
            <w:rFonts w:ascii="Arial" w:hAnsi="Arial" w:cs="Arial"/>
            <w:sz w:val="24"/>
            <w:szCs w:val="24"/>
          </w:rPr>
          <w:t>http://www.wales.nhs.uk/sitesplus/888/page/88504</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 xml:space="preserve">[Accessed: </w:t>
      </w:r>
      <w:r w:rsidR="00EB014D" w:rsidRPr="007312BC">
        <w:rPr>
          <w:rFonts w:ascii="Arial" w:hAnsi="Arial" w:cs="Arial"/>
          <w:sz w:val="24"/>
          <w:szCs w:val="24"/>
        </w:rPr>
        <w:t>21</w:t>
      </w:r>
      <w:r w:rsidR="00EB014D" w:rsidRPr="007312BC">
        <w:rPr>
          <w:rFonts w:ascii="Arial" w:hAnsi="Arial" w:cs="Arial"/>
          <w:sz w:val="24"/>
          <w:szCs w:val="24"/>
          <w:vertAlign w:val="superscript"/>
        </w:rPr>
        <w:t>st</w:t>
      </w:r>
      <w:r w:rsidR="00EB014D" w:rsidRPr="007312BC">
        <w:rPr>
          <w:rFonts w:ascii="Arial" w:hAnsi="Arial" w:cs="Arial"/>
          <w:sz w:val="24"/>
          <w:szCs w:val="24"/>
        </w:rPr>
        <w:t xml:space="preserve"> march 2018]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NSPCC (2017) ‘Knowledge and Information Service’</w:t>
      </w:r>
    </w:p>
    <w:p w:rsidR="00EB014D" w:rsidRPr="007312BC" w:rsidRDefault="00EB014D" w:rsidP="00507ACB">
      <w:pPr>
        <w:spacing w:line="276" w:lineRule="auto"/>
        <w:rPr>
          <w:rFonts w:ascii="Arial" w:hAnsi="Arial" w:cs="Arial"/>
          <w:sz w:val="24"/>
          <w:szCs w:val="24"/>
        </w:rPr>
      </w:pPr>
      <w:hyperlink r:id="rId27" w:history="1">
        <w:r w:rsidRPr="007312BC">
          <w:rPr>
            <w:rStyle w:val="Hyperlink"/>
            <w:rFonts w:ascii="Arial" w:hAnsi="Arial" w:cs="Arial"/>
            <w:sz w:val="24"/>
            <w:szCs w:val="24"/>
          </w:rPr>
          <w:t>https://www.nspcc.org.uk/globalassets/documents/information-service/schools-factsheet-role-designated-safeguarding-lead-dsl.pdf</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21</w:t>
      </w:r>
      <w:r w:rsidR="00EB014D" w:rsidRPr="007312BC">
        <w:rPr>
          <w:rFonts w:ascii="Arial" w:hAnsi="Arial" w:cs="Arial"/>
          <w:sz w:val="24"/>
          <w:szCs w:val="24"/>
          <w:vertAlign w:val="superscript"/>
        </w:rPr>
        <w:t>st</w:t>
      </w:r>
      <w:r w:rsidR="00EB014D" w:rsidRPr="007312BC">
        <w:rPr>
          <w:rFonts w:ascii="Arial" w:hAnsi="Arial" w:cs="Arial"/>
          <w:sz w:val="24"/>
          <w:szCs w:val="24"/>
        </w:rPr>
        <w:t xml:space="preserve"> March, 2018]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r w:rsidRPr="007312BC">
        <w:rPr>
          <w:rStyle w:val="normaltextrun"/>
          <w:rFonts w:ascii="Arial" w:hAnsi="Arial" w:cs="Arial"/>
        </w:rPr>
        <w:t>NSPCC. (2018) ‘Child protection in Wales’</w:t>
      </w:r>
      <w:r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hyperlink r:id="rId28" w:tgtFrame="_blank" w:history="1">
        <w:r w:rsidRPr="007312BC">
          <w:rPr>
            <w:rStyle w:val="normaltextrun"/>
            <w:rFonts w:ascii="Arial" w:hAnsi="Arial" w:cs="Arial"/>
            <w:color w:val="0563C1"/>
            <w:u w:val="single"/>
          </w:rPr>
          <w:t>https://www.nspcc.org.uk/preventing-abuse/child-protection-system/wales/</w:t>
        </w:r>
      </w:hyperlink>
      <w:r w:rsidRPr="007312BC">
        <w:rPr>
          <w:rStyle w:val="eop"/>
          <w:rFonts w:ascii="Arial" w:hAnsi="Arial" w:cs="Arial"/>
        </w:rPr>
        <w:t> </w:t>
      </w:r>
    </w:p>
    <w:p w:rsidR="007312BC" w:rsidRPr="007312BC" w:rsidRDefault="0061606F" w:rsidP="00507ACB">
      <w:pPr>
        <w:pStyle w:val="paragraph"/>
        <w:spacing w:before="0" w:beforeAutospacing="0" w:after="0" w:afterAutospacing="0" w:line="276" w:lineRule="auto"/>
        <w:jc w:val="both"/>
        <w:textAlignment w:val="baseline"/>
        <w:rPr>
          <w:rFonts w:ascii="Arial" w:hAnsi="Arial" w:cs="Arial"/>
        </w:rPr>
      </w:pPr>
      <w:r>
        <w:rPr>
          <w:rStyle w:val="normaltextrun"/>
          <w:rFonts w:ascii="Arial" w:hAnsi="Arial" w:cs="Arial"/>
        </w:rPr>
        <w:t xml:space="preserve">[Accessed: </w:t>
      </w:r>
      <w:r w:rsidR="007312BC" w:rsidRPr="007312BC">
        <w:rPr>
          <w:rStyle w:val="normaltextrun"/>
          <w:rFonts w:ascii="Arial" w:hAnsi="Arial" w:cs="Arial"/>
        </w:rPr>
        <w:t>12</w:t>
      </w:r>
      <w:r w:rsidR="007312BC" w:rsidRPr="007312BC">
        <w:rPr>
          <w:rStyle w:val="normaltextrun"/>
          <w:rFonts w:ascii="Arial" w:hAnsi="Arial" w:cs="Arial"/>
          <w:vertAlign w:val="superscript"/>
        </w:rPr>
        <w:t>th</w:t>
      </w:r>
      <w:r w:rsidR="007312BC" w:rsidRPr="007312BC">
        <w:rPr>
          <w:rStyle w:val="normaltextrun"/>
          <w:rFonts w:ascii="Arial" w:hAnsi="Arial" w:cs="Arial"/>
        </w:rPr>
        <w:t> March 2018)</w:t>
      </w:r>
      <w:r w:rsidR="007312BC"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F315A3" w:rsidRPr="007312BC" w:rsidRDefault="00EB014D" w:rsidP="00507ACB">
      <w:pPr>
        <w:spacing w:line="276" w:lineRule="auto"/>
        <w:rPr>
          <w:rFonts w:ascii="Arial" w:hAnsi="Arial" w:cs="Arial"/>
          <w:sz w:val="24"/>
          <w:szCs w:val="24"/>
        </w:rPr>
      </w:pPr>
      <w:r w:rsidRPr="007312BC">
        <w:rPr>
          <w:rFonts w:ascii="Arial" w:hAnsi="Arial" w:cs="Arial"/>
          <w:sz w:val="24"/>
          <w:szCs w:val="24"/>
        </w:rPr>
        <w:t>GOV</w:t>
      </w:r>
      <w:r w:rsidR="003478F5" w:rsidRPr="007312BC">
        <w:rPr>
          <w:rFonts w:ascii="Arial" w:hAnsi="Arial" w:cs="Arial"/>
          <w:sz w:val="24"/>
          <w:szCs w:val="24"/>
        </w:rPr>
        <w:t>,</w:t>
      </w:r>
      <w:r w:rsidRPr="007312BC">
        <w:rPr>
          <w:rFonts w:ascii="Arial" w:hAnsi="Arial" w:cs="Arial"/>
          <w:sz w:val="24"/>
          <w:szCs w:val="24"/>
        </w:rPr>
        <w:t xml:space="preserve"> (2014) ‘</w:t>
      </w:r>
      <w:r w:rsidR="00F315A3" w:rsidRPr="007312BC">
        <w:rPr>
          <w:rFonts w:ascii="Arial" w:hAnsi="Arial" w:cs="Arial"/>
          <w:sz w:val="24"/>
          <w:szCs w:val="24"/>
        </w:rPr>
        <w:t>Safeguarding children and young people</w:t>
      </w:r>
      <w:r w:rsidRPr="007312BC">
        <w:rPr>
          <w:rFonts w:ascii="Arial" w:hAnsi="Arial" w:cs="Arial"/>
          <w:sz w:val="24"/>
          <w:szCs w:val="24"/>
        </w:rPr>
        <w:t>’</w:t>
      </w:r>
    </w:p>
    <w:p w:rsidR="00F315A3" w:rsidRPr="007312BC" w:rsidRDefault="00F315A3" w:rsidP="00507ACB">
      <w:pPr>
        <w:spacing w:line="276" w:lineRule="auto"/>
        <w:rPr>
          <w:rFonts w:ascii="Arial" w:hAnsi="Arial" w:cs="Arial"/>
          <w:sz w:val="24"/>
          <w:szCs w:val="24"/>
        </w:rPr>
      </w:pPr>
      <w:hyperlink r:id="rId29" w:history="1">
        <w:r w:rsidRPr="007312BC">
          <w:rPr>
            <w:rStyle w:val="Hyperlink"/>
            <w:rFonts w:ascii="Arial" w:hAnsi="Arial" w:cs="Arial"/>
            <w:sz w:val="24"/>
            <w:szCs w:val="24"/>
          </w:rPr>
          <w:t>https://www.gov.uk/government/publications/safeguarding-children-and-young-people/safeguarding-children-and-young-people</w:t>
        </w:r>
      </w:hyperlink>
    </w:p>
    <w:p w:rsidR="00F315A3" w:rsidRPr="007312BC" w:rsidRDefault="0061606F" w:rsidP="00507ACB">
      <w:pPr>
        <w:spacing w:line="276" w:lineRule="auto"/>
        <w:rPr>
          <w:rFonts w:ascii="Arial" w:hAnsi="Arial" w:cs="Arial"/>
          <w:sz w:val="24"/>
          <w:szCs w:val="24"/>
        </w:rPr>
      </w:pPr>
      <w:r>
        <w:rPr>
          <w:rFonts w:ascii="Arial" w:hAnsi="Arial" w:cs="Arial"/>
          <w:sz w:val="24"/>
          <w:szCs w:val="24"/>
        </w:rPr>
        <w:t>[Accessed:</w:t>
      </w:r>
      <w:r w:rsidR="00F315A3" w:rsidRPr="007312BC">
        <w:rPr>
          <w:rFonts w:ascii="Arial" w:hAnsi="Arial" w:cs="Arial"/>
          <w:sz w:val="24"/>
          <w:szCs w:val="24"/>
        </w:rPr>
        <w:t xml:space="preserve"> 18</w:t>
      </w:r>
      <w:r w:rsidR="00F315A3" w:rsidRPr="007312BC">
        <w:rPr>
          <w:rFonts w:ascii="Arial" w:hAnsi="Arial" w:cs="Arial"/>
          <w:sz w:val="24"/>
          <w:szCs w:val="24"/>
          <w:vertAlign w:val="superscript"/>
        </w:rPr>
        <w:t>th</w:t>
      </w:r>
      <w:r w:rsidR="00F315A3" w:rsidRPr="007312BC">
        <w:rPr>
          <w:rFonts w:ascii="Arial" w:hAnsi="Arial" w:cs="Arial"/>
          <w:sz w:val="24"/>
          <w:szCs w:val="24"/>
        </w:rPr>
        <w:t xml:space="preserve"> March, 2018]</w:t>
      </w:r>
    </w:p>
    <w:p w:rsidR="00D559C9" w:rsidRPr="007312BC" w:rsidRDefault="00EB014D" w:rsidP="00507ACB">
      <w:pPr>
        <w:spacing w:line="276" w:lineRule="auto"/>
        <w:rPr>
          <w:rFonts w:ascii="Arial" w:hAnsi="Arial" w:cs="Arial"/>
          <w:sz w:val="24"/>
          <w:szCs w:val="24"/>
        </w:rPr>
      </w:pPr>
      <w:r w:rsidRPr="007312BC">
        <w:rPr>
          <w:rFonts w:ascii="Arial" w:hAnsi="Arial" w:cs="Arial"/>
          <w:sz w:val="24"/>
          <w:szCs w:val="24"/>
        </w:rPr>
        <w:t>GOV</w:t>
      </w:r>
      <w:r w:rsidR="003478F5" w:rsidRPr="007312BC">
        <w:rPr>
          <w:rFonts w:ascii="Arial" w:hAnsi="Arial" w:cs="Arial"/>
          <w:sz w:val="24"/>
          <w:szCs w:val="24"/>
        </w:rPr>
        <w:t>,</w:t>
      </w:r>
      <w:r w:rsidRPr="007312BC">
        <w:rPr>
          <w:rFonts w:ascii="Arial" w:hAnsi="Arial" w:cs="Arial"/>
          <w:sz w:val="24"/>
          <w:szCs w:val="24"/>
        </w:rPr>
        <w:t xml:space="preserve"> </w:t>
      </w:r>
      <w:proofErr w:type="gramStart"/>
      <w:r w:rsidR="00D559C9" w:rsidRPr="007312BC">
        <w:rPr>
          <w:rFonts w:ascii="Arial" w:hAnsi="Arial" w:cs="Arial"/>
          <w:sz w:val="24"/>
          <w:szCs w:val="24"/>
        </w:rPr>
        <w:t>The</w:t>
      </w:r>
      <w:proofErr w:type="gramEnd"/>
      <w:r w:rsidR="00D559C9" w:rsidRPr="007312BC">
        <w:rPr>
          <w:rFonts w:ascii="Arial" w:hAnsi="Arial" w:cs="Arial"/>
          <w:sz w:val="24"/>
          <w:szCs w:val="24"/>
        </w:rPr>
        <w:t xml:space="preserve"> Victoria Clim</w:t>
      </w:r>
      <w:r w:rsidRPr="007312BC">
        <w:rPr>
          <w:rFonts w:ascii="Arial" w:hAnsi="Arial" w:cs="Arial"/>
          <w:sz w:val="24"/>
          <w:szCs w:val="24"/>
        </w:rPr>
        <w:t>bie Inquiry, Laming Report, 2003</w:t>
      </w:r>
    </w:p>
    <w:p w:rsidR="00D559C9" w:rsidRPr="007312BC" w:rsidRDefault="00D559C9" w:rsidP="00507ACB">
      <w:pPr>
        <w:spacing w:line="276" w:lineRule="auto"/>
        <w:rPr>
          <w:rFonts w:ascii="Arial" w:hAnsi="Arial" w:cs="Arial"/>
          <w:sz w:val="24"/>
          <w:szCs w:val="24"/>
        </w:rPr>
      </w:pPr>
      <w:hyperlink r:id="rId30" w:history="1">
        <w:r w:rsidRPr="007312BC">
          <w:rPr>
            <w:rStyle w:val="Hyperlink"/>
            <w:rFonts w:ascii="Arial" w:hAnsi="Arial" w:cs="Arial"/>
            <w:sz w:val="24"/>
            <w:szCs w:val="24"/>
          </w:rPr>
          <w:t>https://www.gov.uk/government/uploads/system/uploads/attachment_data/file/273183/5730.pdf</w:t>
        </w:r>
      </w:hyperlink>
    </w:p>
    <w:p w:rsidR="00D559C9" w:rsidRPr="007312BC" w:rsidRDefault="0061606F" w:rsidP="00507ACB">
      <w:pPr>
        <w:spacing w:line="276" w:lineRule="auto"/>
        <w:rPr>
          <w:rFonts w:ascii="Arial" w:hAnsi="Arial" w:cs="Arial"/>
          <w:sz w:val="24"/>
          <w:szCs w:val="24"/>
        </w:rPr>
      </w:pPr>
      <w:r>
        <w:rPr>
          <w:rFonts w:ascii="Arial" w:hAnsi="Arial" w:cs="Arial"/>
          <w:sz w:val="24"/>
          <w:szCs w:val="24"/>
        </w:rPr>
        <w:t>[Accessed:</w:t>
      </w:r>
      <w:r w:rsidR="00D559C9" w:rsidRPr="007312BC">
        <w:rPr>
          <w:rFonts w:ascii="Arial" w:hAnsi="Arial" w:cs="Arial"/>
          <w:sz w:val="24"/>
          <w:szCs w:val="24"/>
        </w:rPr>
        <w:t xml:space="preserve"> 18</w:t>
      </w:r>
      <w:r w:rsidR="00D559C9" w:rsidRPr="007312BC">
        <w:rPr>
          <w:rFonts w:ascii="Arial" w:hAnsi="Arial" w:cs="Arial"/>
          <w:sz w:val="24"/>
          <w:szCs w:val="24"/>
          <w:vertAlign w:val="superscript"/>
        </w:rPr>
        <w:t>th</w:t>
      </w:r>
      <w:r w:rsidR="00D559C9" w:rsidRPr="007312BC">
        <w:rPr>
          <w:rFonts w:ascii="Arial" w:hAnsi="Arial" w:cs="Arial"/>
          <w:sz w:val="24"/>
          <w:szCs w:val="24"/>
        </w:rPr>
        <w:t xml:space="preserve"> March 2018] </w:t>
      </w:r>
    </w:p>
    <w:p w:rsidR="00424A8D" w:rsidRPr="007312BC" w:rsidRDefault="00424A8D" w:rsidP="00507ACB">
      <w:pPr>
        <w:spacing w:line="276" w:lineRule="auto"/>
        <w:rPr>
          <w:rFonts w:ascii="Arial" w:hAnsi="Arial" w:cs="Arial"/>
          <w:sz w:val="24"/>
          <w:szCs w:val="24"/>
        </w:rPr>
      </w:pPr>
      <w:r w:rsidRPr="007312BC">
        <w:rPr>
          <w:rFonts w:ascii="Arial" w:hAnsi="Arial" w:cs="Arial"/>
          <w:sz w:val="24"/>
          <w:szCs w:val="24"/>
        </w:rPr>
        <w:t xml:space="preserve">UNICEF and </w:t>
      </w:r>
      <w:r w:rsidR="00C54205" w:rsidRPr="007312BC">
        <w:rPr>
          <w:rFonts w:ascii="Arial" w:hAnsi="Arial" w:cs="Arial"/>
          <w:sz w:val="24"/>
          <w:szCs w:val="24"/>
        </w:rPr>
        <w:t>save</w:t>
      </w:r>
      <w:r w:rsidRPr="007312BC">
        <w:rPr>
          <w:rFonts w:ascii="Arial" w:hAnsi="Arial" w:cs="Arial"/>
          <w:sz w:val="24"/>
          <w:szCs w:val="24"/>
        </w:rPr>
        <w:t xml:space="preserve"> the children (2011) ‘every child’s right to be heard: a resource guide on the UN Committee on the rights of the child general comment NO.12’ </w:t>
      </w:r>
    </w:p>
    <w:p w:rsidR="00424A8D" w:rsidRPr="007312BC" w:rsidRDefault="00424A8D" w:rsidP="00507ACB">
      <w:pPr>
        <w:spacing w:line="276" w:lineRule="auto"/>
        <w:rPr>
          <w:rFonts w:ascii="Arial" w:hAnsi="Arial" w:cs="Arial"/>
          <w:sz w:val="24"/>
          <w:szCs w:val="24"/>
        </w:rPr>
      </w:pPr>
      <w:hyperlink r:id="rId31" w:history="1">
        <w:r w:rsidRPr="007312BC">
          <w:rPr>
            <w:rStyle w:val="Hyperlink"/>
            <w:rFonts w:ascii="Arial" w:hAnsi="Arial" w:cs="Arial"/>
            <w:sz w:val="24"/>
            <w:szCs w:val="24"/>
          </w:rPr>
          <w:t>https://www.unicef.org/french/adolescence/files/Every_Childs_Right_to_be_Heard.pdf</w:t>
        </w:r>
      </w:hyperlink>
    </w:p>
    <w:p w:rsidR="00424A8D" w:rsidRPr="007312BC" w:rsidRDefault="0061606F" w:rsidP="00507ACB">
      <w:pPr>
        <w:spacing w:line="276" w:lineRule="auto"/>
        <w:rPr>
          <w:rFonts w:ascii="Arial" w:hAnsi="Arial" w:cs="Arial"/>
          <w:sz w:val="24"/>
          <w:szCs w:val="24"/>
        </w:rPr>
      </w:pPr>
      <w:r>
        <w:rPr>
          <w:rFonts w:ascii="Arial" w:hAnsi="Arial" w:cs="Arial"/>
          <w:sz w:val="24"/>
          <w:szCs w:val="24"/>
        </w:rPr>
        <w:t>[Accessed:</w:t>
      </w:r>
      <w:r w:rsidR="00424A8D" w:rsidRPr="007312BC">
        <w:rPr>
          <w:rFonts w:ascii="Arial" w:hAnsi="Arial" w:cs="Arial"/>
          <w:sz w:val="24"/>
          <w:szCs w:val="24"/>
        </w:rPr>
        <w:t xml:space="preserve"> 21</w:t>
      </w:r>
      <w:r w:rsidR="00424A8D" w:rsidRPr="007312BC">
        <w:rPr>
          <w:rFonts w:ascii="Arial" w:hAnsi="Arial" w:cs="Arial"/>
          <w:sz w:val="24"/>
          <w:szCs w:val="24"/>
          <w:vertAlign w:val="superscript"/>
        </w:rPr>
        <w:t>st</w:t>
      </w:r>
      <w:r w:rsidR="00424A8D" w:rsidRPr="007312BC">
        <w:rPr>
          <w:rFonts w:ascii="Arial" w:hAnsi="Arial" w:cs="Arial"/>
          <w:sz w:val="24"/>
          <w:szCs w:val="24"/>
        </w:rPr>
        <w:t xml:space="preserve"> March 2018]</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UNICEF. (1991) ‘United nations convention on the rights of the child’</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2" w:tgtFrame="_blank" w:history="1">
        <w:r w:rsidRPr="007312BC">
          <w:rPr>
            <w:rStyle w:val="normaltextrun"/>
            <w:rFonts w:ascii="Arial" w:hAnsi="Arial" w:cs="Arial"/>
            <w:color w:val="0563C1"/>
            <w:u w:val="single"/>
          </w:rPr>
          <w:t>https://downloads.unicef.org.uk/wp-content/uploads/2010/05/UNCRC_summary.pdf</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lastRenderedPageBreak/>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Welsh Assembly Government. (2008) ‘All Wales child protection procedures’</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3" w:tgtFrame="_blank" w:history="1">
        <w:r w:rsidRPr="007312BC">
          <w:rPr>
            <w:rStyle w:val="normaltextrun"/>
            <w:rFonts w:ascii="Arial" w:hAnsi="Arial" w:cs="Arial"/>
            <w:color w:val="0563C1"/>
            <w:u w:val="single"/>
          </w:rPr>
          <w:t>http://www.childreninwales.org.uk/policy-document/wales-child-protection-procedures-2008/</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Welsh Assembly Government. (2014) ‘Social services and Well-being (wales) Act 2014’</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4" w:tgtFrame="_blank" w:history="1">
        <w:r w:rsidRPr="007312BC">
          <w:rPr>
            <w:rStyle w:val="normaltextrun"/>
            <w:rFonts w:ascii="Arial" w:hAnsi="Arial" w:cs="Arial"/>
            <w:color w:val="0563C1"/>
            <w:u w:val="single"/>
            <w:shd w:val="clear" w:color="auto" w:fill="FFFFFF"/>
          </w:rPr>
          <w:t>http://www.legislation.gov.uk/anaw/2014/4/pdfs/anaw_20140004_en.pdf</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18</w:t>
      </w:r>
      <w:r w:rsidRPr="007312BC">
        <w:rPr>
          <w:rStyle w:val="normaltextrun"/>
          <w:rFonts w:ascii="Arial" w:hAnsi="Arial" w:cs="Arial"/>
          <w:shd w:val="clear" w:color="auto" w:fill="FFFFFF"/>
          <w:vertAlign w:val="superscript"/>
        </w:rPr>
        <w:t>th</w:t>
      </w:r>
      <w:r w:rsidRPr="007312BC">
        <w:rPr>
          <w:rStyle w:val="normaltextrun"/>
          <w:rFonts w:ascii="Arial" w:hAnsi="Arial" w:cs="Arial"/>
          <w:shd w:val="clear" w:color="auto" w:fill="FFFFFF"/>
        </w:rPr>
        <w:t> March 2018]. </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Welsh Assembly Government. (2017) ‘Foundation Phase’</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5" w:tgtFrame="_blank" w:history="1">
        <w:r w:rsidRPr="007312BC">
          <w:rPr>
            <w:rStyle w:val="normaltextrun"/>
            <w:rFonts w:ascii="Arial" w:hAnsi="Arial" w:cs="Arial"/>
            <w:color w:val="0563C1"/>
            <w:u w:val="single"/>
          </w:rPr>
          <w:t>http://gov.wales/topics/educationandskills/foundation-phase/?lang=en</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12</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D076F7" w:rsidRDefault="00D076F7" w:rsidP="00507ACB">
      <w:pPr>
        <w:spacing w:line="276" w:lineRule="auto"/>
      </w:pPr>
    </w:p>
    <w:sectPr w:rsidR="00D076F7">
      <w:headerReference w:type="default" r:id="rId3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4F92" w:rsidRDefault="007A4F92" w:rsidP="006121DB">
      <w:pPr>
        <w:spacing w:after="0" w:line="240" w:lineRule="auto"/>
      </w:pPr>
      <w:r>
        <w:separator/>
      </w:r>
    </w:p>
  </w:endnote>
  <w:endnote w:type="continuationSeparator" w:id="0">
    <w:p w:rsidR="007A4F92" w:rsidRDefault="007A4F92" w:rsidP="00612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4F92" w:rsidRDefault="007A4F92" w:rsidP="006121DB">
      <w:pPr>
        <w:spacing w:after="0" w:line="240" w:lineRule="auto"/>
      </w:pPr>
      <w:r>
        <w:separator/>
      </w:r>
    </w:p>
  </w:footnote>
  <w:footnote w:type="continuationSeparator" w:id="0">
    <w:p w:rsidR="007A4F92" w:rsidRDefault="007A4F92" w:rsidP="006121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76F7" w:rsidRDefault="00D076F7">
    <w:pPr>
      <w:pStyle w:val="Header"/>
    </w:pPr>
    <w:r>
      <w:t>1602490</w:t>
    </w:r>
  </w:p>
  <w:p w:rsidR="00D076F7" w:rsidRDefault="00D076F7">
    <w:pPr>
      <w:pStyle w:val="Header"/>
    </w:pPr>
  </w:p>
  <w:p w:rsidR="00D076F7" w:rsidRDefault="00D076F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0583A23"/>
    <w:multiLevelType w:val="multilevel"/>
    <w:tmpl w:val="13562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A83"/>
    <w:rsid w:val="00015ECF"/>
    <w:rsid w:val="00047854"/>
    <w:rsid w:val="000850D5"/>
    <w:rsid w:val="000B5D7E"/>
    <w:rsid w:val="000C23BD"/>
    <w:rsid w:val="00146C10"/>
    <w:rsid w:val="00182584"/>
    <w:rsid w:val="0020270C"/>
    <w:rsid w:val="002313C6"/>
    <w:rsid w:val="00276B0C"/>
    <w:rsid w:val="00285BB4"/>
    <w:rsid w:val="002C2B6F"/>
    <w:rsid w:val="002D57B5"/>
    <w:rsid w:val="002E4560"/>
    <w:rsid w:val="003437F9"/>
    <w:rsid w:val="003478F5"/>
    <w:rsid w:val="00351EDB"/>
    <w:rsid w:val="003B296D"/>
    <w:rsid w:val="003C0E04"/>
    <w:rsid w:val="003E5C96"/>
    <w:rsid w:val="00424A8D"/>
    <w:rsid w:val="004365DF"/>
    <w:rsid w:val="004577F1"/>
    <w:rsid w:val="00470B63"/>
    <w:rsid w:val="004B10C2"/>
    <w:rsid w:val="004D357F"/>
    <w:rsid w:val="00507ACB"/>
    <w:rsid w:val="00537968"/>
    <w:rsid w:val="0054633D"/>
    <w:rsid w:val="00557C47"/>
    <w:rsid w:val="00593434"/>
    <w:rsid w:val="005C116A"/>
    <w:rsid w:val="006121DB"/>
    <w:rsid w:val="0061606F"/>
    <w:rsid w:val="0062366F"/>
    <w:rsid w:val="007008D2"/>
    <w:rsid w:val="007312BC"/>
    <w:rsid w:val="007A4F92"/>
    <w:rsid w:val="007E7B48"/>
    <w:rsid w:val="00803746"/>
    <w:rsid w:val="008517ED"/>
    <w:rsid w:val="008B26F3"/>
    <w:rsid w:val="008F2E8D"/>
    <w:rsid w:val="00916A83"/>
    <w:rsid w:val="009B3C98"/>
    <w:rsid w:val="00A20138"/>
    <w:rsid w:val="00A42796"/>
    <w:rsid w:val="00A72094"/>
    <w:rsid w:val="00A936ED"/>
    <w:rsid w:val="00AE4989"/>
    <w:rsid w:val="00B57EEE"/>
    <w:rsid w:val="00BA5709"/>
    <w:rsid w:val="00BB48CB"/>
    <w:rsid w:val="00BE1F8E"/>
    <w:rsid w:val="00C1771B"/>
    <w:rsid w:val="00C22933"/>
    <w:rsid w:val="00C54205"/>
    <w:rsid w:val="00C5769D"/>
    <w:rsid w:val="00C60F2A"/>
    <w:rsid w:val="00C752D0"/>
    <w:rsid w:val="00CC6D95"/>
    <w:rsid w:val="00D076F7"/>
    <w:rsid w:val="00D559C9"/>
    <w:rsid w:val="00DB7601"/>
    <w:rsid w:val="00E96DE2"/>
    <w:rsid w:val="00EA247D"/>
    <w:rsid w:val="00EB014D"/>
    <w:rsid w:val="00EB31B6"/>
    <w:rsid w:val="00ED4D82"/>
    <w:rsid w:val="00F21F84"/>
    <w:rsid w:val="00F315A3"/>
    <w:rsid w:val="00F41B38"/>
    <w:rsid w:val="00F50289"/>
    <w:rsid w:val="00FA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8C414D-4365-4A10-8876-DC7A6BA1D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5A3"/>
    <w:rPr>
      <w:color w:val="0563C1" w:themeColor="hyperlink"/>
      <w:u w:val="single"/>
    </w:rPr>
  </w:style>
  <w:style w:type="paragraph" w:styleId="NormalWeb">
    <w:name w:val="Normal (Web)"/>
    <w:basedOn w:val="Normal"/>
    <w:uiPriority w:val="99"/>
    <w:semiHidden/>
    <w:unhideWhenUsed/>
    <w:rsid w:val="00A720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12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1DB"/>
  </w:style>
  <w:style w:type="paragraph" w:styleId="Footer">
    <w:name w:val="footer"/>
    <w:basedOn w:val="Normal"/>
    <w:link w:val="FooterChar"/>
    <w:uiPriority w:val="99"/>
    <w:unhideWhenUsed/>
    <w:rsid w:val="00612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1DB"/>
  </w:style>
  <w:style w:type="paragraph" w:customStyle="1" w:styleId="paragraph">
    <w:name w:val="paragraph"/>
    <w:basedOn w:val="Normal"/>
    <w:rsid w:val="00D076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76F7"/>
  </w:style>
  <w:style w:type="character" w:customStyle="1" w:styleId="eop">
    <w:name w:val="eop"/>
    <w:basedOn w:val="DefaultParagraphFont"/>
    <w:rsid w:val="00D076F7"/>
  </w:style>
  <w:style w:type="character" w:customStyle="1" w:styleId="spellingerror">
    <w:name w:val="spellingerror"/>
    <w:basedOn w:val="DefaultParagraphFont"/>
    <w:rsid w:val="00D07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663503">
      <w:bodyDiv w:val="1"/>
      <w:marLeft w:val="0"/>
      <w:marRight w:val="0"/>
      <w:marTop w:val="0"/>
      <w:marBottom w:val="0"/>
      <w:divBdr>
        <w:top w:val="none" w:sz="0" w:space="0" w:color="auto"/>
        <w:left w:val="none" w:sz="0" w:space="0" w:color="auto"/>
        <w:bottom w:val="none" w:sz="0" w:space="0" w:color="auto"/>
        <w:right w:val="none" w:sz="0" w:space="0" w:color="auto"/>
      </w:divBdr>
    </w:div>
    <w:div w:id="528374838">
      <w:bodyDiv w:val="1"/>
      <w:marLeft w:val="0"/>
      <w:marRight w:val="0"/>
      <w:marTop w:val="0"/>
      <w:marBottom w:val="0"/>
      <w:divBdr>
        <w:top w:val="none" w:sz="0" w:space="0" w:color="auto"/>
        <w:left w:val="none" w:sz="0" w:space="0" w:color="auto"/>
        <w:bottom w:val="none" w:sz="0" w:space="0" w:color="auto"/>
        <w:right w:val="none" w:sz="0" w:space="0" w:color="auto"/>
      </w:divBdr>
      <w:divsChild>
        <w:div w:id="2132284241">
          <w:marLeft w:val="0"/>
          <w:marRight w:val="0"/>
          <w:marTop w:val="0"/>
          <w:marBottom w:val="0"/>
          <w:divBdr>
            <w:top w:val="none" w:sz="0" w:space="0" w:color="auto"/>
            <w:left w:val="none" w:sz="0" w:space="0" w:color="auto"/>
            <w:bottom w:val="none" w:sz="0" w:space="0" w:color="auto"/>
            <w:right w:val="none" w:sz="0" w:space="0" w:color="auto"/>
          </w:divBdr>
        </w:div>
        <w:div w:id="311177144">
          <w:marLeft w:val="0"/>
          <w:marRight w:val="0"/>
          <w:marTop w:val="0"/>
          <w:marBottom w:val="0"/>
          <w:divBdr>
            <w:top w:val="none" w:sz="0" w:space="0" w:color="auto"/>
            <w:left w:val="none" w:sz="0" w:space="0" w:color="auto"/>
            <w:bottom w:val="none" w:sz="0" w:space="0" w:color="auto"/>
            <w:right w:val="none" w:sz="0" w:space="0" w:color="auto"/>
          </w:divBdr>
        </w:div>
        <w:div w:id="1136949204">
          <w:marLeft w:val="0"/>
          <w:marRight w:val="0"/>
          <w:marTop w:val="0"/>
          <w:marBottom w:val="0"/>
          <w:divBdr>
            <w:top w:val="none" w:sz="0" w:space="0" w:color="auto"/>
            <w:left w:val="none" w:sz="0" w:space="0" w:color="auto"/>
            <w:bottom w:val="none" w:sz="0" w:space="0" w:color="auto"/>
            <w:right w:val="none" w:sz="0" w:space="0" w:color="auto"/>
          </w:divBdr>
        </w:div>
        <w:div w:id="467477770">
          <w:marLeft w:val="0"/>
          <w:marRight w:val="0"/>
          <w:marTop w:val="0"/>
          <w:marBottom w:val="0"/>
          <w:divBdr>
            <w:top w:val="none" w:sz="0" w:space="0" w:color="auto"/>
            <w:left w:val="none" w:sz="0" w:space="0" w:color="auto"/>
            <w:bottom w:val="none" w:sz="0" w:space="0" w:color="auto"/>
            <w:right w:val="none" w:sz="0" w:space="0" w:color="auto"/>
          </w:divBdr>
        </w:div>
        <w:div w:id="15040213">
          <w:marLeft w:val="0"/>
          <w:marRight w:val="0"/>
          <w:marTop w:val="0"/>
          <w:marBottom w:val="0"/>
          <w:divBdr>
            <w:top w:val="none" w:sz="0" w:space="0" w:color="auto"/>
            <w:left w:val="none" w:sz="0" w:space="0" w:color="auto"/>
            <w:bottom w:val="none" w:sz="0" w:space="0" w:color="auto"/>
            <w:right w:val="none" w:sz="0" w:space="0" w:color="auto"/>
          </w:divBdr>
        </w:div>
        <w:div w:id="1668707163">
          <w:marLeft w:val="0"/>
          <w:marRight w:val="0"/>
          <w:marTop w:val="0"/>
          <w:marBottom w:val="0"/>
          <w:divBdr>
            <w:top w:val="none" w:sz="0" w:space="0" w:color="auto"/>
            <w:left w:val="none" w:sz="0" w:space="0" w:color="auto"/>
            <w:bottom w:val="none" w:sz="0" w:space="0" w:color="auto"/>
            <w:right w:val="none" w:sz="0" w:space="0" w:color="auto"/>
          </w:divBdr>
        </w:div>
        <w:div w:id="275791696">
          <w:marLeft w:val="0"/>
          <w:marRight w:val="0"/>
          <w:marTop w:val="0"/>
          <w:marBottom w:val="0"/>
          <w:divBdr>
            <w:top w:val="none" w:sz="0" w:space="0" w:color="auto"/>
            <w:left w:val="none" w:sz="0" w:space="0" w:color="auto"/>
            <w:bottom w:val="none" w:sz="0" w:space="0" w:color="auto"/>
            <w:right w:val="none" w:sz="0" w:space="0" w:color="auto"/>
          </w:divBdr>
        </w:div>
        <w:div w:id="1795634458">
          <w:marLeft w:val="0"/>
          <w:marRight w:val="0"/>
          <w:marTop w:val="0"/>
          <w:marBottom w:val="0"/>
          <w:divBdr>
            <w:top w:val="none" w:sz="0" w:space="0" w:color="auto"/>
            <w:left w:val="none" w:sz="0" w:space="0" w:color="auto"/>
            <w:bottom w:val="none" w:sz="0" w:space="0" w:color="auto"/>
            <w:right w:val="none" w:sz="0" w:space="0" w:color="auto"/>
          </w:divBdr>
        </w:div>
        <w:div w:id="966354097">
          <w:marLeft w:val="0"/>
          <w:marRight w:val="0"/>
          <w:marTop w:val="0"/>
          <w:marBottom w:val="0"/>
          <w:divBdr>
            <w:top w:val="none" w:sz="0" w:space="0" w:color="auto"/>
            <w:left w:val="none" w:sz="0" w:space="0" w:color="auto"/>
            <w:bottom w:val="none" w:sz="0" w:space="0" w:color="auto"/>
            <w:right w:val="none" w:sz="0" w:space="0" w:color="auto"/>
          </w:divBdr>
        </w:div>
        <w:div w:id="2012634949">
          <w:marLeft w:val="0"/>
          <w:marRight w:val="0"/>
          <w:marTop w:val="0"/>
          <w:marBottom w:val="0"/>
          <w:divBdr>
            <w:top w:val="none" w:sz="0" w:space="0" w:color="auto"/>
            <w:left w:val="none" w:sz="0" w:space="0" w:color="auto"/>
            <w:bottom w:val="none" w:sz="0" w:space="0" w:color="auto"/>
            <w:right w:val="none" w:sz="0" w:space="0" w:color="auto"/>
          </w:divBdr>
        </w:div>
        <w:div w:id="251790096">
          <w:marLeft w:val="0"/>
          <w:marRight w:val="0"/>
          <w:marTop w:val="0"/>
          <w:marBottom w:val="0"/>
          <w:divBdr>
            <w:top w:val="none" w:sz="0" w:space="0" w:color="auto"/>
            <w:left w:val="none" w:sz="0" w:space="0" w:color="auto"/>
            <w:bottom w:val="none" w:sz="0" w:space="0" w:color="auto"/>
            <w:right w:val="none" w:sz="0" w:space="0" w:color="auto"/>
          </w:divBdr>
        </w:div>
        <w:div w:id="16469605">
          <w:marLeft w:val="0"/>
          <w:marRight w:val="0"/>
          <w:marTop w:val="0"/>
          <w:marBottom w:val="0"/>
          <w:divBdr>
            <w:top w:val="none" w:sz="0" w:space="0" w:color="auto"/>
            <w:left w:val="none" w:sz="0" w:space="0" w:color="auto"/>
            <w:bottom w:val="none" w:sz="0" w:space="0" w:color="auto"/>
            <w:right w:val="none" w:sz="0" w:space="0" w:color="auto"/>
          </w:divBdr>
        </w:div>
        <w:div w:id="168060808">
          <w:marLeft w:val="0"/>
          <w:marRight w:val="0"/>
          <w:marTop w:val="0"/>
          <w:marBottom w:val="0"/>
          <w:divBdr>
            <w:top w:val="none" w:sz="0" w:space="0" w:color="auto"/>
            <w:left w:val="none" w:sz="0" w:space="0" w:color="auto"/>
            <w:bottom w:val="none" w:sz="0" w:space="0" w:color="auto"/>
            <w:right w:val="none" w:sz="0" w:space="0" w:color="auto"/>
          </w:divBdr>
        </w:div>
        <w:div w:id="1719939311">
          <w:marLeft w:val="0"/>
          <w:marRight w:val="0"/>
          <w:marTop w:val="0"/>
          <w:marBottom w:val="0"/>
          <w:divBdr>
            <w:top w:val="none" w:sz="0" w:space="0" w:color="auto"/>
            <w:left w:val="none" w:sz="0" w:space="0" w:color="auto"/>
            <w:bottom w:val="none" w:sz="0" w:space="0" w:color="auto"/>
            <w:right w:val="none" w:sz="0" w:space="0" w:color="auto"/>
          </w:divBdr>
        </w:div>
        <w:div w:id="1188374045">
          <w:marLeft w:val="0"/>
          <w:marRight w:val="0"/>
          <w:marTop w:val="0"/>
          <w:marBottom w:val="0"/>
          <w:divBdr>
            <w:top w:val="none" w:sz="0" w:space="0" w:color="auto"/>
            <w:left w:val="none" w:sz="0" w:space="0" w:color="auto"/>
            <w:bottom w:val="none" w:sz="0" w:space="0" w:color="auto"/>
            <w:right w:val="none" w:sz="0" w:space="0" w:color="auto"/>
          </w:divBdr>
        </w:div>
        <w:div w:id="980813577">
          <w:marLeft w:val="0"/>
          <w:marRight w:val="0"/>
          <w:marTop w:val="0"/>
          <w:marBottom w:val="0"/>
          <w:divBdr>
            <w:top w:val="none" w:sz="0" w:space="0" w:color="auto"/>
            <w:left w:val="none" w:sz="0" w:space="0" w:color="auto"/>
            <w:bottom w:val="none" w:sz="0" w:space="0" w:color="auto"/>
            <w:right w:val="none" w:sz="0" w:space="0" w:color="auto"/>
          </w:divBdr>
        </w:div>
        <w:div w:id="1581600588">
          <w:marLeft w:val="0"/>
          <w:marRight w:val="0"/>
          <w:marTop w:val="0"/>
          <w:marBottom w:val="0"/>
          <w:divBdr>
            <w:top w:val="none" w:sz="0" w:space="0" w:color="auto"/>
            <w:left w:val="none" w:sz="0" w:space="0" w:color="auto"/>
            <w:bottom w:val="none" w:sz="0" w:space="0" w:color="auto"/>
            <w:right w:val="none" w:sz="0" w:space="0" w:color="auto"/>
          </w:divBdr>
        </w:div>
        <w:div w:id="689381621">
          <w:marLeft w:val="0"/>
          <w:marRight w:val="0"/>
          <w:marTop w:val="0"/>
          <w:marBottom w:val="0"/>
          <w:divBdr>
            <w:top w:val="none" w:sz="0" w:space="0" w:color="auto"/>
            <w:left w:val="none" w:sz="0" w:space="0" w:color="auto"/>
            <w:bottom w:val="none" w:sz="0" w:space="0" w:color="auto"/>
            <w:right w:val="none" w:sz="0" w:space="0" w:color="auto"/>
          </w:divBdr>
        </w:div>
        <w:div w:id="1979258797">
          <w:marLeft w:val="0"/>
          <w:marRight w:val="0"/>
          <w:marTop w:val="0"/>
          <w:marBottom w:val="0"/>
          <w:divBdr>
            <w:top w:val="none" w:sz="0" w:space="0" w:color="auto"/>
            <w:left w:val="none" w:sz="0" w:space="0" w:color="auto"/>
            <w:bottom w:val="none" w:sz="0" w:space="0" w:color="auto"/>
            <w:right w:val="none" w:sz="0" w:space="0" w:color="auto"/>
          </w:divBdr>
        </w:div>
        <w:div w:id="1657496742">
          <w:marLeft w:val="0"/>
          <w:marRight w:val="0"/>
          <w:marTop w:val="0"/>
          <w:marBottom w:val="0"/>
          <w:divBdr>
            <w:top w:val="none" w:sz="0" w:space="0" w:color="auto"/>
            <w:left w:val="none" w:sz="0" w:space="0" w:color="auto"/>
            <w:bottom w:val="none" w:sz="0" w:space="0" w:color="auto"/>
            <w:right w:val="none" w:sz="0" w:space="0" w:color="auto"/>
          </w:divBdr>
        </w:div>
        <w:div w:id="1435594031">
          <w:marLeft w:val="0"/>
          <w:marRight w:val="0"/>
          <w:marTop w:val="0"/>
          <w:marBottom w:val="0"/>
          <w:divBdr>
            <w:top w:val="none" w:sz="0" w:space="0" w:color="auto"/>
            <w:left w:val="none" w:sz="0" w:space="0" w:color="auto"/>
            <w:bottom w:val="none" w:sz="0" w:space="0" w:color="auto"/>
            <w:right w:val="none" w:sz="0" w:space="0" w:color="auto"/>
          </w:divBdr>
        </w:div>
        <w:div w:id="1432430406">
          <w:marLeft w:val="0"/>
          <w:marRight w:val="0"/>
          <w:marTop w:val="0"/>
          <w:marBottom w:val="0"/>
          <w:divBdr>
            <w:top w:val="none" w:sz="0" w:space="0" w:color="auto"/>
            <w:left w:val="none" w:sz="0" w:space="0" w:color="auto"/>
            <w:bottom w:val="none" w:sz="0" w:space="0" w:color="auto"/>
            <w:right w:val="none" w:sz="0" w:space="0" w:color="auto"/>
          </w:divBdr>
        </w:div>
        <w:div w:id="867528300">
          <w:marLeft w:val="0"/>
          <w:marRight w:val="0"/>
          <w:marTop w:val="0"/>
          <w:marBottom w:val="0"/>
          <w:divBdr>
            <w:top w:val="none" w:sz="0" w:space="0" w:color="auto"/>
            <w:left w:val="none" w:sz="0" w:space="0" w:color="auto"/>
            <w:bottom w:val="none" w:sz="0" w:space="0" w:color="auto"/>
            <w:right w:val="none" w:sz="0" w:space="0" w:color="auto"/>
          </w:divBdr>
        </w:div>
        <w:div w:id="1593010991">
          <w:marLeft w:val="0"/>
          <w:marRight w:val="0"/>
          <w:marTop w:val="0"/>
          <w:marBottom w:val="0"/>
          <w:divBdr>
            <w:top w:val="none" w:sz="0" w:space="0" w:color="auto"/>
            <w:left w:val="none" w:sz="0" w:space="0" w:color="auto"/>
            <w:bottom w:val="none" w:sz="0" w:space="0" w:color="auto"/>
            <w:right w:val="none" w:sz="0" w:space="0" w:color="auto"/>
          </w:divBdr>
        </w:div>
        <w:div w:id="119299854">
          <w:marLeft w:val="0"/>
          <w:marRight w:val="0"/>
          <w:marTop w:val="0"/>
          <w:marBottom w:val="0"/>
          <w:divBdr>
            <w:top w:val="none" w:sz="0" w:space="0" w:color="auto"/>
            <w:left w:val="none" w:sz="0" w:space="0" w:color="auto"/>
            <w:bottom w:val="none" w:sz="0" w:space="0" w:color="auto"/>
            <w:right w:val="none" w:sz="0" w:space="0" w:color="auto"/>
          </w:divBdr>
        </w:div>
        <w:div w:id="1327511329">
          <w:marLeft w:val="0"/>
          <w:marRight w:val="0"/>
          <w:marTop w:val="0"/>
          <w:marBottom w:val="0"/>
          <w:divBdr>
            <w:top w:val="none" w:sz="0" w:space="0" w:color="auto"/>
            <w:left w:val="none" w:sz="0" w:space="0" w:color="auto"/>
            <w:bottom w:val="none" w:sz="0" w:space="0" w:color="auto"/>
            <w:right w:val="none" w:sz="0" w:space="0" w:color="auto"/>
          </w:divBdr>
        </w:div>
        <w:div w:id="2009164801">
          <w:marLeft w:val="0"/>
          <w:marRight w:val="0"/>
          <w:marTop w:val="0"/>
          <w:marBottom w:val="0"/>
          <w:divBdr>
            <w:top w:val="none" w:sz="0" w:space="0" w:color="auto"/>
            <w:left w:val="none" w:sz="0" w:space="0" w:color="auto"/>
            <w:bottom w:val="none" w:sz="0" w:space="0" w:color="auto"/>
            <w:right w:val="none" w:sz="0" w:space="0" w:color="auto"/>
          </w:divBdr>
        </w:div>
        <w:div w:id="458496202">
          <w:marLeft w:val="0"/>
          <w:marRight w:val="0"/>
          <w:marTop w:val="0"/>
          <w:marBottom w:val="0"/>
          <w:divBdr>
            <w:top w:val="none" w:sz="0" w:space="0" w:color="auto"/>
            <w:left w:val="none" w:sz="0" w:space="0" w:color="auto"/>
            <w:bottom w:val="none" w:sz="0" w:space="0" w:color="auto"/>
            <w:right w:val="none" w:sz="0" w:space="0" w:color="auto"/>
          </w:divBdr>
        </w:div>
        <w:div w:id="314185409">
          <w:marLeft w:val="0"/>
          <w:marRight w:val="0"/>
          <w:marTop w:val="0"/>
          <w:marBottom w:val="0"/>
          <w:divBdr>
            <w:top w:val="none" w:sz="0" w:space="0" w:color="auto"/>
            <w:left w:val="none" w:sz="0" w:space="0" w:color="auto"/>
            <w:bottom w:val="none" w:sz="0" w:space="0" w:color="auto"/>
            <w:right w:val="none" w:sz="0" w:space="0" w:color="auto"/>
          </w:divBdr>
        </w:div>
        <w:div w:id="1977447204">
          <w:marLeft w:val="0"/>
          <w:marRight w:val="0"/>
          <w:marTop w:val="0"/>
          <w:marBottom w:val="0"/>
          <w:divBdr>
            <w:top w:val="none" w:sz="0" w:space="0" w:color="auto"/>
            <w:left w:val="none" w:sz="0" w:space="0" w:color="auto"/>
            <w:bottom w:val="none" w:sz="0" w:space="0" w:color="auto"/>
            <w:right w:val="none" w:sz="0" w:space="0" w:color="auto"/>
          </w:divBdr>
        </w:div>
        <w:div w:id="1615359430">
          <w:marLeft w:val="0"/>
          <w:marRight w:val="0"/>
          <w:marTop w:val="0"/>
          <w:marBottom w:val="0"/>
          <w:divBdr>
            <w:top w:val="none" w:sz="0" w:space="0" w:color="auto"/>
            <w:left w:val="none" w:sz="0" w:space="0" w:color="auto"/>
            <w:bottom w:val="none" w:sz="0" w:space="0" w:color="auto"/>
            <w:right w:val="none" w:sz="0" w:space="0" w:color="auto"/>
          </w:divBdr>
        </w:div>
        <w:div w:id="1999067330">
          <w:marLeft w:val="0"/>
          <w:marRight w:val="0"/>
          <w:marTop w:val="0"/>
          <w:marBottom w:val="0"/>
          <w:divBdr>
            <w:top w:val="none" w:sz="0" w:space="0" w:color="auto"/>
            <w:left w:val="none" w:sz="0" w:space="0" w:color="auto"/>
            <w:bottom w:val="none" w:sz="0" w:space="0" w:color="auto"/>
            <w:right w:val="none" w:sz="0" w:space="0" w:color="auto"/>
          </w:divBdr>
        </w:div>
        <w:div w:id="449665270">
          <w:marLeft w:val="0"/>
          <w:marRight w:val="0"/>
          <w:marTop w:val="0"/>
          <w:marBottom w:val="0"/>
          <w:divBdr>
            <w:top w:val="none" w:sz="0" w:space="0" w:color="auto"/>
            <w:left w:val="none" w:sz="0" w:space="0" w:color="auto"/>
            <w:bottom w:val="none" w:sz="0" w:space="0" w:color="auto"/>
            <w:right w:val="none" w:sz="0" w:space="0" w:color="auto"/>
          </w:divBdr>
        </w:div>
        <w:div w:id="2092921293">
          <w:marLeft w:val="0"/>
          <w:marRight w:val="0"/>
          <w:marTop w:val="0"/>
          <w:marBottom w:val="0"/>
          <w:divBdr>
            <w:top w:val="none" w:sz="0" w:space="0" w:color="auto"/>
            <w:left w:val="none" w:sz="0" w:space="0" w:color="auto"/>
            <w:bottom w:val="none" w:sz="0" w:space="0" w:color="auto"/>
            <w:right w:val="none" w:sz="0" w:space="0" w:color="auto"/>
          </w:divBdr>
        </w:div>
        <w:div w:id="1729185965">
          <w:marLeft w:val="0"/>
          <w:marRight w:val="0"/>
          <w:marTop w:val="0"/>
          <w:marBottom w:val="0"/>
          <w:divBdr>
            <w:top w:val="none" w:sz="0" w:space="0" w:color="auto"/>
            <w:left w:val="none" w:sz="0" w:space="0" w:color="auto"/>
            <w:bottom w:val="none" w:sz="0" w:space="0" w:color="auto"/>
            <w:right w:val="none" w:sz="0" w:space="0" w:color="auto"/>
          </w:divBdr>
        </w:div>
        <w:div w:id="559901762">
          <w:marLeft w:val="0"/>
          <w:marRight w:val="0"/>
          <w:marTop w:val="0"/>
          <w:marBottom w:val="0"/>
          <w:divBdr>
            <w:top w:val="none" w:sz="0" w:space="0" w:color="auto"/>
            <w:left w:val="none" w:sz="0" w:space="0" w:color="auto"/>
            <w:bottom w:val="none" w:sz="0" w:space="0" w:color="auto"/>
            <w:right w:val="none" w:sz="0" w:space="0" w:color="auto"/>
          </w:divBdr>
        </w:div>
        <w:div w:id="1085765197">
          <w:marLeft w:val="0"/>
          <w:marRight w:val="0"/>
          <w:marTop w:val="0"/>
          <w:marBottom w:val="0"/>
          <w:divBdr>
            <w:top w:val="none" w:sz="0" w:space="0" w:color="auto"/>
            <w:left w:val="none" w:sz="0" w:space="0" w:color="auto"/>
            <w:bottom w:val="none" w:sz="0" w:space="0" w:color="auto"/>
            <w:right w:val="none" w:sz="0" w:space="0" w:color="auto"/>
          </w:divBdr>
        </w:div>
        <w:div w:id="587731367">
          <w:marLeft w:val="0"/>
          <w:marRight w:val="0"/>
          <w:marTop w:val="0"/>
          <w:marBottom w:val="0"/>
          <w:divBdr>
            <w:top w:val="none" w:sz="0" w:space="0" w:color="auto"/>
            <w:left w:val="none" w:sz="0" w:space="0" w:color="auto"/>
            <w:bottom w:val="none" w:sz="0" w:space="0" w:color="auto"/>
            <w:right w:val="none" w:sz="0" w:space="0" w:color="auto"/>
          </w:divBdr>
        </w:div>
        <w:div w:id="909852584">
          <w:marLeft w:val="0"/>
          <w:marRight w:val="0"/>
          <w:marTop w:val="0"/>
          <w:marBottom w:val="0"/>
          <w:divBdr>
            <w:top w:val="none" w:sz="0" w:space="0" w:color="auto"/>
            <w:left w:val="none" w:sz="0" w:space="0" w:color="auto"/>
            <w:bottom w:val="none" w:sz="0" w:space="0" w:color="auto"/>
            <w:right w:val="none" w:sz="0" w:space="0" w:color="auto"/>
          </w:divBdr>
        </w:div>
        <w:div w:id="967467095">
          <w:marLeft w:val="0"/>
          <w:marRight w:val="0"/>
          <w:marTop w:val="0"/>
          <w:marBottom w:val="0"/>
          <w:divBdr>
            <w:top w:val="none" w:sz="0" w:space="0" w:color="auto"/>
            <w:left w:val="none" w:sz="0" w:space="0" w:color="auto"/>
            <w:bottom w:val="none" w:sz="0" w:space="0" w:color="auto"/>
            <w:right w:val="none" w:sz="0" w:space="0" w:color="auto"/>
          </w:divBdr>
        </w:div>
        <w:div w:id="2118483822">
          <w:marLeft w:val="0"/>
          <w:marRight w:val="0"/>
          <w:marTop w:val="0"/>
          <w:marBottom w:val="0"/>
          <w:divBdr>
            <w:top w:val="none" w:sz="0" w:space="0" w:color="auto"/>
            <w:left w:val="none" w:sz="0" w:space="0" w:color="auto"/>
            <w:bottom w:val="none" w:sz="0" w:space="0" w:color="auto"/>
            <w:right w:val="none" w:sz="0" w:space="0" w:color="auto"/>
          </w:divBdr>
        </w:div>
        <w:div w:id="1315451880">
          <w:marLeft w:val="0"/>
          <w:marRight w:val="0"/>
          <w:marTop w:val="0"/>
          <w:marBottom w:val="0"/>
          <w:divBdr>
            <w:top w:val="none" w:sz="0" w:space="0" w:color="auto"/>
            <w:left w:val="none" w:sz="0" w:space="0" w:color="auto"/>
            <w:bottom w:val="none" w:sz="0" w:space="0" w:color="auto"/>
            <w:right w:val="none" w:sz="0" w:space="0" w:color="auto"/>
          </w:divBdr>
        </w:div>
        <w:div w:id="1661234869">
          <w:marLeft w:val="0"/>
          <w:marRight w:val="0"/>
          <w:marTop w:val="0"/>
          <w:marBottom w:val="0"/>
          <w:divBdr>
            <w:top w:val="none" w:sz="0" w:space="0" w:color="auto"/>
            <w:left w:val="none" w:sz="0" w:space="0" w:color="auto"/>
            <w:bottom w:val="none" w:sz="0" w:space="0" w:color="auto"/>
            <w:right w:val="none" w:sz="0" w:space="0" w:color="auto"/>
          </w:divBdr>
        </w:div>
        <w:div w:id="1355691517">
          <w:marLeft w:val="0"/>
          <w:marRight w:val="0"/>
          <w:marTop w:val="0"/>
          <w:marBottom w:val="0"/>
          <w:divBdr>
            <w:top w:val="none" w:sz="0" w:space="0" w:color="auto"/>
            <w:left w:val="none" w:sz="0" w:space="0" w:color="auto"/>
            <w:bottom w:val="none" w:sz="0" w:space="0" w:color="auto"/>
            <w:right w:val="none" w:sz="0" w:space="0" w:color="auto"/>
          </w:divBdr>
        </w:div>
        <w:div w:id="1109812592">
          <w:marLeft w:val="0"/>
          <w:marRight w:val="0"/>
          <w:marTop w:val="0"/>
          <w:marBottom w:val="0"/>
          <w:divBdr>
            <w:top w:val="none" w:sz="0" w:space="0" w:color="auto"/>
            <w:left w:val="none" w:sz="0" w:space="0" w:color="auto"/>
            <w:bottom w:val="none" w:sz="0" w:space="0" w:color="auto"/>
            <w:right w:val="none" w:sz="0" w:space="0" w:color="auto"/>
          </w:divBdr>
        </w:div>
        <w:div w:id="305083976">
          <w:marLeft w:val="0"/>
          <w:marRight w:val="0"/>
          <w:marTop w:val="0"/>
          <w:marBottom w:val="0"/>
          <w:divBdr>
            <w:top w:val="none" w:sz="0" w:space="0" w:color="auto"/>
            <w:left w:val="none" w:sz="0" w:space="0" w:color="auto"/>
            <w:bottom w:val="none" w:sz="0" w:space="0" w:color="auto"/>
            <w:right w:val="none" w:sz="0" w:space="0" w:color="auto"/>
          </w:divBdr>
        </w:div>
        <w:div w:id="61412789">
          <w:marLeft w:val="0"/>
          <w:marRight w:val="0"/>
          <w:marTop w:val="0"/>
          <w:marBottom w:val="0"/>
          <w:divBdr>
            <w:top w:val="none" w:sz="0" w:space="0" w:color="auto"/>
            <w:left w:val="none" w:sz="0" w:space="0" w:color="auto"/>
            <w:bottom w:val="none" w:sz="0" w:space="0" w:color="auto"/>
            <w:right w:val="none" w:sz="0" w:space="0" w:color="auto"/>
          </w:divBdr>
        </w:div>
        <w:div w:id="1083799881">
          <w:marLeft w:val="0"/>
          <w:marRight w:val="0"/>
          <w:marTop w:val="0"/>
          <w:marBottom w:val="0"/>
          <w:divBdr>
            <w:top w:val="none" w:sz="0" w:space="0" w:color="auto"/>
            <w:left w:val="none" w:sz="0" w:space="0" w:color="auto"/>
            <w:bottom w:val="none" w:sz="0" w:space="0" w:color="auto"/>
            <w:right w:val="none" w:sz="0" w:space="0" w:color="auto"/>
          </w:divBdr>
        </w:div>
        <w:div w:id="238902756">
          <w:marLeft w:val="0"/>
          <w:marRight w:val="0"/>
          <w:marTop w:val="0"/>
          <w:marBottom w:val="0"/>
          <w:divBdr>
            <w:top w:val="none" w:sz="0" w:space="0" w:color="auto"/>
            <w:left w:val="none" w:sz="0" w:space="0" w:color="auto"/>
            <w:bottom w:val="none" w:sz="0" w:space="0" w:color="auto"/>
            <w:right w:val="none" w:sz="0" w:space="0" w:color="auto"/>
          </w:divBdr>
        </w:div>
        <w:div w:id="307781722">
          <w:marLeft w:val="0"/>
          <w:marRight w:val="0"/>
          <w:marTop w:val="0"/>
          <w:marBottom w:val="0"/>
          <w:divBdr>
            <w:top w:val="none" w:sz="0" w:space="0" w:color="auto"/>
            <w:left w:val="none" w:sz="0" w:space="0" w:color="auto"/>
            <w:bottom w:val="none" w:sz="0" w:space="0" w:color="auto"/>
            <w:right w:val="none" w:sz="0" w:space="0" w:color="auto"/>
          </w:divBdr>
        </w:div>
        <w:div w:id="1861047381">
          <w:marLeft w:val="0"/>
          <w:marRight w:val="0"/>
          <w:marTop w:val="0"/>
          <w:marBottom w:val="0"/>
          <w:divBdr>
            <w:top w:val="none" w:sz="0" w:space="0" w:color="auto"/>
            <w:left w:val="none" w:sz="0" w:space="0" w:color="auto"/>
            <w:bottom w:val="none" w:sz="0" w:space="0" w:color="auto"/>
            <w:right w:val="none" w:sz="0" w:space="0" w:color="auto"/>
          </w:divBdr>
        </w:div>
        <w:div w:id="1827088825">
          <w:marLeft w:val="0"/>
          <w:marRight w:val="0"/>
          <w:marTop w:val="0"/>
          <w:marBottom w:val="0"/>
          <w:divBdr>
            <w:top w:val="none" w:sz="0" w:space="0" w:color="auto"/>
            <w:left w:val="none" w:sz="0" w:space="0" w:color="auto"/>
            <w:bottom w:val="none" w:sz="0" w:space="0" w:color="auto"/>
            <w:right w:val="none" w:sz="0" w:space="0" w:color="auto"/>
          </w:divBdr>
        </w:div>
        <w:div w:id="825321353">
          <w:marLeft w:val="0"/>
          <w:marRight w:val="0"/>
          <w:marTop w:val="0"/>
          <w:marBottom w:val="0"/>
          <w:divBdr>
            <w:top w:val="none" w:sz="0" w:space="0" w:color="auto"/>
            <w:left w:val="none" w:sz="0" w:space="0" w:color="auto"/>
            <w:bottom w:val="none" w:sz="0" w:space="0" w:color="auto"/>
            <w:right w:val="none" w:sz="0" w:space="0" w:color="auto"/>
          </w:divBdr>
        </w:div>
        <w:div w:id="558632420">
          <w:marLeft w:val="0"/>
          <w:marRight w:val="0"/>
          <w:marTop w:val="0"/>
          <w:marBottom w:val="0"/>
          <w:divBdr>
            <w:top w:val="none" w:sz="0" w:space="0" w:color="auto"/>
            <w:left w:val="none" w:sz="0" w:space="0" w:color="auto"/>
            <w:bottom w:val="none" w:sz="0" w:space="0" w:color="auto"/>
            <w:right w:val="none" w:sz="0" w:space="0" w:color="auto"/>
          </w:divBdr>
        </w:div>
        <w:div w:id="1633099495">
          <w:marLeft w:val="0"/>
          <w:marRight w:val="0"/>
          <w:marTop w:val="0"/>
          <w:marBottom w:val="0"/>
          <w:divBdr>
            <w:top w:val="none" w:sz="0" w:space="0" w:color="auto"/>
            <w:left w:val="none" w:sz="0" w:space="0" w:color="auto"/>
            <w:bottom w:val="none" w:sz="0" w:space="0" w:color="auto"/>
            <w:right w:val="none" w:sz="0" w:space="0" w:color="auto"/>
          </w:divBdr>
        </w:div>
        <w:div w:id="412703061">
          <w:marLeft w:val="0"/>
          <w:marRight w:val="0"/>
          <w:marTop w:val="0"/>
          <w:marBottom w:val="0"/>
          <w:divBdr>
            <w:top w:val="none" w:sz="0" w:space="0" w:color="auto"/>
            <w:left w:val="none" w:sz="0" w:space="0" w:color="auto"/>
            <w:bottom w:val="none" w:sz="0" w:space="0" w:color="auto"/>
            <w:right w:val="none" w:sz="0" w:space="0" w:color="auto"/>
          </w:divBdr>
        </w:div>
        <w:div w:id="978996446">
          <w:marLeft w:val="0"/>
          <w:marRight w:val="0"/>
          <w:marTop w:val="0"/>
          <w:marBottom w:val="0"/>
          <w:divBdr>
            <w:top w:val="none" w:sz="0" w:space="0" w:color="auto"/>
            <w:left w:val="none" w:sz="0" w:space="0" w:color="auto"/>
            <w:bottom w:val="none" w:sz="0" w:space="0" w:color="auto"/>
            <w:right w:val="none" w:sz="0" w:space="0" w:color="auto"/>
          </w:divBdr>
        </w:div>
        <w:div w:id="2083523084">
          <w:marLeft w:val="0"/>
          <w:marRight w:val="0"/>
          <w:marTop w:val="0"/>
          <w:marBottom w:val="0"/>
          <w:divBdr>
            <w:top w:val="none" w:sz="0" w:space="0" w:color="auto"/>
            <w:left w:val="none" w:sz="0" w:space="0" w:color="auto"/>
            <w:bottom w:val="none" w:sz="0" w:space="0" w:color="auto"/>
            <w:right w:val="none" w:sz="0" w:space="0" w:color="auto"/>
          </w:divBdr>
        </w:div>
        <w:div w:id="83042086">
          <w:marLeft w:val="0"/>
          <w:marRight w:val="0"/>
          <w:marTop w:val="0"/>
          <w:marBottom w:val="0"/>
          <w:divBdr>
            <w:top w:val="none" w:sz="0" w:space="0" w:color="auto"/>
            <w:left w:val="none" w:sz="0" w:space="0" w:color="auto"/>
            <w:bottom w:val="none" w:sz="0" w:space="0" w:color="auto"/>
            <w:right w:val="none" w:sz="0" w:space="0" w:color="auto"/>
          </w:divBdr>
        </w:div>
        <w:div w:id="264726087">
          <w:marLeft w:val="0"/>
          <w:marRight w:val="0"/>
          <w:marTop w:val="0"/>
          <w:marBottom w:val="0"/>
          <w:divBdr>
            <w:top w:val="none" w:sz="0" w:space="0" w:color="auto"/>
            <w:left w:val="none" w:sz="0" w:space="0" w:color="auto"/>
            <w:bottom w:val="none" w:sz="0" w:space="0" w:color="auto"/>
            <w:right w:val="none" w:sz="0" w:space="0" w:color="auto"/>
          </w:divBdr>
        </w:div>
        <w:div w:id="1685473686">
          <w:marLeft w:val="0"/>
          <w:marRight w:val="0"/>
          <w:marTop w:val="0"/>
          <w:marBottom w:val="0"/>
          <w:divBdr>
            <w:top w:val="none" w:sz="0" w:space="0" w:color="auto"/>
            <w:left w:val="none" w:sz="0" w:space="0" w:color="auto"/>
            <w:bottom w:val="none" w:sz="0" w:space="0" w:color="auto"/>
            <w:right w:val="none" w:sz="0" w:space="0" w:color="auto"/>
          </w:divBdr>
        </w:div>
        <w:div w:id="304117996">
          <w:marLeft w:val="0"/>
          <w:marRight w:val="0"/>
          <w:marTop w:val="0"/>
          <w:marBottom w:val="0"/>
          <w:divBdr>
            <w:top w:val="none" w:sz="0" w:space="0" w:color="auto"/>
            <w:left w:val="none" w:sz="0" w:space="0" w:color="auto"/>
            <w:bottom w:val="none" w:sz="0" w:space="0" w:color="auto"/>
            <w:right w:val="none" w:sz="0" w:space="0" w:color="auto"/>
          </w:divBdr>
        </w:div>
        <w:div w:id="2891714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9/41/contents" TargetMode="External"/><Relationship Id="rId13" Type="http://schemas.openxmlformats.org/officeDocument/2006/relationships/hyperlink" Target="https://www.gov.uk/government/organisations/disclosure-and-barring-service/about" TargetMode="External"/><Relationship Id="rId18" Type="http://schemas.openxmlformats.org/officeDocument/2006/relationships/hyperlink" Target="http://www.legislation.gov.uk/ukpga/2004/31/pdfs/ukpga_20040031_en.pdf" TargetMode="External"/><Relationship Id="rId26" Type="http://schemas.openxmlformats.org/officeDocument/2006/relationships/hyperlink" Target="http://www.wales.nhs.uk/sitesplus/888/page/88504" TargetMode="External"/><Relationship Id="rId3" Type="http://schemas.openxmlformats.org/officeDocument/2006/relationships/settings" Target="settings.xml"/><Relationship Id="rId21" Type="http://schemas.openxmlformats.org/officeDocument/2006/relationships/hyperlink" Target="http://www.legislation.gov.uk/ukpga/2006/21/pdfs/ukpga_20060021_en.pdf" TargetMode="External"/><Relationship Id="rId34" Type="http://schemas.openxmlformats.org/officeDocument/2006/relationships/hyperlink" Target="http://www.legislation.gov.uk/anaw/2014/4/pdfs/anaw_20140004_en.pdf" TargetMode="External"/><Relationship Id="rId7" Type="http://schemas.openxmlformats.org/officeDocument/2006/relationships/hyperlink" Target="http://www.awcppp.org" TargetMode="External"/><Relationship Id="rId12" Type="http://schemas.openxmlformats.org/officeDocument/2006/relationships/hyperlink" Target="https://www.gov.uk/government/uploads/system/uploads/attachment_data/file/208132/NHS_Safer_Leaflet_Final.pdf"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www.wales.nhs.uk/sitesplus/888/page/88524" TargetMode="External"/><Relationship Id="rId33" Type="http://schemas.openxmlformats.org/officeDocument/2006/relationships/hyperlink" Target="http://www.childreninwales.org.uk/policy-document/wales-child-protection-procedures-200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voice-of-the-child-children-to-be-more-clearly-heard-in-decisions-about-their-future" TargetMode="External"/><Relationship Id="rId20" Type="http://schemas.openxmlformats.org/officeDocument/2006/relationships/hyperlink" Target="https://www.gov.uk/government/uploads/system/uploads/attachment_data/file/592101/Working_Together_to_Safeguard_Children_20170213.pdf" TargetMode="External"/><Relationship Id="rId29" Type="http://schemas.openxmlformats.org/officeDocument/2006/relationships/hyperlink" Target="https://www.gov.uk/government/publications/safeguarding-children-and-young-people/safeguarding-children-and-young-peo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izensadvice.org.uk/" TargetMode="External"/><Relationship Id="rId24" Type="http://schemas.openxmlformats.org/officeDocument/2006/relationships/hyperlink" Target="https://www.healthcareers.nhs.uk/explore-roles/public-health/roles-public-health/health-visitor" TargetMode="External"/><Relationship Id="rId32" Type="http://schemas.openxmlformats.org/officeDocument/2006/relationships/hyperlink" Target="https://downloads.unicef.org.uk/wp-content/uploads/2010/05/UNCRC_summary.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data-protection" TargetMode="External"/><Relationship Id="rId23" Type="http://schemas.openxmlformats.org/officeDocument/2006/relationships/hyperlink" Target="https://www.nationaldebtline.org/" TargetMode="External"/><Relationship Id="rId28" Type="http://schemas.openxmlformats.org/officeDocument/2006/relationships/hyperlink" Target="https://www.nspcc.org.uk/preventing-abuse/child-protection-system/wales/" TargetMode="External"/><Relationship Id="rId36" Type="http://schemas.openxmlformats.org/officeDocument/2006/relationships/header" Target="header1.xml"/><Relationship Id="rId10" Type="http://schemas.openxmlformats.org/officeDocument/2006/relationships/hyperlink" Target="http://www.childreninwales.org.uk/in-your-area/safeguarding-children-boards/" TargetMode="External"/><Relationship Id="rId19" Type="http://schemas.openxmlformats.org/officeDocument/2006/relationships/hyperlink" Target="https://www.legislation.gov.uk/ukpga/1998/29/contents" TargetMode="External"/><Relationship Id="rId31" Type="http://schemas.openxmlformats.org/officeDocument/2006/relationships/hyperlink" Target="https://www.unicef.org/french/adolescence/files/Every_Childs_Right_to_be_Heard.pdf" TargetMode="External"/><Relationship Id="rId4" Type="http://schemas.openxmlformats.org/officeDocument/2006/relationships/webSettings" Target="webSettings.xml"/><Relationship Id="rId9" Type="http://schemas.openxmlformats.org/officeDocument/2006/relationships/hyperlink" Target="https://www.legislation.gov.uk/ukpga/2004/31/contents" TargetMode="External"/><Relationship Id="rId14" Type="http://schemas.openxmlformats.org/officeDocument/2006/relationships/hyperlink" Target="http://www.uky.edu/~eushe2/Bandura/Bandura1969HSTR.pdf" TargetMode="External"/><Relationship Id="rId22" Type="http://schemas.openxmlformats.org/officeDocument/2006/relationships/hyperlink" Target="https://www.home-start.org.uk/Pages/Category/home-start-wales" TargetMode="External"/><Relationship Id="rId27" Type="http://schemas.openxmlformats.org/officeDocument/2006/relationships/hyperlink" Target="https://www.nspcc.org.uk/globalassets/documents/information-service/schools-factsheet-role-designated-safeguarding-lead-dsl.pdf" TargetMode="External"/><Relationship Id="rId30" Type="http://schemas.openxmlformats.org/officeDocument/2006/relationships/hyperlink" Target="https://www.gov.uk/government/uploads/system/uploads/attachment_data/file/273183/5730.pdf" TargetMode="External"/><Relationship Id="rId35" Type="http://schemas.openxmlformats.org/officeDocument/2006/relationships/hyperlink" Target="http://gov.wales/topics/educationandskills/foundation-phas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21291</TotalTime>
  <Pages>8</Pages>
  <Words>2980</Words>
  <Characters>16987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Mariahbell</dc:creator>
  <cp:keywords/>
  <dc:description/>
  <cp:lastModifiedBy>Mariahbell</cp:lastModifiedBy>
  <cp:revision>54</cp:revision>
  <dcterms:created xsi:type="dcterms:W3CDTF">2018-03-18T14:32:00Z</dcterms:created>
  <dcterms:modified xsi:type="dcterms:W3CDTF">2018-04-02T09:23:00Z</dcterms:modified>
</cp:coreProperties>
</file>