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000001" w14:textId="3454B2C3" w:rsidR="00233A4C" w:rsidRDefault="00083915" w:rsidP="00966762">
      <w:pPr>
        <w:spacing w:before="200" w:line="360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</w:t>
      </w:r>
      <w:r w:rsidR="00966762">
        <w:rPr>
          <w:noProof/>
        </w:rPr>
        <w:drawing>
          <wp:inline distT="0" distB="0" distL="0" distR="0" wp14:anchorId="0EE4D4AD" wp14:editId="7BBFB15C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0000002" w14:textId="77777777" w:rsidR="00233A4C" w:rsidRDefault="00233A4C">
      <w:pPr>
        <w:spacing w:before="200" w:line="360" w:lineRule="auto"/>
        <w:jc w:val="center"/>
        <w:rPr>
          <w:b/>
          <w:bCs/>
          <w:sz w:val="32"/>
          <w:szCs w:val="32"/>
        </w:rPr>
      </w:pPr>
    </w:p>
    <w:p w14:paraId="00000003" w14:textId="77777777" w:rsidR="00233A4C" w:rsidRDefault="00233A4C">
      <w:pPr>
        <w:spacing w:before="200" w:line="360" w:lineRule="auto"/>
        <w:jc w:val="center"/>
        <w:rPr>
          <w:b/>
          <w:bCs/>
          <w:sz w:val="32"/>
          <w:szCs w:val="32"/>
        </w:rPr>
      </w:pPr>
    </w:p>
    <w:p w14:paraId="00000004" w14:textId="77777777" w:rsidR="00233A4C" w:rsidRDefault="00233A4C">
      <w:pPr>
        <w:spacing w:before="200" w:line="360" w:lineRule="auto"/>
        <w:jc w:val="center"/>
        <w:rPr>
          <w:b/>
          <w:bCs/>
          <w:sz w:val="32"/>
          <w:szCs w:val="32"/>
        </w:rPr>
      </w:pPr>
    </w:p>
    <w:p w14:paraId="00000008" w14:textId="000D16F9" w:rsidR="00233A4C" w:rsidRDefault="00083915" w:rsidP="00966762">
      <w:pPr>
        <w:spacing w:before="200" w:line="360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</w:t>
      </w:r>
      <w:r w:rsidR="00966762">
        <w:rPr>
          <w:b/>
          <w:bCs/>
          <w:sz w:val="32"/>
          <w:szCs w:val="32"/>
        </w:rPr>
        <w:t xml:space="preserve"> </w:t>
      </w:r>
      <w:r w:rsidR="0053779B">
        <w:rPr>
          <w:b/>
          <w:bCs/>
          <w:sz w:val="32"/>
          <w:szCs w:val="32"/>
        </w:rPr>
        <w:t xml:space="preserve">STUDENT’S </w:t>
      </w:r>
      <w:r>
        <w:rPr>
          <w:b/>
          <w:bCs/>
          <w:sz w:val="32"/>
          <w:szCs w:val="32"/>
        </w:rPr>
        <w:t>NAME: SIADATINA DUARTE</w:t>
      </w:r>
    </w:p>
    <w:p w14:paraId="00000009" w14:textId="710C207E" w:rsidR="00233A4C" w:rsidRDefault="0053779B">
      <w:pPr>
        <w:spacing w:before="200" w:line="36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STUDENT’S NUMBER:</w:t>
      </w:r>
      <w:r w:rsidR="007453A0">
        <w:rPr>
          <w:b/>
          <w:bCs/>
          <w:sz w:val="32"/>
          <w:szCs w:val="32"/>
        </w:rPr>
        <w:t>2511206</w:t>
      </w:r>
    </w:p>
    <w:p w14:paraId="0000000A" w14:textId="216F5DA2" w:rsidR="00233A4C" w:rsidRDefault="0053779B">
      <w:pPr>
        <w:spacing w:before="200" w:line="36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MODULE CODE AND </w:t>
      </w:r>
      <w:r w:rsidR="008A4685">
        <w:rPr>
          <w:b/>
          <w:bCs/>
          <w:sz w:val="32"/>
          <w:szCs w:val="32"/>
        </w:rPr>
        <w:t>TITLE: LCHS</w:t>
      </w:r>
      <w:r w:rsidR="00406F79">
        <w:rPr>
          <w:b/>
          <w:bCs/>
          <w:sz w:val="32"/>
          <w:szCs w:val="32"/>
        </w:rPr>
        <w:t xml:space="preserve">4003 HEALTH </w:t>
      </w:r>
      <w:r w:rsidR="008A4685">
        <w:rPr>
          <w:b/>
          <w:bCs/>
          <w:sz w:val="32"/>
          <w:szCs w:val="32"/>
        </w:rPr>
        <w:t>AND SOCIAL</w:t>
      </w:r>
    </w:p>
    <w:p w14:paraId="0000000B" w14:textId="13BB7CF4" w:rsidR="00233A4C" w:rsidRDefault="0053779B">
      <w:pPr>
        <w:spacing w:before="200" w:line="36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LECTURER’S </w:t>
      </w:r>
      <w:r w:rsidR="00066F7F">
        <w:rPr>
          <w:b/>
          <w:bCs/>
          <w:sz w:val="32"/>
          <w:szCs w:val="32"/>
        </w:rPr>
        <w:t>NAME: MUMTAZ GOOLAM</w:t>
      </w:r>
    </w:p>
    <w:p w14:paraId="0000000C" w14:textId="65B85BF1" w:rsidR="00233A4C" w:rsidRDefault="0053779B">
      <w:pPr>
        <w:spacing w:before="200" w:line="36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ASSIGNMENT </w:t>
      </w:r>
      <w:r w:rsidR="00066F7F">
        <w:rPr>
          <w:b/>
          <w:bCs/>
          <w:sz w:val="32"/>
          <w:szCs w:val="32"/>
        </w:rPr>
        <w:t>TITLE: TASK 1 POSTER</w:t>
      </w:r>
      <w:r w:rsidR="00DE74DD">
        <w:rPr>
          <w:b/>
          <w:bCs/>
          <w:sz w:val="32"/>
          <w:szCs w:val="32"/>
        </w:rPr>
        <w:t xml:space="preserve"> RESIDE</w:t>
      </w:r>
      <w:r w:rsidR="00CA74A2">
        <w:rPr>
          <w:b/>
          <w:bCs/>
          <w:sz w:val="32"/>
          <w:szCs w:val="32"/>
        </w:rPr>
        <w:t>NTIAL CARE HOMES</w:t>
      </w:r>
    </w:p>
    <w:p w14:paraId="0000000D" w14:textId="77777777" w:rsidR="00233A4C" w:rsidRDefault="0053779B">
      <w:pPr>
        <w:spacing w:before="200" w:line="360" w:lineRule="auto"/>
        <w:jc w:val="center"/>
        <w:rPr>
          <w:b/>
          <w:bCs/>
          <w:sz w:val="32"/>
          <w:szCs w:val="32"/>
        </w:rPr>
      </w:pPr>
      <w:r>
        <w:br w:type="page"/>
      </w:r>
    </w:p>
    <w:p w14:paraId="0000000E" w14:textId="77777777" w:rsidR="00233A4C" w:rsidRDefault="0053779B">
      <w:pPr>
        <w:spacing w:before="200" w:line="360" w:lineRule="auto"/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Table of contents</w:t>
      </w:r>
    </w:p>
    <w:p w14:paraId="0000000F" w14:textId="77777777" w:rsidR="00233A4C" w:rsidRDefault="00233A4C">
      <w:pPr>
        <w:spacing w:before="200" w:line="360" w:lineRule="auto"/>
        <w:jc w:val="center"/>
        <w:rPr>
          <w:b/>
          <w:bCs/>
          <w:sz w:val="28"/>
          <w:szCs w:val="28"/>
        </w:rPr>
      </w:pPr>
    </w:p>
    <w:sdt>
      <w:sdtPr>
        <w:id w:val="1947788777"/>
        <w:docPartObj>
          <w:docPartGallery w:val="Table of Contents"/>
          <w:docPartUnique/>
        </w:docPartObj>
      </w:sdtPr>
      <w:sdtEndPr/>
      <w:sdtContent>
        <w:p w14:paraId="00000014" w14:textId="31ADC2B5" w:rsidR="00233A4C" w:rsidRDefault="0053779B" w:rsidP="005E73B7">
          <w:pPr>
            <w:widowControl w:val="0"/>
            <w:tabs>
              <w:tab w:val="right" w:pos="9025"/>
            </w:tabs>
            <w:spacing w:before="200" w:line="360" w:lineRule="auto"/>
            <w:jc w:val="both"/>
            <w:rPr>
              <w:noProof/>
              <w:color w:val="000000"/>
            </w:rPr>
          </w:pPr>
          <w:r>
            <w:fldChar w:fldCharType="begin"/>
          </w:r>
          <w:r>
            <w:instrText xml:space="preserve"> TOC \h \u \z \t "Heading 1,1,Heading 2,2,Heading 3,3,Heading 4,4,Heading 5,5,Heading 6,6,"</w:instrText>
          </w:r>
          <w:r>
            <w:fldChar w:fldCharType="separate"/>
          </w:r>
          <w:hyperlink w:anchor="_t3fica9jl816">
            <w:r>
              <w:rPr>
                <w:noProof/>
                <w:color w:val="000000"/>
              </w:rPr>
              <w:t>Task 1: Poster</w:t>
            </w:r>
            <w:r>
              <w:rPr>
                <w:noProof/>
                <w:color w:val="000000"/>
              </w:rPr>
              <w:tab/>
            </w:r>
          </w:hyperlink>
          <w:r w:rsidR="00EF2FDB">
            <w:rPr>
              <w:noProof/>
            </w:rPr>
            <w:t>3</w:t>
          </w:r>
        </w:p>
        <w:p w14:paraId="00000015" w14:textId="6D3E174C" w:rsidR="00233A4C" w:rsidRDefault="0053779B">
          <w:pPr>
            <w:widowControl w:val="0"/>
            <w:tabs>
              <w:tab w:val="right" w:pos="9025"/>
            </w:tabs>
            <w:spacing w:before="200" w:line="360" w:lineRule="auto"/>
            <w:jc w:val="both"/>
            <w:rPr>
              <w:noProof/>
            </w:rPr>
          </w:pPr>
          <w:hyperlink w:anchor="_k5ez2epkg4ey">
            <w:r>
              <w:rPr>
                <w:noProof/>
                <w:color w:val="000000"/>
              </w:rPr>
              <w:t>References</w:t>
            </w:r>
            <w:r>
              <w:rPr>
                <w:noProof/>
                <w:color w:val="000000"/>
              </w:rPr>
              <w:tab/>
            </w:r>
          </w:hyperlink>
          <w:r w:rsidR="00EF2FDB">
            <w:rPr>
              <w:noProof/>
            </w:rPr>
            <w:t>4</w:t>
          </w:r>
          <w:r w:rsidR="00D974C7">
            <w:rPr>
              <w:noProof/>
            </w:rPr>
            <w:t xml:space="preserve">                                    </w:t>
          </w:r>
        </w:p>
        <w:p w14:paraId="00000017" w14:textId="7EF65859" w:rsidR="00233A4C" w:rsidRPr="00957C20" w:rsidRDefault="0053779B" w:rsidP="00D974C7">
          <w:pPr>
            <w:widowControl w:val="0"/>
            <w:tabs>
              <w:tab w:val="right" w:pos="9025"/>
            </w:tabs>
            <w:spacing w:before="200" w:line="360" w:lineRule="auto"/>
            <w:jc w:val="both"/>
          </w:pPr>
          <w:hyperlink w:anchor="_w0hx8ccntblo">
            <w:r>
              <w:rPr>
                <w:noProof/>
                <w:color w:val="000000"/>
              </w:rPr>
              <w:t>Part 1</w:t>
            </w:r>
            <w:r>
              <w:rPr>
                <w:noProof/>
                <w:color w:val="000000"/>
              </w:rPr>
              <w:tab/>
            </w:r>
          </w:hyperlink>
          <w:r>
            <w:fldChar w:fldCharType="end"/>
          </w:r>
          <w:r w:rsidR="00EF2FDB">
            <w:t>5</w:t>
          </w:r>
        </w:p>
      </w:sdtContent>
    </w:sdt>
    <w:p w14:paraId="00000019" w14:textId="77777777" w:rsidR="00233A4C" w:rsidRDefault="0053779B">
      <w:pPr>
        <w:pStyle w:val="Heading1"/>
      </w:pPr>
      <w:bookmarkStart w:id="0" w:name="_t3fica9jl816" w:colFirst="0" w:colLast="0"/>
      <w:bookmarkEnd w:id="0"/>
      <w:r>
        <w:lastRenderedPageBreak/>
        <w:t>Task 1: Poster</w:t>
      </w:r>
    </w:p>
    <w:p w14:paraId="49DE6A6E" w14:textId="0BE73B9D" w:rsidR="006F296F" w:rsidRPr="006F296F" w:rsidRDefault="006F296F" w:rsidP="006F296F">
      <w:r w:rsidRPr="006F296F">
        <w:rPr>
          <w:noProof/>
        </w:rPr>
        <w:drawing>
          <wp:inline distT="0" distB="0" distL="0" distR="0" wp14:anchorId="40E6A6F7" wp14:editId="6BA01CA8">
            <wp:extent cx="5687219" cy="8021169"/>
            <wp:effectExtent l="0" t="0" r="889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687219" cy="80211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000050" w14:textId="17A0360B" w:rsidR="00233A4C" w:rsidRDefault="0053779B" w:rsidP="001B18E8">
      <w:pPr>
        <w:spacing w:before="200" w:line="360" w:lineRule="auto"/>
        <w:jc w:val="both"/>
        <w:rPr>
          <w:b/>
          <w:bCs/>
          <w:sz w:val="28"/>
          <w:szCs w:val="28"/>
        </w:rPr>
      </w:pPr>
      <w:bookmarkStart w:id="1" w:name="_egl2c1wgmfji" w:colFirst="0" w:colLast="0"/>
      <w:bookmarkEnd w:id="1"/>
      <w:r>
        <w:br w:type="page"/>
      </w:r>
    </w:p>
    <w:p w14:paraId="00000051" w14:textId="77777777" w:rsidR="00233A4C" w:rsidRDefault="0053779B">
      <w:pPr>
        <w:pStyle w:val="Heading1"/>
      </w:pPr>
      <w:bookmarkStart w:id="2" w:name="_k5ez2epkg4ey" w:colFirst="0" w:colLast="0"/>
      <w:bookmarkEnd w:id="2"/>
      <w:r>
        <w:lastRenderedPageBreak/>
        <w:t>References</w:t>
      </w:r>
    </w:p>
    <w:p w14:paraId="00000052" w14:textId="77777777" w:rsidR="00233A4C" w:rsidRDefault="0053779B" w:rsidP="006376DA">
      <w:pPr>
        <w:pStyle w:val="Heading2"/>
        <w:spacing w:after="100" w:afterAutospacing="1"/>
      </w:pPr>
      <w:bookmarkStart w:id="3" w:name="_w0hx8ccntblo" w:colFirst="0" w:colLast="0"/>
      <w:bookmarkEnd w:id="3"/>
      <w:r>
        <w:t>Part 1</w:t>
      </w:r>
    </w:p>
    <w:p w14:paraId="049D7B0F" w14:textId="77777777" w:rsidR="006376DA" w:rsidRDefault="006376DA" w:rsidP="006376DA">
      <w:pPr>
        <w:spacing w:before="200" w:after="100" w:afterAutospacing="1" w:line="360" w:lineRule="auto"/>
        <w:jc w:val="both"/>
      </w:pPr>
      <w:r>
        <w:t>Burton, J. K., Wolters, A. T., Towers, A. M., Jones, L., Meyer, J., Gordon, A. L., ... and Goodman, C. (2022). Developing a minimum data set for older adult care homes in the UK: exploring the concept and defining early core principles.</w:t>
      </w:r>
      <w:r>
        <w:rPr>
          <w:i/>
          <w:iCs/>
        </w:rPr>
        <w:t xml:space="preserve"> The Lancet Healthy Longevity, 3</w:t>
      </w:r>
      <w:r>
        <w:t xml:space="preserve">(3), e186-e193. </w:t>
      </w:r>
      <w:hyperlink r:id="rId12">
        <w:r>
          <w:rPr>
            <w:color w:val="1155CC"/>
            <w:u w:val="single"/>
          </w:rPr>
          <w:t>https://doi.org/10.1016/S2666-7568(22)00010-1</w:t>
        </w:r>
      </w:hyperlink>
      <w:r>
        <w:t xml:space="preserve"> </w:t>
      </w:r>
    </w:p>
    <w:p w14:paraId="28869B4C" w14:textId="77777777" w:rsidR="006376DA" w:rsidRDefault="006376DA" w:rsidP="006376DA">
      <w:pPr>
        <w:spacing w:before="200" w:after="100" w:afterAutospacing="1" w:line="360" w:lineRule="auto"/>
        <w:jc w:val="both"/>
      </w:pPr>
      <w:r>
        <w:t xml:space="preserve">Care Quality Commission, (2025). </w:t>
      </w:r>
      <w:r>
        <w:rPr>
          <w:i/>
          <w:iCs/>
        </w:rPr>
        <w:t xml:space="preserve">Health and Social Care Act 2008 (Regulated Activities) Regulations. </w:t>
      </w:r>
      <w:r>
        <w:t xml:space="preserve">Available from </w:t>
      </w:r>
      <w:hyperlink r:id="rId13">
        <w:r>
          <w:rPr>
            <w:color w:val="1155CC"/>
            <w:u w:val="single"/>
          </w:rPr>
          <w:t>https://www.cqc.org.uk/guidance-regulation/providers/regulations-service-providers-and-managers/health-social-care-act/regulation-12</w:t>
        </w:r>
      </w:hyperlink>
      <w:r>
        <w:t xml:space="preserve"> [Accessed 18 February 2026] </w:t>
      </w:r>
    </w:p>
    <w:p w14:paraId="4F006E37" w14:textId="77777777" w:rsidR="006376DA" w:rsidRDefault="006376DA" w:rsidP="006376DA">
      <w:pPr>
        <w:spacing w:before="200" w:after="100" w:afterAutospacing="1" w:line="360" w:lineRule="auto"/>
        <w:jc w:val="both"/>
      </w:pPr>
      <w:r>
        <w:t xml:space="preserve">Iqbal, A., Kinghorn, P., Glasby, J., Tanner, D., and Roberts, T. (2023). A scoping review of the costs, consequences, and wider impacts of residential care home closures in a UK context. </w:t>
      </w:r>
      <w:r>
        <w:rPr>
          <w:i/>
          <w:iCs/>
        </w:rPr>
        <w:t>Health &amp; Social Care in the Community, 2023</w:t>
      </w:r>
      <w:r>
        <w:t xml:space="preserve">(1), 8675499. </w:t>
      </w:r>
      <w:hyperlink r:id="rId14">
        <w:r>
          <w:rPr>
            <w:color w:val="1155CC"/>
            <w:u w:val="single"/>
          </w:rPr>
          <w:t>https://doi.org/10.1155/2023/8675499</w:t>
        </w:r>
      </w:hyperlink>
      <w:r>
        <w:t xml:space="preserve"> </w:t>
      </w:r>
    </w:p>
    <w:p w14:paraId="5E910DA1" w14:textId="77777777" w:rsidR="006376DA" w:rsidRDefault="006376DA" w:rsidP="006376DA">
      <w:pPr>
        <w:spacing w:before="200" w:after="100" w:afterAutospacing="1" w:line="360" w:lineRule="auto"/>
        <w:jc w:val="both"/>
      </w:pPr>
      <w:r>
        <w:t xml:space="preserve">Johannessen, T., Ree, E., Aase, I., Bal, R., and Wiig, S. (2020). Exploring challenges in quality and safety work in nursing homes and home care–a case study as basis for theory development. </w:t>
      </w:r>
      <w:r>
        <w:rPr>
          <w:i/>
          <w:iCs/>
        </w:rPr>
        <w:t>BMC health services research, 20</w:t>
      </w:r>
      <w:r>
        <w:t xml:space="preserve">(1), 277.  </w:t>
      </w:r>
      <w:hyperlink r:id="rId15">
        <w:r>
          <w:rPr>
            <w:color w:val="1155CC"/>
            <w:u w:val="single"/>
          </w:rPr>
          <w:t>https://doi.org/10.1186/s12913-020-05149-x</w:t>
        </w:r>
      </w:hyperlink>
      <w:r>
        <w:t xml:space="preserve"> </w:t>
      </w:r>
    </w:p>
    <w:p w14:paraId="7DC4D351" w14:textId="77777777" w:rsidR="006376DA" w:rsidRDefault="006376DA" w:rsidP="006376DA">
      <w:pPr>
        <w:spacing w:before="200" w:after="100" w:afterAutospacing="1" w:line="360" w:lineRule="auto"/>
        <w:jc w:val="both"/>
      </w:pPr>
      <w:r>
        <w:t xml:space="preserve">Living Developments, (2025). </w:t>
      </w:r>
      <w:r>
        <w:rPr>
          <w:i/>
          <w:iCs/>
        </w:rPr>
        <w:t xml:space="preserve">The Benefits of Residential Care. </w:t>
      </w:r>
      <w:r>
        <w:t xml:space="preserve">Available at: </w:t>
      </w:r>
      <w:hyperlink r:id="rId16">
        <w:r>
          <w:rPr>
            <w:color w:val="1155CC"/>
            <w:u w:val="single"/>
          </w:rPr>
          <w:t>https://livingdevelopments.com/news/the-benefits-of-residential-care</w:t>
        </w:r>
      </w:hyperlink>
      <w:r>
        <w:t xml:space="preserve"> [Accessed 18 February 2026] </w:t>
      </w:r>
    </w:p>
    <w:p w14:paraId="02EBD7F8" w14:textId="77777777" w:rsidR="006376DA" w:rsidRDefault="006376DA" w:rsidP="006376DA">
      <w:pPr>
        <w:spacing w:before="200" w:after="100" w:afterAutospacing="1" w:line="360" w:lineRule="auto"/>
        <w:jc w:val="both"/>
      </w:pPr>
      <w:r>
        <w:t xml:space="preserve">Lynch, B., Ryan, A. A., O’Neill, M., and Penney, S. (2022). The factors that influence care home residents’ and families’ engagement with decision-making about their care and support: an integrative review of the literature. </w:t>
      </w:r>
      <w:r>
        <w:rPr>
          <w:i/>
          <w:iCs/>
        </w:rPr>
        <w:t>BMC geriatrics, 22</w:t>
      </w:r>
      <w:r>
        <w:t xml:space="preserve">(1), 873. </w:t>
      </w:r>
      <w:hyperlink r:id="rId17">
        <w:r>
          <w:rPr>
            <w:color w:val="1155CC"/>
            <w:u w:val="single"/>
          </w:rPr>
          <w:t>https://doi.org/10.1186/s12877-022-03503-8</w:t>
        </w:r>
      </w:hyperlink>
      <w:r>
        <w:t xml:space="preserve"> </w:t>
      </w:r>
    </w:p>
    <w:p w14:paraId="2CC8FD37" w14:textId="77777777" w:rsidR="006376DA" w:rsidRDefault="006376DA" w:rsidP="006376DA">
      <w:pPr>
        <w:spacing w:before="200" w:after="100" w:afterAutospacing="1" w:line="360" w:lineRule="auto"/>
        <w:jc w:val="both"/>
      </w:pPr>
      <w:r>
        <w:t xml:space="preserve">Miller, M., Almomani, Y., Hopwood, P., Haghighi, P., Davis, A., Littler, E., ... and MacEachen, E. (2025). The impact of staffing structures in long-term care homes on the quality of work-life and work outcomes of care-workers: A narrative scoping review. </w:t>
      </w:r>
      <w:r>
        <w:rPr>
          <w:i/>
          <w:iCs/>
        </w:rPr>
        <w:t>International Journal of Nursing Studies,</w:t>
      </w:r>
      <w:r>
        <w:t xml:space="preserve"> 105304. </w:t>
      </w:r>
      <w:hyperlink r:id="rId18">
        <w:r>
          <w:rPr>
            <w:color w:val="1155CC"/>
            <w:u w:val="single"/>
          </w:rPr>
          <w:t>https://doi.org/10.1016/j.ijnurstu.2025.105304</w:t>
        </w:r>
      </w:hyperlink>
      <w:r>
        <w:t xml:space="preserve"> </w:t>
      </w:r>
    </w:p>
    <w:p w14:paraId="35A702B2" w14:textId="77777777" w:rsidR="006376DA" w:rsidRDefault="006376DA" w:rsidP="006376DA">
      <w:pPr>
        <w:spacing w:before="200" w:after="100" w:afterAutospacing="1" w:line="360" w:lineRule="auto"/>
        <w:jc w:val="both"/>
      </w:pPr>
      <w:r>
        <w:lastRenderedPageBreak/>
        <w:t xml:space="preserve">NHS, (2025). </w:t>
      </w:r>
      <w:r>
        <w:rPr>
          <w:i/>
          <w:iCs/>
        </w:rPr>
        <w:t xml:space="preserve">Care homes. </w:t>
      </w:r>
      <w:r>
        <w:t xml:space="preserve">Available at: </w:t>
      </w:r>
      <w:hyperlink r:id="rId19">
        <w:r>
          <w:rPr>
            <w:color w:val="1155CC"/>
            <w:u w:val="single"/>
          </w:rPr>
          <w:t>https://www.nhs.uk/social-care-and-support/care-services-equipment-and-care-homes/care-homes/</w:t>
        </w:r>
      </w:hyperlink>
      <w:r>
        <w:t xml:space="preserve"> [Accessed 18 February 2026]</w:t>
      </w:r>
    </w:p>
    <w:p w14:paraId="631F3DBB" w14:textId="77777777" w:rsidR="006376DA" w:rsidRDefault="006376DA" w:rsidP="006376DA">
      <w:pPr>
        <w:spacing w:before="200" w:after="100" w:afterAutospacing="1" w:line="360" w:lineRule="auto"/>
        <w:jc w:val="both"/>
      </w:pPr>
      <w:r>
        <w:t xml:space="preserve">ST. MICHAELS CARE, (2025). </w:t>
      </w:r>
      <w:r>
        <w:rPr>
          <w:i/>
          <w:iCs/>
        </w:rPr>
        <w:t xml:space="preserve">The Importance of Residential Care. </w:t>
      </w:r>
      <w:r>
        <w:t xml:space="preserve">Available at: </w:t>
      </w:r>
      <w:hyperlink r:id="rId20">
        <w:r>
          <w:rPr>
            <w:color w:val="1155CC"/>
            <w:u w:val="single"/>
          </w:rPr>
          <w:t>https://stmichaelscare.org/the-importance-of-residential-care/</w:t>
        </w:r>
      </w:hyperlink>
      <w:r>
        <w:t xml:space="preserve"> [Accessed 18 February 2026]</w:t>
      </w:r>
    </w:p>
    <w:p w14:paraId="40900B52" w14:textId="77777777" w:rsidR="006376DA" w:rsidRDefault="006376DA" w:rsidP="006376DA">
      <w:pPr>
        <w:spacing w:before="200" w:after="100" w:afterAutospacing="1" w:line="360" w:lineRule="auto"/>
        <w:jc w:val="both"/>
      </w:pPr>
      <w:r>
        <w:t xml:space="preserve">Szczepura, A., Nelson, S., and Wild, D. (2008). In-reach specialist nursing teams for residential care homes: uptake of services, impact on care provision and cost-effectiveness. </w:t>
      </w:r>
      <w:r>
        <w:rPr>
          <w:i/>
          <w:iCs/>
        </w:rPr>
        <w:t>BMC Health Services Research, 8</w:t>
      </w:r>
      <w:r>
        <w:t xml:space="preserve">(1), 269.  </w:t>
      </w:r>
      <w:hyperlink r:id="rId21">
        <w:r>
          <w:rPr>
            <w:color w:val="1155CC"/>
            <w:u w:val="single"/>
          </w:rPr>
          <w:t>https://doi.org/10.1186/1472-6963-8-269</w:t>
        </w:r>
      </w:hyperlink>
      <w:r>
        <w:t xml:space="preserve"> </w:t>
      </w:r>
    </w:p>
    <w:p w14:paraId="4F87C9D3" w14:textId="0F78C3C7" w:rsidR="006376DA" w:rsidRDefault="006376DA" w:rsidP="006376DA">
      <w:pPr>
        <w:spacing w:before="200" w:after="100" w:afterAutospacing="1" w:line="360" w:lineRule="auto"/>
        <w:jc w:val="both"/>
      </w:pPr>
      <w:bookmarkStart w:id="4" w:name="_n9hjr216jo01" w:colFirst="0" w:colLast="0"/>
      <w:bookmarkEnd w:id="4"/>
    </w:p>
    <w:sectPr w:rsidR="006376DA" w:rsidSect="006376DA">
      <w:footerReference w:type="default" r:id="rId22"/>
      <w:pgSz w:w="11909" w:h="16834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830F8C" w14:textId="77777777" w:rsidR="00D25EB0" w:rsidRDefault="00D25EB0" w:rsidP="006376DA">
      <w:pPr>
        <w:spacing w:line="240" w:lineRule="auto"/>
      </w:pPr>
      <w:r>
        <w:separator/>
      </w:r>
    </w:p>
  </w:endnote>
  <w:endnote w:type="continuationSeparator" w:id="0">
    <w:p w14:paraId="0039294B" w14:textId="77777777" w:rsidR="00D25EB0" w:rsidRDefault="00D25EB0" w:rsidP="006376DA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  <w:embedRegular r:id="rId1" w:fontKey="{B5CCF775-6FE1-4CDD-8B0C-1C44DEDD0E66}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2" w:fontKey="{54522237-3A4F-4EA0-B92C-32F39952653F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3" w:fontKey="{4E77AFAA-E683-4A0F-A8EE-B2A661B20CA5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sz w:val="20"/>
        <w:szCs w:val="20"/>
      </w:rPr>
      <w:id w:val="190110536"/>
      <w:docPartObj>
        <w:docPartGallery w:val="Page Numbers (Bottom of Page)"/>
        <w:docPartUnique/>
      </w:docPartObj>
    </w:sdtPr>
    <w:sdtEndPr/>
    <w:sdtContent>
      <w:sdt>
        <w:sdtPr>
          <w:rPr>
            <w:sz w:val="20"/>
            <w:szCs w:val="20"/>
          </w:rPr>
          <w:id w:val="860082579"/>
          <w:docPartObj>
            <w:docPartGallery w:val="Page Numbers (Top of Page)"/>
            <w:docPartUnique/>
          </w:docPartObj>
        </w:sdtPr>
        <w:sdtEndPr/>
        <w:sdtContent>
          <w:p w14:paraId="0B4AD867" w14:textId="66FA2885" w:rsidR="006376DA" w:rsidRPr="006376DA" w:rsidRDefault="006376DA">
            <w:pPr>
              <w:pStyle w:val="Footer"/>
              <w:jc w:val="right"/>
              <w:rPr>
                <w:sz w:val="20"/>
                <w:szCs w:val="20"/>
              </w:rPr>
            </w:pPr>
            <w:r w:rsidRPr="006376DA">
              <w:rPr>
                <w:sz w:val="20"/>
                <w:szCs w:val="20"/>
              </w:rPr>
              <w:t xml:space="preserve">Page </w:t>
            </w:r>
            <w:r w:rsidRPr="006376DA">
              <w:rPr>
                <w:bCs/>
                <w:sz w:val="20"/>
                <w:szCs w:val="20"/>
              </w:rPr>
              <w:fldChar w:fldCharType="begin"/>
            </w:r>
            <w:r w:rsidRPr="006376DA">
              <w:rPr>
                <w:bCs/>
                <w:sz w:val="20"/>
                <w:szCs w:val="20"/>
              </w:rPr>
              <w:instrText xml:space="preserve"> PAGE </w:instrText>
            </w:r>
            <w:r w:rsidRPr="006376DA">
              <w:rPr>
                <w:bCs/>
                <w:sz w:val="20"/>
                <w:szCs w:val="20"/>
              </w:rPr>
              <w:fldChar w:fldCharType="separate"/>
            </w:r>
            <w:r w:rsidR="006F296F">
              <w:rPr>
                <w:bCs/>
                <w:noProof/>
                <w:sz w:val="20"/>
                <w:szCs w:val="20"/>
              </w:rPr>
              <w:t>4</w:t>
            </w:r>
            <w:r w:rsidRPr="006376DA">
              <w:rPr>
                <w:bCs/>
                <w:sz w:val="20"/>
                <w:szCs w:val="20"/>
              </w:rPr>
              <w:fldChar w:fldCharType="end"/>
            </w:r>
            <w:r w:rsidRPr="006376DA">
              <w:rPr>
                <w:sz w:val="20"/>
                <w:szCs w:val="20"/>
              </w:rPr>
              <w:t xml:space="preserve"> of </w:t>
            </w:r>
            <w:r w:rsidRPr="006376DA">
              <w:rPr>
                <w:bCs/>
                <w:sz w:val="20"/>
                <w:szCs w:val="20"/>
              </w:rPr>
              <w:fldChar w:fldCharType="begin"/>
            </w:r>
            <w:r w:rsidRPr="006376DA">
              <w:rPr>
                <w:bCs/>
                <w:sz w:val="20"/>
                <w:szCs w:val="20"/>
              </w:rPr>
              <w:instrText xml:space="preserve"> NUMPAGES  </w:instrText>
            </w:r>
            <w:r w:rsidRPr="006376DA">
              <w:rPr>
                <w:bCs/>
                <w:sz w:val="20"/>
                <w:szCs w:val="20"/>
              </w:rPr>
              <w:fldChar w:fldCharType="separate"/>
            </w:r>
            <w:r w:rsidR="006F296F">
              <w:rPr>
                <w:bCs/>
                <w:noProof/>
                <w:sz w:val="20"/>
                <w:szCs w:val="20"/>
              </w:rPr>
              <w:t>8</w:t>
            </w:r>
            <w:r w:rsidRPr="006376DA">
              <w:rPr>
                <w:bCs/>
                <w:sz w:val="20"/>
                <w:szCs w:val="20"/>
              </w:rPr>
              <w:fldChar w:fldCharType="end"/>
            </w:r>
          </w:p>
        </w:sdtContent>
      </w:sdt>
    </w:sdtContent>
  </w:sdt>
  <w:p w14:paraId="4DEB676A" w14:textId="77777777" w:rsidR="006376DA" w:rsidRDefault="006376D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76B1F8" w14:textId="77777777" w:rsidR="00D25EB0" w:rsidRDefault="00D25EB0" w:rsidP="006376DA">
      <w:pPr>
        <w:spacing w:line="240" w:lineRule="auto"/>
      </w:pPr>
      <w:r>
        <w:separator/>
      </w:r>
    </w:p>
  </w:footnote>
  <w:footnote w:type="continuationSeparator" w:id="0">
    <w:p w14:paraId="0D30180F" w14:textId="77777777" w:rsidR="00D25EB0" w:rsidRDefault="00D25EB0" w:rsidP="006376DA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D95547"/>
    <w:multiLevelType w:val="multilevel"/>
    <w:tmpl w:val="80581AE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0ACB4E21"/>
    <w:multiLevelType w:val="multilevel"/>
    <w:tmpl w:val="070CA58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1DFF64CB"/>
    <w:multiLevelType w:val="multilevel"/>
    <w:tmpl w:val="3E86EE22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297931B0"/>
    <w:multiLevelType w:val="multilevel"/>
    <w:tmpl w:val="C068CF3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29DA5C16"/>
    <w:multiLevelType w:val="multilevel"/>
    <w:tmpl w:val="0E7A9F8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56BF3139"/>
    <w:multiLevelType w:val="multilevel"/>
    <w:tmpl w:val="17E4F08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64AE2370"/>
    <w:multiLevelType w:val="multilevel"/>
    <w:tmpl w:val="7C6E156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2131701943">
    <w:abstractNumId w:val="4"/>
  </w:num>
  <w:num w:numId="2" w16cid:durableId="419646729">
    <w:abstractNumId w:val="3"/>
  </w:num>
  <w:num w:numId="3" w16cid:durableId="1756900129">
    <w:abstractNumId w:val="2"/>
  </w:num>
  <w:num w:numId="4" w16cid:durableId="1527407109">
    <w:abstractNumId w:val="1"/>
  </w:num>
  <w:num w:numId="5" w16cid:durableId="1013335623">
    <w:abstractNumId w:val="5"/>
  </w:num>
  <w:num w:numId="6" w16cid:durableId="393554097">
    <w:abstractNumId w:val="0"/>
  </w:num>
  <w:num w:numId="7" w16cid:durableId="194230257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3A4C"/>
    <w:rsid w:val="000609CB"/>
    <w:rsid w:val="00066F7F"/>
    <w:rsid w:val="00083915"/>
    <w:rsid w:val="001B18E8"/>
    <w:rsid w:val="00233A4C"/>
    <w:rsid w:val="00275DAA"/>
    <w:rsid w:val="00294BDA"/>
    <w:rsid w:val="0039388B"/>
    <w:rsid w:val="00406F79"/>
    <w:rsid w:val="0053779B"/>
    <w:rsid w:val="005E27BF"/>
    <w:rsid w:val="005E73B7"/>
    <w:rsid w:val="006376DA"/>
    <w:rsid w:val="00646D2B"/>
    <w:rsid w:val="00656B75"/>
    <w:rsid w:val="006F296F"/>
    <w:rsid w:val="007453A0"/>
    <w:rsid w:val="007A15E9"/>
    <w:rsid w:val="007C1593"/>
    <w:rsid w:val="008A4685"/>
    <w:rsid w:val="008F74D6"/>
    <w:rsid w:val="00957C20"/>
    <w:rsid w:val="00966762"/>
    <w:rsid w:val="00A61145"/>
    <w:rsid w:val="00CA74A2"/>
    <w:rsid w:val="00CD6E27"/>
    <w:rsid w:val="00D25EB0"/>
    <w:rsid w:val="00D974C7"/>
    <w:rsid w:val="00DA5BF4"/>
    <w:rsid w:val="00DE74DD"/>
    <w:rsid w:val="00DF7FD8"/>
    <w:rsid w:val="00EE7CB8"/>
    <w:rsid w:val="00EF2FDB"/>
    <w:rsid w:val="00F329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66F8F4"/>
  <w15:docId w15:val="{ACFDD822-7DA8-4D20-8D50-26754AF0C7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IN" w:eastAsia="en-I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200" w:line="360" w:lineRule="auto"/>
      <w:jc w:val="both"/>
      <w:outlineLvl w:val="0"/>
    </w:pPr>
    <w:rPr>
      <w:b/>
      <w:bCs/>
      <w:sz w:val="28"/>
      <w:szCs w:val="28"/>
    </w:rPr>
  </w:style>
  <w:style w:type="paragraph" w:styleId="Heading2">
    <w:name w:val="heading 2"/>
    <w:basedOn w:val="Normal"/>
    <w:next w:val="Normal"/>
    <w:pPr>
      <w:keepNext/>
      <w:keepLines/>
      <w:spacing w:before="200" w:line="360" w:lineRule="auto"/>
      <w:jc w:val="both"/>
      <w:outlineLvl w:val="1"/>
    </w:pPr>
    <w:rPr>
      <w:b/>
      <w:bCs/>
      <w:color w:val="0E101A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376DA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76DA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6376DA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76DA"/>
  </w:style>
  <w:style w:type="paragraph" w:styleId="Footer">
    <w:name w:val="footer"/>
    <w:basedOn w:val="Normal"/>
    <w:link w:val="FooterChar"/>
    <w:uiPriority w:val="99"/>
    <w:unhideWhenUsed/>
    <w:rsid w:val="006376DA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76D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cqc.org.uk/guidance-regulation/providers/regulations-service-providers-and-managers/health-social-care-act/regulation-12" TargetMode="External"/><Relationship Id="rId18" Type="http://schemas.openxmlformats.org/officeDocument/2006/relationships/hyperlink" Target="https://doi.org/10.1016/j.ijnurstu.2025.105304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1186/1472-6963-8-269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doi.org/10.1016/S2666-7568(22)00010-1" TargetMode="External"/><Relationship Id="rId17" Type="http://schemas.openxmlformats.org/officeDocument/2006/relationships/hyperlink" Target="https://doi.org/10.1186/s12877-022-03503-8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livingdevelopments.com/news/the-benefits-of-residential-care" TargetMode="External"/><Relationship Id="rId20" Type="http://schemas.openxmlformats.org/officeDocument/2006/relationships/hyperlink" Target="https://stmichaelscare.org/the-importance-of-residential-care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doi.org/10.1186/s12913-020-05149-x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hyperlink" Target="https://www.nhs.uk/social-care-and-support/care-services-equipment-and-care-homes/care-homes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doi.org/10.1155/2023/8675499" TargetMode="External"/><Relationship Id="rId22" Type="http://schemas.openxmlformats.org/officeDocument/2006/relationships/footer" Target="footer1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940dee23895f6fd138bbc848e8971887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cce55b4b2daa0cfa279b72bca4f9d115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AFA1C818-BE97-4820-B677-DF4AC915523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88B8FCF-1C1D-4D8D-8A94-CC8F7E9266B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5129A6F-85B9-465E-9243-69F145681897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5</Pages>
  <Words>591</Words>
  <Characters>3371</Characters>
  <Application>Microsoft Office Word</Application>
  <DocSecurity>0</DocSecurity>
  <Lines>28</Lines>
  <Paragraphs>7</Paragraphs>
  <ScaleCrop>false</ScaleCrop>
  <Company/>
  <LinksUpToDate>false</LinksUpToDate>
  <CharactersWithSpaces>3955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Catarina Ngunza</dc:creator>
  <cp:lastModifiedBy>saidatina duarte</cp:lastModifiedBy>
  <cp:revision>2</cp:revision>
  <dcterms:created xsi:type="dcterms:W3CDTF">2026-02-23T01:28:00Z</dcterms:created>
  <dcterms:modified xsi:type="dcterms:W3CDTF">2026-02-23T01:28:00Z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