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C51D6E" w14:textId="1113E7CC" w:rsidR="006554B5" w:rsidRPr="00B870A0" w:rsidRDefault="008438A5" w:rsidP="00B870A0">
      <w:pPr>
        <w:pStyle w:val="NormalWeb"/>
        <w:jc w:val="both"/>
        <w:rPr>
          <w:rFonts w:ascii="Arial" w:hAnsi="Arial" w:cs="Arial"/>
          <w:lang w:val="en-GB"/>
        </w:rPr>
      </w:pPr>
      <w:r w:rsidRPr="00B870A0">
        <w:rPr>
          <w:rStyle w:val="Strong"/>
          <w:rFonts w:ascii="Arial" w:hAnsi="Arial" w:cs="Arial"/>
        </w:rPr>
        <w:t>From Task Automation to Agentic Work: Rethinking Talent Management in the AI Era</w:t>
      </w:r>
    </w:p>
    <w:p w14:paraId="035199A6" w14:textId="6EC443EF" w:rsidR="00645B4D" w:rsidRPr="00B870A0" w:rsidRDefault="00645B4D" w:rsidP="00B870A0">
      <w:pPr>
        <w:jc w:val="both"/>
        <w:rPr>
          <w:rFonts w:ascii="Arial" w:hAnsi="Arial" w:cs="Arial"/>
        </w:rPr>
      </w:pPr>
      <w:r w:rsidRPr="00B870A0">
        <w:rPr>
          <w:rFonts w:ascii="Arial" w:hAnsi="Arial" w:cs="Arial"/>
        </w:rPr>
        <w:t>As AI moves work beyond task automation toward process automation and increasingly agentic forms of execution, it is not only changing how work is performed but also redefining who counts as strategically valuable talent. This chapter argues that shifts in the basic unit of work have profound implications for talent management, requiring organizations to rethink how they identify, develop, and retain AI-ready employees. To advance this argument, the chapter proposes a preliminary typology of talent in AI-transformed work to form an AI-ready talent pipeline.</w:t>
      </w:r>
    </w:p>
    <w:p w14:paraId="44A2CF54" w14:textId="34F8B590" w:rsidR="00645B4D" w:rsidRPr="00B870A0" w:rsidRDefault="00645B4D" w:rsidP="00B870A0">
      <w:pPr>
        <w:jc w:val="both"/>
        <w:rPr>
          <w:rFonts w:ascii="Arial" w:eastAsia="SimSun" w:hAnsi="Arial" w:cs="Arial"/>
        </w:rPr>
      </w:pPr>
    </w:p>
    <w:p w14:paraId="55528587" w14:textId="5BC400C7" w:rsidR="002F63E4" w:rsidRPr="00B870A0" w:rsidRDefault="00645B4D" w:rsidP="00B870A0">
      <w:pPr>
        <w:jc w:val="both"/>
        <w:rPr>
          <w:rFonts w:ascii="Arial" w:hAnsi="Arial" w:cs="Arial"/>
        </w:rPr>
      </w:pPr>
      <w:r w:rsidRPr="002F63E4">
        <w:rPr>
          <w:rFonts w:ascii="Arial" w:hAnsi="Arial" w:cs="Arial"/>
        </w:rPr>
        <w:t>Artificial intelligence (AI) has already entered both HRM research and practice. Yet much of the existing discussion still treats AI primarily as an HR tool, emphasizing its role in improving the efficiency of recruitment, training, performance management, and people analytics (Budhwar et al., 2023; Li &amp; Cheng, 2025). Other studies examine the effects of AI on employees in relatively broad terms, such as job satisfaction, performance, and motivation, while a further stream of research focuses on worker substitution and the ethical concerns raised by</w:t>
      </w:r>
      <w:r w:rsidRPr="00B870A0">
        <w:rPr>
          <w:rFonts w:ascii="Arial" w:hAnsi="Arial" w:cs="Arial"/>
        </w:rPr>
        <w:t xml:space="preserve"> algorithmic management and AI-enabled decision-making (Garcia &amp; Kwok, 2025). Although these perspectives are important, they do not fully reveal a deeper shift now taking place: AI is transforming the basic unit of work itself. </w:t>
      </w:r>
    </w:p>
    <w:p w14:paraId="3EE29066" w14:textId="14CA71FF" w:rsidR="00645B4D" w:rsidRPr="00B870A0" w:rsidRDefault="00645B4D" w:rsidP="00B870A0">
      <w:pPr>
        <w:jc w:val="both"/>
        <w:rPr>
          <w:rFonts w:ascii="Arial" w:hAnsi="Arial" w:cs="Arial"/>
        </w:rPr>
      </w:pPr>
    </w:p>
    <w:p w14:paraId="2FB53BAF" w14:textId="4D7007AD" w:rsidR="002F63E4" w:rsidRPr="00B870A0" w:rsidRDefault="00645B4D" w:rsidP="00B870A0">
      <w:pPr>
        <w:jc w:val="both"/>
        <w:rPr>
          <w:rFonts w:ascii="Arial" w:hAnsi="Arial" w:cs="Arial"/>
        </w:rPr>
      </w:pPr>
      <w:r w:rsidRPr="00B870A0">
        <w:rPr>
          <w:rFonts w:ascii="Arial" w:hAnsi="Arial" w:cs="Arial"/>
        </w:rPr>
        <w:t xml:space="preserve">A major recent technical advancement is the emergence of popular open-source personal AI agents ( OpenClaw, formerly Clawdbot/Moltbot), that can run locally on users’ own hardware. The advances in generative and agentic AI have made AI’s transformative impact on the nature of work increasingly visible, as they open up the possibility of automating entire processes through AI agents rather than merely automating discrete </w:t>
      </w:r>
      <w:r w:rsidRPr="002F63E4">
        <w:rPr>
          <w:rFonts w:ascii="Arial" w:hAnsi="Arial" w:cs="Arial"/>
        </w:rPr>
        <w:t xml:space="preserve">tasks. In other words, </w:t>
      </w:r>
      <w:r w:rsidR="002F63E4" w:rsidRPr="002F63E4">
        <w:rPr>
          <w:rFonts w:ascii="Arial" w:hAnsi="Arial" w:cs="Arial"/>
        </w:rPr>
        <w:t>it is increasingly pushing work beyond discrete task automation toward broader process orchestration and, in some contexts, more agentic forms of AI-enabled execution (Budhwar et al., 2023; Chowdhury et al., 2024).</w:t>
      </w:r>
      <w:r w:rsidR="0033273B" w:rsidRPr="002F63E4">
        <w:rPr>
          <w:rFonts w:ascii="Arial" w:hAnsi="Arial" w:cs="Arial"/>
        </w:rPr>
        <w:t xml:space="preserve"> </w:t>
      </w:r>
      <w:r w:rsidRPr="002F63E4">
        <w:rPr>
          <w:rFonts w:ascii="Arial" w:hAnsi="Arial" w:cs="Arial"/>
        </w:rPr>
        <w:t>Under these conditions, organizations must rethink not only how work can be further automated and optimized, but also what kinds of talent will be most needed in the future. As AI reshapes the architecture of work, it also reshapes the definition of strategically</w:t>
      </w:r>
      <w:r w:rsidRPr="00B870A0">
        <w:rPr>
          <w:rFonts w:ascii="Arial" w:hAnsi="Arial" w:cs="Arial"/>
        </w:rPr>
        <w:t xml:space="preserve"> valuable talent.</w:t>
      </w:r>
    </w:p>
    <w:p w14:paraId="0342C0BF" w14:textId="7F3A1919" w:rsidR="006554B5" w:rsidRPr="00B870A0" w:rsidRDefault="006554B5" w:rsidP="00B870A0">
      <w:pPr>
        <w:jc w:val="both"/>
        <w:rPr>
          <w:rFonts w:ascii="Arial" w:hAnsi="Arial" w:cs="Arial"/>
        </w:rPr>
      </w:pPr>
    </w:p>
    <w:p w14:paraId="366A099D" w14:textId="3CFC1828" w:rsidR="0033273B" w:rsidRPr="00B870A0" w:rsidRDefault="0033273B" w:rsidP="00B870A0">
      <w:pPr>
        <w:jc w:val="both"/>
        <w:rPr>
          <w:rFonts w:ascii="Arial" w:hAnsi="Arial" w:cs="Arial"/>
        </w:rPr>
      </w:pPr>
      <w:bookmarkStart w:id="0" w:name="OLE_LINK23"/>
      <w:r w:rsidRPr="00B870A0">
        <w:rPr>
          <w:rFonts w:ascii="Arial" w:hAnsi="Arial" w:cs="Arial"/>
        </w:rPr>
        <w:t>The AI era should not be understood merely as a new phase of traditional automation; rather, it should be seen as a broader transformation in the architecture of work. As work shifts from task execution to process coordination and, increasingly, to AI-mediated or agentic forms of execution, the role of employees within organizations changes accordingly. Organizations are no longer concerned only with whether employees can function as efficient executors of predefined tasks. They are increasingly valuing employees’ ability to monitor AI outputs, manage exceptions, integrate information across workflows, exercise judgment under conditions of uncertainty, and coordinate and govern AI-enabled work systems (Budhwar et al., 2023; Garcia &amp; Kwok, 2025; Matej &amp; Amadeja, 2025). More importantly, workers are now expected to take greater responsibility of job craft for planning, structuring, and optimizing their own work, defining the boundaries of the tasks and modules for which they are accountable</w:t>
      </w:r>
      <w:r w:rsidR="00D35ED8" w:rsidRPr="00B870A0">
        <w:rPr>
          <w:rFonts w:ascii="Arial" w:hAnsi="Arial" w:cs="Arial"/>
        </w:rPr>
        <w:t>.</w:t>
      </w:r>
      <w:r w:rsidRPr="00B870A0">
        <w:rPr>
          <w:rFonts w:ascii="Arial" w:hAnsi="Arial" w:cs="Arial"/>
        </w:rPr>
        <w:t xml:space="preserve">. Under these conditions, </w:t>
      </w:r>
      <w:r w:rsidRPr="00B870A0">
        <w:rPr>
          <w:rFonts w:ascii="Arial" w:hAnsi="Arial" w:cs="Arial"/>
        </w:rPr>
        <w:lastRenderedPageBreak/>
        <w:t>professional depth, contextual understanding of one’s work, technical capability, accountability, and individual credibility become increasingly central.</w:t>
      </w:r>
    </w:p>
    <w:p w14:paraId="406DD394" w14:textId="77777777" w:rsidR="0033273B" w:rsidRPr="00B870A0" w:rsidRDefault="0033273B" w:rsidP="00B870A0">
      <w:pPr>
        <w:jc w:val="both"/>
        <w:rPr>
          <w:rFonts w:ascii="Arial" w:hAnsi="Arial" w:cs="Arial"/>
        </w:rPr>
      </w:pPr>
    </w:p>
    <w:p w14:paraId="77FC9762" w14:textId="1D45CE0C" w:rsidR="00B870A0" w:rsidRDefault="0033273B" w:rsidP="00B870A0">
      <w:pPr>
        <w:jc w:val="both"/>
        <w:rPr>
          <w:rFonts w:ascii="Arial" w:hAnsi="Arial" w:cs="Arial"/>
        </w:rPr>
      </w:pPr>
      <w:r w:rsidRPr="00B870A0">
        <w:rPr>
          <w:rFonts w:ascii="Arial" w:hAnsi="Arial" w:cs="Arial"/>
        </w:rPr>
        <w:t>From this perspective, AI is not merely changing job content; it is reshaping the very meaning of talent. For this reason, research needs to move beyond a narrow focus on job redesign, role adjustment, or the upskilling required to use AI tools. Such concerns remain important, but they are no longer sufficient. What is changing more fundamentally is the basis on which organizations judge who is strategically valuable. As AI transforms the structure of work, it also changes the criteria by which talent is recognized, developed, and retained. This suggests the need to shift the analytical focus from job redesign to talent redefinition (Chowdhury et al., 2024; Li et al., 2024).</w:t>
      </w:r>
      <w:bookmarkEnd w:id="0"/>
    </w:p>
    <w:p w14:paraId="31051CF8" w14:textId="77777777" w:rsidR="00AE1C9D" w:rsidRPr="00B870A0" w:rsidRDefault="00AE1C9D" w:rsidP="00B870A0">
      <w:pPr>
        <w:jc w:val="both"/>
        <w:rPr>
          <w:rFonts w:ascii="Arial" w:hAnsi="Arial" w:cs="Arial"/>
        </w:rPr>
      </w:pPr>
    </w:p>
    <w:p w14:paraId="30487A52" w14:textId="77777777" w:rsidR="00B870A0" w:rsidRPr="00B870A0" w:rsidRDefault="00B870A0" w:rsidP="00B870A0">
      <w:pPr>
        <w:jc w:val="both"/>
        <w:rPr>
          <w:rFonts w:ascii="Arial" w:eastAsia="SimSun" w:hAnsi="Arial" w:cs="Arial"/>
        </w:rPr>
      </w:pPr>
      <w:r w:rsidRPr="00B870A0">
        <w:rPr>
          <w:rFonts w:ascii="Arial" w:hAnsi="Arial" w:cs="Arial"/>
          <w:noProof/>
        </w:rPr>
        <w:drawing>
          <wp:inline distT="0" distB="0" distL="0" distR="0" wp14:anchorId="1E757E8B" wp14:editId="11554761">
            <wp:extent cx="5943420" cy="2530460"/>
            <wp:effectExtent l="0" t="0" r="635" b="0"/>
            <wp:docPr id="3" name="Picture 3" descr="A diagram of a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diagram of a process&#10;&#10;Description automatically generated"/>
                    <pic:cNvPicPr/>
                  </pic:nvPicPr>
                  <pic:blipFill rotWithShape="1">
                    <a:blip r:embed="rId6" cstate="print">
                      <a:extLst>
                        <a:ext uri="{28A0092B-C50C-407E-A947-70E740481C1C}">
                          <a14:useLocalDpi xmlns:a14="http://schemas.microsoft.com/office/drawing/2010/main" val="0"/>
                        </a:ext>
                      </a:extLst>
                    </a:blip>
                    <a:srcRect t="10465" b="25671"/>
                    <a:stretch/>
                  </pic:blipFill>
                  <pic:spPr bwMode="auto">
                    <a:xfrm>
                      <a:off x="0" y="0"/>
                      <a:ext cx="5943600" cy="2530536"/>
                    </a:xfrm>
                    <a:prstGeom prst="rect">
                      <a:avLst/>
                    </a:prstGeom>
                    <a:ln>
                      <a:noFill/>
                    </a:ln>
                    <a:extLst>
                      <a:ext uri="{53640926-AAD7-44D8-BBD7-CCE9431645EC}">
                        <a14:shadowObscured xmlns:a14="http://schemas.microsoft.com/office/drawing/2010/main"/>
                      </a:ext>
                    </a:extLst>
                  </pic:spPr>
                </pic:pic>
              </a:graphicData>
            </a:graphic>
          </wp:inline>
        </w:drawing>
      </w:r>
    </w:p>
    <w:p w14:paraId="67896F08" w14:textId="77777777" w:rsidR="00B870A0" w:rsidRPr="00B870A0" w:rsidRDefault="00B870A0" w:rsidP="00B870A0">
      <w:pPr>
        <w:jc w:val="both"/>
        <w:rPr>
          <w:rFonts w:ascii="Arial" w:hAnsi="Arial" w:cs="Arial"/>
        </w:rPr>
      </w:pPr>
      <w:r w:rsidRPr="00B870A0">
        <w:rPr>
          <w:rFonts w:ascii="Arial" w:hAnsi="Arial" w:cs="Arial"/>
        </w:rPr>
        <w:t>Figure1: Stage Model of the Evolution of the Nature of Work</w:t>
      </w:r>
    </w:p>
    <w:p w14:paraId="24EECB5E" w14:textId="77777777" w:rsidR="00B870A0" w:rsidRPr="00B870A0" w:rsidRDefault="00B870A0" w:rsidP="00B870A0">
      <w:pPr>
        <w:jc w:val="both"/>
        <w:rPr>
          <w:rFonts w:ascii="Arial" w:hAnsi="Arial" w:cs="Arial"/>
        </w:rPr>
      </w:pPr>
    </w:p>
    <w:p w14:paraId="4A4EC179" w14:textId="77777777" w:rsidR="00D35ED8" w:rsidRPr="00B870A0" w:rsidRDefault="00D35ED8" w:rsidP="00B870A0">
      <w:pPr>
        <w:jc w:val="both"/>
        <w:rPr>
          <w:rFonts w:ascii="Arial" w:eastAsia="SimSun" w:hAnsi="Arial" w:cs="Arial"/>
        </w:rPr>
      </w:pPr>
    </w:p>
    <w:p w14:paraId="0C3D28F0" w14:textId="64B76514" w:rsidR="0033273B" w:rsidRDefault="00D35ED8" w:rsidP="00B870A0">
      <w:pPr>
        <w:jc w:val="both"/>
        <w:rPr>
          <w:rFonts w:ascii="Arial" w:hAnsi="Arial" w:cs="Arial"/>
        </w:rPr>
      </w:pPr>
      <w:r w:rsidRPr="00B870A0">
        <w:rPr>
          <w:rFonts w:ascii="Arial" w:hAnsi="Arial" w:cs="Arial"/>
        </w:rPr>
        <w:t>The first contribution of this chapter lies in building a conceptual bridge between two streams of research that have largely developed in parallel. On the one hand, a growing body of work has begun to examine how generative AI, intelligent systems, and automation reshape HRM, work design, and organizational processes (Budhwar et al., 2023; Chowdhury et al., 2024; Garcia &amp; Kwok, 2025; Matej &amp; Amadeja, 2025). On the other hand, a substantial literature on talent management has explored how organizations identify, develop, and retain strategically valuable employees under conditions of digital transformation and changing organizational capabilities (Bolander et al., 2017; Kravariti &amp; Johnston, 2020; Dawson &amp; Agbozo, 2024; Li et al., 2024). Yet these two conversations are rarely integrated in ways that explicitly explain why changes in the structure of work should also alter the organizational definition of key talent. This connection becomes particularly significant in increasingly agentic forms of work, where the very basis on which talent is defined is being radically reconfigured. This chapter addresses that gap by arguing that talent management in the AI era cannot be organized solely around reskilling or tool-related capability development; rather, it must be grounded in the recognition that work itself has undergone a structural transformation</w:t>
      </w:r>
      <w:r w:rsidR="002F63E4">
        <w:rPr>
          <w:rFonts w:ascii="Arial" w:hAnsi="Arial" w:cs="Arial"/>
        </w:rPr>
        <w:t>.</w:t>
      </w:r>
    </w:p>
    <w:p w14:paraId="6AAD8A37" w14:textId="77777777" w:rsidR="002F63E4" w:rsidRPr="00B870A0" w:rsidRDefault="002F63E4" w:rsidP="00B870A0">
      <w:pPr>
        <w:jc w:val="both"/>
        <w:rPr>
          <w:rFonts w:ascii="Arial" w:hAnsi="Arial" w:cs="Arial"/>
        </w:rPr>
      </w:pPr>
    </w:p>
    <w:p w14:paraId="44468873" w14:textId="1351D88E" w:rsidR="00D6641A" w:rsidRPr="00B870A0" w:rsidRDefault="00282CFB" w:rsidP="00B870A0">
      <w:pPr>
        <w:jc w:val="both"/>
        <w:rPr>
          <w:rFonts w:ascii="Arial" w:hAnsi="Arial" w:cs="Arial"/>
        </w:rPr>
      </w:pPr>
      <w:r w:rsidRPr="00B870A0">
        <w:rPr>
          <w:rFonts w:ascii="Arial" w:hAnsi="Arial" w:cs="Arial"/>
        </w:rPr>
        <w:lastRenderedPageBreak/>
        <w:t>The second contribution of this chapter lies in demonstrating how changes in the basic unit of work lead to a redefinition of human roles and, consequently, of strategically valuable talent.</w:t>
      </w:r>
      <w:r w:rsidR="00D6641A" w:rsidRPr="00B870A0">
        <w:rPr>
          <w:rFonts w:ascii="Arial" w:hAnsi="Arial" w:cs="Arial"/>
        </w:rPr>
        <w:t xml:space="preserve"> More specifically, this chapter develops its argument at three levels. First, it introduces an analytical framework to depict changing forms of work, explaining how AI-enabled work evolves from task automation to step automation, process orchestration, and agentic execution. Second, it argues that changes in the basic unit of work bring about corresponding changes in the role of human workers. </w:t>
      </w:r>
      <w:r w:rsidR="00D6641A" w:rsidRPr="00B870A0">
        <w:rPr>
          <w:rFonts w:ascii="Arial" w:eastAsia="SimSun" w:hAnsi="Arial" w:cs="Arial"/>
        </w:rPr>
        <w:t>E</w:t>
      </w:r>
      <w:r w:rsidR="00D6641A" w:rsidRPr="00B870A0">
        <w:rPr>
          <w:rFonts w:ascii="Arial" w:hAnsi="Arial" w:cs="Arial"/>
        </w:rPr>
        <w:t xml:space="preserve">mployees are typically valued in terms of task proficiency, execution efficiency, and accumulated experience in the traditional working settings; in the AI era, however, these criteria are no longer sufficient for fully defining key talent. </w:t>
      </w:r>
    </w:p>
    <w:p w14:paraId="3E46AA27" w14:textId="77777777" w:rsidR="00D6641A" w:rsidRPr="00B870A0" w:rsidRDefault="00D6641A" w:rsidP="00B870A0">
      <w:pPr>
        <w:jc w:val="both"/>
        <w:rPr>
          <w:rFonts w:ascii="Arial" w:hAnsi="Arial" w:cs="Arial"/>
        </w:rPr>
      </w:pPr>
    </w:p>
    <w:p w14:paraId="073590BB" w14:textId="3D77BCB2" w:rsidR="00D6641A" w:rsidRPr="00B870A0" w:rsidRDefault="00D6641A" w:rsidP="00B870A0">
      <w:pPr>
        <w:jc w:val="both"/>
        <w:rPr>
          <w:rFonts w:ascii="Arial" w:hAnsi="Arial" w:cs="Arial"/>
        </w:rPr>
      </w:pPr>
      <w:r w:rsidRPr="00B870A0">
        <w:rPr>
          <w:rFonts w:ascii="Arial" w:hAnsi="Arial" w:cs="Arial"/>
        </w:rPr>
        <w:t xml:space="preserve">The chapter’s third contribution lies in its implications for talent management. In the AI era, talent management can no longer be understood merely as the attraction and retention of conventionally high-performing employees; rather, it requires a redefinition of who constitutes key organizational talent and how new management systems should be designed around them. Building on the preceding analysis of work transformation, the chapter proposes a preliminary typology of talent </w:t>
      </w:r>
      <w:r w:rsidR="008312E9" w:rsidRPr="00B870A0">
        <w:rPr>
          <w:rFonts w:ascii="Arial" w:hAnsi="Arial" w:cs="Arial"/>
        </w:rPr>
        <w:t>according to work role to</w:t>
      </w:r>
      <w:r w:rsidRPr="00B870A0">
        <w:rPr>
          <w:rFonts w:ascii="Arial" w:hAnsi="Arial" w:cs="Arial"/>
        </w:rPr>
        <w:t xml:space="preserve"> illustrate the different types of workers organizations are likely to need i</w:t>
      </w:r>
      <w:r w:rsidR="008312E9" w:rsidRPr="00B870A0">
        <w:rPr>
          <w:rFonts w:ascii="Arial" w:hAnsi="Arial" w:cs="Arial"/>
        </w:rPr>
        <w:t>n the future</w:t>
      </w:r>
      <w:r w:rsidRPr="00B870A0">
        <w:rPr>
          <w:rFonts w:ascii="Arial" w:hAnsi="Arial" w:cs="Arial"/>
        </w:rPr>
        <w:t>, including reliable executors, AI-enabled monitors, process integrators, and AI orchestrators and governors. The purpose of this typology is not to impose rigid categories, but to demonstrate that as work expands from the level of discrete tasks to broader processes and systems, the forms of talent that organizations value also become more differentiated and elevated.</w:t>
      </w:r>
    </w:p>
    <w:p w14:paraId="358EBBF3" w14:textId="3FCD3776" w:rsidR="00B870A0" w:rsidRPr="00B870A0" w:rsidRDefault="00B870A0" w:rsidP="00B870A0">
      <w:pPr>
        <w:jc w:val="both"/>
        <w:rPr>
          <w:rFonts w:ascii="Arial" w:hAnsi="Arial" w:cs="Arial"/>
        </w:rPr>
      </w:pPr>
    </w:p>
    <w:p w14:paraId="3ED59012" w14:textId="5A54D44E" w:rsidR="00B870A0" w:rsidRPr="00B870A0" w:rsidRDefault="00B870A0" w:rsidP="00B870A0">
      <w:pPr>
        <w:jc w:val="both"/>
        <w:rPr>
          <w:rFonts w:ascii="Arial" w:hAnsi="Arial" w:cs="Arial"/>
          <w:b/>
          <w:bCs/>
        </w:rPr>
      </w:pPr>
      <w:r w:rsidRPr="00B870A0">
        <w:rPr>
          <w:rFonts w:ascii="Arial" w:hAnsi="Arial" w:cs="Arial"/>
          <w:b/>
          <w:bCs/>
        </w:rPr>
        <w:t xml:space="preserve">Talent Typology </w:t>
      </w:r>
    </w:p>
    <w:p w14:paraId="57ADE30D" w14:textId="44EC42AA" w:rsidR="00B870A0" w:rsidRPr="00B870A0" w:rsidRDefault="00B870A0" w:rsidP="00B870A0">
      <w:pPr>
        <w:jc w:val="both"/>
        <w:rPr>
          <w:rFonts w:ascii="Arial" w:hAnsi="Arial" w:cs="Arial"/>
        </w:rPr>
      </w:pPr>
    </w:p>
    <w:p w14:paraId="6E59F23F" w14:textId="77777777" w:rsidR="00B870A0" w:rsidRPr="00B870A0" w:rsidRDefault="00B870A0" w:rsidP="00B870A0">
      <w:pPr>
        <w:jc w:val="both"/>
        <w:rPr>
          <w:rFonts w:ascii="Arial" w:hAnsi="Arial" w:cs="Arial"/>
        </w:rPr>
      </w:pPr>
      <w:r w:rsidRPr="00B870A0">
        <w:rPr>
          <w:rFonts w:ascii="Arial" w:hAnsi="Arial" w:cs="Arial"/>
        </w:rPr>
        <w:t>In highly AI-enabled or agentic work settings, talent can be broadly classified into four categories according to their work roles: direct task execution, oversight of AI outputs, coordination and integration of human–AI workflows, and the orchestration and governance of AI-enabled processes.</w:t>
      </w:r>
    </w:p>
    <w:p w14:paraId="0BAF4AFC" w14:textId="77777777" w:rsidR="00B870A0" w:rsidRPr="00B870A0" w:rsidRDefault="00B870A0" w:rsidP="00B870A0">
      <w:pPr>
        <w:jc w:val="both"/>
        <w:rPr>
          <w:rFonts w:ascii="Arial" w:eastAsia="SimSun" w:hAnsi="Arial" w:cs="Arial"/>
        </w:rPr>
      </w:pPr>
    </w:p>
    <w:p w14:paraId="44C91E71" w14:textId="3A28775B" w:rsidR="00B870A0" w:rsidRPr="00B870A0" w:rsidRDefault="00B870A0" w:rsidP="00B870A0">
      <w:pPr>
        <w:jc w:val="both"/>
        <w:rPr>
          <w:rFonts w:ascii="Arial" w:hAnsi="Arial" w:cs="Arial"/>
        </w:rPr>
      </w:pPr>
      <w:r w:rsidRPr="00B870A0">
        <w:rPr>
          <w:rStyle w:val="Strong"/>
          <w:rFonts w:ascii="Arial" w:hAnsi="Arial" w:cs="Arial"/>
          <w:b w:val="0"/>
          <w:bCs w:val="0"/>
        </w:rPr>
        <w:t>Reliable executors</w:t>
      </w:r>
      <w:r w:rsidRPr="00B870A0">
        <w:rPr>
          <w:rFonts w:ascii="Arial" w:hAnsi="Arial" w:cs="Arial"/>
        </w:rPr>
        <w:t xml:space="preserve"> are individuals who consistently perform clearly defined tasks to a high standard. They should not be regarded as “low-value” workers; rather, they remain essential at the task level in AI-enabled work systems. Their importance is particularly evident in areas where task boundaries or accountability boundaries cannot be fully codified, where AI cannot yet operate autonomously with sufficient reliability, or where effective task completion still depends on human judgment, coordination, or human–AI collaboration.</w:t>
      </w:r>
    </w:p>
    <w:p w14:paraId="72A19F74" w14:textId="77777777" w:rsidR="00B870A0" w:rsidRPr="00B870A0" w:rsidRDefault="00B870A0" w:rsidP="00B870A0">
      <w:pPr>
        <w:jc w:val="both"/>
        <w:rPr>
          <w:rFonts w:ascii="Arial" w:hAnsi="Arial" w:cs="Arial"/>
        </w:rPr>
      </w:pPr>
    </w:p>
    <w:p w14:paraId="3D6F0D24" w14:textId="77777777" w:rsidR="00B870A0" w:rsidRPr="00B870A0" w:rsidRDefault="00B870A0" w:rsidP="00B870A0">
      <w:pPr>
        <w:jc w:val="both"/>
        <w:rPr>
          <w:rFonts w:ascii="Arial" w:eastAsia="SimSun" w:hAnsi="Arial" w:cs="Arial"/>
          <w:b/>
          <w:bCs/>
        </w:rPr>
      </w:pPr>
      <w:r w:rsidRPr="00B870A0">
        <w:rPr>
          <w:rFonts w:ascii="Arial" w:hAnsi="Arial" w:cs="Arial"/>
        </w:rPr>
        <w:t>AI Oversight Specialists</w:t>
      </w:r>
      <w:r w:rsidRPr="00B870A0">
        <w:rPr>
          <w:rFonts w:ascii="Arial" w:hAnsi="Arial" w:cs="Arial"/>
          <w:b/>
          <w:bCs/>
          <w:sz w:val="27"/>
          <w:szCs w:val="27"/>
        </w:rPr>
        <w:t xml:space="preserve"> </w:t>
      </w:r>
      <w:r w:rsidRPr="00B870A0">
        <w:rPr>
          <w:rFonts w:ascii="Arial" w:hAnsi="Arial" w:cs="Arial"/>
        </w:rPr>
        <w:t>are workers whose primary role is to oversee AI performance and assess whether AI-generated outputs are accurate, reasonable, and fit for purpose. Rather than directly executing tasks, they draw on their professional expertise to inspect results, identify errors or anomalies, evaluate whether alternative solution paths may be more appropriate, and intervene when correction is needed. The core of their work lies in supervision, verification, and problem detection, especially in tasks that require human checking, validation, anomaly recognition, and corrective adjustment.</w:t>
      </w:r>
    </w:p>
    <w:p w14:paraId="6857FC69" w14:textId="77777777" w:rsidR="00B870A0" w:rsidRPr="00B870A0" w:rsidRDefault="00B870A0" w:rsidP="00B870A0">
      <w:pPr>
        <w:jc w:val="both"/>
        <w:rPr>
          <w:rFonts w:ascii="Arial" w:hAnsi="Arial" w:cs="Arial"/>
        </w:rPr>
      </w:pPr>
      <w:r w:rsidRPr="00E3219F">
        <w:rPr>
          <w:rFonts w:ascii="Arial" w:hAnsi="Arial" w:cs="Arial"/>
        </w:rPr>
        <w:lastRenderedPageBreak/>
        <w:br/>
      </w:r>
      <w:r w:rsidRPr="00B870A0">
        <w:rPr>
          <w:rFonts w:ascii="Arial" w:hAnsi="Arial" w:cs="Arial"/>
        </w:rPr>
        <w:t>Process integrators are workers who connect tasks, people, systems, and information sources so that the overall workflow can function effectively. Their core contribution lies in enabling the continuity and coordination of the broader process. Even when many individual tasks have been substantially covered by AI, human involvement remains crucial in bridging gaps across departments, systems, and data sources. In many settings, workflows cannot be made fully seamless and work cannot be completely automated. This integrative role becomes especially important when exceptions, anomalies, or emergent situations arise, as these conditions demand human coordination, communication, and adaptive realignment across the process.</w:t>
      </w:r>
    </w:p>
    <w:p w14:paraId="127B3C49" w14:textId="77777777" w:rsidR="00B870A0" w:rsidRPr="00B870A0" w:rsidRDefault="00B870A0" w:rsidP="00B870A0">
      <w:pPr>
        <w:jc w:val="both"/>
        <w:rPr>
          <w:rFonts w:ascii="Arial" w:hAnsi="Arial" w:cs="Arial"/>
        </w:rPr>
      </w:pPr>
    </w:p>
    <w:p w14:paraId="1CC484D4" w14:textId="48A5B918" w:rsidR="00B870A0" w:rsidRDefault="00B870A0" w:rsidP="00B870A0">
      <w:pPr>
        <w:jc w:val="both"/>
        <w:rPr>
          <w:rFonts w:ascii="Arial" w:hAnsi="Arial" w:cs="Arial"/>
        </w:rPr>
      </w:pPr>
      <w:r w:rsidRPr="00B870A0">
        <w:rPr>
          <w:rFonts w:ascii="Arial" w:hAnsi="Arial" w:cs="Arial"/>
        </w:rPr>
        <w:t>AI orchestrators and governors are actors who determine how AI-enabled work systems operate and who ultimately shoulder responsibility for the outcomes. Their core role lies in organizing, constraining, and governing AI-driven work systems. They design AI-enabled work structures, configure workflows, and manage interactions among human workers, AI systems, and autonomous agents. Their responsibilities include setting goals, allocating tasks across human and AI actors, defining operational boundaries, managing risks, and ensuring accountability for system-level outcomes.</w:t>
      </w:r>
    </w:p>
    <w:p w14:paraId="172295F3" w14:textId="77777777" w:rsidR="00AE1C9D" w:rsidRDefault="00AE1C9D" w:rsidP="00AE1C9D">
      <w:pPr>
        <w:jc w:val="both"/>
        <w:rPr>
          <w:rFonts w:ascii="Arial" w:hAnsi="Arial" w:cs="Arial"/>
        </w:rPr>
      </w:pPr>
    </w:p>
    <w:p w14:paraId="25DB5D02" w14:textId="1A457F23" w:rsidR="00AE1C9D" w:rsidRPr="00B870A0" w:rsidRDefault="000F67F2" w:rsidP="00AE1C9D">
      <w:pPr>
        <w:jc w:val="both"/>
        <w:rPr>
          <w:rFonts w:ascii="Arial" w:hAnsi="Arial" w:cs="Arial"/>
        </w:rPr>
      </w:pPr>
      <w:r>
        <w:rPr>
          <w:rFonts w:ascii="Arial" w:hAnsi="Arial" w:cs="Arial"/>
          <w:noProof/>
        </w:rPr>
        <w:drawing>
          <wp:inline distT="0" distB="0" distL="0" distR="0" wp14:anchorId="27E501BC" wp14:editId="45A1F6B5">
            <wp:extent cx="5943156" cy="3582891"/>
            <wp:effectExtent l="0" t="0" r="635" b="0"/>
            <wp:docPr id="4" name="Picture 4" descr="A diagram of a company's workfl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diagram of a company's workflow&#10;&#10;Description automatically generated"/>
                    <pic:cNvPicPr/>
                  </pic:nvPicPr>
                  <pic:blipFill rotWithShape="1">
                    <a:blip r:embed="rId7" cstate="print">
                      <a:extLst>
                        <a:ext uri="{28A0092B-C50C-407E-A947-70E740481C1C}">
                          <a14:useLocalDpi xmlns:a14="http://schemas.microsoft.com/office/drawing/2010/main" val="0"/>
                        </a:ext>
                      </a:extLst>
                    </a:blip>
                    <a:srcRect t="4561" b="5010"/>
                    <a:stretch/>
                  </pic:blipFill>
                  <pic:spPr bwMode="auto">
                    <a:xfrm>
                      <a:off x="0" y="0"/>
                      <a:ext cx="5943600" cy="3583159"/>
                    </a:xfrm>
                    <a:prstGeom prst="rect">
                      <a:avLst/>
                    </a:prstGeom>
                    <a:ln>
                      <a:noFill/>
                    </a:ln>
                    <a:extLst>
                      <a:ext uri="{53640926-AAD7-44D8-BBD7-CCE9431645EC}">
                        <a14:shadowObscured xmlns:a14="http://schemas.microsoft.com/office/drawing/2010/main"/>
                      </a:ext>
                    </a:extLst>
                  </pic:spPr>
                </pic:pic>
              </a:graphicData>
            </a:graphic>
          </wp:inline>
        </w:drawing>
      </w:r>
      <w:r w:rsidR="00AE1C9D" w:rsidRPr="00B870A0">
        <w:rPr>
          <w:rFonts w:ascii="Arial" w:hAnsi="Arial" w:cs="Arial"/>
        </w:rPr>
        <w:t>Figure</w:t>
      </w:r>
      <w:r w:rsidR="00AE1C9D">
        <w:rPr>
          <w:rFonts w:ascii="Arial" w:hAnsi="Arial" w:cs="Arial"/>
        </w:rPr>
        <w:t>2</w:t>
      </w:r>
      <w:r w:rsidR="00AE1C9D" w:rsidRPr="00B870A0">
        <w:rPr>
          <w:rFonts w:ascii="Arial" w:hAnsi="Arial" w:cs="Arial"/>
        </w:rPr>
        <w:t xml:space="preserve">: </w:t>
      </w:r>
      <w:r w:rsidR="00AE1C9D">
        <w:rPr>
          <w:rFonts w:ascii="Arial" w:hAnsi="Arial" w:cs="Arial"/>
        </w:rPr>
        <w:t>T</w:t>
      </w:r>
      <w:r w:rsidR="00AE1C9D">
        <w:rPr>
          <w:rFonts w:ascii="Arial" w:hAnsi="Arial" w:cs="Arial" w:hint="eastAsia"/>
        </w:rPr>
        <w:t>alent</w:t>
      </w:r>
      <w:r w:rsidR="00AE1C9D">
        <w:rPr>
          <w:rFonts w:ascii="Arial" w:hAnsi="Arial" w:cs="Arial"/>
        </w:rPr>
        <w:t xml:space="preserve"> Ty</w:t>
      </w:r>
      <w:r w:rsidR="00AE1C9D">
        <w:rPr>
          <w:rFonts w:ascii="Arial" w:hAnsi="Arial" w:cs="Arial" w:hint="eastAsia"/>
        </w:rPr>
        <w:t>pology</w:t>
      </w:r>
    </w:p>
    <w:p w14:paraId="0E45C676" w14:textId="77777777" w:rsidR="00AE1C9D" w:rsidRPr="00B870A0" w:rsidRDefault="00AE1C9D" w:rsidP="00B870A0">
      <w:pPr>
        <w:jc w:val="both"/>
        <w:rPr>
          <w:rFonts w:ascii="Arial" w:hAnsi="Arial" w:cs="Arial"/>
        </w:rPr>
      </w:pPr>
    </w:p>
    <w:p w14:paraId="36C63E8A" w14:textId="77777777" w:rsidR="00B870A0" w:rsidRPr="00B870A0" w:rsidRDefault="00B870A0" w:rsidP="00B870A0">
      <w:pPr>
        <w:jc w:val="both"/>
        <w:rPr>
          <w:rFonts w:ascii="Arial" w:hAnsi="Arial" w:cs="Arial"/>
        </w:rPr>
      </w:pPr>
    </w:p>
    <w:p w14:paraId="07B38867" w14:textId="5B6E5365" w:rsidR="00D35ED8" w:rsidRPr="00B870A0" w:rsidRDefault="00D6641A" w:rsidP="00B870A0">
      <w:pPr>
        <w:jc w:val="both"/>
        <w:rPr>
          <w:rFonts w:ascii="Arial" w:hAnsi="Arial" w:cs="Arial"/>
        </w:rPr>
      </w:pPr>
      <w:r w:rsidRPr="00B870A0">
        <w:rPr>
          <w:rFonts w:ascii="Arial" w:hAnsi="Arial" w:cs="Arial"/>
        </w:rPr>
        <w:t xml:space="preserve"> </w:t>
      </w:r>
    </w:p>
    <w:p w14:paraId="7095E82A" w14:textId="76ABEE09" w:rsidR="00E3219F" w:rsidRDefault="00282CFB" w:rsidP="00090C04">
      <w:pPr>
        <w:jc w:val="both"/>
        <w:rPr>
          <w:rFonts w:ascii="Arial" w:hAnsi="Arial" w:cs="Arial"/>
        </w:rPr>
      </w:pPr>
      <w:r w:rsidRPr="00B870A0">
        <w:rPr>
          <w:rFonts w:ascii="Arial" w:hAnsi="Arial" w:cs="Arial"/>
        </w:rPr>
        <w:t xml:space="preserve">Overall, this chapter argues that the real challenge AI poses for human resource management lies not simply in how HR professionals or employees use AI tools, but in how organizations redefine and manage talent once AI begins to transform the basic </w:t>
      </w:r>
      <w:r w:rsidRPr="00B870A0">
        <w:rPr>
          <w:rFonts w:ascii="Arial" w:hAnsi="Arial" w:cs="Arial"/>
        </w:rPr>
        <w:lastRenderedPageBreak/>
        <w:t>architecture of work. By linking AI-driven work transformation with the reconfiguration of talent management, the chapter seeks to provide a more explanatory conceptual framework for understanding talent management in the AI era. In terms of structure, it first examines how AI changes the basic unit of work, then analyzes how such changes reshape human roles and the definition of key talent, and finally discusses the implications for talent identification, development, leadership formation, and the building of AI-ready talent pipelines.</w:t>
      </w:r>
    </w:p>
    <w:p w14:paraId="3CD7C7E8" w14:textId="77777777" w:rsidR="00090C04" w:rsidRPr="00090C04" w:rsidRDefault="00090C04" w:rsidP="00090C04">
      <w:pPr>
        <w:jc w:val="both"/>
        <w:rPr>
          <w:rFonts w:ascii="Arial" w:hAnsi="Arial" w:cs="Arial"/>
        </w:rPr>
      </w:pPr>
    </w:p>
    <w:p w14:paraId="78E0ED0F" w14:textId="1A39C291" w:rsidR="004C2215" w:rsidRPr="00090C04" w:rsidRDefault="004C2215" w:rsidP="00B870A0">
      <w:pPr>
        <w:pStyle w:val="NormalWeb"/>
        <w:jc w:val="both"/>
        <w:rPr>
          <w:rFonts w:ascii="Arial" w:eastAsia="SimSun" w:hAnsi="Arial" w:cs="Arial"/>
          <w:b/>
          <w:bCs/>
          <w:sz w:val="20"/>
          <w:szCs w:val="20"/>
        </w:rPr>
      </w:pPr>
      <w:r w:rsidRPr="00090C04">
        <w:rPr>
          <w:rFonts w:ascii="Arial" w:eastAsia="SimSun" w:hAnsi="Arial" w:cs="Arial"/>
          <w:b/>
          <w:bCs/>
          <w:sz w:val="20"/>
          <w:szCs w:val="20"/>
        </w:rPr>
        <w:t>Reference:</w:t>
      </w:r>
    </w:p>
    <w:p w14:paraId="3E45A36A" w14:textId="45FC39DB" w:rsidR="004C2215" w:rsidRPr="00090C04" w:rsidRDefault="004C2215" w:rsidP="004C2215">
      <w:pPr>
        <w:rPr>
          <w:rFonts w:ascii="Arial" w:hAnsi="Arial" w:cs="Arial"/>
          <w:sz w:val="20"/>
          <w:szCs w:val="20"/>
        </w:rPr>
      </w:pPr>
      <w:r w:rsidRPr="00090C04">
        <w:rPr>
          <w:rFonts w:ascii="Arial" w:hAnsi="Arial" w:cs="Arial"/>
          <w:sz w:val="20"/>
          <w:szCs w:val="20"/>
        </w:rPr>
        <w:t xml:space="preserve">Bolander, P., Werr, A. and Asplund, K. (2017) “The practice of talent management: a framework and typology,” </w:t>
      </w:r>
      <w:r w:rsidRPr="00090C04">
        <w:rPr>
          <w:rFonts w:ascii="Arial" w:hAnsi="Arial" w:cs="Arial"/>
          <w:i/>
          <w:iCs/>
          <w:sz w:val="20"/>
          <w:szCs w:val="20"/>
        </w:rPr>
        <w:t>Personnel review</w:t>
      </w:r>
      <w:r w:rsidRPr="00090C04">
        <w:rPr>
          <w:rFonts w:ascii="Arial" w:hAnsi="Arial" w:cs="Arial"/>
          <w:sz w:val="20"/>
          <w:szCs w:val="20"/>
        </w:rPr>
        <w:t xml:space="preserve">, 46(8), pp. 1523–1551. Available at: </w:t>
      </w:r>
      <w:hyperlink r:id="rId8" w:history="1">
        <w:r w:rsidRPr="00090C04">
          <w:rPr>
            <w:rStyle w:val="Hyperlink"/>
            <w:rFonts w:ascii="Arial" w:hAnsi="Arial" w:cs="Arial"/>
            <w:sz w:val="20"/>
            <w:szCs w:val="20"/>
          </w:rPr>
          <w:t>https://doi.org/10.1108/PR-02-2016-0037</w:t>
        </w:r>
      </w:hyperlink>
      <w:r w:rsidRPr="00090C04">
        <w:rPr>
          <w:rFonts w:ascii="Arial" w:hAnsi="Arial" w:cs="Arial"/>
          <w:sz w:val="20"/>
          <w:szCs w:val="20"/>
        </w:rPr>
        <w:t>.</w:t>
      </w:r>
    </w:p>
    <w:p w14:paraId="784454A1" w14:textId="706FAF07" w:rsidR="002F63E4" w:rsidRPr="00090C04" w:rsidRDefault="002F63E4" w:rsidP="004C2215">
      <w:pPr>
        <w:rPr>
          <w:rFonts w:ascii="Arial" w:hAnsi="Arial" w:cs="Arial"/>
          <w:sz w:val="20"/>
          <w:szCs w:val="20"/>
        </w:rPr>
      </w:pPr>
    </w:p>
    <w:p w14:paraId="511A7DB4" w14:textId="77777777" w:rsidR="002F63E4" w:rsidRPr="00090C04" w:rsidRDefault="002F63E4" w:rsidP="002F63E4">
      <w:pPr>
        <w:rPr>
          <w:rFonts w:ascii="Arial" w:hAnsi="Arial" w:cs="Arial"/>
          <w:sz w:val="20"/>
          <w:szCs w:val="20"/>
        </w:rPr>
      </w:pPr>
      <w:r w:rsidRPr="00090C04">
        <w:rPr>
          <w:rFonts w:ascii="Arial" w:hAnsi="Arial" w:cs="Arial"/>
          <w:sz w:val="20"/>
          <w:szCs w:val="20"/>
        </w:rPr>
        <w:t xml:space="preserve">Budhwar, P. </w:t>
      </w:r>
      <w:r w:rsidRPr="00090C04">
        <w:rPr>
          <w:rFonts w:ascii="Arial" w:hAnsi="Arial" w:cs="Arial"/>
          <w:i/>
          <w:iCs/>
          <w:sz w:val="20"/>
          <w:szCs w:val="20"/>
        </w:rPr>
        <w:t>et al.</w:t>
      </w:r>
      <w:r w:rsidRPr="00090C04">
        <w:rPr>
          <w:rFonts w:ascii="Arial" w:hAnsi="Arial" w:cs="Arial"/>
          <w:sz w:val="20"/>
          <w:szCs w:val="20"/>
        </w:rPr>
        <w:t xml:space="preserve"> (2023) “Human resource management in the age of generative artificial intelligence: Perspectives and research directions on ChatGPT,” </w:t>
      </w:r>
      <w:r w:rsidRPr="00090C04">
        <w:rPr>
          <w:rFonts w:ascii="Arial" w:hAnsi="Arial" w:cs="Arial"/>
          <w:i/>
          <w:iCs/>
          <w:sz w:val="20"/>
          <w:szCs w:val="20"/>
        </w:rPr>
        <w:t>Human resource management journal</w:t>
      </w:r>
      <w:r w:rsidRPr="00090C04">
        <w:rPr>
          <w:rFonts w:ascii="Arial" w:hAnsi="Arial" w:cs="Arial"/>
          <w:sz w:val="20"/>
          <w:szCs w:val="20"/>
        </w:rPr>
        <w:t>, 33(3), pp. 606–659. Available at: https://doi.org/10.1111/1748-8583.12524.</w:t>
      </w:r>
    </w:p>
    <w:p w14:paraId="079A9A34" w14:textId="77777777" w:rsidR="002F63E4" w:rsidRPr="00090C04" w:rsidRDefault="002F63E4" w:rsidP="004C2215">
      <w:pPr>
        <w:rPr>
          <w:rFonts w:ascii="Arial" w:hAnsi="Arial" w:cs="Arial"/>
          <w:sz w:val="20"/>
          <w:szCs w:val="20"/>
        </w:rPr>
      </w:pPr>
    </w:p>
    <w:p w14:paraId="596FEDE6" w14:textId="120AF1CF" w:rsidR="002F63E4" w:rsidRPr="00090C04" w:rsidRDefault="002F63E4" w:rsidP="002F63E4">
      <w:pPr>
        <w:rPr>
          <w:rFonts w:ascii="Arial" w:hAnsi="Arial" w:cs="Arial"/>
          <w:sz w:val="20"/>
          <w:szCs w:val="20"/>
        </w:rPr>
      </w:pPr>
      <w:r w:rsidRPr="00090C04">
        <w:rPr>
          <w:rFonts w:ascii="Arial" w:hAnsi="Arial" w:cs="Arial"/>
          <w:sz w:val="20"/>
          <w:szCs w:val="20"/>
        </w:rPr>
        <w:t xml:space="preserve">Chowdhury, S., Budhwar, P. and Wood, G. (2024) “Generative Artificial Intelligence in Business: Towards a Strategic Human Resource Management Framework,” </w:t>
      </w:r>
      <w:r w:rsidRPr="00090C04">
        <w:rPr>
          <w:rFonts w:ascii="Arial" w:hAnsi="Arial" w:cs="Arial"/>
          <w:i/>
          <w:iCs/>
          <w:sz w:val="20"/>
          <w:szCs w:val="20"/>
        </w:rPr>
        <w:t>British journal of management</w:t>
      </w:r>
      <w:r w:rsidRPr="00090C04">
        <w:rPr>
          <w:rFonts w:ascii="Arial" w:hAnsi="Arial" w:cs="Arial"/>
          <w:sz w:val="20"/>
          <w:szCs w:val="20"/>
        </w:rPr>
        <w:t xml:space="preserve">, 35(4), pp. 1680–1691. Available at: </w:t>
      </w:r>
      <w:hyperlink r:id="rId9" w:history="1">
        <w:r w:rsidRPr="00090C04">
          <w:rPr>
            <w:rStyle w:val="Hyperlink"/>
            <w:rFonts w:ascii="Arial" w:hAnsi="Arial" w:cs="Arial"/>
            <w:sz w:val="20"/>
            <w:szCs w:val="20"/>
          </w:rPr>
          <w:t>https://doi.org/10.1111/1467-8551.12824</w:t>
        </w:r>
      </w:hyperlink>
      <w:r w:rsidRPr="00090C04">
        <w:rPr>
          <w:rFonts w:ascii="Arial" w:hAnsi="Arial" w:cs="Arial"/>
          <w:sz w:val="20"/>
          <w:szCs w:val="20"/>
        </w:rPr>
        <w:t>.</w:t>
      </w:r>
    </w:p>
    <w:p w14:paraId="48EB412E" w14:textId="04305748" w:rsidR="00090C04" w:rsidRPr="00090C04" w:rsidRDefault="00090C04" w:rsidP="002F63E4">
      <w:pPr>
        <w:rPr>
          <w:rFonts w:ascii="Arial" w:hAnsi="Arial" w:cs="Arial"/>
          <w:sz w:val="20"/>
          <w:szCs w:val="20"/>
        </w:rPr>
      </w:pPr>
    </w:p>
    <w:p w14:paraId="4D912944" w14:textId="07DE51CD" w:rsidR="00090C04" w:rsidRPr="00090C04" w:rsidRDefault="00090C04" w:rsidP="002F63E4">
      <w:pPr>
        <w:rPr>
          <w:rFonts w:ascii="Arial" w:hAnsi="Arial" w:cs="Arial"/>
          <w:sz w:val="20"/>
          <w:szCs w:val="20"/>
        </w:rPr>
      </w:pPr>
      <w:r w:rsidRPr="00090C04">
        <w:rPr>
          <w:rFonts w:ascii="Arial" w:hAnsi="Arial" w:cs="Arial"/>
          <w:sz w:val="20"/>
          <w:szCs w:val="20"/>
        </w:rPr>
        <w:t xml:space="preserve">Dawson, J.Y. and Agbozo, E. (2024) “AI in talent management in the digital era – an overview,” </w:t>
      </w:r>
      <w:r w:rsidRPr="00090C04">
        <w:rPr>
          <w:rFonts w:ascii="Arial" w:hAnsi="Arial" w:cs="Arial"/>
          <w:i/>
          <w:iCs/>
          <w:sz w:val="20"/>
          <w:szCs w:val="20"/>
        </w:rPr>
        <w:t>Journal of Science and Technology Policy Management</w:t>
      </w:r>
      <w:r w:rsidRPr="00090C04">
        <w:rPr>
          <w:rFonts w:ascii="Arial" w:hAnsi="Arial" w:cs="Arial"/>
          <w:sz w:val="20"/>
          <w:szCs w:val="20"/>
        </w:rPr>
        <w:t xml:space="preserve"> [Preprint]. Available at: https://doi.org/10.1108/JSTPM-06-2023-0104.</w:t>
      </w:r>
    </w:p>
    <w:p w14:paraId="332BC853" w14:textId="789D12D4" w:rsidR="002F63E4" w:rsidRPr="00090C04" w:rsidRDefault="002F63E4" w:rsidP="002F63E4">
      <w:pPr>
        <w:rPr>
          <w:rFonts w:ascii="Arial" w:hAnsi="Arial" w:cs="Arial"/>
          <w:sz w:val="20"/>
          <w:szCs w:val="20"/>
        </w:rPr>
      </w:pPr>
    </w:p>
    <w:p w14:paraId="790D4714" w14:textId="0D6CBDCF" w:rsidR="002F63E4" w:rsidRPr="00090C04" w:rsidRDefault="002F63E4" w:rsidP="002F63E4">
      <w:pPr>
        <w:rPr>
          <w:rFonts w:ascii="Arial" w:hAnsi="Arial" w:cs="Arial"/>
          <w:sz w:val="20"/>
          <w:szCs w:val="20"/>
        </w:rPr>
      </w:pPr>
      <w:r w:rsidRPr="00090C04">
        <w:rPr>
          <w:rFonts w:ascii="Arial" w:hAnsi="Arial" w:cs="Arial"/>
          <w:sz w:val="20"/>
          <w:szCs w:val="20"/>
        </w:rPr>
        <w:t xml:space="preserve">Florin, L. and Pichault, F. (2020) “Emerging Forms of Precariousness Related to Autonomy at Work: Toward an Empirical Typology,” </w:t>
      </w:r>
      <w:r w:rsidRPr="00090C04">
        <w:rPr>
          <w:rFonts w:ascii="Arial" w:hAnsi="Arial" w:cs="Arial"/>
          <w:i/>
          <w:iCs/>
          <w:sz w:val="20"/>
          <w:szCs w:val="20"/>
        </w:rPr>
        <w:t>Frontiers in sociology</w:t>
      </w:r>
      <w:r w:rsidRPr="00090C04">
        <w:rPr>
          <w:rFonts w:ascii="Arial" w:hAnsi="Arial" w:cs="Arial"/>
          <w:sz w:val="20"/>
          <w:szCs w:val="20"/>
        </w:rPr>
        <w:t xml:space="preserve">, 5, p. 34. Available at: </w:t>
      </w:r>
      <w:hyperlink r:id="rId10" w:history="1">
        <w:r w:rsidRPr="00090C04">
          <w:rPr>
            <w:rStyle w:val="Hyperlink"/>
            <w:rFonts w:ascii="Arial" w:hAnsi="Arial" w:cs="Arial"/>
            <w:sz w:val="20"/>
            <w:szCs w:val="20"/>
          </w:rPr>
          <w:t>https://doi.org/10.3389/fsoc.2020.00034</w:t>
        </w:r>
      </w:hyperlink>
      <w:r w:rsidRPr="00090C04">
        <w:rPr>
          <w:rFonts w:ascii="Arial" w:hAnsi="Arial" w:cs="Arial"/>
          <w:sz w:val="20"/>
          <w:szCs w:val="20"/>
        </w:rPr>
        <w:t>.</w:t>
      </w:r>
    </w:p>
    <w:p w14:paraId="1FBA6546" w14:textId="77777777" w:rsidR="002F63E4" w:rsidRPr="00090C04" w:rsidRDefault="002F63E4" w:rsidP="002F63E4">
      <w:pPr>
        <w:rPr>
          <w:rFonts w:ascii="Arial" w:hAnsi="Arial" w:cs="Arial"/>
          <w:sz w:val="20"/>
          <w:szCs w:val="20"/>
        </w:rPr>
      </w:pPr>
    </w:p>
    <w:p w14:paraId="1E70DCC1" w14:textId="19A00668" w:rsidR="002F63E4" w:rsidRPr="00090C04" w:rsidRDefault="002F63E4" w:rsidP="002F63E4">
      <w:pPr>
        <w:rPr>
          <w:rFonts w:ascii="Arial" w:hAnsi="Arial" w:cs="Arial"/>
          <w:color w:val="222222"/>
          <w:sz w:val="20"/>
          <w:szCs w:val="20"/>
          <w:shd w:val="clear" w:color="auto" w:fill="FFFFFF"/>
        </w:rPr>
      </w:pPr>
      <w:r w:rsidRPr="00090C04">
        <w:rPr>
          <w:rFonts w:ascii="Arial" w:hAnsi="Arial" w:cs="Arial"/>
          <w:color w:val="222222"/>
          <w:sz w:val="20"/>
          <w:szCs w:val="20"/>
          <w:shd w:val="clear" w:color="auto" w:fill="FFFFFF"/>
        </w:rPr>
        <w:t>Garcia, R.F. and Kwok, L., 2025. Generative artificial intelligence in human resource management: a critical reflection on impacts, resilience and roles. </w:t>
      </w:r>
      <w:r w:rsidRPr="00090C04">
        <w:rPr>
          <w:rFonts w:ascii="Arial" w:hAnsi="Arial" w:cs="Arial"/>
          <w:i/>
          <w:iCs/>
          <w:color w:val="222222"/>
          <w:sz w:val="20"/>
          <w:szCs w:val="20"/>
          <w:shd w:val="clear" w:color="auto" w:fill="FFFFFF"/>
        </w:rPr>
        <w:t>International Journal of Contemporary Hospitality Management</w:t>
      </w:r>
      <w:r w:rsidRPr="00090C04">
        <w:rPr>
          <w:rFonts w:ascii="Arial" w:hAnsi="Arial" w:cs="Arial"/>
          <w:color w:val="222222"/>
          <w:sz w:val="20"/>
          <w:szCs w:val="20"/>
          <w:shd w:val="clear" w:color="auto" w:fill="FFFFFF"/>
        </w:rPr>
        <w:t>, </w:t>
      </w:r>
      <w:r w:rsidRPr="00090C04">
        <w:rPr>
          <w:rFonts w:ascii="Arial" w:hAnsi="Arial" w:cs="Arial"/>
          <w:i/>
          <w:iCs/>
          <w:color w:val="222222"/>
          <w:sz w:val="20"/>
          <w:szCs w:val="20"/>
          <w:shd w:val="clear" w:color="auto" w:fill="FFFFFF"/>
        </w:rPr>
        <w:t>37</w:t>
      </w:r>
      <w:r w:rsidRPr="00090C04">
        <w:rPr>
          <w:rFonts w:ascii="Arial" w:hAnsi="Arial" w:cs="Arial"/>
          <w:color w:val="222222"/>
          <w:sz w:val="20"/>
          <w:szCs w:val="20"/>
          <w:shd w:val="clear" w:color="auto" w:fill="FFFFFF"/>
        </w:rPr>
        <w:t>(9), pp.3136-3158.</w:t>
      </w:r>
    </w:p>
    <w:p w14:paraId="2B228425" w14:textId="77777777" w:rsidR="00090C04" w:rsidRPr="00090C04" w:rsidRDefault="00090C04" w:rsidP="002F63E4">
      <w:pPr>
        <w:rPr>
          <w:rFonts w:ascii="Arial" w:hAnsi="Arial" w:cs="Arial"/>
          <w:color w:val="222222"/>
          <w:sz w:val="20"/>
          <w:szCs w:val="20"/>
          <w:shd w:val="clear" w:color="auto" w:fill="FFFFFF"/>
        </w:rPr>
      </w:pPr>
    </w:p>
    <w:p w14:paraId="23EB6C21" w14:textId="77777777" w:rsidR="00090C04" w:rsidRPr="00090C04" w:rsidRDefault="00090C04" w:rsidP="00090C04">
      <w:pPr>
        <w:rPr>
          <w:rFonts w:ascii="Arial" w:hAnsi="Arial" w:cs="Arial"/>
          <w:sz w:val="20"/>
          <w:szCs w:val="20"/>
        </w:rPr>
      </w:pPr>
      <w:r w:rsidRPr="00090C04">
        <w:rPr>
          <w:rFonts w:ascii="Arial" w:hAnsi="Arial" w:cs="Arial"/>
          <w:sz w:val="20"/>
          <w:szCs w:val="20"/>
        </w:rPr>
        <w:t xml:space="preserve">Kravariti, F. and Johnston, K. (2020) “Talent management: a critical literature review and research agenda for public sector human resource management,” </w:t>
      </w:r>
      <w:r w:rsidRPr="00090C04">
        <w:rPr>
          <w:rFonts w:ascii="Arial" w:hAnsi="Arial" w:cs="Arial"/>
          <w:i/>
          <w:iCs/>
          <w:sz w:val="20"/>
          <w:szCs w:val="20"/>
        </w:rPr>
        <w:t>Public management review</w:t>
      </w:r>
      <w:r w:rsidRPr="00090C04">
        <w:rPr>
          <w:rFonts w:ascii="Arial" w:hAnsi="Arial" w:cs="Arial"/>
          <w:sz w:val="20"/>
          <w:szCs w:val="20"/>
        </w:rPr>
        <w:t xml:space="preserve">, 22(1), pp. 75–95. Available at: </w:t>
      </w:r>
      <w:hyperlink r:id="rId11" w:history="1">
        <w:r w:rsidRPr="00090C04">
          <w:rPr>
            <w:rStyle w:val="Hyperlink"/>
            <w:rFonts w:ascii="Arial" w:hAnsi="Arial" w:cs="Arial"/>
            <w:sz w:val="20"/>
            <w:szCs w:val="20"/>
          </w:rPr>
          <w:t>https://doi.org/10.1080/14719037.2019.1638439</w:t>
        </w:r>
      </w:hyperlink>
      <w:r w:rsidRPr="00090C04">
        <w:rPr>
          <w:rFonts w:ascii="Arial" w:hAnsi="Arial" w:cs="Arial"/>
          <w:sz w:val="20"/>
          <w:szCs w:val="20"/>
        </w:rPr>
        <w:t>.</w:t>
      </w:r>
    </w:p>
    <w:p w14:paraId="0F1496D7" w14:textId="77777777" w:rsidR="00090C04" w:rsidRPr="00090C04" w:rsidRDefault="00090C04" w:rsidP="002F63E4">
      <w:pPr>
        <w:rPr>
          <w:rFonts w:ascii="Arial" w:hAnsi="Arial" w:cs="Arial"/>
          <w:color w:val="222222"/>
          <w:sz w:val="20"/>
          <w:szCs w:val="20"/>
          <w:shd w:val="clear" w:color="auto" w:fill="FFFFFF"/>
        </w:rPr>
      </w:pPr>
    </w:p>
    <w:p w14:paraId="0CA1127E" w14:textId="77777777" w:rsidR="00090C04" w:rsidRPr="00090C04" w:rsidRDefault="00090C04" w:rsidP="00090C04">
      <w:pPr>
        <w:rPr>
          <w:rFonts w:ascii="Arial" w:hAnsi="Arial" w:cs="Arial"/>
          <w:sz w:val="20"/>
          <w:szCs w:val="20"/>
        </w:rPr>
      </w:pPr>
      <w:r w:rsidRPr="00090C04">
        <w:rPr>
          <w:rFonts w:ascii="Arial" w:hAnsi="Arial" w:cs="Arial"/>
          <w:sz w:val="20"/>
          <w:szCs w:val="20"/>
        </w:rPr>
        <w:t xml:space="preserve">Li, B. and Cheng, Y. (2025) “ChatGPT in human resource management: A systematic review of influential factors, processes, and outcomes,” </w:t>
      </w:r>
      <w:r w:rsidRPr="00090C04">
        <w:rPr>
          <w:rFonts w:ascii="Arial" w:hAnsi="Arial" w:cs="Arial"/>
          <w:i/>
          <w:iCs/>
          <w:sz w:val="20"/>
          <w:szCs w:val="20"/>
        </w:rPr>
        <w:t>Heliyon</w:t>
      </w:r>
      <w:r w:rsidRPr="00090C04">
        <w:rPr>
          <w:rFonts w:ascii="Arial" w:hAnsi="Arial" w:cs="Arial"/>
          <w:sz w:val="20"/>
          <w:szCs w:val="20"/>
        </w:rPr>
        <w:t>, 11(15). Available at: https://doi.org/10.1016/j.heliyon.2025.e44048.</w:t>
      </w:r>
    </w:p>
    <w:p w14:paraId="3CE85703" w14:textId="77777777" w:rsidR="002F63E4" w:rsidRPr="00090C04" w:rsidRDefault="002F63E4" w:rsidP="002F63E4">
      <w:pPr>
        <w:rPr>
          <w:rFonts w:ascii="Arial" w:hAnsi="Arial" w:cs="Arial"/>
          <w:sz w:val="20"/>
          <w:szCs w:val="20"/>
        </w:rPr>
      </w:pPr>
    </w:p>
    <w:p w14:paraId="2E201152" w14:textId="296D5CE0" w:rsidR="00D35ED8" w:rsidRDefault="002F63E4" w:rsidP="006554B5">
      <w:pPr>
        <w:rPr>
          <w:rFonts w:ascii="Arial" w:hAnsi="Arial" w:cs="Arial"/>
          <w:sz w:val="20"/>
          <w:szCs w:val="20"/>
        </w:rPr>
      </w:pPr>
      <w:r w:rsidRPr="00090C04">
        <w:rPr>
          <w:rFonts w:ascii="Arial" w:hAnsi="Arial" w:cs="Arial"/>
          <w:sz w:val="20"/>
          <w:szCs w:val="20"/>
        </w:rPr>
        <w:t xml:space="preserve">Matej, Č. and Amadeja, L. (2026) “Work Has Changed, Has HRM? Designing for the Distributed, Fragmented, and Fluid Era,” </w:t>
      </w:r>
      <w:r w:rsidRPr="00090C04">
        <w:rPr>
          <w:rFonts w:ascii="Arial" w:hAnsi="Arial" w:cs="Arial"/>
          <w:i/>
          <w:iCs/>
          <w:sz w:val="20"/>
          <w:szCs w:val="20"/>
        </w:rPr>
        <w:t>Human resource management</w:t>
      </w:r>
      <w:r w:rsidRPr="00090C04">
        <w:rPr>
          <w:rFonts w:ascii="Arial" w:hAnsi="Arial" w:cs="Arial"/>
          <w:sz w:val="20"/>
          <w:szCs w:val="20"/>
        </w:rPr>
        <w:t xml:space="preserve">, 65(2), pp. 305–324. Available at: </w:t>
      </w:r>
      <w:hyperlink r:id="rId12" w:history="1">
        <w:r w:rsidRPr="00090C04">
          <w:rPr>
            <w:rStyle w:val="Hyperlink"/>
            <w:rFonts w:ascii="Arial" w:hAnsi="Arial" w:cs="Arial"/>
            <w:sz w:val="20"/>
            <w:szCs w:val="20"/>
          </w:rPr>
          <w:t>https://doi.org/10.1002/hrm.70028</w:t>
        </w:r>
      </w:hyperlink>
      <w:r w:rsidRPr="00090C04">
        <w:rPr>
          <w:rFonts w:ascii="Arial" w:hAnsi="Arial" w:cs="Arial"/>
          <w:sz w:val="20"/>
          <w:szCs w:val="20"/>
        </w:rPr>
        <w:t>.</w:t>
      </w:r>
    </w:p>
    <w:p w14:paraId="6390C049" w14:textId="432D923A" w:rsidR="00090C04" w:rsidRDefault="00090C04" w:rsidP="006554B5">
      <w:pPr>
        <w:rPr>
          <w:rFonts w:ascii="Arial" w:hAnsi="Arial" w:cs="Arial"/>
          <w:sz w:val="20"/>
          <w:szCs w:val="20"/>
        </w:rPr>
      </w:pPr>
    </w:p>
    <w:p w14:paraId="464F8F84" w14:textId="754189A0" w:rsidR="00090C04" w:rsidRDefault="00090C04" w:rsidP="006554B5">
      <w:pPr>
        <w:rPr>
          <w:rFonts w:ascii="Arial" w:hAnsi="Arial" w:cs="Arial"/>
          <w:sz w:val="20"/>
          <w:szCs w:val="20"/>
        </w:rPr>
      </w:pPr>
    </w:p>
    <w:p w14:paraId="6E49B4AF" w14:textId="1CA59DA1" w:rsidR="00090C04" w:rsidRDefault="00090C04" w:rsidP="006554B5">
      <w:pPr>
        <w:rPr>
          <w:rFonts w:ascii="Arial" w:hAnsi="Arial" w:cs="Arial"/>
          <w:sz w:val="20"/>
          <w:szCs w:val="20"/>
        </w:rPr>
      </w:pPr>
    </w:p>
    <w:p w14:paraId="189CED4D" w14:textId="57486535" w:rsidR="00090C04" w:rsidRDefault="00090C04" w:rsidP="006554B5">
      <w:pPr>
        <w:rPr>
          <w:rFonts w:ascii="Arial" w:hAnsi="Arial" w:cs="Arial"/>
          <w:sz w:val="20"/>
          <w:szCs w:val="20"/>
        </w:rPr>
      </w:pPr>
    </w:p>
    <w:p w14:paraId="2FE3258C" w14:textId="77AA1769" w:rsidR="008438A5" w:rsidRPr="000A2D89" w:rsidRDefault="008438A5" w:rsidP="000A2D89">
      <w:pPr>
        <w:pStyle w:val="NormalWeb"/>
        <w:rPr>
          <w:rFonts w:hint="eastAsia"/>
        </w:rPr>
      </w:pPr>
    </w:p>
    <w:sectPr w:rsidR="008438A5" w:rsidRPr="000A2D89">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822947"/>
    <w:multiLevelType w:val="multilevel"/>
    <w:tmpl w:val="A17226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61353B"/>
    <w:multiLevelType w:val="multilevel"/>
    <w:tmpl w:val="A6A829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F0312B"/>
    <w:multiLevelType w:val="multilevel"/>
    <w:tmpl w:val="03345D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D945CF3"/>
    <w:multiLevelType w:val="multilevel"/>
    <w:tmpl w:val="613C9B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0FD3428"/>
    <w:multiLevelType w:val="multilevel"/>
    <w:tmpl w:val="290C0A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69A1A60"/>
    <w:multiLevelType w:val="multilevel"/>
    <w:tmpl w:val="FBB290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0380ED0"/>
    <w:multiLevelType w:val="multilevel"/>
    <w:tmpl w:val="C8C8336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1B771A8"/>
    <w:multiLevelType w:val="multilevel"/>
    <w:tmpl w:val="F83E2F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4927AFA"/>
    <w:multiLevelType w:val="multilevel"/>
    <w:tmpl w:val="1E1ECC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B0E3EFE"/>
    <w:multiLevelType w:val="multilevel"/>
    <w:tmpl w:val="9A0E91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C021CD4"/>
    <w:multiLevelType w:val="multilevel"/>
    <w:tmpl w:val="5E34853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2817676"/>
    <w:multiLevelType w:val="multilevel"/>
    <w:tmpl w:val="E38877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6A67742"/>
    <w:multiLevelType w:val="multilevel"/>
    <w:tmpl w:val="DE32D7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0903674"/>
    <w:multiLevelType w:val="multilevel"/>
    <w:tmpl w:val="63BEC7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2B62EFA"/>
    <w:multiLevelType w:val="multilevel"/>
    <w:tmpl w:val="D89C7F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BA7301F"/>
    <w:multiLevelType w:val="multilevel"/>
    <w:tmpl w:val="A61624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BDC1F31"/>
    <w:multiLevelType w:val="multilevel"/>
    <w:tmpl w:val="88826D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C414AFD"/>
    <w:multiLevelType w:val="multilevel"/>
    <w:tmpl w:val="FB161ED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DD70D14"/>
    <w:multiLevelType w:val="multilevel"/>
    <w:tmpl w:val="B14418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4AB05BD"/>
    <w:multiLevelType w:val="multilevel"/>
    <w:tmpl w:val="9F10BD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81783513">
    <w:abstractNumId w:val="17"/>
  </w:num>
  <w:num w:numId="2" w16cid:durableId="1604727683">
    <w:abstractNumId w:val="9"/>
  </w:num>
  <w:num w:numId="3" w16cid:durableId="1946115936">
    <w:abstractNumId w:val="8"/>
  </w:num>
  <w:num w:numId="4" w16cid:durableId="1116942716">
    <w:abstractNumId w:val="10"/>
  </w:num>
  <w:num w:numId="5" w16cid:durableId="2100444464">
    <w:abstractNumId w:val="6"/>
  </w:num>
  <w:num w:numId="6" w16cid:durableId="1242372082">
    <w:abstractNumId w:val="2"/>
  </w:num>
  <w:num w:numId="7" w16cid:durableId="263076651">
    <w:abstractNumId w:val="18"/>
  </w:num>
  <w:num w:numId="8" w16cid:durableId="488403046">
    <w:abstractNumId w:val="1"/>
  </w:num>
  <w:num w:numId="9" w16cid:durableId="1248004289">
    <w:abstractNumId w:val="3"/>
  </w:num>
  <w:num w:numId="10" w16cid:durableId="370351089">
    <w:abstractNumId w:val="19"/>
  </w:num>
  <w:num w:numId="11" w16cid:durableId="423186850">
    <w:abstractNumId w:val="0"/>
  </w:num>
  <w:num w:numId="12" w16cid:durableId="1802379815">
    <w:abstractNumId w:val="4"/>
  </w:num>
  <w:num w:numId="13" w16cid:durableId="1654673871">
    <w:abstractNumId w:val="16"/>
  </w:num>
  <w:num w:numId="14" w16cid:durableId="930358492">
    <w:abstractNumId w:val="13"/>
  </w:num>
  <w:num w:numId="15" w16cid:durableId="1183323463">
    <w:abstractNumId w:val="7"/>
  </w:num>
  <w:num w:numId="16" w16cid:durableId="880435195">
    <w:abstractNumId w:val="15"/>
  </w:num>
  <w:num w:numId="17" w16cid:durableId="1705518147">
    <w:abstractNumId w:val="5"/>
  </w:num>
  <w:num w:numId="18" w16cid:durableId="208303028">
    <w:abstractNumId w:val="11"/>
  </w:num>
  <w:num w:numId="19" w16cid:durableId="385881734">
    <w:abstractNumId w:val="14"/>
  </w:num>
  <w:num w:numId="20" w16cid:durableId="673384331">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38A5"/>
    <w:rsid w:val="00037A62"/>
    <w:rsid w:val="00090C04"/>
    <w:rsid w:val="000A2D89"/>
    <w:rsid w:val="000F67F2"/>
    <w:rsid w:val="00242612"/>
    <w:rsid w:val="00282CFB"/>
    <w:rsid w:val="002E63EB"/>
    <w:rsid w:val="002F63E4"/>
    <w:rsid w:val="00321459"/>
    <w:rsid w:val="0033273B"/>
    <w:rsid w:val="003B1964"/>
    <w:rsid w:val="004555AF"/>
    <w:rsid w:val="004C2215"/>
    <w:rsid w:val="005772C3"/>
    <w:rsid w:val="005A075E"/>
    <w:rsid w:val="00645B4D"/>
    <w:rsid w:val="006554B5"/>
    <w:rsid w:val="006E7859"/>
    <w:rsid w:val="008312E9"/>
    <w:rsid w:val="008438A5"/>
    <w:rsid w:val="008D0EEA"/>
    <w:rsid w:val="00944D53"/>
    <w:rsid w:val="00A57425"/>
    <w:rsid w:val="00A63348"/>
    <w:rsid w:val="00AE1C9D"/>
    <w:rsid w:val="00B870A0"/>
    <w:rsid w:val="00BF3795"/>
    <w:rsid w:val="00D35ED8"/>
    <w:rsid w:val="00D6641A"/>
    <w:rsid w:val="00DA717C"/>
    <w:rsid w:val="00E3219F"/>
  </w:rsids>
  <m:mathPr>
    <m:mathFont m:val="Cambria Math"/>
    <m:brkBin m:val="before"/>
    <m:brkBinSub m:val="--"/>
    <m:smallFrac m:val="0"/>
    <m:dispDef/>
    <m:lMargin m:val="0"/>
    <m:rMargin m:val="0"/>
    <m:defJc m:val="centerGroup"/>
    <m:wrapIndent m:val="1440"/>
    <m:intLim m:val="subSup"/>
    <m:naryLim m:val="undOvr"/>
  </m:mathPr>
  <w:themeFontLang w:val="en-CA"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813CCA"/>
  <w15:chartTrackingRefBased/>
  <w15:docId w15:val="{116E0805-CDE3-E34E-A09B-3A43BFC92E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CA"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F63E4"/>
    <w:rPr>
      <w:rFonts w:ascii="Times New Roman" w:eastAsia="Times New Roman" w:hAnsi="Times New Roman" w:cs="Times New Roman"/>
    </w:rPr>
  </w:style>
  <w:style w:type="paragraph" w:styleId="Heading2">
    <w:name w:val="heading 2"/>
    <w:basedOn w:val="Normal"/>
    <w:link w:val="Heading2Char"/>
    <w:uiPriority w:val="9"/>
    <w:qFormat/>
    <w:rsid w:val="008438A5"/>
    <w:pPr>
      <w:spacing w:before="100" w:beforeAutospacing="1" w:after="100" w:afterAutospacing="1"/>
      <w:outlineLvl w:val="1"/>
    </w:pPr>
    <w:rPr>
      <w:b/>
      <w:bCs/>
      <w:sz w:val="36"/>
      <w:szCs w:val="36"/>
    </w:rPr>
  </w:style>
  <w:style w:type="paragraph" w:styleId="Heading3">
    <w:name w:val="heading 3"/>
    <w:basedOn w:val="Normal"/>
    <w:link w:val="Heading3Char"/>
    <w:uiPriority w:val="9"/>
    <w:qFormat/>
    <w:rsid w:val="008438A5"/>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438A5"/>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8438A5"/>
    <w:rPr>
      <w:rFonts w:ascii="Times New Roman" w:eastAsia="Times New Roman" w:hAnsi="Times New Roman" w:cs="Times New Roman"/>
      <w:b/>
      <w:bCs/>
      <w:sz w:val="27"/>
      <w:szCs w:val="27"/>
    </w:rPr>
  </w:style>
  <w:style w:type="paragraph" w:styleId="NormalWeb">
    <w:name w:val="Normal (Web)"/>
    <w:basedOn w:val="Normal"/>
    <w:uiPriority w:val="99"/>
    <w:unhideWhenUsed/>
    <w:rsid w:val="008438A5"/>
    <w:pPr>
      <w:spacing w:before="100" w:beforeAutospacing="1" w:after="100" w:afterAutospacing="1"/>
    </w:pPr>
  </w:style>
  <w:style w:type="character" w:styleId="Strong">
    <w:name w:val="Strong"/>
    <w:basedOn w:val="DefaultParagraphFont"/>
    <w:uiPriority w:val="22"/>
    <w:qFormat/>
    <w:rsid w:val="008438A5"/>
    <w:rPr>
      <w:b/>
      <w:bCs/>
    </w:rPr>
  </w:style>
  <w:style w:type="paragraph" w:customStyle="1" w:styleId="line-clamp-3">
    <w:name w:val="line-clamp-3"/>
    <w:basedOn w:val="Normal"/>
    <w:rsid w:val="00A57425"/>
    <w:pPr>
      <w:spacing w:before="100" w:beforeAutospacing="1" w:after="100" w:afterAutospacing="1"/>
    </w:pPr>
  </w:style>
  <w:style w:type="character" w:customStyle="1" w:styleId="min-w-0">
    <w:name w:val="min-w-0"/>
    <w:basedOn w:val="DefaultParagraphFont"/>
    <w:rsid w:val="00A57425"/>
  </w:style>
  <w:style w:type="paragraph" w:styleId="ListParagraph">
    <w:name w:val="List Paragraph"/>
    <w:basedOn w:val="Normal"/>
    <w:uiPriority w:val="34"/>
    <w:qFormat/>
    <w:rsid w:val="004C2215"/>
    <w:pPr>
      <w:ind w:left="720"/>
      <w:contextualSpacing/>
    </w:pPr>
  </w:style>
  <w:style w:type="character" w:styleId="Hyperlink">
    <w:name w:val="Hyperlink"/>
    <w:basedOn w:val="DefaultParagraphFont"/>
    <w:uiPriority w:val="99"/>
    <w:unhideWhenUsed/>
    <w:rsid w:val="004C2215"/>
    <w:rPr>
      <w:color w:val="0563C1" w:themeColor="hyperlink"/>
      <w:u w:val="single"/>
    </w:rPr>
  </w:style>
  <w:style w:type="character" w:styleId="UnresolvedMention">
    <w:name w:val="Unresolved Mention"/>
    <w:basedOn w:val="DefaultParagraphFont"/>
    <w:uiPriority w:val="99"/>
    <w:semiHidden/>
    <w:unhideWhenUsed/>
    <w:rsid w:val="004C221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180865">
      <w:bodyDiv w:val="1"/>
      <w:marLeft w:val="0"/>
      <w:marRight w:val="0"/>
      <w:marTop w:val="0"/>
      <w:marBottom w:val="0"/>
      <w:divBdr>
        <w:top w:val="none" w:sz="0" w:space="0" w:color="auto"/>
        <w:left w:val="none" w:sz="0" w:space="0" w:color="auto"/>
        <w:bottom w:val="none" w:sz="0" w:space="0" w:color="auto"/>
        <w:right w:val="none" w:sz="0" w:space="0" w:color="auto"/>
      </w:divBdr>
    </w:div>
    <w:div w:id="32657612">
      <w:bodyDiv w:val="1"/>
      <w:marLeft w:val="0"/>
      <w:marRight w:val="0"/>
      <w:marTop w:val="0"/>
      <w:marBottom w:val="0"/>
      <w:divBdr>
        <w:top w:val="none" w:sz="0" w:space="0" w:color="auto"/>
        <w:left w:val="none" w:sz="0" w:space="0" w:color="auto"/>
        <w:bottom w:val="none" w:sz="0" w:space="0" w:color="auto"/>
        <w:right w:val="none" w:sz="0" w:space="0" w:color="auto"/>
      </w:divBdr>
    </w:div>
    <w:div w:id="80684143">
      <w:bodyDiv w:val="1"/>
      <w:marLeft w:val="0"/>
      <w:marRight w:val="0"/>
      <w:marTop w:val="0"/>
      <w:marBottom w:val="0"/>
      <w:divBdr>
        <w:top w:val="none" w:sz="0" w:space="0" w:color="auto"/>
        <w:left w:val="none" w:sz="0" w:space="0" w:color="auto"/>
        <w:bottom w:val="none" w:sz="0" w:space="0" w:color="auto"/>
        <w:right w:val="none" w:sz="0" w:space="0" w:color="auto"/>
      </w:divBdr>
      <w:divsChild>
        <w:div w:id="1909461984">
          <w:marLeft w:val="0"/>
          <w:marRight w:val="0"/>
          <w:marTop w:val="0"/>
          <w:marBottom w:val="0"/>
          <w:divBdr>
            <w:top w:val="none" w:sz="0" w:space="0" w:color="auto"/>
            <w:left w:val="none" w:sz="0" w:space="0" w:color="auto"/>
            <w:bottom w:val="none" w:sz="0" w:space="0" w:color="auto"/>
            <w:right w:val="none" w:sz="0" w:space="0" w:color="auto"/>
          </w:divBdr>
          <w:divsChild>
            <w:div w:id="496918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161727">
      <w:bodyDiv w:val="1"/>
      <w:marLeft w:val="0"/>
      <w:marRight w:val="0"/>
      <w:marTop w:val="0"/>
      <w:marBottom w:val="0"/>
      <w:divBdr>
        <w:top w:val="none" w:sz="0" w:space="0" w:color="auto"/>
        <w:left w:val="none" w:sz="0" w:space="0" w:color="auto"/>
        <w:bottom w:val="none" w:sz="0" w:space="0" w:color="auto"/>
        <w:right w:val="none" w:sz="0" w:space="0" w:color="auto"/>
      </w:divBdr>
    </w:div>
    <w:div w:id="90972420">
      <w:bodyDiv w:val="1"/>
      <w:marLeft w:val="0"/>
      <w:marRight w:val="0"/>
      <w:marTop w:val="0"/>
      <w:marBottom w:val="0"/>
      <w:divBdr>
        <w:top w:val="none" w:sz="0" w:space="0" w:color="auto"/>
        <w:left w:val="none" w:sz="0" w:space="0" w:color="auto"/>
        <w:bottom w:val="none" w:sz="0" w:space="0" w:color="auto"/>
        <w:right w:val="none" w:sz="0" w:space="0" w:color="auto"/>
      </w:divBdr>
    </w:div>
    <w:div w:id="102842488">
      <w:bodyDiv w:val="1"/>
      <w:marLeft w:val="0"/>
      <w:marRight w:val="0"/>
      <w:marTop w:val="0"/>
      <w:marBottom w:val="0"/>
      <w:divBdr>
        <w:top w:val="none" w:sz="0" w:space="0" w:color="auto"/>
        <w:left w:val="none" w:sz="0" w:space="0" w:color="auto"/>
        <w:bottom w:val="none" w:sz="0" w:space="0" w:color="auto"/>
        <w:right w:val="none" w:sz="0" w:space="0" w:color="auto"/>
      </w:divBdr>
    </w:div>
    <w:div w:id="109131954">
      <w:bodyDiv w:val="1"/>
      <w:marLeft w:val="0"/>
      <w:marRight w:val="0"/>
      <w:marTop w:val="0"/>
      <w:marBottom w:val="0"/>
      <w:divBdr>
        <w:top w:val="none" w:sz="0" w:space="0" w:color="auto"/>
        <w:left w:val="none" w:sz="0" w:space="0" w:color="auto"/>
        <w:bottom w:val="none" w:sz="0" w:space="0" w:color="auto"/>
        <w:right w:val="none" w:sz="0" w:space="0" w:color="auto"/>
      </w:divBdr>
      <w:divsChild>
        <w:div w:id="997537329">
          <w:marLeft w:val="0"/>
          <w:marRight w:val="0"/>
          <w:marTop w:val="0"/>
          <w:marBottom w:val="0"/>
          <w:divBdr>
            <w:top w:val="none" w:sz="0" w:space="0" w:color="auto"/>
            <w:left w:val="none" w:sz="0" w:space="0" w:color="auto"/>
            <w:bottom w:val="none" w:sz="0" w:space="0" w:color="auto"/>
            <w:right w:val="none" w:sz="0" w:space="0" w:color="auto"/>
          </w:divBdr>
          <w:divsChild>
            <w:div w:id="255866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618221">
      <w:bodyDiv w:val="1"/>
      <w:marLeft w:val="0"/>
      <w:marRight w:val="0"/>
      <w:marTop w:val="0"/>
      <w:marBottom w:val="0"/>
      <w:divBdr>
        <w:top w:val="none" w:sz="0" w:space="0" w:color="auto"/>
        <w:left w:val="none" w:sz="0" w:space="0" w:color="auto"/>
        <w:bottom w:val="none" w:sz="0" w:space="0" w:color="auto"/>
        <w:right w:val="none" w:sz="0" w:space="0" w:color="auto"/>
      </w:divBdr>
    </w:div>
    <w:div w:id="122893455">
      <w:bodyDiv w:val="1"/>
      <w:marLeft w:val="0"/>
      <w:marRight w:val="0"/>
      <w:marTop w:val="0"/>
      <w:marBottom w:val="0"/>
      <w:divBdr>
        <w:top w:val="none" w:sz="0" w:space="0" w:color="auto"/>
        <w:left w:val="none" w:sz="0" w:space="0" w:color="auto"/>
        <w:bottom w:val="none" w:sz="0" w:space="0" w:color="auto"/>
        <w:right w:val="none" w:sz="0" w:space="0" w:color="auto"/>
      </w:divBdr>
    </w:div>
    <w:div w:id="131018879">
      <w:bodyDiv w:val="1"/>
      <w:marLeft w:val="0"/>
      <w:marRight w:val="0"/>
      <w:marTop w:val="0"/>
      <w:marBottom w:val="0"/>
      <w:divBdr>
        <w:top w:val="none" w:sz="0" w:space="0" w:color="auto"/>
        <w:left w:val="none" w:sz="0" w:space="0" w:color="auto"/>
        <w:bottom w:val="none" w:sz="0" w:space="0" w:color="auto"/>
        <w:right w:val="none" w:sz="0" w:space="0" w:color="auto"/>
      </w:divBdr>
    </w:div>
    <w:div w:id="196309785">
      <w:bodyDiv w:val="1"/>
      <w:marLeft w:val="0"/>
      <w:marRight w:val="0"/>
      <w:marTop w:val="0"/>
      <w:marBottom w:val="0"/>
      <w:divBdr>
        <w:top w:val="none" w:sz="0" w:space="0" w:color="auto"/>
        <w:left w:val="none" w:sz="0" w:space="0" w:color="auto"/>
        <w:bottom w:val="none" w:sz="0" w:space="0" w:color="auto"/>
        <w:right w:val="none" w:sz="0" w:space="0" w:color="auto"/>
      </w:divBdr>
    </w:div>
    <w:div w:id="290944165">
      <w:bodyDiv w:val="1"/>
      <w:marLeft w:val="0"/>
      <w:marRight w:val="0"/>
      <w:marTop w:val="0"/>
      <w:marBottom w:val="0"/>
      <w:divBdr>
        <w:top w:val="none" w:sz="0" w:space="0" w:color="auto"/>
        <w:left w:val="none" w:sz="0" w:space="0" w:color="auto"/>
        <w:bottom w:val="none" w:sz="0" w:space="0" w:color="auto"/>
        <w:right w:val="none" w:sz="0" w:space="0" w:color="auto"/>
      </w:divBdr>
    </w:div>
    <w:div w:id="307711813">
      <w:bodyDiv w:val="1"/>
      <w:marLeft w:val="0"/>
      <w:marRight w:val="0"/>
      <w:marTop w:val="0"/>
      <w:marBottom w:val="0"/>
      <w:divBdr>
        <w:top w:val="none" w:sz="0" w:space="0" w:color="auto"/>
        <w:left w:val="none" w:sz="0" w:space="0" w:color="auto"/>
        <w:bottom w:val="none" w:sz="0" w:space="0" w:color="auto"/>
        <w:right w:val="none" w:sz="0" w:space="0" w:color="auto"/>
      </w:divBdr>
    </w:div>
    <w:div w:id="311641866">
      <w:bodyDiv w:val="1"/>
      <w:marLeft w:val="0"/>
      <w:marRight w:val="0"/>
      <w:marTop w:val="0"/>
      <w:marBottom w:val="0"/>
      <w:divBdr>
        <w:top w:val="none" w:sz="0" w:space="0" w:color="auto"/>
        <w:left w:val="none" w:sz="0" w:space="0" w:color="auto"/>
        <w:bottom w:val="none" w:sz="0" w:space="0" w:color="auto"/>
        <w:right w:val="none" w:sz="0" w:space="0" w:color="auto"/>
      </w:divBdr>
    </w:div>
    <w:div w:id="336228620">
      <w:bodyDiv w:val="1"/>
      <w:marLeft w:val="0"/>
      <w:marRight w:val="0"/>
      <w:marTop w:val="0"/>
      <w:marBottom w:val="0"/>
      <w:divBdr>
        <w:top w:val="none" w:sz="0" w:space="0" w:color="auto"/>
        <w:left w:val="none" w:sz="0" w:space="0" w:color="auto"/>
        <w:bottom w:val="none" w:sz="0" w:space="0" w:color="auto"/>
        <w:right w:val="none" w:sz="0" w:space="0" w:color="auto"/>
      </w:divBdr>
    </w:div>
    <w:div w:id="346717937">
      <w:bodyDiv w:val="1"/>
      <w:marLeft w:val="0"/>
      <w:marRight w:val="0"/>
      <w:marTop w:val="0"/>
      <w:marBottom w:val="0"/>
      <w:divBdr>
        <w:top w:val="none" w:sz="0" w:space="0" w:color="auto"/>
        <w:left w:val="none" w:sz="0" w:space="0" w:color="auto"/>
        <w:bottom w:val="none" w:sz="0" w:space="0" w:color="auto"/>
        <w:right w:val="none" w:sz="0" w:space="0" w:color="auto"/>
      </w:divBdr>
    </w:div>
    <w:div w:id="409353492">
      <w:bodyDiv w:val="1"/>
      <w:marLeft w:val="0"/>
      <w:marRight w:val="0"/>
      <w:marTop w:val="0"/>
      <w:marBottom w:val="0"/>
      <w:divBdr>
        <w:top w:val="none" w:sz="0" w:space="0" w:color="auto"/>
        <w:left w:val="none" w:sz="0" w:space="0" w:color="auto"/>
        <w:bottom w:val="none" w:sz="0" w:space="0" w:color="auto"/>
        <w:right w:val="none" w:sz="0" w:space="0" w:color="auto"/>
      </w:divBdr>
    </w:div>
    <w:div w:id="425882464">
      <w:bodyDiv w:val="1"/>
      <w:marLeft w:val="0"/>
      <w:marRight w:val="0"/>
      <w:marTop w:val="0"/>
      <w:marBottom w:val="0"/>
      <w:divBdr>
        <w:top w:val="none" w:sz="0" w:space="0" w:color="auto"/>
        <w:left w:val="none" w:sz="0" w:space="0" w:color="auto"/>
        <w:bottom w:val="none" w:sz="0" w:space="0" w:color="auto"/>
        <w:right w:val="none" w:sz="0" w:space="0" w:color="auto"/>
      </w:divBdr>
      <w:divsChild>
        <w:div w:id="314183895">
          <w:marLeft w:val="0"/>
          <w:marRight w:val="0"/>
          <w:marTop w:val="0"/>
          <w:marBottom w:val="0"/>
          <w:divBdr>
            <w:top w:val="none" w:sz="0" w:space="0" w:color="auto"/>
            <w:left w:val="none" w:sz="0" w:space="0" w:color="auto"/>
            <w:bottom w:val="none" w:sz="0" w:space="0" w:color="auto"/>
            <w:right w:val="none" w:sz="0" w:space="0" w:color="auto"/>
          </w:divBdr>
          <w:divsChild>
            <w:div w:id="2031955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6534485">
      <w:bodyDiv w:val="1"/>
      <w:marLeft w:val="0"/>
      <w:marRight w:val="0"/>
      <w:marTop w:val="0"/>
      <w:marBottom w:val="0"/>
      <w:divBdr>
        <w:top w:val="none" w:sz="0" w:space="0" w:color="auto"/>
        <w:left w:val="none" w:sz="0" w:space="0" w:color="auto"/>
        <w:bottom w:val="none" w:sz="0" w:space="0" w:color="auto"/>
        <w:right w:val="none" w:sz="0" w:space="0" w:color="auto"/>
      </w:divBdr>
    </w:div>
    <w:div w:id="486674619">
      <w:bodyDiv w:val="1"/>
      <w:marLeft w:val="0"/>
      <w:marRight w:val="0"/>
      <w:marTop w:val="0"/>
      <w:marBottom w:val="0"/>
      <w:divBdr>
        <w:top w:val="none" w:sz="0" w:space="0" w:color="auto"/>
        <w:left w:val="none" w:sz="0" w:space="0" w:color="auto"/>
        <w:bottom w:val="none" w:sz="0" w:space="0" w:color="auto"/>
        <w:right w:val="none" w:sz="0" w:space="0" w:color="auto"/>
      </w:divBdr>
    </w:div>
    <w:div w:id="488794231">
      <w:bodyDiv w:val="1"/>
      <w:marLeft w:val="0"/>
      <w:marRight w:val="0"/>
      <w:marTop w:val="0"/>
      <w:marBottom w:val="0"/>
      <w:divBdr>
        <w:top w:val="none" w:sz="0" w:space="0" w:color="auto"/>
        <w:left w:val="none" w:sz="0" w:space="0" w:color="auto"/>
        <w:bottom w:val="none" w:sz="0" w:space="0" w:color="auto"/>
        <w:right w:val="none" w:sz="0" w:space="0" w:color="auto"/>
      </w:divBdr>
    </w:div>
    <w:div w:id="497573976">
      <w:bodyDiv w:val="1"/>
      <w:marLeft w:val="0"/>
      <w:marRight w:val="0"/>
      <w:marTop w:val="0"/>
      <w:marBottom w:val="0"/>
      <w:divBdr>
        <w:top w:val="none" w:sz="0" w:space="0" w:color="auto"/>
        <w:left w:val="none" w:sz="0" w:space="0" w:color="auto"/>
        <w:bottom w:val="none" w:sz="0" w:space="0" w:color="auto"/>
        <w:right w:val="none" w:sz="0" w:space="0" w:color="auto"/>
      </w:divBdr>
    </w:div>
    <w:div w:id="524251736">
      <w:bodyDiv w:val="1"/>
      <w:marLeft w:val="0"/>
      <w:marRight w:val="0"/>
      <w:marTop w:val="0"/>
      <w:marBottom w:val="0"/>
      <w:divBdr>
        <w:top w:val="none" w:sz="0" w:space="0" w:color="auto"/>
        <w:left w:val="none" w:sz="0" w:space="0" w:color="auto"/>
        <w:bottom w:val="none" w:sz="0" w:space="0" w:color="auto"/>
        <w:right w:val="none" w:sz="0" w:space="0" w:color="auto"/>
      </w:divBdr>
      <w:divsChild>
        <w:div w:id="175265378">
          <w:marLeft w:val="0"/>
          <w:marRight w:val="0"/>
          <w:marTop w:val="0"/>
          <w:marBottom w:val="0"/>
          <w:divBdr>
            <w:top w:val="none" w:sz="0" w:space="0" w:color="auto"/>
            <w:left w:val="none" w:sz="0" w:space="0" w:color="auto"/>
            <w:bottom w:val="none" w:sz="0" w:space="0" w:color="auto"/>
            <w:right w:val="none" w:sz="0" w:space="0" w:color="auto"/>
          </w:divBdr>
          <w:divsChild>
            <w:div w:id="1593008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0850760">
      <w:bodyDiv w:val="1"/>
      <w:marLeft w:val="0"/>
      <w:marRight w:val="0"/>
      <w:marTop w:val="0"/>
      <w:marBottom w:val="0"/>
      <w:divBdr>
        <w:top w:val="none" w:sz="0" w:space="0" w:color="auto"/>
        <w:left w:val="none" w:sz="0" w:space="0" w:color="auto"/>
        <w:bottom w:val="none" w:sz="0" w:space="0" w:color="auto"/>
        <w:right w:val="none" w:sz="0" w:space="0" w:color="auto"/>
      </w:divBdr>
    </w:div>
    <w:div w:id="559483899">
      <w:bodyDiv w:val="1"/>
      <w:marLeft w:val="0"/>
      <w:marRight w:val="0"/>
      <w:marTop w:val="0"/>
      <w:marBottom w:val="0"/>
      <w:divBdr>
        <w:top w:val="none" w:sz="0" w:space="0" w:color="auto"/>
        <w:left w:val="none" w:sz="0" w:space="0" w:color="auto"/>
        <w:bottom w:val="none" w:sz="0" w:space="0" w:color="auto"/>
        <w:right w:val="none" w:sz="0" w:space="0" w:color="auto"/>
      </w:divBdr>
    </w:div>
    <w:div w:id="570896350">
      <w:bodyDiv w:val="1"/>
      <w:marLeft w:val="0"/>
      <w:marRight w:val="0"/>
      <w:marTop w:val="0"/>
      <w:marBottom w:val="0"/>
      <w:divBdr>
        <w:top w:val="none" w:sz="0" w:space="0" w:color="auto"/>
        <w:left w:val="none" w:sz="0" w:space="0" w:color="auto"/>
        <w:bottom w:val="none" w:sz="0" w:space="0" w:color="auto"/>
        <w:right w:val="none" w:sz="0" w:space="0" w:color="auto"/>
      </w:divBdr>
    </w:div>
    <w:div w:id="582227071">
      <w:bodyDiv w:val="1"/>
      <w:marLeft w:val="0"/>
      <w:marRight w:val="0"/>
      <w:marTop w:val="0"/>
      <w:marBottom w:val="0"/>
      <w:divBdr>
        <w:top w:val="none" w:sz="0" w:space="0" w:color="auto"/>
        <w:left w:val="none" w:sz="0" w:space="0" w:color="auto"/>
        <w:bottom w:val="none" w:sz="0" w:space="0" w:color="auto"/>
        <w:right w:val="none" w:sz="0" w:space="0" w:color="auto"/>
      </w:divBdr>
    </w:div>
    <w:div w:id="752165955">
      <w:bodyDiv w:val="1"/>
      <w:marLeft w:val="0"/>
      <w:marRight w:val="0"/>
      <w:marTop w:val="0"/>
      <w:marBottom w:val="0"/>
      <w:divBdr>
        <w:top w:val="none" w:sz="0" w:space="0" w:color="auto"/>
        <w:left w:val="none" w:sz="0" w:space="0" w:color="auto"/>
        <w:bottom w:val="none" w:sz="0" w:space="0" w:color="auto"/>
        <w:right w:val="none" w:sz="0" w:space="0" w:color="auto"/>
      </w:divBdr>
    </w:div>
    <w:div w:id="766384941">
      <w:bodyDiv w:val="1"/>
      <w:marLeft w:val="0"/>
      <w:marRight w:val="0"/>
      <w:marTop w:val="0"/>
      <w:marBottom w:val="0"/>
      <w:divBdr>
        <w:top w:val="none" w:sz="0" w:space="0" w:color="auto"/>
        <w:left w:val="none" w:sz="0" w:space="0" w:color="auto"/>
        <w:bottom w:val="none" w:sz="0" w:space="0" w:color="auto"/>
        <w:right w:val="none" w:sz="0" w:space="0" w:color="auto"/>
      </w:divBdr>
      <w:divsChild>
        <w:div w:id="363791381">
          <w:marLeft w:val="0"/>
          <w:marRight w:val="0"/>
          <w:marTop w:val="0"/>
          <w:marBottom w:val="0"/>
          <w:divBdr>
            <w:top w:val="none" w:sz="0" w:space="0" w:color="auto"/>
            <w:left w:val="none" w:sz="0" w:space="0" w:color="auto"/>
            <w:bottom w:val="none" w:sz="0" w:space="0" w:color="auto"/>
            <w:right w:val="none" w:sz="0" w:space="0" w:color="auto"/>
          </w:divBdr>
          <w:divsChild>
            <w:div w:id="320306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8525372">
      <w:bodyDiv w:val="1"/>
      <w:marLeft w:val="0"/>
      <w:marRight w:val="0"/>
      <w:marTop w:val="0"/>
      <w:marBottom w:val="0"/>
      <w:divBdr>
        <w:top w:val="none" w:sz="0" w:space="0" w:color="auto"/>
        <w:left w:val="none" w:sz="0" w:space="0" w:color="auto"/>
        <w:bottom w:val="none" w:sz="0" w:space="0" w:color="auto"/>
        <w:right w:val="none" w:sz="0" w:space="0" w:color="auto"/>
      </w:divBdr>
    </w:div>
    <w:div w:id="901908538">
      <w:bodyDiv w:val="1"/>
      <w:marLeft w:val="0"/>
      <w:marRight w:val="0"/>
      <w:marTop w:val="0"/>
      <w:marBottom w:val="0"/>
      <w:divBdr>
        <w:top w:val="none" w:sz="0" w:space="0" w:color="auto"/>
        <w:left w:val="none" w:sz="0" w:space="0" w:color="auto"/>
        <w:bottom w:val="none" w:sz="0" w:space="0" w:color="auto"/>
        <w:right w:val="none" w:sz="0" w:space="0" w:color="auto"/>
      </w:divBdr>
    </w:div>
    <w:div w:id="917400721">
      <w:bodyDiv w:val="1"/>
      <w:marLeft w:val="0"/>
      <w:marRight w:val="0"/>
      <w:marTop w:val="0"/>
      <w:marBottom w:val="0"/>
      <w:divBdr>
        <w:top w:val="none" w:sz="0" w:space="0" w:color="auto"/>
        <w:left w:val="none" w:sz="0" w:space="0" w:color="auto"/>
        <w:bottom w:val="none" w:sz="0" w:space="0" w:color="auto"/>
        <w:right w:val="none" w:sz="0" w:space="0" w:color="auto"/>
      </w:divBdr>
    </w:div>
    <w:div w:id="971404177">
      <w:bodyDiv w:val="1"/>
      <w:marLeft w:val="0"/>
      <w:marRight w:val="0"/>
      <w:marTop w:val="0"/>
      <w:marBottom w:val="0"/>
      <w:divBdr>
        <w:top w:val="none" w:sz="0" w:space="0" w:color="auto"/>
        <w:left w:val="none" w:sz="0" w:space="0" w:color="auto"/>
        <w:bottom w:val="none" w:sz="0" w:space="0" w:color="auto"/>
        <w:right w:val="none" w:sz="0" w:space="0" w:color="auto"/>
      </w:divBdr>
    </w:div>
    <w:div w:id="1006396305">
      <w:bodyDiv w:val="1"/>
      <w:marLeft w:val="0"/>
      <w:marRight w:val="0"/>
      <w:marTop w:val="0"/>
      <w:marBottom w:val="0"/>
      <w:divBdr>
        <w:top w:val="none" w:sz="0" w:space="0" w:color="auto"/>
        <w:left w:val="none" w:sz="0" w:space="0" w:color="auto"/>
        <w:bottom w:val="none" w:sz="0" w:space="0" w:color="auto"/>
        <w:right w:val="none" w:sz="0" w:space="0" w:color="auto"/>
      </w:divBdr>
    </w:div>
    <w:div w:id="1050224801">
      <w:bodyDiv w:val="1"/>
      <w:marLeft w:val="0"/>
      <w:marRight w:val="0"/>
      <w:marTop w:val="0"/>
      <w:marBottom w:val="0"/>
      <w:divBdr>
        <w:top w:val="none" w:sz="0" w:space="0" w:color="auto"/>
        <w:left w:val="none" w:sz="0" w:space="0" w:color="auto"/>
        <w:bottom w:val="none" w:sz="0" w:space="0" w:color="auto"/>
        <w:right w:val="none" w:sz="0" w:space="0" w:color="auto"/>
      </w:divBdr>
    </w:div>
    <w:div w:id="1091270048">
      <w:bodyDiv w:val="1"/>
      <w:marLeft w:val="0"/>
      <w:marRight w:val="0"/>
      <w:marTop w:val="0"/>
      <w:marBottom w:val="0"/>
      <w:divBdr>
        <w:top w:val="none" w:sz="0" w:space="0" w:color="auto"/>
        <w:left w:val="none" w:sz="0" w:space="0" w:color="auto"/>
        <w:bottom w:val="none" w:sz="0" w:space="0" w:color="auto"/>
        <w:right w:val="none" w:sz="0" w:space="0" w:color="auto"/>
      </w:divBdr>
    </w:div>
    <w:div w:id="1093935598">
      <w:bodyDiv w:val="1"/>
      <w:marLeft w:val="0"/>
      <w:marRight w:val="0"/>
      <w:marTop w:val="0"/>
      <w:marBottom w:val="0"/>
      <w:divBdr>
        <w:top w:val="none" w:sz="0" w:space="0" w:color="auto"/>
        <w:left w:val="none" w:sz="0" w:space="0" w:color="auto"/>
        <w:bottom w:val="none" w:sz="0" w:space="0" w:color="auto"/>
        <w:right w:val="none" w:sz="0" w:space="0" w:color="auto"/>
      </w:divBdr>
    </w:div>
    <w:div w:id="1111121754">
      <w:bodyDiv w:val="1"/>
      <w:marLeft w:val="0"/>
      <w:marRight w:val="0"/>
      <w:marTop w:val="0"/>
      <w:marBottom w:val="0"/>
      <w:divBdr>
        <w:top w:val="none" w:sz="0" w:space="0" w:color="auto"/>
        <w:left w:val="none" w:sz="0" w:space="0" w:color="auto"/>
        <w:bottom w:val="none" w:sz="0" w:space="0" w:color="auto"/>
        <w:right w:val="none" w:sz="0" w:space="0" w:color="auto"/>
      </w:divBdr>
    </w:div>
    <w:div w:id="1169515046">
      <w:bodyDiv w:val="1"/>
      <w:marLeft w:val="0"/>
      <w:marRight w:val="0"/>
      <w:marTop w:val="0"/>
      <w:marBottom w:val="0"/>
      <w:divBdr>
        <w:top w:val="none" w:sz="0" w:space="0" w:color="auto"/>
        <w:left w:val="none" w:sz="0" w:space="0" w:color="auto"/>
        <w:bottom w:val="none" w:sz="0" w:space="0" w:color="auto"/>
        <w:right w:val="none" w:sz="0" w:space="0" w:color="auto"/>
      </w:divBdr>
    </w:div>
    <w:div w:id="1210336861">
      <w:bodyDiv w:val="1"/>
      <w:marLeft w:val="0"/>
      <w:marRight w:val="0"/>
      <w:marTop w:val="0"/>
      <w:marBottom w:val="0"/>
      <w:divBdr>
        <w:top w:val="none" w:sz="0" w:space="0" w:color="auto"/>
        <w:left w:val="none" w:sz="0" w:space="0" w:color="auto"/>
        <w:bottom w:val="none" w:sz="0" w:space="0" w:color="auto"/>
        <w:right w:val="none" w:sz="0" w:space="0" w:color="auto"/>
      </w:divBdr>
    </w:div>
    <w:div w:id="1268391944">
      <w:bodyDiv w:val="1"/>
      <w:marLeft w:val="0"/>
      <w:marRight w:val="0"/>
      <w:marTop w:val="0"/>
      <w:marBottom w:val="0"/>
      <w:divBdr>
        <w:top w:val="none" w:sz="0" w:space="0" w:color="auto"/>
        <w:left w:val="none" w:sz="0" w:space="0" w:color="auto"/>
        <w:bottom w:val="none" w:sz="0" w:space="0" w:color="auto"/>
        <w:right w:val="none" w:sz="0" w:space="0" w:color="auto"/>
      </w:divBdr>
    </w:div>
    <w:div w:id="1288120517">
      <w:bodyDiv w:val="1"/>
      <w:marLeft w:val="0"/>
      <w:marRight w:val="0"/>
      <w:marTop w:val="0"/>
      <w:marBottom w:val="0"/>
      <w:divBdr>
        <w:top w:val="none" w:sz="0" w:space="0" w:color="auto"/>
        <w:left w:val="none" w:sz="0" w:space="0" w:color="auto"/>
        <w:bottom w:val="none" w:sz="0" w:space="0" w:color="auto"/>
        <w:right w:val="none" w:sz="0" w:space="0" w:color="auto"/>
      </w:divBdr>
    </w:div>
    <w:div w:id="1301695396">
      <w:bodyDiv w:val="1"/>
      <w:marLeft w:val="0"/>
      <w:marRight w:val="0"/>
      <w:marTop w:val="0"/>
      <w:marBottom w:val="0"/>
      <w:divBdr>
        <w:top w:val="none" w:sz="0" w:space="0" w:color="auto"/>
        <w:left w:val="none" w:sz="0" w:space="0" w:color="auto"/>
        <w:bottom w:val="none" w:sz="0" w:space="0" w:color="auto"/>
        <w:right w:val="none" w:sz="0" w:space="0" w:color="auto"/>
      </w:divBdr>
    </w:div>
    <w:div w:id="1319651345">
      <w:bodyDiv w:val="1"/>
      <w:marLeft w:val="0"/>
      <w:marRight w:val="0"/>
      <w:marTop w:val="0"/>
      <w:marBottom w:val="0"/>
      <w:divBdr>
        <w:top w:val="none" w:sz="0" w:space="0" w:color="auto"/>
        <w:left w:val="none" w:sz="0" w:space="0" w:color="auto"/>
        <w:bottom w:val="none" w:sz="0" w:space="0" w:color="auto"/>
        <w:right w:val="none" w:sz="0" w:space="0" w:color="auto"/>
      </w:divBdr>
    </w:div>
    <w:div w:id="1419205485">
      <w:bodyDiv w:val="1"/>
      <w:marLeft w:val="0"/>
      <w:marRight w:val="0"/>
      <w:marTop w:val="0"/>
      <w:marBottom w:val="0"/>
      <w:divBdr>
        <w:top w:val="none" w:sz="0" w:space="0" w:color="auto"/>
        <w:left w:val="none" w:sz="0" w:space="0" w:color="auto"/>
        <w:bottom w:val="none" w:sz="0" w:space="0" w:color="auto"/>
        <w:right w:val="none" w:sz="0" w:space="0" w:color="auto"/>
      </w:divBdr>
    </w:div>
    <w:div w:id="1438522118">
      <w:bodyDiv w:val="1"/>
      <w:marLeft w:val="0"/>
      <w:marRight w:val="0"/>
      <w:marTop w:val="0"/>
      <w:marBottom w:val="0"/>
      <w:divBdr>
        <w:top w:val="none" w:sz="0" w:space="0" w:color="auto"/>
        <w:left w:val="none" w:sz="0" w:space="0" w:color="auto"/>
        <w:bottom w:val="none" w:sz="0" w:space="0" w:color="auto"/>
        <w:right w:val="none" w:sz="0" w:space="0" w:color="auto"/>
      </w:divBdr>
    </w:div>
    <w:div w:id="1475952748">
      <w:bodyDiv w:val="1"/>
      <w:marLeft w:val="0"/>
      <w:marRight w:val="0"/>
      <w:marTop w:val="0"/>
      <w:marBottom w:val="0"/>
      <w:divBdr>
        <w:top w:val="none" w:sz="0" w:space="0" w:color="auto"/>
        <w:left w:val="none" w:sz="0" w:space="0" w:color="auto"/>
        <w:bottom w:val="none" w:sz="0" w:space="0" w:color="auto"/>
        <w:right w:val="none" w:sz="0" w:space="0" w:color="auto"/>
      </w:divBdr>
    </w:div>
    <w:div w:id="1477722024">
      <w:bodyDiv w:val="1"/>
      <w:marLeft w:val="0"/>
      <w:marRight w:val="0"/>
      <w:marTop w:val="0"/>
      <w:marBottom w:val="0"/>
      <w:divBdr>
        <w:top w:val="none" w:sz="0" w:space="0" w:color="auto"/>
        <w:left w:val="none" w:sz="0" w:space="0" w:color="auto"/>
        <w:bottom w:val="none" w:sz="0" w:space="0" w:color="auto"/>
        <w:right w:val="none" w:sz="0" w:space="0" w:color="auto"/>
      </w:divBdr>
    </w:div>
    <w:div w:id="1508443735">
      <w:bodyDiv w:val="1"/>
      <w:marLeft w:val="0"/>
      <w:marRight w:val="0"/>
      <w:marTop w:val="0"/>
      <w:marBottom w:val="0"/>
      <w:divBdr>
        <w:top w:val="none" w:sz="0" w:space="0" w:color="auto"/>
        <w:left w:val="none" w:sz="0" w:space="0" w:color="auto"/>
        <w:bottom w:val="none" w:sz="0" w:space="0" w:color="auto"/>
        <w:right w:val="none" w:sz="0" w:space="0" w:color="auto"/>
      </w:divBdr>
    </w:div>
    <w:div w:id="1533035646">
      <w:bodyDiv w:val="1"/>
      <w:marLeft w:val="0"/>
      <w:marRight w:val="0"/>
      <w:marTop w:val="0"/>
      <w:marBottom w:val="0"/>
      <w:divBdr>
        <w:top w:val="none" w:sz="0" w:space="0" w:color="auto"/>
        <w:left w:val="none" w:sz="0" w:space="0" w:color="auto"/>
        <w:bottom w:val="none" w:sz="0" w:space="0" w:color="auto"/>
        <w:right w:val="none" w:sz="0" w:space="0" w:color="auto"/>
      </w:divBdr>
    </w:div>
    <w:div w:id="1547714164">
      <w:bodyDiv w:val="1"/>
      <w:marLeft w:val="0"/>
      <w:marRight w:val="0"/>
      <w:marTop w:val="0"/>
      <w:marBottom w:val="0"/>
      <w:divBdr>
        <w:top w:val="none" w:sz="0" w:space="0" w:color="auto"/>
        <w:left w:val="none" w:sz="0" w:space="0" w:color="auto"/>
        <w:bottom w:val="none" w:sz="0" w:space="0" w:color="auto"/>
        <w:right w:val="none" w:sz="0" w:space="0" w:color="auto"/>
      </w:divBdr>
    </w:div>
    <w:div w:id="1602762145">
      <w:bodyDiv w:val="1"/>
      <w:marLeft w:val="0"/>
      <w:marRight w:val="0"/>
      <w:marTop w:val="0"/>
      <w:marBottom w:val="0"/>
      <w:divBdr>
        <w:top w:val="none" w:sz="0" w:space="0" w:color="auto"/>
        <w:left w:val="none" w:sz="0" w:space="0" w:color="auto"/>
        <w:bottom w:val="none" w:sz="0" w:space="0" w:color="auto"/>
        <w:right w:val="none" w:sz="0" w:space="0" w:color="auto"/>
      </w:divBdr>
    </w:div>
    <w:div w:id="1604147617">
      <w:bodyDiv w:val="1"/>
      <w:marLeft w:val="0"/>
      <w:marRight w:val="0"/>
      <w:marTop w:val="0"/>
      <w:marBottom w:val="0"/>
      <w:divBdr>
        <w:top w:val="none" w:sz="0" w:space="0" w:color="auto"/>
        <w:left w:val="none" w:sz="0" w:space="0" w:color="auto"/>
        <w:bottom w:val="none" w:sz="0" w:space="0" w:color="auto"/>
        <w:right w:val="none" w:sz="0" w:space="0" w:color="auto"/>
      </w:divBdr>
    </w:div>
    <w:div w:id="1653213407">
      <w:bodyDiv w:val="1"/>
      <w:marLeft w:val="0"/>
      <w:marRight w:val="0"/>
      <w:marTop w:val="0"/>
      <w:marBottom w:val="0"/>
      <w:divBdr>
        <w:top w:val="none" w:sz="0" w:space="0" w:color="auto"/>
        <w:left w:val="none" w:sz="0" w:space="0" w:color="auto"/>
        <w:bottom w:val="none" w:sz="0" w:space="0" w:color="auto"/>
        <w:right w:val="none" w:sz="0" w:space="0" w:color="auto"/>
      </w:divBdr>
    </w:div>
    <w:div w:id="1716125717">
      <w:bodyDiv w:val="1"/>
      <w:marLeft w:val="0"/>
      <w:marRight w:val="0"/>
      <w:marTop w:val="0"/>
      <w:marBottom w:val="0"/>
      <w:divBdr>
        <w:top w:val="none" w:sz="0" w:space="0" w:color="auto"/>
        <w:left w:val="none" w:sz="0" w:space="0" w:color="auto"/>
        <w:bottom w:val="none" w:sz="0" w:space="0" w:color="auto"/>
        <w:right w:val="none" w:sz="0" w:space="0" w:color="auto"/>
      </w:divBdr>
    </w:div>
    <w:div w:id="1718507464">
      <w:bodyDiv w:val="1"/>
      <w:marLeft w:val="0"/>
      <w:marRight w:val="0"/>
      <w:marTop w:val="0"/>
      <w:marBottom w:val="0"/>
      <w:divBdr>
        <w:top w:val="none" w:sz="0" w:space="0" w:color="auto"/>
        <w:left w:val="none" w:sz="0" w:space="0" w:color="auto"/>
        <w:bottom w:val="none" w:sz="0" w:space="0" w:color="auto"/>
        <w:right w:val="none" w:sz="0" w:space="0" w:color="auto"/>
      </w:divBdr>
    </w:div>
    <w:div w:id="1718510389">
      <w:bodyDiv w:val="1"/>
      <w:marLeft w:val="0"/>
      <w:marRight w:val="0"/>
      <w:marTop w:val="0"/>
      <w:marBottom w:val="0"/>
      <w:divBdr>
        <w:top w:val="none" w:sz="0" w:space="0" w:color="auto"/>
        <w:left w:val="none" w:sz="0" w:space="0" w:color="auto"/>
        <w:bottom w:val="none" w:sz="0" w:space="0" w:color="auto"/>
        <w:right w:val="none" w:sz="0" w:space="0" w:color="auto"/>
      </w:divBdr>
    </w:div>
    <w:div w:id="1784567509">
      <w:bodyDiv w:val="1"/>
      <w:marLeft w:val="0"/>
      <w:marRight w:val="0"/>
      <w:marTop w:val="0"/>
      <w:marBottom w:val="0"/>
      <w:divBdr>
        <w:top w:val="none" w:sz="0" w:space="0" w:color="auto"/>
        <w:left w:val="none" w:sz="0" w:space="0" w:color="auto"/>
        <w:bottom w:val="none" w:sz="0" w:space="0" w:color="auto"/>
        <w:right w:val="none" w:sz="0" w:space="0" w:color="auto"/>
      </w:divBdr>
    </w:div>
    <w:div w:id="1806190971">
      <w:bodyDiv w:val="1"/>
      <w:marLeft w:val="0"/>
      <w:marRight w:val="0"/>
      <w:marTop w:val="0"/>
      <w:marBottom w:val="0"/>
      <w:divBdr>
        <w:top w:val="none" w:sz="0" w:space="0" w:color="auto"/>
        <w:left w:val="none" w:sz="0" w:space="0" w:color="auto"/>
        <w:bottom w:val="none" w:sz="0" w:space="0" w:color="auto"/>
        <w:right w:val="none" w:sz="0" w:space="0" w:color="auto"/>
      </w:divBdr>
    </w:div>
    <w:div w:id="1810122783">
      <w:bodyDiv w:val="1"/>
      <w:marLeft w:val="0"/>
      <w:marRight w:val="0"/>
      <w:marTop w:val="0"/>
      <w:marBottom w:val="0"/>
      <w:divBdr>
        <w:top w:val="none" w:sz="0" w:space="0" w:color="auto"/>
        <w:left w:val="none" w:sz="0" w:space="0" w:color="auto"/>
        <w:bottom w:val="none" w:sz="0" w:space="0" w:color="auto"/>
        <w:right w:val="none" w:sz="0" w:space="0" w:color="auto"/>
      </w:divBdr>
    </w:div>
    <w:div w:id="1824009722">
      <w:bodyDiv w:val="1"/>
      <w:marLeft w:val="0"/>
      <w:marRight w:val="0"/>
      <w:marTop w:val="0"/>
      <w:marBottom w:val="0"/>
      <w:divBdr>
        <w:top w:val="none" w:sz="0" w:space="0" w:color="auto"/>
        <w:left w:val="none" w:sz="0" w:space="0" w:color="auto"/>
        <w:bottom w:val="none" w:sz="0" w:space="0" w:color="auto"/>
        <w:right w:val="none" w:sz="0" w:space="0" w:color="auto"/>
      </w:divBdr>
    </w:div>
    <w:div w:id="1834567966">
      <w:bodyDiv w:val="1"/>
      <w:marLeft w:val="0"/>
      <w:marRight w:val="0"/>
      <w:marTop w:val="0"/>
      <w:marBottom w:val="0"/>
      <w:divBdr>
        <w:top w:val="none" w:sz="0" w:space="0" w:color="auto"/>
        <w:left w:val="none" w:sz="0" w:space="0" w:color="auto"/>
        <w:bottom w:val="none" w:sz="0" w:space="0" w:color="auto"/>
        <w:right w:val="none" w:sz="0" w:space="0" w:color="auto"/>
      </w:divBdr>
      <w:divsChild>
        <w:div w:id="922377145">
          <w:marLeft w:val="0"/>
          <w:marRight w:val="0"/>
          <w:marTop w:val="0"/>
          <w:marBottom w:val="0"/>
          <w:divBdr>
            <w:top w:val="none" w:sz="0" w:space="0" w:color="auto"/>
            <w:left w:val="none" w:sz="0" w:space="0" w:color="auto"/>
            <w:bottom w:val="none" w:sz="0" w:space="0" w:color="auto"/>
            <w:right w:val="none" w:sz="0" w:space="0" w:color="auto"/>
          </w:divBdr>
          <w:divsChild>
            <w:div w:id="1973707640">
              <w:marLeft w:val="0"/>
              <w:marRight w:val="0"/>
              <w:marTop w:val="0"/>
              <w:marBottom w:val="0"/>
              <w:divBdr>
                <w:top w:val="none" w:sz="0" w:space="0" w:color="auto"/>
                <w:left w:val="none" w:sz="0" w:space="0" w:color="auto"/>
                <w:bottom w:val="none" w:sz="0" w:space="0" w:color="auto"/>
                <w:right w:val="none" w:sz="0" w:space="0" w:color="auto"/>
              </w:divBdr>
              <w:divsChild>
                <w:div w:id="1982732513">
                  <w:marLeft w:val="0"/>
                  <w:marRight w:val="0"/>
                  <w:marTop w:val="0"/>
                  <w:marBottom w:val="0"/>
                  <w:divBdr>
                    <w:top w:val="none" w:sz="0" w:space="0" w:color="auto"/>
                    <w:left w:val="none" w:sz="0" w:space="0" w:color="auto"/>
                    <w:bottom w:val="none" w:sz="0" w:space="0" w:color="auto"/>
                    <w:right w:val="none" w:sz="0" w:space="0" w:color="auto"/>
                  </w:divBdr>
                  <w:divsChild>
                    <w:div w:id="1532916233">
                      <w:marLeft w:val="0"/>
                      <w:marRight w:val="0"/>
                      <w:marTop w:val="0"/>
                      <w:marBottom w:val="0"/>
                      <w:divBdr>
                        <w:top w:val="none" w:sz="0" w:space="0" w:color="auto"/>
                        <w:left w:val="none" w:sz="0" w:space="0" w:color="auto"/>
                        <w:bottom w:val="none" w:sz="0" w:space="0" w:color="auto"/>
                        <w:right w:val="none" w:sz="0" w:space="0" w:color="auto"/>
                      </w:divBdr>
                      <w:divsChild>
                        <w:div w:id="693001325">
                          <w:marLeft w:val="0"/>
                          <w:marRight w:val="0"/>
                          <w:marTop w:val="0"/>
                          <w:marBottom w:val="0"/>
                          <w:divBdr>
                            <w:top w:val="none" w:sz="0" w:space="0" w:color="auto"/>
                            <w:left w:val="none" w:sz="0" w:space="0" w:color="auto"/>
                            <w:bottom w:val="none" w:sz="0" w:space="0" w:color="auto"/>
                            <w:right w:val="none" w:sz="0" w:space="0" w:color="auto"/>
                          </w:divBdr>
                          <w:divsChild>
                            <w:div w:id="1567454547">
                              <w:marLeft w:val="0"/>
                              <w:marRight w:val="0"/>
                              <w:marTop w:val="0"/>
                              <w:marBottom w:val="0"/>
                              <w:divBdr>
                                <w:top w:val="none" w:sz="0" w:space="0" w:color="auto"/>
                                <w:left w:val="none" w:sz="0" w:space="0" w:color="auto"/>
                                <w:bottom w:val="none" w:sz="0" w:space="0" w:color="auto"/>
                                <w:right w:val="none" w:sz="0" w:space="0" w:color="auto"/>
                              </w:divBdr>
                              <w:divsChild>
                                <w:div w:id="196360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00158798">
              <w:marLeft w:val="0"/>
              <w:marRight w:val="0"/>
              <w:marTop w:val="0"/>
              <w:marBottom w:val="0"/>
              <w:divBdr>
                <w:top w:val="none" w:sz="0" w:space="0" w:color="auto"/>
                <w:left w:val="none" w:sz="0" w:space="0" w:color="auto"/>
                <w:bottom w:val="none" w:sz="0" w:space="0" w:color="auto"/>
                <w:right w:val="none" w:sz="0" w:space="0" w:color="auto"/>
              </w:divBdr>
              <w:divsChild>
                <w:div w:id="1311206442">
                  <w:marLeft w:val="0"/>
                  <w:marRight w:val="0"/>
                  <w:marTop w:val="0"/>
                  <w:marBottom w:val="0"/>
                  <w:divBdr>
                    <w:top w:val="none" w:sz="0" w:space="0" w:color="auto"/>
                    <w:left w:val="none" w:sz="0" w:space="0" w:color="auto"/>
                    <w:bottom w:val="none" w:sz="0" w:space="0" w:color="auto"/>
                    <w:right w:val="none" w:sz="0" w:space="0" w:color="auto"/>
                  </w:divBdr>
                  <w:divsChild>
                    <w:div w:id="657610707">
                      <w:marLeft w:val="0"/>
                      <w:marRight w:val="0"/>
                      <w:marTop w:val="0"/>
                      <w:marBottom w:val="0"/>
                      <w:divBdr>
                        <w:top w:val="none" w:sz="0" w:space="0" w:color="auto"/>
                        <w:left w:val="none" w:sz="0" w:space="0" w:color="auto"/>
                        <w:bottom w:val="none" w:sz="0" w:space="0" w:color="auto"/>
                        <w:right w:val="none" w:sz="0" w:space="0" w:color="auto"/>
                      </w:divBdr>
                      <w:divsChild>
                        <w:div w:id="535003086">
                          <w:marLeft w:val="0"/>
                          <w:marRight w:val="0"/>
                          <w:marTop w:val="0"/>
                          <w:marBottom w:val="0"/>
                          <w:divBdr>
                            <w:top w:val="none" w:sz="0" w:space="0" w:color="auto"/>
                            <w:left w:val="none" w:sz="0" w:space="0" w:color="auto"/>
                            <w:bottom w:val="none" w:sz="0" w:space="0" w:color="auto"/>
                            <w:right w:val="none" w:sz="0" w:space="0" w:color="auto"/>
                          </w:divBdr>
                          <w:divsChild>
                            <w:div w:id="1030304806">
                              <w:marLeft w:val="0"/>
                              <w:marRight w:val="0"/>
                              <w:marTop w:val="0"/>
                              <w:marBottom w:val="0"/>
                              <w:divBdr>
                                <w:top w:val="none" w:sz="0" w:space="0" w:color="auto"/>
                                <w:left w:val="none" w:sz="0" w:space="0" w:color="auto"/>
                                <w:bottom w:val="none" w:sz="0" w:space="0" w:color="auto"/>
                                <w:right w:val="none" w:sz="0" w:space="0" w:color="auto"/>
                              </w:divBdr>
                              <w:divsChild>
                                <w:div w:id="811022331">
                                  <w:marLeft w:val="0"/>
                                  <w:marRight w:val="0"/>
                                  <w:marTop w:val="0"/>
                                  <w:marBottom w:val="0"/>
                                  <w:divBdr>
                                    <w:top w:val="none" w:sz="0" w:space="0" w:color="auto"/>
                                    <w:left w:val="none" w:sz="0" w:space="0" w:color="auto"/>
                                    <w:bottom w:val="none" w:sz="0" w:space="0" w:color="auto"/>
                                    <w:right w:val="none" w:sz="0" w:space="0" w:color="auto"/>
                                  </w:divBdr>
                                  <w:divsChild>
                                    <w:div w:id="434325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60038658">
              <w:marLeft w:val="0"/>
              <w:marRight w:val="0"/>
              <w:marTop w:val="0"/>
              <w:marBottom w:val="0"/>
              <w:divBdr>
                <w:top w:val="none" w:sz="0" w:space="0" w:color="auto"/>
                <w:left w:val="none" w:sz="0" w:space="0" w:color="auto"/>
                <w:bottom w:val="none" w:sz="0" w:space="0" w:color="auto"/>
                <w:right w:val="none" w:sz="0" w:space="0" w:color="auto"/>
              </w:divBdr>
              <w:divsChild>
                <w:div w:id="195894151">
                  <w:marLeft w:val="0"/>
                  <w:marRight w:val="0"/>
                  <w:marTop w:val="0"/>
                  <w:marBottom w:val="0"/>
                  <w:divBdr>
                    <w:top w:val="none" w:sz="0" w:space="0" w:color="auto"/>
                    <w:left w:val="none" w:sz="0" w:space="0" w:color="auto"/>
                    <w:bottom w:val="none" w:sz="0" w:space="0" w:color="auto"/>
                    <w:right w:val="none" w:sz="0" w:space="0" w:color="auto"/>
                  </w:divBdr>
                  <w:divsChild>
                    <w:div w:id="1100830439">
                      <w:marLeft w:val="0"/>
                      <w:marRight w:val="0"/>
                      <w:marTop w:val="0"/>
                      <w:marBottom w:val="0"/>
                      <w:divBdr>
                        <w:top w:val="none" w:sz="0" w:space="0" w:color="auto"/>
                        <w:left w:val="none" w:sz="0" w:space="0" w:color="auto"/>
                        <w:bottom w:val="none" w:sz="0" w:space="0" w:color="auto"/>
                        <w:right w:val="none" w:sz="0" w:space="0" w:color="auto"/>
                      </w:divBdr>
                      <w:divsChild>
                        <w:div w:id="1649439057">
                          <w:marLeft w:val="0"/>
                          <w:marRight w:val="0"/>
                          <w:marTop w:val="0"/>
                          <w:marBottom w:val="0"/>
                          <w:divBdr>
                            <w:top w:val="none" w:sz="0" w:space="0" w:color="auto"/>
                            <w:left w:val="none" w:sz="0" w:space="0" w:color="auto"/>
                            <w:bottom w:val="none" w:sz="0" w:space="0" w:color="auto"/>
                            <w:right w:val="none" w:sz="0" w:space="0" w:color="auto"/>
                          </w:divBdr>
                        </w:div>
                        <w:div w:id="751926971">
                          <w:marLeft w:val="0"/>
                          <w:marRight w:val="0"/>
                          <w:marTop w:val="0"/>
                          <w:marBottom w:val="0"/>
                          <w:divBdr>
                            <w:top w:val="none" w:sz="0" w:space="0" w:color="auto"/>
                            <w:left w:val="none" w:sz="0" w:space="0" w:color="auto"/>
                            <w:bottom w:val="none" w:sz="0" w:space="0" w:color="auto"/>
                            <w:right w:val="none" w:sz="0" w:space="0" w:color="auto"/>
                          </w:divBdr>
                          <w:divsChild>
                            <w:div w:id="423382574">
                              <w:marLeft w:val="0"/>
                              <w:marRight w:val="0"/>
                              <w:marTop w:val="0"/>
                              <w:marBottom w:val="0"/>
                              <w:divBdr>
                                <w:top w:val="none" w:sz="0" w:space="0" w:color="auto"/>
                                <w:left w:val="none" w:sz="0" w:space="0" w:color="auto"/>
                                <w:bottom w:val="none" w:sz="0" w:space="0" w:color="auto"/>
                                <w:right w:val="none" w:sz="0" w:space="0" w:color="auto"/>
                              </w:divBdr>
                              <w:divsChild>
                                <w:div w:id="1986741944">
                                  <w:marLeft w:val="0"/>
                                  <w:marRight w:val="0"/>
                                  <w:marTop w:val="0"/>
                                  <w:marBottom w:val="0"/>
                                  <w:divBdr>
                                    <w:top w:val="none" w:sz="0" w:space="0" w:color="auto"/>
                                    <w:left w:val="none" w:sz="0" w:space="0" w:color="auto"/>
                                    <w:bottom w:val="none" w:sz="0" w:space="0" w:color="auto"/>
                                    <w:right w:val="none" w:sz="0" w:space="0" w:color="auto"/>
                                  </w:divBdr>
                                  <w:divsChild>
                                    <w:div w:id="1376781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9699070">
                              <w:marLeft w:val="0"/>
                              <w:marRight w:val="0"/>
                              <w:marTop w:val="0"/>
                              <w:marBottom w:val="0"/>
                              <w:divBdr>
                                <w:top w:val="none" w:sz="0" w:space="0" w:color="auto"/>
                                <w:left w:val="none" w:sz="0" w:space="0" w:color="auto"/>
                                <w:bottom w:val="none" w:sz="0" w:space="0" w:color="auto"/>
                                <w:right w:val="none" w:sz="0" w:space="0" w:color="auto"/>
                              </w:divBdr>
                              <w:divsChild>
                                <w:div w:id="1771581651">
                                  <w:marLeft w:val="0"/>
                                  <w:marRight w:val="0"/>
                                  <w:marTop w:val="0"/>
                                  <w:marBottom w:val="0"/>
                                  <w:divBdr>
                                    <w:top w:val="none" w:sz="0" w:space="0" w:color="auto"/>
                                    <w:left w:val="none" w:sz="0" w:space="0" w:color="auto"/>
                                    <w:bottom w:val="none" w:sz="0" w:space="0" w:color="auto"/>
                                    <w:right w:val="none" w:sz="0" w:space="0" w:color="auto"/>
                                  </w:divBdr>
                                  <w:divsChild>
                                    <w:div w:id="770006849">
                                      <w:marLeft w:val="0"/>
                                      <w:marRight w:val="0"/>
                                      <w:marTop w:val="0"/>
                                      <w:marBottom w:val="0"/>
                                      <w:divBdr>
                                        <w:top w:val="none" w:sz="0" w:space="0" w:color="auto"/>
                                        <w:left w:val="none" w:sz="0" w:space="0" w:color="auto"/>
                                        <w:bottom w:val="none" w:sz="0" w:space="0" w:color="auto"/>
                                        <w:right w:val="none" w:sz="0" w:space="0" w:color="auto"/>
                                      </w:divBdr>
                                      <w:divsChild>
                                        <w:div w:id="2045866513">
                                          <w:marLeft w:val="0"/>
                                          <w:marRight w:val="0"/>
                                          <w:marTop w:val="0"/>
                                          <w:marBottom w:val="0"/>
                                          <w:divBdr>
                                            <w:top w:val="none" w:sz="0" w:space="0" w:color="auto"/>
                                            <w:left w:val="none" w:sz="0" w:space="0" w:color="auto"/>
                                            <w:bottom w:val="none" w:sz="0" w:space="0" w:color="auto"/>
                                            <w:right w:val="none" w:sz="0" w:space="0" w:color="auto"/>
                                          </w:divBdr>
                                          <w:divsChild>
                                            <w:div w:id="625237263">
                                              <w:marLeft w:val="0"/>
                                              <w:marRight w:val="0"/>
                                              <w:marTop w:val="0"/>
                                              <w:marBottom w:val="0"/>
                                              <w:divBdr>
                                                <w:top w:val="none" w:sz="0" w:space="0" w:color="auto"/>
                                                <w:left w:val="none" w:sz="0" w:space="0" w:color="auto"/>
                                                <w:bottom w:val="none" w:sz="0" w:space="0" w:color="auto"/>
                                                <w:right w:val="none" w:sz="0" w:space="0" w:color="auto"/>
                                              </w:divBdr>
                                              <w:divsChild>
                                                <w:div w:id="1478037078">
                                                  <w:marLeft w:val="0"/>
                                                  <w:marRight w:val="0"/>
                                                  <w:marTop w:val="0"/>
                                                  <w:marBottom w:val="0"/>
                                                  <w:divBdr>
                                                    <w:top w:val="none" w:sz="0" w:space="0" w:color="auto"/>
                                                    <w:left w:val="none" w:sz="0" w:space="0" w:color="auto"/>
                                                    <w:bottom w:val="none" w:sz="0" w:space="0" w:color="auto"/>
                                                    <w:right w:val="none" w:sz="0" w:space="0" w:color="auto"/>
                                                  </w:divBdr>
                                                </w:div>
                                                <w:div w:id="346293048">
                                                  <w:marLeft w:val="0"/>
                                                  <w:marRight w:val="0"/>
                                                  <w:marTop w:val="0"/>
                                                  <w:marBottom w:val="0"/>
                                                  <w:divBdr>
                                                    <w:top w:val="none" w:sz="0" w:space="0" w:color="auto"/>
                                                    <w:left w:val="none" w:sz="0" w:space="0" w:color="auto"/>
                                                    <w:bottom w:val="none" w:sz="0" w:space="0" w:color="auto"/>
                                                    <w:right w:val="none" w:sz="0" w:space="0" w:color="auto"/>
                                                  </w:divBdr>
                                                </w:div>
                                                <w:div w:id="2042391384">
                                                  <w:marLeft w:val="0"/>
                                                  <w:marRight w:val="0"/>
                                                  <w:marTop w:val="0"/>
                                                  <w:marBottom w:val="0"/>
                                                  <w:divBdr>
                                                    <w:top w:val="none" w:sz="0" w:space="0" w:color="auto"/>
                                                    <w:left w:val="none" w:sz="0" w:space="0" w:color="auto"/>
                                                    <w:bottom w:val="none" w:sz="0" w:space="0" w:color="auto"/>
                                                    <w:right w:val="none" w:sz="0" w:space="0" w:color="auto"/>
                                                  </w:divBdr>
                                                </w:div>
                                              </w:divsChild>
                                            </w:div>
                                            <w:div w:id="2146848640">
                                              <w:marLeft w:val="0"/>
                                              <w:marRight w:val="0"/>
                                              <w:marTop w:val="0"/>
                                              <w:marBottom w:val="0"/>
                                              <w:divBdr>
                                                <w:top w:val="none" w:sz="0" w:space="0" w:color="auto"/>
                                                <w:left w:val="none" w:sz="0" w:space="0" w:color="auto"/>
                                                <w:bottom w:val="none" w:sz="0" w:space="0" w:color="auto"/>
                                                <w:right w:val="none" w:sz="0" w:space="0" w:color="auto"/>
                                              </w:divBdr>
                                              <w:divsChild>
                                                <w:div w:id="1602108483">
                                                  <w:marLeft w:val="0"/>
                                                  <w:marRight w:val="0"/>
                                                  <w:marTop w:val="0"/>
                                                  <w:marBottom w:val="0"/>
                                                  <w:divBdr>
                                                    <w:top w:val="none" w:sz="0" w:space="0" w:color="auto"/>
                                                    <w:left w:val="none" w:sz="0" w:space="0" w:color="auto"/>
                                                    <w:bottom w:val="none" w:sz="0" w:space="0" w:color="auto"/>
                                                    <w:right w:val="none" w:sz="0" w:space="0" w:color="auto"/>
                                                  </w:divBdr>
                                                  <w:divsChild>
                                                    <w:div w:id="1936356679">
                                                      <w:marLeft w:val="0"/>
                                                      <w:marRight w:val="0"/>
                                                      <w:marTop w:val="0"/>
                                                      <w:marBottom w:val="0"/>
                                                      <w:divBdr>
                                                        <w:top w:val="none" w:sz="0" w:space="0" w:color="auto"/>
                                                        <w:left w:val="none" w:sz="0" w:space="0" w:color="auto"/>
                                                        <w:bottom w:val="none" w:sz="0" w:space="0" w:color="auto"/>
                                                        <w:right w:val="none" w:sz="0" w:space="0" w:color="auto"/>
                                                      </w:divBdr>
                                                      <w:divsChild>
                                                        <w:div w:id="1043481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06727011">
                          <w:marLeft w:val="0"/>
                          <w:marRight w:val="0"/>
                          <w:marTop w:val="0"/>
                          <w:marBottom w:val="0"/>
                          <w:divBdr>
                            <w:top w:val="none" w:sz="0" w:space="0" w:color="auto"/>
                            <w:left w:val="none" w:sz="0" w:space="0" w:color="auto"/>
                            <w:bottom w:val="none" w:sz="0" w:space="0" w:color="auto"/>
                            <w:right w:val="none" w:sz="0" w:space="0" w:color="auto"/>
                          </w:divBdr>
                          <w:divsChild>
                            <w:div w:id="489830214">
                              <w:marLeft w:val="0"/>
                              <w:marRight w:val="0"/>
                              <w:marTop w:val="0"/>
                              <w:marBottom w:val="0"/>
                              <w:divBdr>
                                <w:top w:val="none" w:sz="0" w:space="0" w:color="auto"/>
                                <w:left w:val="none" w:sz="0" w:space="0" w:color="auto"/>
                                <w:bottom w:val="none" w:sz="0" w:space="0" w:color="auto"/>
                                <w:right w:val="none" w:sz="0" w:space="0" w:color="auto"/>
                              </w:divBdr>
                              <w:divsChild>
                                <w:div w:id="315108209">
                                  <w:marLeft w:val="0"/>
                                  <w:marRight w:val="0"/>
                                  <w:marTop w:val="0"/>
                                  <w:marBottom w:val="0"/>
                                  <w:divBdr>
                                    <w:top w:val="none" w:sz="0" w:space="0" w:color="auto"/>
                                    <w:left w:val="none" w:sz="0" w:space="0" w:color="auto"/>
                                    <w:bottom w:val="none" w:sz="0" w:space="0" w:color="auto"/>
                                    <w:right w:val="none" w:sz="0" w:space="0" w:color="auto"/>
                                  </w:divBdr>
                                  <w:divsChild>
                                    <w:div w:id="1498570095">
                                      <w:marLeft w:val="0"/>
                                      <w:marRight w:val="0"/>
                                      <w:marTop w:val="0"/>
                                      <w:marBottom w:val="0"/>
                                      <w:divBdr>
                                        <w:top w:val="none" w:sz="0" w:space="0" w:color="auto"/>
                                        <w:left w:val="none" w:sz="0" w:space="0" w:color="auto"/>
                                        <w:bottom w:val="none" w:sz="0" w:space="0" w:color="auto"/>
                                        <w:right w:val="none" w:sz="0" w:space="0" w:color="auto"/>
                                      </w:divBdr>
                                      <w:divsChild>
                                        <w:div w:id="163014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863472937">
      <w:bodyDiv w:val="1"/>
      <w:marLeft w:val="0"/>
      <w:marRight w:val="0"/>
      <w:marTop w:val="0"/>
      <w:marBottom w:val="0"/>
      <w:divBdr>
        <w:top w:val="none" w:sz="0" w:space="0" w:color="auto"/>
        <w:left w:val="none" w:sz="0" w:space="0" w:color="auto"/>
        <w:bottom w:val="none" w:sz="0" w:space="0" w:color="auto"/>
        <w:right w:val="none" w:sz="0" w:space="0" w:color="auto"/>
      </w:divBdr>
    </w:div>
    <w:div w:id="1870683994">
      <w:bodyDiv w:val="1"/>
      <w:marLeft w:val="0"/>
      <w:marRight w:val="0"/>
      <w:marTop w:val="0"/>
      <w:marBottom w:val="0"/>
      <w:divBdr>
        <w:top w:val="none" w:sz="0" w:space="0" w:color="auto"/>
        <w:left w:val="none" w:sz="0" w:space="0" w:color="auto"/>
        <w:bottom w:val="none" w:sz="0" w:space="0" w:color="auto"/>
        <w:right w:val="none" w:sz="0" w:space="0" w:color="auto"/>
      </w:divBdr>
      <w:divsChild>
        <w:div w:id="1197739048">
          <w:marLeft w:val="0"/>
          <w:marRight w:val="0"/>
          <w:marTop w:val="0"/>
          <w:marBottom w:val="0"/>
          <w:divBdr>
            <w:top w:val="none" w:sz="0" w:space="0" w:color="auto"/>
            <w:left w:val="none" w:sz="0" w:space="0" w:color="auto"/>
            <w:bottom w:val="none" w:sz="0" w:space="0" w:color="auto"/>
            <w:right w:val="none" w:sz="0" w:space="0" w:color="auto"/>
          </w:divBdr>
          <w:divsChild>
            <w:div w:id="56710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9734360">
      <w:bodyDiv w:val="1"/>
      <w:marLeft w:val="0"/>
      <w:marRight w:val="0"/>
      <w:marTop w:val="0"/>
      <w:marBottom w:val="0"/>
      <w:divBdr>
        <w:top w:val="none" w:sz="0" w:space="0" w:color="auto"/>
        <w:left w:val="none" w:sz="0" w:space="0" w:color="auto"/>
        <w:bottom w:val="none" w:sz="0" w:space="0" w:color="auto"/>
        <w:right w:val="none" w:sz="0" w:space="0" w:color="auto"/>
      </w:divBdr>
      <w:divsChild>
        <w:div w:id="1065223451">
          <w:marLeft w:val="0"/>
          <w:marRight w:val="0"/>
          <w:marTop w:val="0"/>
          <w:marBottom w:val="0"/>
          <w:divBdr>
            <w:top w:val="none" w:sz="0" w:space="0" w:color="auto"/>
            <w:left w:val="none" w:sz="0" w:space="0" w:color="auto"/>
            <w:bottom w:val="none" w:sz="0" w:space="0" w:color="auto"/>
            <w:right w:val="none" w:sz="0" w:space="0" w:color="auto"/>
          </w:divBdr>
          <w:divsChild>
            <w:div w:id="667944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5603696">
      <w:bodyDiv w:val="1"/>
      <w:marLeft w:val="0"/>
      <w:marRight w:val="0"/>
      <w:marTop w:val="0"/>
      <w:marBottom w:val="0"/>
      <w:divBdr>
        <w:top w:val="none" w:sz="0" w:space="0" w:color="auto"/>
        <w:left w:val="none" w:sz="0" w:space="0" w:color="auto"/>
        <w:bottom w:val="none" w:sz="0" w:space="0" w:color="auto"/>
        <w:right w:val="none" w:sz="0" w:space="0" w:color="auto"/>
      </w:divBdr>
    </w:div>
    <w:div w:id="1922064764">
      <w:bodyDiv w:val="1"/>
      <w:marLeft w:val="0"/>
      <w:marRight w:val="0"/>
      <w:marTop w:val="0"/>
      <w:marBottom w:val="0"/>
      <w:divBdr>
        <w:top w:val="none" w:sz="0" w:space="0" w:color="auto"/>
        <w:left w:val="none" w:sz="0" w:space="0" w:color="auto"/>
        <w:bottom w:val="none" w:sz="0" w:space="0" w:color="auto"/>
        <w:right w:val="none" w:sz="0" w:space="0" w:color="auto"/>
      </w:divBdr>
    </w:div>
    <w:div w:id="1972201027">
      <w:bodyDiv w:val="1"/>
      <w:marLeft w:val="0"/>
      <w:marRight w:val="0"/>
      <w:marTop w:val="0"/>
      <w:marBottom w:val="0"/>
      <w:divBdr>
        <w:top w:val="none" w:sz="0" w:space="0" w:color="auto"/>
        <w:left w:val="none" w:sz="0" w:space="0" w:color="auto"/>
        <w:bottom w:val="none" w:sz="0" w:space="0" w:color="auto"/>
        <w:right w:val="none" w:sz="0" w:space="0" w:color="auto"/>
      </w:divBdr>
    </w:div>
    <w:div w:id="1978684748">
      <w:bodyDiv w:val="1"/>
      <w:marLeft w:val="0"/>
      <w:marRight w:val="0"/>
      <w:marTop w:val="0"/>
      <w:marBottom w:val="0"/>
      <w:divBdr>
        <w:top w:val="none" w:sz="0" w:space="0" w:color="auto"/>
        <w:left w:val="none" w:sz="0" w:space="0" w:color="auto"/>
        <w:bottom w:val="none" w:sz="0" w:space="0" w:color="auto"/>
        <w:right w:val="none" w:sz="0" w:space="0" w:color="auto"/>
      </w:divBdr>
    </w:div>
    <w:div w:id="1993099680">
      <w:bodyDiv w:val="1"/>
      <w:marLeft w:val="0"/>
      <w:marRight w:val="0"/>
      <w:marTop w:val="0"/>
      <w:marBottom w:val="0"/>
      <w:divBdr>
        <w:top w:val="none" w:sz="0" w:space="0" w:color="auto"/>
        <w:left w:val="none" w:sz="0" w:space="0" w:color="auto"/>
        <w:bottom w:val="none" w:sz="0" w:space="0" w:color="auto"/>
        <w:right w:val="none" w:sz="0" w:space="0" w:color="auto"/>
      </w:divBdr>
    </w:div>
    <w:div w:id="1995598530">
      <w:bodyDiv w:val="1"/>
      <w:marLeft w:val="0"/>
      <w:marRight w:val="0"/>
      <w:marTop w:val="0"/>
      <w:marBottom w:val="0"/>
      <w:divBdr>
        <w:top w:val="none" w:sz="0" w:space="0" w:color="auto"/>
        <w:left w:val="none" w:sz="0" w:space="0" w:color="auto"/>
        <w:bottom w:val="none" w:sz="0" w:space="0" w:color="auto"/>
        <w:right w:val="none" w:sz="0" w:space="0" w:color="auto"/>
      </w:divBdr>
      <w:divsChild>
        <w:div w:id="2094931166">
          <w:marLeft w:val="0"/>
          <w:marRight w:val="0"/>
          <w:marTop w:val="0"/>
          <w:marBottom w:val="0"/>
          <w:divBdr>
            <w:top w:val="none" w:sz="0" w:space="0" w:color="auto"/>
            <w:left w:val="none" w:sz="0" w:space="0" w:color="auto"/>
            <w:bottom w:val="none" w:sz="0" w:space="0" w:color="auto"/>
            <w:right w:val="none" w:sz="0" w:space="0" w:color="auto"/>
          </w:divBdr>
          <w:divsChild>
            <w:div w:id="411393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0844286">
      <w:bodyDiv w:val="1"/>
      <w:marLeft w:val="0"/>
      <w:marRight w:val="0"/>
      <w:marTop w:val="0"/>
      <w:marBottom w:val="0"/>
      <w:divBdr>
        <w:top w:val="none" w:sz="0" w:space="0" w:color="auto"/>
        <w:left w:val="none" w:sz="0" w:space="0" w:color="auto"/>
        <w:bottom w:val="none" w:sz="0" w:space="0" w:color="auto"/>
        <w:right w:val="none" w:sz="0" w:space="0" w:color="auto"/>
      </w:divBdr>
    </w:div>
    <w:div w:id="2013025875">
      <w:bodyDiv w:val="1"/>
      <w:marLeft w:val="0"/>
      <w:marRight w:val="0"/>
      <w:marTop w:val="0"/>
      <w:marBottom w:val="0"/>
      <w:divBdr>
        <w:top w:val="none" w:sz="0" w:space="0" w:color="auto"/>
        <w:left w:val="none" w:sz="0" w:space="0" w:color="auto"/>
        <w:bottom w:val="none" w:sz="0" w:space="0" w:color="auto"/>
        <w:right w:val="none" w:sz="0" w:space="0" w:color="auto"/>
      </w:divBdr>
    </w:div>
    <w:div w:id="2031291760">
      <w:bodyDiv w:val="1"/>
      <w:marLeft w:val="0"/>
      <w:marRight w:val="0"/>
      <w:marTop w:val="0"/>
      <w:marBottom w:val="0"/>
      <w:divBdr>
        <w:top w:val="none" w:sz="0" w:space="0" w:color="auto"/>
        <w:left w:val="none" w:sz="0" w:space="0" w:color="auto"/>
        <w:bottom w:val="none" w:sz="0" w:space="0" w:color="auto"/>
        <w:right w:val="none" w:sz="0" w:space="0" w:color="auto"/>
      </w:divBdr>
    </w:div>
    <w:div w:id="2063825900">
      <w:bodyDiv w:val="1"/>
      <w:marLeft w:val="0"/>
      <w:marRight w:val="0"/>
      <w:marTop w:val="0"/>
      <w:marBottom w:val="0"/>
      <w:divBdr>
        <w:top w:val="none" w:sz="0" w:space="0" w:color="auto"/>
        <w:left w:val="none" w:sz="0" w:space="0" w:color="auto"/>
        <w:bottom w:val="none" w:sz="0" w:space="0" w:color="auto"/>
        <w:right w:val="none" w:sz="0" w:space="0" w:color="auto"/>
      </w:divBdr>
    </w:div>
    <w:div w:id="2076587028">
      <w:bodyDiv w:val="1"/>
      <w:marLeft w:val="0"/>
      <w:marRight w:val="0"/>
      <w:marTop w:val="0"/>
      <w:marBottom w:val="0"/>
      <w:divBdr>
        <w:top w:val="none" w:sz="0" w:space="0" w:color="auto"/>
        <w:left w:val="none" w:sz="0" w:space="0" w:color="auto"/>
        <w:bottom w:val="none" w:sz="0" w:space="0" w:color="auto"/>
        <w:right w:val="none" w:sz="0" w:space="0" w:color="auto"/>
      </w:divBdr>
    </w:div>
    <w:div w:id="2085182331">
      <w:bodyDiv w:val="1"/>
      <w:marLeft w:val="0"/>
      <w:marRight w:val="0"/>
      <w:marTop w:val="0"/>
      <w:marBottom w:val="0"/>
      <w:divBdr>
        <w:top w:val="none" w:sz="0" w:space="0" w:color="auto"/>
        <w:left w:val="none" w:sz="0" w:space="0" w:color="auto"/>
        <w:bottom w:val="none" w:sz="0" w:space="0" w:color="auto"/>
        <w:right w:val="none" w:sz="0" w:space="0" w:color="auto"/>
      </w:divBdr>
    </w:div>
    <w:div w:id="2089419862">
      <w:bodyDiv w:val="1"/>
      <w:marLeft w:val="0"/>
      <w:marRight w:val="0"/>
      <w:marTop w:val="0"/>
      <w:marBottom w:val="0"/>
      <w:divBdr>
        <w:top w:val="none" w:sz="0" w:space="0" w:color="auto"/>
        <w:left w:val="none" w:sz="0" w:space="0" w:color="auto"/>
        <w:bottom w:val="none" w:sz="0" w:space="0" w:color="auto"/>
        <w:right w:val="none" w:sz="0" w:space="0" w:color="auto"/>
      </w:divBdr>
    </w:div>
    <w:div w:id="21153188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08/PR-02-2016-0037"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doi.org/10.1002/hrm.70028"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doi.org/10.1080/14719037.2019.1638439" TargetMode="External"/><Relationship Id="rId5" Type="http://schemas.openxmlformats.org/officeDocument/2006/relationships/webSettings" Target="webSettings.xml"/><Relationship Id="rId10" Type="http://schemas.openxmlformats.org/officeDocument/2006/relationships/hyperlink" Target="https://doi.org/10.3389/fsoc.2020.00034" TargetMode="External"/><Relationship Id="rId4" Type="http://schemas.openxmlformats.org/officeDocument/2006/relationships/settings" Target="settings.xml"/><Relationship Id="rId9" Type="http://schemas.openxmlformats.org/officeDocument/2006/relationships/hyperlink" Target="https://doi.org/10.1111/1467-8551.12824"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3F5B4E-FE7C-294F-94D4-4D42618EB2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132</TotalTime>
  <Pages>5</Pages>
  <Words>2008</Words>
  <Characters>11452</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A2696</dc:creator>
  <cp:keywords/>
  <dc:description/>
  <cp:lastModifiedBy>A2696</cp:lastModifiedBy>
  <cp:revision>13</cp:revision>
  <dcterms:created xsi:type="dcterms:W3CDTF">2026-03-10T08:11:00Z</dcterms:created>
  <dcterms:modified xsi:type="dcterms:W3CDTF">2026-03-12T18:04:00Z</dcterms:modified>
</cp:coreProperties>
</file>