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1024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91"/>
        <w:gridCol w:w="1429"/>
        <w:gridCol w:w="687"/>
        <w:gridCol w:w="2034"/>
      </w:tblGrid>
      <w:tr w:rsidR="00340C4A" w:rsidRPr="00330917" w14:paraId="3DBF9E1B" w14:textId="77777777" w:rsidTr="000230C6">
        <w:trPr>
          <w:trHeight w:val="415"/>
          <w:jc w:val="center"/>
        </w:trPr>
        <w:tc>
          <w:tcPr>
            <w:tcW w:w="6091" w:type="dxa"/>
            <w:vMerge w:val="restart"/>
            <w:tcBorders>
              <w:top w:val="single" w:sz="4" w:space="0" w:color="auto"/>
              <w:left w:val="single" w:sz="4" w:space="0" w:color="auto"/>
              <w:right w:val="single" w:sz="4" w:space="0" w:color="auto"/>
            </w:tcBorders>
            <w:shd w:val="clear" w:color="auto" w:fill="auto"/>
          </w:tcPr>
          <w:p w14:paraId="11D60580" w14:textId="77777777" w:rsidR="00340C4A" w:rsidRPr="00330917" w:rsidRDefault="00340C4A" w:rsidP="0008221E">
            <w:pPr>
              <w:keepNext/>
              <w:spacing w:after="0" w:line="360" w:lineRule="auto"/>
              <w:jc w:val="both"/>
              <w:rPr>
                <w:rFonts w:ascii="Arial" w:eastAsia="Times New Roman" w:hAnsi="Arial" w:cs="Times New Roman"/>
                <w:b/>
                <w:sz w:val="32"/>
                <w:szCs w:val="32"/>
                <w:lang w:val="en-AU"/>
              </w:rPr>
            </w:pPr>
          </w:p>
          <w:p w14:paraId="5A9DA88F" w14:textId="77777777" w:rsidR="00340C4A" w:rsidRPr="00330917" w:rsidRDefault="00340C4A" w:rsidP="0008221E">
            <w:pPr>
              <w:keepNext/>
              <w:spacing w:after="0" w:line="360" w:lineRule="auto"/>
              <w:jc w:val="both"/>
              <w:rPr>
                <w:rFonts w:ascii="Arial" w:eastAsia="Times New Roman" w:hAnsi="Arial" w:cs="Times New Roman"/>
                <w:b/>
                <w:sz w:val="28"/>
                <w:szCs w:val="28"/>
                <w:lang w:val="en-AU"/>
              </w:rPr>
            </w:pPr>
            <w:r w:rsidRPr="00C13098">
              <w:rPr>
                <w:noProof/>
                <w:lang w:eastAsia="en-GB"/>
              </w:rPr>
              <w:drawing>
                <wp:inline distT="0" distB="0" distL="0" distR="0" wp14:anchorId="3DB9BD54" wp14:editId="19A115C3">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sz w:val="32"/>
                <w:szCs w:val="32"/>
                <w:lang w:val="en-AU"/>
              </w:rPr>
              <w:br/>
            </w:r>
          </w:p>
          <w:p w14:paraId="7313265C" w14:textId="1F7626C4" w:rsidR="00340C4A" w:rsidRPr="00330917" w:rsidRDefault="00B06D4E" w:rsidP="000230C6">
            <w:pPr>
              <w:spacing w:line="360" w:lineRule="auto"/>
              <w:jc w:val="both"/>
              <w:rPr>
                <w:rFonts w:ascii="Arial" w:eastAsia="Times New Roman" w:hAnsi="Arial" w:cs="Times New Roman"/>
                <w:b/>
                <w:sz w:val="32"/>
                <w:szCs w:val="32"/>
                <w:lang w:val="en-AU"/>
              </w:rPr>
            </w:pPr>
            <w:r w:rsidRPr="00B06D4E">
              <w:rPr>
                <w:b/>
                <w:bCs/>
                <w:sz w:val="28"/>
                <w:szCs w:val="24"/>
              </w:rPr>
              <w:t>Intercultural Competence Report</w:t>
            </w:r>
          </w:p>
        </w:tc>
        <w:tc>
          <w:tcPr>
            <w:tcW w:w="1429" w:type="dxa"/>
            <w:tcBorders>
              <w:top w:val="single" w:sz="4" w:space="0" w:color="auto"/>
              <w:left w:val="single" w:sz="4" w:space="0" w:color="auto"/>
              <w:bottom w:val="nil"/>
              <w:right w:val="nil"/>
            </w:tcBorders>
            <w:shd w:val="clear" w:color="auto" w:fill="auto"/>
            <w:vAlign w:val="center"/>
          </w:tcPr>
          <w:p w14:paraId="40B37E73" w14:textId="77777777" w:rsidR="00340C4A" w:rsidRPr="00330917" w:rsidRDefault="00340C4A" w:rsidP="0008221E">
            <w:pPr>
              <w:keepNext/>
              <w:spacing w:before="120" w:after="0" w:line="360" w:lineRule="auto"/>
              <w:jc w:val="both"/>
              <w:rPr>
                <w:rFonts w:ascii="Arial" w:eastAsia="Times New Roman" w:hAnsi="Arial" w:cs="Times New Roman"/>
                <w:b/>
                <w:bCs/>
                <w:sz w:val="20"/>
                <w:szCs w:val="20"/>
                <w:lang w:val="en-AU"/>
              </w:rPr>
            </w:pPr>
            <w:r>
              <w:rPr>
                <w:rFonts w:ascii="Arial" w:eastAsia="Times New Roman" w:hAnsi="Arial" w:cs="Times New Roman"/>
                <w:b/>
                <w:bCs/>
                <w:sz w:val="20"/>
                <w:szCs w:val="20"/>
              </w:rPr>
              <w:t>S</w:t>
            </w:r>
            <w:r w:rsidRPr="00330917">
              <w:rPr>
                <w:rFonts w:ascii="Arial" w:eastAsia="Times New Roman" w:hAnsi="Arial" w:cs="Times New Roman"/>
                <w:b/>
                <w:bCs/>
                <w:sz w:val="20"/>
                <w:szCs w:val="20"/>
              </w:rPr>
              <w:t>tudent No:</w:t>
            </w:r>
          </w:p>
        </w:tc>
        <w:tc>
          <w:tcPr>
            <w:tcW w:w="2721" w:type="dxa"/>
            <w:gridSpan w:val="2"/>
            <w:tcBorders>
              <w:top w:val="single" w:sz="4" w:space="0" w:color="auto"/>
              <w:left w:val="nil"/>
              <w:bottom w:val="dashed" w:sz="4" w:space="0" w:color="auto"/>
              <w:right w:val="single" w:sz="4" w:space="0" w:color="auto"/>
            </w:tcBorders>
            <w:shd w:val="clear" w:color="auto" w:fill="auto"/>
            <w:vAlign w:val="center"/>
          </w:tcPr>
          <w:p w14:paraId="4106D253" w14:textId="77777777" w:rsidR="00340C4A" w:rsidRPr="00330917" w:rsidRDefault="00340C4A" w:rsidP="0008221E">
            <w:pPr>
              <w:keepNext/>
              <w:spacing w:after="0" w:line="360" w:lineRule="auto"/>
              <w:jc w:val="both"/>
              <w:rPr>
                <w:rFonts w:ascii="Arial" w:eastAsia="Times New Roman" w:hAnsi="Arial" w:cs="Times New Roman"/>
                <w:b/>
                <w:sz w:val="20"/>
                <w:szCs w:val="20"/>
                <w:lang w:val="en-AU"/>
              </w:rPr>
            </w:pPr>
            <w:r>
              <w:rPr>
                <w:rFonts w:ascii="Arial" w:eastAsia="Times New Roman" w:hAnsi="Arial" w:cs="Times New Roman"/>
                <w:b/>
                <w:sz w:val="20"/>
                <w:szCs w:val="20"/>
                <w:lang w:val="en-AU"/>
              </w:rPr>
              <w:t>2240761</w:t>
            </w:r>
          </w:p>
        </w:tc>
      </w:tr>
      <w:tr w:rsidR="00340C4A" w:rsidRPr="00330917" w14:paraId="7AF7C785" w14:textId="77777777" w:rsidTr="000230C6">
        <w:trPr>
          <w:trHeight w:val="465"/>
          <w:jc w:val="center"/>
        </w:trPr>
        <w:tc>
          <w:tcPr>
            <w:tcW w:w="6091" w:type="dxa"/>
            <w:vMerge/>
            <w:tcBorders>
              <w:left w:val="single" w:sz="4" w:space="0" w:color="auto"/>
              <w:right w:val="single" w:sz="4" w:space="0" w:color="auto"/>
            </w:tcBorders>
            <w:shd w:val="clear" w:color="auto" w:fill="auto"/>
          </w:tcPr>
          <w:p w14:paraId="7B21577C" w14:textId="77777777" w:rsidR="00340C4A" w:rsidRPr="00330917" w:rsidRDefault="00340C4A" w:rsidP="0008221E">
            <w:pPr>
              <w:keepNext/>
              <w:spacing w:after="0" w:line="360" w:lineRule="auto"/>
              <w:jc w:val="both"/>
              <w:rPr>
                <w:rFonts w:ascii="Arial" w:eastAsia="Times New Roman" w:hAnsi="Arial" w:cs="Times New Roman"/>
                <w:b/>
                <w:sz w:val="40"/>
                <w:szCs w:val="20"/>
                <w:lang w:val="en-AU"/>
              </w:rPr>
            </w:pPr>
          </w:p>
        </w:tc>
        <w:tc>
          <w:tcPr>
            <w:tcW w:w="1429" w:type="dxa"/>
            <w:tcBorders>
              <w:top w:val="nil"/>
              <w:left w:val="single" w:sz="4" w:space="0" w:color="auto"/>
              <w:bottom w:val="nil"/>
              <w:right w:val="nil"/>
            </w:tcBorders>
            <w:shd w:val="clear" w:color="auto" w:fill="auto"/>
            <w:vAlign w:val="center"/>
          </w:tcPr>
          <w:p w14:paraId="49261C8B" w14:textId="77777777" w:rsidR="00340C4A" w:rsidRPr="00330917" w:rsidRDefault="00340C4A" w:rsidP="0008221E">
            <w:pPr>
              <w:keepNext/>
              <w:spacing w:after="0" w:line="360" w:lineRule="auto"/>
              <w:jc w:val="both"/>
              <w:rPr>
                <w:rFonts w:ascii="Arial" w:eastAsia="Times New Roman" w:hAnsi="Arial" w:cs="Times New Roman"/>
                <w:sz w:val="20"/>
                <w:szCs w:val="20"/>
                <w:lang w:val="en-AU"/>
              </w:rPr>
            </w:pPr>
          </w:p>
          <w:p w14:paraId="5621DAEF" w14:textId="77777777" w:rsidR="00340C4A" w:rsidRPr="00330917" w:rsidRDefault="00340C4A" w:rsidP="0008221E">
            <w:pPr>
              <w:keepNext/>
              <w:spacing w:after="0" w:line="360" w:lineRule="auto"/>
              <w:jc w:val="both"/>
              <w:rPr>
                <w:rFonts w:ascii="Arial" w:eastAsia="Times New Roman" w:hAnsi="Arial" w:cs="Times New Roman"/>
                <w:sz w:val="20"/>
                <w:szCs w:val="20"/>
                <w:lang w:val="en-AU"/>
              </w:rPr>
            </w:pPr>
            <w:r w:rsidRPr="00330917">
              <w:rPr>
                <w:rFonts w:ascii="Arial" w:eastAsia="Times New Roman" w:hAnsi="Arial" w:cs="Times New Roman"/>
                <w:sz w:val="20"/>
                <w:szCs w:val="20"/>
                <w:lang w:val="en-AU"/>
              </w:rPr>
              <w:t>Module Title:</w:t>
            </w:r>
          </w:p>
        </w:tc>
        <w:tc>
          <w:tcPr>
            <w:tcW w:w="2721" w:type="dxa"/>
            <w:gridSpan w:val="2"/>
            <w:tcBorders>
              <w:top w:val="dashed" w:sz="4" w:space="0" w:color="auto"/>
              <w:left w:val="nil"/>
              <w:bottom w:val="dashed" w:sz="4" w:space="0" w:color="auto"/>
              <w:right w:val="single" w:sz="4" w:space="0" w:color="auto"/>
            </w:tcBorders>
            <w:shd w:val="clear" w:color="auto" w:fill="auto"/>
            <w:vAlign w:val="center"/>
          </w:tcPr>
          <w:p w14:paraId="6BD8E5E1" w14:textId="4133F618" w:rsidR="00340C4A" w:rsidRPr="00330917" w:rsidRDefault="000230C6" w:rsidP="0008221E">
            <w:pPr>
              <w:keepNext/>
              <w:spacing w:after="0" w:line="360" w:lineRule="auto"/>
              <w:jc w:val="both"/>
              <w:rPr>
                <w:rFonts w:ascii="Arial" w:eastAsia="Times New Roman" w:hAnsi="Arial" w:cs="Times New Roman"/>
                <w:b/>
                <w:sz w:val="20"/>
                <w:szCs w:val="20"/>
                <w:lang w:val="en-AU"/>
              </w:rPr>
            </w:pPr>
            <w:r w:rsidRPr="000230C6">
              <w:rPr>
                <w:rFonts w:ascii="Arial" w:eastAsia="Times New Roman" w:hAnsi="Arial" w:cs="Times New Roman"/>
                <w:b/>
                <w:sz w:val="20"/>
                <w:szCs w:val="20"/>
                <w:lang w:val="en-AU"/>
              </w:rPr>
              <w:t>Foreign Languages and Cultural Awareness</w:t>
            </w:r>
          </w:p>
        </w:tc>
      </w:tr>
      <w:tr w:rsidR="00340C4A" w:rsidRPr="00330917" w14:paraId="576DF5F9" w14:textId="77777777" w:rsidTr="000230C6">
        <w:trPr>
          <w:trHeight w:val="465"/>
          <w:jc w:val="center"/>
        </w:trPr>
        <w:tc>
          <w:tcPr>
            <w:tcW w:w="6091" w:type="dxa"/>
            <w:vMerge/>
            <w:tcBorders>
              <w:left w:val="single" w:sz="4" w:space="0" w:color="auto"/>
              <w:right w:val="single" w:sz="4" w:space="0" w:color="auto"/>
            </w:tcBorders>
            <w:shd w:val="clear" w:color="auto" w:fill="auto"/>
          </w:tcPr>
          <w:p w14:paraId="0EAE30FB" w14:textId="77777777" w:rsidR="00340C4A" w:rsidRPr="00330917" w:rsidRDefault="00340C4A" w:rsidP="0008221E">
            <w:pPr>
              <w:keepNext/>
              <w:spacing w:after="0" w:line="360" w:lineRule="auto"/>
              <w:jc w:val="both"/>
              <w:rPr>
                <w:rFonts w:ascii="Arial" w:eastAsia="Times New Roman" w:hAnsi="Arial" w:cs="Times New Roman"/>
                <w:b/>
                <w:sz w:val="40"/>
                <w:szCs w:val="20"/>
                <w:lang w:val="en-AU"/>
              </w:rPr>
            </w:pPr>
          </w:p>
        </w:tc>
        <w:tc>
          <w:tcPr>
            <w:tcW w:w="1429" w:type="dxa"/>
            <w:tcBorders>
              <w:top w:val="nil"/>
              <w:left w:val="single" w:sz="4" w:space="0" w:color="auto"/>
              <w:bottom w:val="nil"/>
              <w:right w:val="nil"/>
            </w:tcBorders>
            <w:shd w:val="clear" w:color="auto" w:fill="auto"/>
            <w:vAlign w:val="center"/>
          </w:tcPr>
          <w:p w14:paraId="4B99C3CE" w14:textId="77777777" w:rsidR="00340C4A" w:rsidRPr="00330917" w:rsidRDefault="00340C4A" w:rsidP="0008221E">
            <w:pPr>
              <w:keepNext/>
              <w:spacing w:after="0" w:line="360" w:lineRule="auto"/>
              <w:jc w:val="both"/>
              <w:rPr>
                <w:rFonts w:ascii="Arial" w:eastAsia="Times New Roman" w:hAnsi="Arial" w:cs="Times New Roman"/>
                <w:sz w:val="20"/>
                <w:szCs w:val="20"/>
                <w:lang w:val="en-AU"/>
              </w:rPr>
            </w:pPr>
            <w:r w:rsidRPr="00330917">
              <w:rPr>
                <w:rFonts w:ascii="Arial" w:eastAsia="Times New Roman" w:hAnsi="Arial" w:cs="Times New Roman"/>
                <w:sz w:val="20"/>
                <w:szCs w:val="20"/>
                <w:lang w:val="en-AU"/>
              </w:rPr>
              <w:t>Module</w:t>
            </w:r>
            <w:r>
              <w:rPr>
                <w:rFonts w:ascii="Arial" w:eastAsia="Times New Roman" w:hAnsi="Arial" w:cs="Times New Roman"/>
                <w:sz w:val="20"/>
                <w:szCs w:val="20"/>
                <w:lang w:val="en-AU"/>
              </w:rPr>
              <w:t xml:space="preserve"> Code:</w:t>
            </w:r>
          </w:p>
        </w:tc>
        <w:tc>
          <w:tcPr>
            <w:tcW w:w="2721" w:type="dxa"/>
            <w:gridSpan w:val="2"/>
            <w:tcBorders>
              <w:top w:val="dashed" w:sz="4" w:space="0" w:color="auto"/>
              <w:left w:val="nil"/>
              <w:bottom w:val="dashed" w:sz="4" w:space="0" w:color="auto"/>
              <w:right w:val="single" w:sz="4" w:space="0" w:color="auto"/>
            </w:tcBorders>
            <w:shd w:val="clear" w:color="auto" w:fill="auto"/>
            <w:vAlign w:val="center"/>
          </w:tcPr>
          <w:p w14:paraId="64F99FA2" w14:textId="78027660" w:rsidR="00340C4A" w:rsidRPr="00330917" w:rsidRDefault="00340C4A" w:rsidP="0008221E">
            <w:pPr>
              <w:keepNext/>
              <w:spacing w:after="0" w:line="360" w:lineRule="auto"/>
              <w:jc w:val="both"/>
              <w:rPr>
                <w:rFonts w:ascii="Arial" w:eastAsia="Times New Roman" w:hAnsi="Arial" w:cs="Times New Roman"/>
                <w:b/>
                <w:sz w:val="20"/>
                <w:szCs w:val="20"/>
                <w:lang w:val="en-AU"/>
              </w:rPr>
            </w:pPr>
            <w:r>
              <w:rPr>
                <w:rFonts w:ascii="Arial" w:eastAsia="Times New Roman" w:hAnsi="Arial" w:cs="Times New Roman"/>
                <w:b/>
                <w:sz w:val="20"/>
                <w:szCs w:val="20"/>
                <w:lang w:val="en-AU"/>
              </w:rPr>
              <w:t>BMIH</w:t>
            </w:r>
            <w:r w:rsidR="008B3DE6">
              <w:rPr>
                <w:rFonts w:ascii="Arial" w:eastAsia="Times New Roman" w:hAnsi="Arial" w:cs="Times New Roman"/>
                <w:b/>
                <w:sz w:val="20"/>
                <w:szCs w:val="20"/>
                <w:lang w:val="en-AU"/>
              </w:rPr>
              <w:t>500</w:t>
            </w:r>
            <w:r w:rsidR="00B71C4E">
              <w:rPr>
                <w:rFonts w:ascii="Arial" w:eastAsia="Times New Roman" w:hAnsi="Arial" w:cs="Times New Roman"/>
                <w:b/>
                <w:sz w:val="20"/>
                <w:szCs w:val="20"/>
                <w:lang w:val="en-AU"/>
              </w:rPr>
              <w:t>3</w:t>
            </w:r>
          </w:p>
        </w:tc>
      </w:tr>
      <w:tr w:rsidR="00340C4A" w:rsidRPr="00634AA5" w14:paraId="6F94AF3C" w14:textId="77777777" w:rsidTr="000230C6">
        <w:trPr>
          <w:trHeight w:val="465"/>
          <w:jc w:val="center"/>
        </w:trPr>
        <w:tc>
          <w:tcPr>
            <w:tcW w:w="6091" w:type="dxa"/>
            <w:vMerge/>
            <w:tcBorders>
              <w:left w:val="single" w:sz="4" w:space="0" w:color="auto"/>
              <w:right w:val="single" w:sz="4" w:space="0" w:color="auto"/>
            </w:tcBorders>
            <w:shd w:val="clear" w:color="auto" w:fill="auto"/>
          </w:tcPr>
          <w:p w14:paraId="30822F6B" w14:textId="77777777" w:rsidR="00340C4A" w:rsidRPr="00330917" w:rsidRDefault="00340C4A" w:rsidP="0008221E">
            <w:pPr>
              <w:keepNext/>
              <w:spacing w:after="0" w:line="360" w:lineRule="auto"/>
              <w:jc w:val="both"/>
              <w:rPr>
                <w:rFonts w:ascii="Arial" w:eastAsia="Times New Roman" w:hAnsi="Arial" w:cs="Times New Roman"/>
                <w:b/>
                <w:sz w:val="40"/>
                <w:szCs w:val="20"/>
                <w:lang w:val="en-AU"/>
              </w:rPr>
            </w:pPr>
          </w:p>
        </w:tc>
        <w:tc>
          <w:tcPr>
            <w:tcW w:w="1429" w:type="dxa"/>
            <w:tcBorders>
              <w:top w:val="nil"/>
              <w:left w:val="single" w:sz="4" w:space="0" w:color="auto"/>
              <w:bottom w:val="nil"/>
              <w:right w:val="nil"/>
            </w:tcBorders>
            <w:shd w:val="clear" w:color="auto" w:fill="auto"/>
            <w:vAlign w:val="center"/>
          </w:tcPr>
          <w:p w14:paraId="0D61ED2C" w14:textId="77777777" w:rsidR="00340C4A" w:rsidRPr="00330917" w:rsidRDefault="00340C4A" w:rsidP="0008221E">
            <w:pPr>
              <w:keepNext/>
              <w:spacing w:after="0" w:line="360" w:lineRule="auto"/>
              <w:jc w:val="both"/>
              <w:rPr>
                <w:rFonts w:ascii="Arial" w:eastAsia="Times New Roman" w:hAnsi="Arial" w:cs="Times New Roman"/>
                <w:sz w:val="20"/>
                <w:szCs w:val="20"/>
                <w:lang w:val="en-AU"/>
              </w:rPr>
            </w:pPr>
            <w:r>
              <w:rPr>
                <w:rFonts w:ascii="Arial" w:eastAsia="Times New Roman" w:hAnsi="Arial" w:cs="Times New Roman"/>
                <w:sz w:val="20"/>
                <w:szCs w:val="20"/>
                <w:lang w:val="en-AU"/>
              </w:rPr>
              <w:t>Lecturer:</w:t>
            </w:r>
          </w:p>
        </w:tc>
        <w:tc>
          <w:tcPr>
            <w:tcW w:w="2721" w:type="dxa"/>
            <w:gridSpan w:val="2"/>
            <w:tcBorders>
              <w:top w:val="dashed" w:sz="4" w:space="0" w:color="auto"/>
              <w:left w:val="nil"/>
              <w:bottom w:val="dashed" w:sz="4" w:space="0" w:color="auto"/>
              <w:right w:val="single" w:sz="4" w:space="0" w:color="auto"/>
            </w:tcBorders>
            <w:shd w:val="clear" w:color="auto" w:fill="auto"/>
            <w:vAlign w:val="center"/>
          </w:tcPr>
          <w:p w14:paraId="00D46789" w14:textId="578CC6E3" w:rsidR="00340C4A" w:rsidRPr="004A47B6" w:rsidRDefault="00AC7C7C" w:rsidP="0008221E">
            <w:pPr>
              <w:keepNext/>
              <w:spacing w:after="0" w:line="360" w:lineRule="auto"/>
              <w:jc w:val="both"/>
              <w:rPr>
                <w:rFonts w:ascii="Arial" w:eastAsia="Times New Roman" w:hAnsi="Arial" w:cs="Times New Roman"/>
                <w:b/>
                <w:lang w:val="en-AU"/>
              </w:rPr>
            </w:pPr>
            <w:r w:rsidRPr="004A47B6">
              <w:rPr>
                <w:rFonts w:ascii="Arial" w:eastAsia="Times New Roman" w:hAnsi="Arial" w:cs="Times New Roman"/>
                <w:b/>
                <w:lang w:val="en-AU"/>
              </w:rPr>
              <w:t>Giulia Chifari</w:t>
            </w:r>
          </w:p>
        </w:tc>
      </w:tr>
      <w:tr w:rsidR="008C00AC" w:rsidRPr="00634AA5" w14:paraId="282E5400" w14:textId="77777777" w:rsidTr="000230C6">
        <w:trPr>
          <w:trHeight w:val="465"/>
          <w:jc w:val="center"/>
        </w:trPr>
        <w:tc>
          <w:tcPr>
            <w:tcW w:w="6091" w:type="dxa"/>
            <w:vMerge/>
            <w:tcBorders>
              <w:left w:val="single" w:sz="4" w:space="0" w:color="auto"/>
              <w:right w:val="single" w:sz="4" w:space="0" w:color="auto"/>
            </w:tcBorders>
            <w:shd w:val="clear" w:color="auto" w:fill="auto"/>
          </w:tcPr>
          <w:p w14:paraId="308F1AEF" w14:textId="77777777" w:rsidR="008C00AC" w:rsidRPr="00330917" w:rsidRDefault="008C00AC" w:rsidP="0008221E">
            <w:pPr>
              <w:keepNext/>
              <w:spacing w:after="0" w:line="360" w:lineRule="auto"/>
              <w:jc w:val="both"/>
              <w:rPr>
                <w:rFonts w:ascii="Arial" w:eastAsia="Times New Roman" w:hAnsi="Arial" w:cs="Times New Roman"/>
                <w:b/>
                <w:sz w:val="40"/>
                <w:szCs w:val="20"/>
                <w:lang w:val="en-AU"/>
              </w:rPr>
            </w:pPr>
          </w:p>
        </w:tc>
        <w:tc>
          <w:tcPr>
            <w:tcW w:w="1429" w:type="dxa"/>
            <w:tcBorders>
              <w:top w:val="nil"/>
              <w:left w:val="single" w:sz="4" w:space="0" w:color="auto"/>
              <w:bottom w:val="nil"/>
              <w:right w:val="nil"/>
            </w:tcBorders>
            <w:shd w:val="clear" w:color="auto" w:fill="auto"/>
            <w:vAlign w:val="center"/>
          </w:tcPr>
          <w:p w14:paraId="7D091A43" w14:textId="389EE1FD" w:rsidR="008C00AC" w:rsidRDefault="008C00AC" w:rsidP="0008221E">
            <w:pPr>
              <w:keepNext/>
              <w:spacing w:after="0" w:line="360" w:lineRule="auto"/>
              <w:jc w:val="both"/>
              <w:rPr>
                <w:rFonts w:ascii="Arial" w:eastAsia="Times New Roman" w:hAnsi="Arial" w:cs="Times New Roman"/>
                <w:sz w:val="20"/>
                <w:szCs w:val="20"/>
                <w:lang w:val="en-AU"/>
              </w:rPr>
            </w:pPr>
            <w:r>
              <w:rPr>
                <w:rFonts w:ascii="Arial" w:eastAsia="Times New Roman" w:hAnsi="Arial" w:cs="Times New Roman"/>
                <w:sz w:val="20"/>
                <w:szCs w:val="20"/>
                <w:lang w:val="en-AU"/>
              </w:rPr>
              <w:t>Words:</w:t>
            </w:r>
          </w:p>
        </w:tc>
        <w:tc>
          <w:tcPr>
            <w:tcW w:w="2721" w:type="dxa"/>
            <w:gridSpan w:val="2"/>
            <w:tcBorders>
              <w:top w:val="dashed" w:sz="4" w:space="0" w:color="auto"/>
              <w:left w:val="nil"/>
              <w:bottom w:val="dashed" w:sz="4" w:space="0" w:color="auto"/>
              <w:right w:val="single" w:sz="4" w:space="0" w:color="auto"/>
            </w:tcBorders>
            <w:shd w:val="clear" w:color="auto" w:fill="auto"/>
            <w:vAlign w:val="center"/>
          </w:tcPr>
          <w:p w14:paraId="61417B91" w14:textId="0064449C" w:rsidR="008C00AC" w:rsidRPr="008B3DE6" w:rsidRDefault="005C70E8" w:rsidP="0008221E">
            <w:pPr>
              <w:keepNext/>
              <w:spacing w:after="0" w:line="360" w:lineRule="auto"/>
              <w:jc w:val="both"/>
              <w:rPr>
                <w:rFonts w:ascii="Arial" w:eastAsia="Times New Roman" w:hAnsi="Arial" w:cs="Times New Roman"/>
                <w:b/>
                <w:lang w:val="en-AU"/>
              </w:rPr>
            </w:pPr>
            <w:r>
              <w:rPr>
                <w:rFonts w:ascii="Arial" w:eastAsia="Times New Roman" w:hAnsi="Arial" w:cs="Times New Roman"/>
                <w:b/>
                <w:lang w:val="en-AU"/>
              </w:rPr>
              <w:t>1</w:t>
            </w:r>
            <w:r w:rsidR="00E579A9">
              <w:rPr>
                <w:rFonts w:ascii="Arial" w:eastAsia="Times New Roman" w:hAnsi="Arial" w:cs="Times New Roman"/>
                <w:b/>
                <w:lang w:val="en-AU"/>
              </w:rPr>
              <w:t>245</w:t>
            </w:r>
          </w:p>
        </w:tc>
      </w:tr>
      <w:tr w:rsidR="00340C4A" w:rsidRPr="00330917" w14:paraId="48B40893" w14:textId="77777777" w:rsidTr="000230C6">
        <w:trPr>
          <w:trHeight w:val="19"/>
          <w:jc w:val="center"/>
        </w:trPr>
        <w:tc>
          <w:tcPr>
            <w:tcW w:w="6091" w:type="dxa"/>
            <w:vMerge/>
            <w:tcBorders>
              <w:left w:val="single" w:sz="4" w:space="0" w:color="auto"/>
              <w:bottom w:val="single" w:sz="4" w:space="0" w:color="auto"/>
              <w:right w:val="single" w:sz="4" w:space="0" w:color="auto"/>
            </w:tcBorders>
            <w:shd w:val="clear" w:color="auto" w:fill="auto"/>
          </w:tcPr>
          <w:p w14:paraId="3613810B" w14:textId="77777777" w:rsidR="00340C4A" w:rsidRPr="00330917" w:rsidRDefault="00340C4A" w:rsidP="0008221E">
            <w:pPr>
              <w:keepNext/>
              <w:spacing w:after="0" w:line="360" w:lineRule="auto"/>
              <w:jc w:val="both"/>
              <w:rPr>
                <w:rFonts w:ascii="Arial" w:eastAsia="Times New Roman" w:hAnsi="Arial" w:cs="Times New Roman"/>
                <w:b/>
                <w:sz w:val="40"/>
                <w:szCs w:val="20"/>
                <w:lang w:val="en-AU"/>
              </w:rPr>
            </w:pPr>
          </w:p>
        </w:tc>
        <w:tc>
          <w:tcPr>
            <w:tcW w:w="2116" w:type="dxa"/>
            <w:gridSpan w:val="2"/>
            <w:tcBorders>
              <w:top w:val="nil"/>
              <w:left w:val="single" w:sz="4" w:space="0" w:color="auto"/>
              <w:bottom w:val="single" w:sz="4" w:space="0" w:color="auto"/>
              <w:right w:val="nil"/>
            </w:tcBorders>
            <w:shd w:val="clear" w:color="auto" w:fill="auto"/>
            <w:vAlign w:val="center"/>
          </w:tcPr>
          <w:p w14:paraId="254A45C2" w14:textId="77777777" w:rsidR="00340C4A" w:rsidRPr="00330917" w:rsidRDefault="00340C4A" w:rsidP="0008221E">
            <w:pPr>
              <w:keepNext/>
              <w:spacing w:after="0" w:line="360" w:lineRule="auto"/>
              <w:jc w:val="both"/>
              <w:rPr>
                <w:rFonts w:ascii="Arial" w:eastAsia="Times New Roman" w:hAnsi="Arial" w:cs="Times New Roman"/>
                <w:bCs/>
                <w:sz w:val="20"/>
                <w:szCs w:val="20"/>
                <w:lang w:val="en-AU"/>
              </w:rPr>
            </w:pPr>
          </w:p>
        </w:tc>
        <w:tc>
          <w:tcPr>
            <w:tcW w:w="0" w:type="auto"/>
            <w:tcBorders>
              <w:top w:val="dashed" w:sz="4" w:space="0" w:color="auto"/>
              <w:left w:val="nil"/>
              <w:bottom w:val="single" w:sz="4" w:space="0" w:color="auto"/>
              <w:right w:val="single" w:sz="4" w:space="0" w:color="auto"/>
            </w:tcBorders>
            <w:shd w:val="clear" w:color="auto" w:fill="auto"/>
            <w:vAlign w:val="center"/>
          </w:tcPr>
          <w:p w14:paraId="2D62F73F" w14:textId="77777777" w:rsidR="00340C4A" w:rsidRPr="00330917" w:rsidRDefault="00340C4A" w:rsidP="0008221E">
            <w:pPr>
              <w:keepNext/>
              <w:spacing w:after="0" w:line="360" w:lineRule="auto"/>
              <w:jc w:val="both"/>
              <w:rPr>
                <w:rFonts w:ascii="Arial" w:eastAsia="Times New Roman" w:hAnsi="Arial" w:cs="Times New Roman"/>
                <w:b/>
                <w:sz w:val="16"/>
                <w:szCs w:val="16"/>
                <w:lang w:val="en-AU"/>
              </w:rPr>
            </w:pPr>
          </w:p>
        </w:tc>
      </w:tr>
    </w:tbl>
    <w:p w14:paraId="0BB464B4" w14:textId="7696B477" w:rsidR="00E128C3" w:rsidRDefault="00E128C3" w:rsidP="0008221E">
      <w:pPr>
        <w:spacing w:line="360" w:lineRule="auto"/>
        <w:jc w:val="both"/>
        <w:rPr>
          <w:rFonts w:ascii="Arial" w:hAnsi="Arial" w:cs="Arial"/>
          <w:sz w:val="24"/>
          <w:szCs w:val="24"/>
        </w:rPr>
      </w:pPr>
    </w:p>
    <w:p w14:paraId="0E963970" w14:textId="77777777" w:rsidR="00E128C3" w:rsidRDefault="00E128C3" w:rsidP="0008221E">
      <w:pPr>
        <w:spacing w:line="360" w:lineRule="auto"/>
        <w:jc w:val="both"/>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lang w:eastAsia="en-US"/>
          <w14:ligatures w14:val="standardContextual"/>
        </w:rPr>
        <w:id w:val="349762491"/>
        <w:docPartObj>
          <w:docPartGallery w:val="Table of Contents"/>
          <w:docPartUnique/>
        </w:docPartObj>
      </w:sdtPr>
      <w:sdtEndPr>
        <w:rPr>
          <w:b/>
          <w:bCs/>
        </w:rPr>
      </w:sdtEndPr>
      <w:sdtContent>
        <w:p w14:paraId="7EF18003" w14:textId="2620F000" w:rsidR="0008221E" w:rsidRPr="00D31A25" w:rsidRDefault="0008221E" w:rsidP="00D31A25">
          <w:pPr>
            <w:pStyle w:val="TOCHeading"/>
            <w:spacing w:line="360" w:lineRule="auto"/>
            <w:jc w:val="both"/>
            <w:rPr>
              <w:rFonts w:ascii="Arial" w:hAnsi="Arial" w:cs="Arial"/>
              <w:sz w:val="40"/>
              <w:szCs w:val="40"/>
            </w:rPr>
          </w:pPr>
          <w:r w:rsidRPr="00D31A25">
            <w:rPr>
              <w:rFonts w:ascii="Arial" w:hAnsi="Arial" w:cs="Arial"/>
              <w:sz w:val="40"/>
              <w:szCs w:val="40"/>
            </w:rPr>
            <w:t>Table of Contents</w:t>
          </w:r>
        </w:p>
        <w:p w14:paraId="0F1824FC" w14:textId="5DB99E37" w:rsidR="00D31A25" w:rsidRPr="00D31A25" w:rsidRDefault="0008221E" w:rsidP="00D31A25">
          <w:pPr>
            <w:pStyle w:val="TOC1"/>
            <w:tabs>
              <w:tab w:val="right" w:leader="dot" w:pos="8836"/>
            </w:tabs>
            <w:spacing w:line="360" w:lineRule="auto"/>
            <w:jc w:val="both"/>
            <w:rPr>
              <w:rFonts w:ascii="Arial" w:eastAsiaTheme="minorEastAsia" w:hAnsi="Arial" w:cs="Arial"/>
              <w:noProof/>
              <w:kern w:val="2"/>
              <w:sz w:val="28"/>
              <w:szCs w:val="28"/>
              <w:lang w:eastAsia="en-GB"/>
            </w:rPr>
          </w:pPr>
          <w:r w:rsidRPr="00D31A25">
            <w:rPr>
              <w:rFonts w:ascii="Arial" w:hAnsi="Arial" w:cs="Arial"/>
              <w:sz w:val="28"/>
              <w:szCs w:val="28"/>
            </w:rPr>
            <w:fldChar w:fldCharType="begin"/>
          </w:r>
          <w:r w:rsidRPr="00D31A25">
            <w:rPr>
              <w:rFonts w:ascii="Arial" w:hAnsi="Arial" w:cs="Arial"/>
              <w:sz w:val="28"/>
              <w:szCs w:val="28"/>
            </w:rPr>
            <w:instrText xml:space="preserve"> TOC \o "1-3" \h \z \u </w:instrText>
          </w:r>
          <w:r w:rsidRPr="00D31A25">
            <w:rPr>
              <w:rFonts w:ascii="Arial" w:hAnsi="Arial" w:cs="Arial"/>
              <w:sz w:val="28"/>
              <w:szCs w:val="28"/>
            </w:rPr>
            <w:fldChar w:fldCharType="separate"/>
          </w:r>
          <w:hyperlink w:anchor="_Toc167725697" w:history="1">
            <w:r w:rsidR="00D31A25" w:rsidRPr="00D31A25">
              <w:rPr>
                <w:rStyle w:val="Hyperlink"/>
                <w:rFonts w:ascii="Arial" w:hAnsi="Arial" w:cs="Arial"/>
                <w:noProof/>
                <w:sz w:val="24"/>
                <w:szCs w:val="24"/>
              </w:rPr>
              <w:t>Executive Summary</w:t>
            </w:r>
            <w:r w:rsidR="00D31A25" w:rsidRPr="00D31A25">
              <w:rPr>
                <w:rFonts w:ascii="Arial" w:hAnsi="Arial" w:cs="Arial"/>
                <w:noProof/>
                <w:webHidden/>
                <w:sz w:val="24"/>
                <w:szCs w:val="24"/>
              </w:rPr>
              <w:tab/>
            </w:r>
            <w:r w:rsidR="00D31A25" w:rsidRPr="00D31A25">
              <w:rPr>
                <w:rFonts w:ascii="Arial" w:hAnsi="Arial" w:cs="Arial"/>
                <w:noProof/>
                <w:webHidden/>
                <w:sz w:val="24"/>
                <w:szCs w:val="24"/>
              </w:rPr>
              <w:fldChar w:fldCharType="begin"/>
            </w:r>
            <w:r w:rsidR="00D31A25" w:rsidRPr="00D31A25">
              <w:rPr>
                <w:rFonts w:ascii="Arial" w:hAnsi="Arial" w:cs="Arial"/>
                <w:noProof/>
                <w:webHidden/>
                <w:sz w:val="24"/>
                <w:szCs w:val="24"/>
              </w:rPr>
              <w:instrText xml:space="preserve"> PAGEREF _Toc167725697 \h </w:instrText>
            </w:r>
            <w:r w:rsidR="00D31A25" w:rsidRPr="00D31A25">
              <w:rPr>
                <w:rFonts w:ascii="Arial" w:hAnsi="Arial" w:cs="Arial"/>
                <w:noProof/>
                <w:webHidden/>
                <w:sz w:val="24"/>
                <w:szCs w:val="24"/>
              </w:rPr>
            </w:r>
            <w:r w:rsidR="00D31A25" w:rsidRPr="00D31A25">
              <w:rPr>
                <w:rFonts w:ascii="Arial" w:hAnsi="Arial" w:cs="Arial"/>
                <w:noProof/>
                <w:webHidden/>
                <w:sz w:val="24"/>
                <w:szCs w:val="24"/>
              </w:rPr>
              <w:fldChar w:fldCharType="separate"/>
            </w:r>
            <w:r w:rsidR="00D31A25" w:rsidRPr="00D31A25">
              <w:rPr>
                <w:rFonts w:ascii="Arial" w:hAnsi="Arial" w:cs="Arial"/>
                <w:noProof/>
                <w:webHidden/>
                <w:sz w:val="24"/>
                <w:szCs w:val="24"/>
              </w:rPr>
              <w:t>3</w:t>
            </w:r>
            <w:r w:rsidR="00D31A25" w:rsidRPr="00D31A25">
              <w:rPr>
                <w:rFonts w:ascii="Arial" w:hAnsi="Arial" w:cs="Arial"/>
                <w:noProof/>
                <w:webHidden/>
                <w:sz w:val="24"/>
                <w:szCs w:val="24"/>
              </w:rPr>
              <w:fldChar w:fldCharType="end"/>
            </w:r>
          </w:hyperlink>
        </w:p>
        <w:p w14:paraId="2C4F84E1" w14:textId="0551359B" w:rsidR="00D31A25" w:rsidRPr="00D31A25" w:rsidRDefault="00000000" w:rsidP="00D31A25">
          <w:pPr>
            <w:pStyle w:val="TOC1"/>
            <w:tabs>
              <w:tab w:val="right" w:leader="dot" w:pos="8836"/>
            </w:tabs>
            <w:spacing w:line="360" w:lineRule="auto"/>
            <w:jc w:val="both"/>
            <w:rPr>
              <w:rFonts w:ascii="Arial" w:eastAsiaTheme="minorEastAsia" w:hAnsi="Arial" w:cs="Arial"/>
              <w:noProof/>
              <w:kern w:val="2"/>
              <w:sz w:val="28"/>
              <w:szCs w:val="28"/>
              <w:lang w:eastAsia="en-GB"/>
            </w:rPr>
          </w:pPr>
          <w:hyperlink w:anchor="_Toc167725698" w:history="1">
            <w:r w:rsidR="00D31A25" w:rsidRPr="00D31A25">
              <w:rPr>
                <w:rStyle w:val="Hyperlink"/>
                <w:rFonts w:ascii="Arial" w:hAnsi="Arial" w:cs="Arial"/>
                <w:noProof/>
                <w:sz w:val="24"/>
                <w:szCs w:val="24"/>
              </w:rPr>
              <w:t>Introduction</w:t>
            </w:r>
            <w:r w:rsidR="00D31A25" w:rsidRPr="00D31A25">
              <w:rPr>
                <w:rFonts w:ascii="Arial" w:hAnsi="Arial" w:cs="Arial"/>
                <w:noProof/>
                <w:webHidden/>
                <w:sz w:val="24"/>
                <w:szCs w:val="24"/>
              </w:rPr>
              <w:tab/>
            </w:r>
            <w:r w:rsidR="00D31A25" w:rsidRPr="00D31A25">
              <w:rPr>
                <w:rFonts w:ascii="Arial" w:hAnsi="Arial" w:cs="Arial"/>
                <w:noProof/>
                <w:webHidden/>
                <w:sz w:val="24"/>
                <w:szCs w:val="24"/>
              </w:rPr>
              <w:fldChar w:fldCharType="begin"/>
            </w:r>
            <w:r w:rsidR="00D31A25" w:rsidRPr="00D31A25">
              <w:rPr>
                <w:rFonts w:ascii="Arial" w:hAnsi="Arial" w:cs="Arial"/>
                <w:noProof/>
                <w:webHidden/>
                <w:sz w:val="24"/>
                <w:szCs w:val="24"/>
              </w:rPr>
              <w:instrText xml:space="preserve"> PAGEREF _Toc167725698 \h </w:instrText>
            </w:r>
            <w:r w:rsidR="00D31A25" w:rsidRPr="00D31A25">
              <w:rPr>
                <w:rFonts w:ascii="Arial" w:hAnsi="Arial" w:cs="Arial"/>
                <w:noProof/>
                <w:webHidden/>
                <w:sz w:val="24"/>
                <w:szCs w:val="24"/>
              </w:rPr>
            </w:r>
            <w:r w:rsidR="00D31A25" w:rsidRPr="00D31A25">
              <w:rPr>
                <w:rFonts w:ascii="Arial" w:hAnsi="Arial" w:cs="Arial"/>
                <w:noProof/>
                <w:webHidden/>
                <w:sz w:val="24"/>
                <w:szCs w:val="24"/>
              </w:rPr>
              <w:fldChar w:fldCharType="separate"/>
            </w:r>
            <w:r w:rsidR="00D31A25" w:rsidRPr="00D31A25">
              <w:rPr>
                <w:rFonts w:ascii="Arial" w:hAnsi="Arial" w:cs="Arial"/>
                <w:noProof/>
                <w:webHidden/>
                <w:sz w:val="24"/>
                <w:szCs w:val="24"/>
              </w:rPr>
              <w:t>3</w:t>
            </w:r>
            <w:r w:rsidR="00D31A25" w:rsidRPr="00D31A25">
              <w:rPr>
                <w:rFonts w:ascii="Arial" w:hAnsi="Arial" w:cs="Arial"/>
                <w:noProof/>
                <w:webHidden/>
                <w:sz w:val="24"/>
                <w:szCs w:val="24"/>
              </w:rPr>
              <w:fldChar w:fldCharType="end"/>
            </w:r>
          </w:hyperlink>
        </w:p>
        <w:p w14:paraId="01A98176" w14:textId="4A9798C7" w:rsidR="00D31A25" w:rsidRPr="00D31A25" w:rsidRDefault="00000000" w:rsidP="00D31A25">
          <w:pPr>
            <w:pStyle w:val="TOC1"/>
            <w:tabs>
              <w:tab w:val="right" w:leader="dot" w:pos="8836"/>
            </w:tabs>
            <w:spacing w:line="360" w:lineRule="auto"/>
            <w:jc w:val="both"/>
            <w:rPr>
              <w:rFonts w:ascii="Arial" w:eastAsiaTheme="minorEastAsia" w:hAnsi="Arial" w:cs="Arial"/>
              <w:noProof/>
              <w:kern w:val="2"/>
              <w:sz w:val="28"/>
              <w:szCs w:val="28"/>
              <w:lang w:eastAsia="en-GB"/>
            </w:rPr>
          </w:pPr>
          <w:hyperlink w:anchor="_Toc167725699" w:history="1">
            <w:r w:rsidR="00D31A25" w:rsidRPr="00D31A25">
              <w:rPr>
                <w:rStyle w:val="Hyperlink"/>
                <w:rFonts w:ascii="Arial" w:hAnsi="Arial" w:cs="Arial"/>
                <w:noProof/>
                <w:sz w:val="24"/>
                <w:szCs w:val="24"/>
              </w:rPr>
              <w:t>Key differences between England and Spain</w:t>
            </w:r>
            <w:r w:rsidR="00D31A25" w:rsidRPr="00D31A25">
              <w:rPr>
                <w:rFonts w:ascii="Arial" w:hAnsi="Arial" w:cs="Arial"/>
                <w:noProof/>
                <w:webHidden/>
                <w:sz w:val="24"/>
                <w:szCs w:val="24"/>
              </w:rPr>
              <w:tab/>
            </w:r>
            <w:r w:rsidR="00D31A25" w:rsidRPr="00D31A25">
              <w:rPr>
                <w:rFonts w:ascii="Arial" w:hAnsi="Arial" w:cs="Arial"/>
                <w:noProof/>
                <w:webHidden/>
                <w:sz w:val="24"/>
                <w:szCs w:val="24"/>
              </w:rPr>
              <w:fldChar w:fldCharType="begin"/>
            </w:r>
            <w:r w:rsidR="00D31A25" w:rsidRPr="00D31A25">
              <w:rPr>
                <w:rFonts w:ascii="Arial" w:hAnsi="Arial" w:cs="Arial"/>
                <w:noProof/>
                <w:webHidden/>
                <w:sz w:val="24"/>
                <w:szCs w:val="24"/>
              </w:rPr>
              <w:instrText xml:space="preserve"> PAGEREF _Toc167725699 \h </w:instrText>
            </w:r>
            <w:r w:rsidR="00D31A25" w:rsidRPr="00D31A25">
              <w:rPr>
                <w:rFonts w:ascii="Arial" w:hAnsi="Arial" w:cs="Arial"/>
                <w:noProof/>
                <w:webHidden/>
                <w:sz w:val="24"/>
                <w:szCs w:val="24"/>
              </w:rPr>
            </w:r>
            <w:r w:rsidR="00D31A25" w:rsidRPr="00D31A25">
              <w:rPr>
                <w:rFonts w:ascii="Arial" w:hAnsi="Arial" w:cs="Arial"/>
                <w:noProof/>
                <w:webHidden/>
                <w:sz w:val="24"/>
                <w:szCs w:val="24"/>
              </w:rPr>
              <w:fldChar w:fldCharType="separate"/>
            </w:r>
            <w:r w:rsidR="00D31A25" w:rsidRPr="00D31A25">
              <w:rPr>
                <w:rFonts w:ascii="Arial" w:hAnsi="Arial" w:cs="Arial"/>
                <w:noProof/>
                <w:webHidden/>
                <w:sz w:val="24"/>
                <w:szCs w:val="24"/>
              </w:rPr>
              <w:t>3</w:t>
            </w:r>
            <w:r w:rsidR="00D31A25" w:rsidRPr="00D31A25">
              <w:rPr>
                <w:rFonts w:ascii="Arial" w:hAnsi="Arial" w:cs="Arial"/>
                <w:noProof/>
                <w:webHidden/>
                <w:sz w:val="24"/>
                <w:szCs w:val="24"/>
              </w:rPr>
              <w:fldChar w:fldCharType="end"/>
            </w:r>
          </w:hyperlink>
        </w:p>
        <w:p w14:paraId="5ED8378D" w14:textId="780139E3" w:rsidR="00D31A25" w:rsidRPr="00D31A25" w:rsidRDefault="00000000" w:rsidP="00D31A25">
          <w:pPr>
            <w:pStyle w:val="TOC1"/>
            <w:tabs>
              <w:tab w:val="right" w:leader="dot" w:pos="8836"/>
            </w:tabs>
            <w:spacing w:line="360" w:lineRule="auto"/>
            <w:jc w:val="both"/>
            <w:rPr>
              <w:rFonts w:ascii="Arial" w:eastAsiaTheme="minorEastAsia" w:hAnsi="Arial" w:cs="Arial"/>
              <w:noProof/>
              <w:kern w:val="2"/>
              <w:sz w:val="28"/>
              <w:szCs w:val="28"/>
              <w:lang w:eastAsia="en-GB"/>
            </w:rPr>
          </w:pPr>
          <w:hyperlink w:anchor="_Toc167725700" w:history="1">
            <w:r w:rsidR="00D31A25" w:rsidRPr="00D31A25">
              <w:rPr>
                <w:rStyle w:val="Hyperlink"/>
                <w:rFonts w:ascii="Arial" w:hAnsi="Arial" w:cs="Arial"/>
                <w:noProof/>
                <w:sz w:val="24"/>
                <w:szCs w:val="24"/>
              </w:rPr>
              <w:t>GLOBE Project’s culture and leadership study used by England and Spain</w:t>
            </w:r>
            <w:r w:rsidR="00D31A25" w:rsidRPr="00D31A25">
              <w:rPr>
                <w:rFonts w:ascii="Arial" w:hAnsi="Arial" w:cs="Arial"/>
                <w:noProof/>
                <w:webHidden/>
                <w:sz w:val="24"/>
                <w:szCs w:val="24"/>
              </w:rPr>
              <w:tab/>
            </w:r>
            <w:r w:rsidR="00D31A25" w:rsidRPr="00D31A25">
              <w:rPr>
                <w:rFonts w:ascii="Arial" w:hAnsi="Arial" w:cs="Arial"/>
                <w:noProof/>
                <w:webHidden/>
                <w:sz w:val="24"/>
                <w:szCs w:val="24"/>
              </w:rPr>
              <w:fldChar w:fldCharType="begin"/>
            </w:r>
            <w:r w:rsidR="00D31A25" w:rsidRPr="00D31A25">
              <w:rPr>
                <w:rFonts w:ascii="Arial" w:hAnsi="Arial" w:cs="Arial"/>
                <w:noProof/>
                <w:webHidden/>
                <w:sz w:val="24"/>
                <w:szCs w:val="24"/>
              </w:rPr>
              <w:instrText xml:space="preserve"> PAGEREF _Toc167725700 \h </w:instrText>
            </w:r>
            <w:r w:rsidR="00D31A25" w:rsidRPr="00D31A25">
              <w:rPr>
                <w:rFonts w:ascii="Arial" w:hAnsi="Arial" w:cs="Arial"/>
                <w:noProof/>
                <w:webHidden/>
                <w:sz w:val="24"/>
                <w:szCs w:val="24"/>
              </w:rPr>
            </w:r>
            <w:r w:rsidR="00D31A25" w:rsidRPr="00D31A25">
              <w:rPr>
                <w:rFonts w:ascii="Arial" w:hAnsi="Arial" w:cs="Arial"/>
                <w:noProof/>
                <w:webHidden/>
                <w:sz w:val="24"/>
                <w:szCs w:val="24"/>
              </w:rPr>
              <w:fldChar w:fldCharType="separate"/>
            </w:r>
            <w:r w:rsidR="00D31A25" w:rsidRPr="00D31A25">
              <w:rPr>
                <w:rFonts w:ascii="Arial" w:hAnsi="Arial" w:cs="Arial"/>
                <w:noProof/>
                <w:webHidden/>
                <w:sz w:val="24"/>
                <w:szCs w:val="24"/>
              </w:rPr>
              <w:t>4</w:t>
            </w:r>
            <w:r w:rsidR="00D31A25" w:rsidRPr="00D31A25">
              <w:rPr>
                <w:rFonts w:ascii="Arial" w:hAnsi="Arial" w:cs="Arial"/>
                <w:noProof/>
                <w:webHidden/>
                <w:sz w:val="24"/>
                <w:szCs w:val="24"/>
              </w:rPr>
              <w:fldChar w:fldCharType="end"/>
            </w:r>
          </w:hyperlink>
        </w:p>
        <w:p w14:paraId="27D7F218" w14:textId="4F972BA4" w:rsidR="00D31A25" w:rsidRPr="00D31A25" w:rsidRDefault="00000000" w:rsidP="00D31A25">
          <w:pPr>
            <w:pStyle w:val="TOC1"/>
            <w:tabs>
              <w:tab w:val="right" w:leader="dot" w:pos="8836"/>
            </w:tabs>
            <w:spacing w:line="360" w:lineRule="auto"/>
            <w:jc w:val="both"/>
            <w:rPr>
              <w:rFonts w:ascii="Arial" w:eastAsiaTheme="minorEastAsia" w:hAnsi="Arial" w:cs="Arial"/>
              <w:noProof/>
              <w:kern w:val="2"/>
              <w:sz w:val="28"/>
              <w:szCs w:val="28"/>
              <w:lang w:eastAsia="en-GB"/>
            </w:rPr>
          </w:pPr>
          <w:hyperlink w:anchor="_Toc167725701" w:history="1">
            <w:r w:rsidR="00D31A25" w:rsidRPr="00D31A25">
              <w:rPr>
                <w:rStyle w:val="Hyperlink"/>
                <w:rFonts w:ascii="Arial" w:hAnsi="Arial" w:cs="Arial"/>
                <w:noProof/>
                <w:sz w:val="24"/>
                <w:szCs w:val="24"/>
              </w:rPr>
              <w:t>Challenges of intercultural leadership in the hospitality industry</w:t>
            </w:r>
            <w:r w:rsidR="00D31A25" w:rsidRPr="00D31A25">
              <w:rPr>
                <w:rFonts w:ascii="Arial" w:hAnsi="Arial" w:cs="Arial"/>
                <w:noProof/>
                <w:webHidden/>
                <w:sz w:val="24"/>
                <w:szCs w:val="24"/>
              </w:rPr>
              <w:tab/>
            </w:r>
            <w:r w:rsidR="00D31A25" w:rsidRPr="00D31A25">
              <w:rPr>
                <w:rFonts w:ascii="Arial" w:hAnsi="Arial" w:cs="Arial"/>
                <w:noProof/>
                <w:webHidden/>
                <w:sz w:val="24"/>
                <w:szCs w:val="24"/>
              </w:rPr>
              <w:fldChar w:fldCharType="begin"/>
            </w:r>
            <w:r w:rsidR="00D31A25" w:rsidRPr="00D31A25">
              <w:rPr>
                <w:rFonts w:ascii="Arial" w:hAnsi="Arial" w:cs="Arial"/>
                <w:noProof/>
                <w:webHidden/>
                <w:sz w:val="24"/>
                <w:szCs w:val="24"/>
              </w:rPr>
              <w:instrText xml:space="preserve"> PAGEREF _Toc167725701 \h </w:instrText>
            </w:r>
            <w:r w:rsidR="00D31A25" w:rsidRPr="00D31A25">
              <w:rPr>
                <w:rFonts w:ascii="Arial" w:hAnsi="Arial" w:cs="Arial"/>
                <w:noProof/>
                <w:webHidden/>
                <w:sz w:val="24"/>
                <w:szCs w:val="24"/>
              </w:rPr>
            </w:r>
            <w:r w:rsidR="00D31A25" w:rsidRPr="00D31A25">
              <w:rPr>
                <w:rFonts w:ascii="Arial" w:hAnsi="Arial" w:cs="Arial"/>
                <w:noProof/>
                <w:webHidden/>
                <w:sz w:val="24"/>
                <w:szCs w:val="24"/>
              </w:rPr>
              <w:fldChar w:fldCharType="separate"/>
            </w:r>
            <w:r w:rsidR="00D31A25" w:rsidRPr="00D31A25">
              <w:rPr>
                <w:rFonts w:ascii="Arial" w:hAnsi="Arial" w:cs="Arial"/>
                <w:noProof/>
                <w:webHidden/>
                <w:sz w:val="24"/>
                <w:szCs w:val="24"/>
              </w:rPr>
              <w:t>6</w:t>
            </w:r>
            <w:r w:rsidR="00D31A25" w:rsidRPr="00D31A25">
              <w:rPr>
                <w:rFonts w:ascii="Arial" w:hAnsi="Arial" w:cs="Arial"/>
                <w:noProof/>
                <w:webHidden/>
                <w:sz w:val="24"/>
                <w:szCs w:val="24"/>
              </w:rPr>
              <w:fldChar w:fldCharType="end"/>
            </w:r>
          </w:hyperlink>
        </w:p>
        <w:p w14:paraId="226F47CE" w14:textId="1286816B" w:rsidR="00D31A25" w:rsidRPr="00D31A25" w:rsidRDefault="00000000" w:rsidP="00D31A25">
          <w:pPr>
            <w:pStyle w:val="TOC1"/>
            <w:tabs>
              <w:tab w:val="right" w:leader="dot" w:pos="8836"/>
            </w:tabs>
            <w:spacing w:line="360" w:lineRule="auto"/>
            <w:jc w:val="both"/>
            <w:rPr>
              <w:rFonts w:ascii="Arial" w:eastAsiaTheme="minorEastAsia" w:hAnsi="Arial" w:cs="Arial"/>
              <w:noProof/>
              <w:kern w:val="2"/>
              <w:sz w:val="28"/>
              <w:szCs w:val="28"/>
              <w:lang w:eastAsia="en-GB"/>
            </w:rPr>
          </w:pPr>
          <w:hyperlink w:anchor="_Toc167725702" w:history="1">
            <w:r w:rsidR="00D31A25" w:rsidRPr="00D31A25">
              <w:rPr>
                <w:rStyle w:val="Hyperlink"/>
                <w:rFonts w:ascii="Arial" w:hAnsi="Arial" w:cs="Arial"/>
                <w:noProof/>
                <w:sz w:val="24"/>
                <w:szCs w:val="24"/>
              </w:rPr>
              <w:t>Recommendations</w:t>
            </w:r>
            <w:r w:rsidR="00D31A25" w:rsidRPr="00D31A25">
              <w:rPr>
                <w:rFonts w:ascii="Arial" w:hAnsi="Arial" w:cs="Arial"/>
                <w:noProof/>
                <w:webHidden/>
                <w:sz w:val="24"/>
                <w:szCs w:val="24"/>
              </w:rPr>
              <w:tab/>
            </w:r>
            <w:r w:rsidR="00D31A25" w:rsidRPr="00D31A25">
              <w:rPr>
                <w:rFonts w:ascii="Arial" w:hAnsi="Arial" w:cs="Arial"/>
                <w:noProof/>
                <w:webHidden/>
                <w:sz w:val="24"/>
                <w:szCs w:val="24"/>
              </w:rPr>
              <w:fldChar w:fldCharType="begin"/>
            </w:r>
            <w:r w:rsidR="00D31A25" w:rsidRPr="00D31A25">
              <w:rPr>
                <w:rFonts w:ascii="Arial" w:hAnsi="Arial" w:cs="Arial"/>
                <w:noProof/>
                <w:webHidden/>
                <w:sz w:val="24"/>
                <w:szCs w:val="24"/>
              </w:rPr>
              <w:instrText xml:space="preserve"> PAGEREF _Toc167725702 \h </w:instrText>
            </w:r>
            <w:r w:rsidR="00D31A25" w:rsidRPr="00D31A25">
              <w:rPr>
                <w:rFonts w:ascii="Arial" w:hAnsi="Arial" w:cs="Arial"/>
                <w:noProof/>
                <w:webHidden/>
                <w:sz w:val="24"/>
                <w:szCs w:val="24"/>
              </w:rPr>
            </w:r>
            <w:r w:rsidR="00D31A25" w:rsidRPr="00D31A25">
              <w:rPr>
                <w:rFonts w:ascii="Arial" w:hAnsi="Arial" w:cs="Arial"/>
                <w:noProof/>
                <w:webHidden/>
                <w:sz w:val="24"/>
                <w:szCs w:val="24"/>
              </w:rPr>
              <w:fldChar w:fldCharType="separate"/>
            </w:r>
            <w:r w:rsidR="00D31A25" w:rsidRPr="00D31A25">
              <w:rPr>
                <w:rFonts w:ascii="Arial" w:hAnsi="Arial" w:cs="Arial"/>
                <w:noProof/>
                <w:webHidden/>
                <w:sz w:val="24"/>
                <w:szCs w:val="24"/>
              </w:rPr>
              <w:t>7</w:t>
            </w:r>
            <w:r w:rsidR="00D31A25" w:rsidRPr="00D31A25">
              <w:rPr>
                <w:rFonts w:ascii="Arial" w:hAnsi="Arial" w:cs="Arial"/>
                <w:noProof/>
                <w:webHidden/>
                <w:sz w:val="24"/>
                <w:szCs w:val="24"/>
              </w:rPr>
              <w:fldChar w:fldCharType="end"/>
            </w:r>
          </w:hyperlink>
        </w:p>
        <w:p w14:paraId="22226F72" w14:textId="7F325F5F" w:rsidR="00D31A25" w:rsidRPr="00D31A25" w:rsidRDefault="00000000" w:rsidP="00D31A25">
          <w:pPr>
            <w:pStyle w:val="TOC1"/>
            <w:tabs>
              <w:tab w:val="right" w:leader="dot" w:pos="8836"/>
            </w:tabs>
            <w:spacing w:line="360" w:lineRule="auto"/>
            <w:jc w:val="both"/>
            <w:rPr>
              <w:rFonts w:ascii="Arial" w:eastAsiaTheme="minorEastAsia" w:hAnsi="Arial" w:cs="Arial"/>
              <w:noProof/>
              <w:kern w:val="2"/>
              <w:sz w:val="28"/>
              <w:szCs w:val="28"/>
              <w:lang w:eastAsia="en-GB"/>
            </w:rPr>
          </w:pPr>
          <w:hyperlink w:anchor="_Toc167725703" w:history="1">
            <w:r w:rsidR="00D31A25" w:rsidRPr="00D31A25">
              <w:rPr>
                <w:rStyle w:val="Hyperlink"/>
                <w:rFonts w:ascii="Arial" w:hAnsi="Arial" w:cs="Arial"/>
                <w:noProof/>
                <w:sz w:val="24"/>
                <w:szCs w:val="24"/>
              </w:rPr>
              <w:t>References</w:t>
            </w:r>
            <w:r w:rsidR="00D31A25" w:rsidRPr="00D31A25">
              <w:rPr>
                <w:rFonts w:ascii="Arial" w:hAnsi="Arial" w:cs="Arial"/>
                <w:noProof/>
                <w:webHidden/>
                <w:sz w:val="24"/>
                <w:szCs w:val="24"/>
              </w:rPr>
              <w:tab/>
            </w:r>
            <w:r w:rsidR="00D31A25" w:rsidRPr="00D31A25">
              <w:rPr>
                <w:rFonts w:ascii="Arial" w:hAnsi="Arial" w:cs="Arial"/>
                <w:noProof/>
                <w:webHidden/>
                <w:sz w:val="24"/>
                <w:szCs w:val="24"/>
              </w:rPr>
              <w:fldChar w:fldCharType="begin"/>
            </w:r>
            <w:r w:rsidR="00D31A25" w:rsidRPr="00D31A25">
              <w:rPr>
                <w:rFonts w:ascii="Arial" w:hAnsi="Arial" w:cs="Arial"/>
                <w:noProof/>
                <w:webHidden/>
                <w:sz w:val="24"/>
                <w:szCs w:val="24"/>
              </w:rPr>
              <w:instrText xml:space="preserve"> PAGEREF _Toc167725703 \h </w:instrText>
            </w:r>
            <w:r w:rsidR="00D31A25" w:rsidRPr="00D31A25">
              <w:rPr>
                <w:rFonts w:ascii="Arial" w:hAnsi="Arial" w:cs="Arial"/>
                <w:noProof/>
                <w:webHidden/>
                <w:sz w:val="24"/>
                <w:szCs w:val="24"/>
              </w:rPr>
            </w:r>
            <w:r w:rsidR="00D31A25" w:rsidRPr="00D31A25">
              <w:rPr>
                <w:rFonts w:ascii="Arial" w:hAnsi="Arial" w:cs="Arial"/>
                <w:noProof/>
                <w:webHidden/>
                <w:sz w:val="24"/>
                <w:szCs w:val="24"/>
              </w:rPr>
              <w:fldChar w:fldCharType="separate"/>
            </w:r>
            <w:r w:rsidR="00D31A25" w:rsidRPr="00D31A25">
              <w:rPr>
                <w:rFonts w:ascii="Arial" w:hAnsi="Arial" w:cs="Arial"/>
                <w:noProof/>
                <w:webHidden/>
                <w:sz w:val="24"/>
                <w:szCs w:val="24"/>
              </w:rPr>
              <w:t>8</w:t>
            </w:r>
            <w:r w:rsidR="00D31A25" w:rsidRPr="00D31A25">
              <w:rPr>
                <w:rFonts w:ascii="Arial" w:hAnsi="Arial" w:cs="Arial"/>
                <w:noProof/>
                <w:webHidden/>
                <w:sz w:val="24"/>
                <w:szCs w:val="24"/>
              </w:rPr>
              <w:fldChar w:fldCharType="end"/>
            </w:r>
          </w:hyperlink>
        </w:p>
        <w:p w14:paraId="11C8EEBA" w14:textId="1E1A3871" w:rsidR="0008221E" w:rsidRDefault="0008221E" w:rsidP="00D31A25">
          <w:pPr>
            <w:spacing w:line="360" w:lineRule="auto"/>
            <w:jc w:val="both"/>
          </w:pPr>
          <w:r w:rsidRPr="00D31A25">
            <w:rPr>
              <w:rFonts w:ascii="Arial" w:hAnsi="Arial" w:cs="Arial"/>
              <w:b/>
              <w:bCs/>
              <w:sz w:val="28"/>
              <w:szCs w:val="28"/>
            </w:rPr>
            <w:fldChar w:fldCharType="end"/>
          </w:r>
        </w:p>
      </w:sdtContent>
    </w:sdt>
    <w:p w14:paraId="27B4E252" w14:textId="77777777" w:rsidR="0008221E" w:rsidRDefault="0008221E" w:rsidP="0008221E">
      <w:pPr>
        <w:spacing w:line="360" w:lineRule="auto"/>
        <w:jc w:val="both"/>
        <w:rPr>
          <w:rFonts w:ascii="Arial" w:hAnsi="Arial" w:cs="Arial"/>
          <w:sz w:val="24"/>
          <w:szCs w:val="24"/>
        </w:rPr>
      </w:pPr>
      <w:r>
        <w:rPr>
          <w:rFonts w:ascii="Arial" w:hAnsi="Arial" w:cs="Arial"/>
          <w:sz w:val="24"/>
          <w:szCs w:val="24"/>
        </w:rPr>
        <w:br w:type="page"/>
      </w:r>
    </w:p>
    <w:p w14:paraId="7A9A8560" w14:textId="0422020A"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lastRenderedPageBreak/>
        <w:t> </w:t>
      </w:r>
    </w:p>
    <w:p w14:paraId="14FBB02F" w14:textId="77777777" w:rsidR="00E128C3" w:rsidRPr="00E128C3" w:rsidRDefault="00E128C3" w:rsidP="0008221E">
      <w:pPr>
        <w:pStyle w:val="Heading1"/>
        <w:spacing w:line="360" w:lineRule="auto"/>
        <w:jc w:val="both"/>
      </w:pPr>
      <w:bookmarkStart w:id="0" w:name="_Toc167725697"/>
      <w:r w:rsidRPr="00E128C3">
        <w:t>Executive Summary</w:t>
      </w:r>
      <w:bookmarkEnd w:id="0"/>
    </w:p>
    <w:p w14:paraId="7C091221" w14:textId="206AD1F5"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This report analyses the key cultural differences between England and Spain and thus, draws insights from the GLOBE Project’s culture and leadership study. Also, it discusses the challenges of intercultural leadership in the hospitality industry and then, focuses on the transition of employees from Spain to England in the Multicultural Hotel &amp; Spa. The report highlights potential areas of conflict and offers recommendations to mitigate them.</w:t>
      </w:r>
    </w:p>
    <w:p w14:paraId="1DC168F1" w14:textId="77777777" w:rsidR="00E128C3" w:rsidRPr="00E128C3" w:rsidRDefault="00E128C3" w:rsidP="0008221E">
      <w:pPr>
        <w:pStyle w:val="Heading1"/>
      </w:pPr>
      <w:bookmarkStart w:id="1" w:name="_Toc167725698"/>
      <w:r w:rsidRPr="00E128C3">
        <w:t>Introduction</w:t>
      </w:r>
      <w:bookmarkEnd w:id="1"/>
      <w:r w:rsidRPr="00E128C3">
        <w:t xml:space="preserve"> </w:t>
      </w:r>
    </w:p>
    <w:p w14:paraId="1FE3A7B7" w14:textId="371639F2"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As the appointed General Manager of the Multicultural Hotel &amp; Spa in London tasked with overseeing the transition of employees from Spain, it is essential to understand the cultural nuances between England and Spain (Deardorff, 2021). This report delves into the comparative analysis of the two countries, employing insights from the GLOBE Project’s culture and leadership study. Furthermore, it discusses the challenges that arise in managing an intercultural team within the hospitality industry. It provides recommendations to combat the challenges.</w:t>
      </w:r>
    </w:p>
    <w:p w14:paraId="7BA5D9DD" w14:textId="77777777" w:rsidR="00E128C3" w:rsidRPr="00E128C3" w:rsidRDefault="00E128C3" w:rsidP="0008221E">
      <w:pPr>
        <w:pStyle w:val="Heading1"/>
      </w:pPr>
      <w:bookmarkStart w:id="2" w:name="_Toc167725699"/>
      <w:r w:rsidRPr="00E128C3">
        <w:t>Key differences between England and Spain</w:t>
      </w:r>
      <w:bookmarkEnd w:id="2"/>
    </w:p>
    <w:p w14:paraId="24A3F0F1" w14:textId="397B6B96"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However, both Europe</w:t>
      </w:r>
      <w:r w:rsidR="00492CD8">
        <w:rPr>
          <w:rFonts w:ascii="Arial" w:hAnsi="Arial" w:cs="Arial"/>
          <w:sz w:val="24"/>
          <w:szCs w:val="24"/>
        </w:rPr>
        <w:t>an countries</w:t>
      </w:r>
      <w:r w:rsidRPr="00E128C3">
        <w:rPr>
          <w:rFonts w:ascii="Arial" w:hAnsi="Arial" w:cs="Arial"/>
          <w:sz w:val="24"/>
          <w:szCs w:val="24"/>
        </w:rPr>
        <w:t>, England and Spain have different cultural, social, and economic traits that impact their cultures and daily interactions. The key differences between England and Spain are as follows:</w:t>
      </w:r>
    </w:p>
    <w:p w14:paraId="405F188E" w14:textId="77777777" w:rsidR="00E128C3" w:rsidRPr="00E128C3" w:rsidRDefault="00E128C3" w:rsidP="0008221E">
      <w:pPr>
        <w:spacing w:line="360" w:lineRule="auto"/>
        <w:jc w:val="both"/>
        <w:rPr>
          <w:rFonts w:ascii="Arial" w:hAnsi="Arial" w:cs="Arial"/>
          <w:sz w:val="24"/>
          <w:szCs w:val="24"/>
        </w:rPr>
      </w:pPr>
      <w:r w:rsidRPr="007A443A">
        <w:rPr>
          <w:rFonts w:ascii="Arial" w:hAnsi="Arial" w:cs="Arial"/>
          <w:b/>
          <w:bCs/>
          <w:sz w:val="24"/>
          <w:szCs w:val="24"/>
        </w:rPr>
        <w:t>Language and Communication:</w:t>
      </w:r>
      <w:r w:rsidRPr="00E128C3">
        <w:rPr>
          <w:rFonts w:ascii="Arial" w:hAnsi="Arial" w:cs="Arial"/>
          <w:sz w:val="24"/>
          <w:szCs w:val="24"/>
        </w:rPr>
        <w:t xml:space="preserve"> Language is a major difference between England and Spain. English is the main language in England, and Spanish is used in Spain. This linguistic variety affects daily communication, cultural norms, expressions, and idioms (Zyl and Meiselman, 2022). Language limitations can hinder hospitality customer service, teamwork, and visitor interactions. Also, communication techniques differ between countries. Direct, clear, and concise English communication is typical. Spanish communication may be more indirect and complex, indicating a desire for civility and diplomacy (Giordano and Roller, 2021). </w:t>
      </w:r>
    </w:p>
    <w:p w14:paraId="1B3DD29C" w14:textId="77777777" w:rsidR="00E128C3" w:rsidRPr="00E128C3" w:rsidRDefault="00E128C3" w:rsidP="0008221E">
      <w:pPr>
        <w:spacing w:line="360" w:lineRule="auto"/>
        <w:jc w:val="both"/>
        <w:rPr>
          <w:rFonts w:ascii="Arial" w:hAnsi="Arial" w:cs="Arial"/>
          <w:sz w:val="24"/>
          <w:szCs w:val="24"/>
        </w:rPr>
      </w:pPr>
      <w:r w:rsidRPr="007A443A">
        <w:rPr>
          <w:rFonts w:ascii="Arial" w:hAnsi="Arial" w:cs="Arial"/>
          <w:b/>
          <w:bCs/>
          <w:sz w:val="24"/>
          <w:szCs w:val="24"/>
        </w:rPr>
        <w:lastRenderedPageBreak/>
        <w:t>Cultural Norms and Values:</w:t>
      </w:r>
      <w:r w:rsidRPr="00E128C3">
        <w:rPr>
          <w:rFonts w:ascii="Arial" w:hAnsi="Arial" w:cs="Arial"/>
          <w:sz w:val="24"/>
          <w:szCs w:val="24"/>
        </w:rPr>
        <w:t xml:space="preserve"> England and Spain’s social norms and values influence behaviour and attitudes. England has a quiet, formal culture that values politeness, personal space, and social decorum. English people appreciate punctuality and efficiency in their interactions. Spain, on the other hand, values warmth, hospitality, and emotional expression (Cardona Molto et al., 2022). Personal interactions, camaraderie, and leisure are valued in Spanish society. The concept of “mañana” or “tomorrow” emphasises enjoying the present moment and a flexible approach to time and scheduling (Barnett and Carter, 2023). </w:t>
      </w:r>
    </w:p>
    <w:p w14:paraId="2DC5680A" w14:textId="77777777" w:rsidR="00E128C3" w:rsidRPr="00E128C3" w:rsidRDefault="00E128C3" w:rsidP="0008221E">
      <w:pPr>
        <w:spacing w:line="360" w:lineRule="auto"/>
        <w:jc w:val="both"/>
        <w:rPr>
          <w:rFonts w:ascii="Arial" w:hAnsi="Arial" w:cs="Arial"/>
          <w:sz w:val="24"/>
          <w:szCs w:val="24"/>
        </w:rPr>
      </w:pPr>
      <w:r w:rsidRPr="007A443A">
        <w:rPr>
          <w:rFonts w:ascii="Arial" w:hAnsi="Arial" w:cs="Arial"/>
          <w:b/>
          <w:bCs/>
          <w:sz w:val="24"/>
          <w:szCs w:val="24"/>
        </w:rPr>
        <w:t>Work Culture and Practices:</w:t>
      </w:r>
      <w:r w:rsidRPr="00E128C3">
        <w:rPr>
          <w:rFonts w:ascii="Arial" w:hAnsi="Arial" w:cs="Arial"/>
          <w:sz w:val="24"/>
          <w:szCs w:val="24"/>
        </w:rPr>
        <w:t xml:space="preserve"> English and Spanish workplaces differ in structure, leadership, and work-life balance. English workplaces are hierarchical and centralise authority and decision-making (Barnett and Carter, 2023). Employees must follow procedures, work hard, and follow directions. However, Spain emphasises teamwork, creativity, and adaptation in its work environment (Giordano and Roller, 2021). The “siesta” is a cultural tradition of taking a midday break to rest and recharge, allowing for a slower pace of life. Workplaces in Spain value interpersonal ties, teamwork, and communal decision-making, fostering camaraderie and inclusivity (Cardona Molto et al., 2022). </w:t>
      </w:r>
    </w:p>
    <w:p w14:paraId="09351869" w14:textId="77777777" w:rsidR="00E128C3" w:rsidRPr="00E128C3" w:rsidRDefault="00E128C3" w:rsidP="0008221E">
      <w:pPr>
        <w:spacing w:line="360" w:lineRule="auto"/>
        <w:jc w:val="both"/>
        <w:rPr>
          <w:rFonts w:ascii="Arial" w:hAnsi="Arial" w:cs="Arial"/>
          <w:sz w:val="24"/>
          <w:szCs w:val="24"/>
        </w:rPr>
      </w:pPr>
      <w:r w:rsidRPr="007A443A">
        <w:rPr>
          <w:rFonts w:ascii="Arial" w:hAnsi="Arial" w:cs="Arial"/>
          <w:b/>
          <w:bCs/>
          <w:sz w:val="24"/>
          <w:szCs w:val="24"/>
        </w:rPr>
        <w:t>Social Etiquette and Customs:</w:t>
      </w:r>
      <w:r w:rsidRPr="00E128C3">
        <w:rPr>
          <w:rFonts w:ascii="Arial" w:hAnsi="Arial" w:cs="Arial"/>
          <w:sz w:val="24"/>
          <w:szCs w:val="24"/>
        </w:rPr>
        <w:t xml:space="preserve"> England and Spain have different social norms that affect dining, socialising, and daily life. English society values manners, courtesy, and social conventions. Handshakes or verbal greetings are preferred to respect personal space and limits. Instead, Spanish social connections are warm, affectionate, and close (Zyl and Meiselman, 2022). Hugs, cheek kisses, and strong handshakes are common greetings, indicating physically expressive communication. Spanish eating traditions emphasise food and wine and socialising with communal dinners, sharing dishes, and leisurely dining.</w:t>
      </w:r>
    </w:p>
    <w:p w14:paraId="54F62047" w14:textId="77777777"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 </w:t>
      </w:r>
    </w:p>
    <w:p w14:paraId="01411D1D" w14:textId="77777777" w:rsidR="00E128C3" w:rsidRPr="00E128C3" w:rsidRDefault="00E128C3" w:rsidP="0008221E">
      <w:pPr>
        <w:pStyle w:val="Heading1"/>
      </w:pPr>
      <w:bookmarkStart w:id="3" w:name="_Toc167725700"/>
      <w:r w:rsidRPr="00E128C3">
        <w:t>GLOBE Project’s culture and leadership study used by England and Spain</w:t>
      </w:r>
      <w:bookmarkEnd w:id="3"/>
    </w:p>
    <w:p w14:paraId="3A06826E" w14:textId="77777777"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The GLOBE Project helps executives and organisations understand cultural differences between England and Spain and their consequences for cross-cultural management in the hospitality industry.</w:t>
      </w:r>
    </w:p>
    <w:p w14:paraId="26C685D6" w14:textId="77777777" w:rsidR="00E128C3" w:rsidRPr="00E128C3" w:rsidRDefault="00E128C3" w:rsidP="0008221E">
      <w:pPr>
        <w:spacing w:line="360" w:lineRule="auto"/>
        <w:jc w:val="both"/>
        <w:rPr>
          <w:rFonts w:ascii="Arial" w:hAnsi="Arial" w:cs="Arial"/>
          <w:sz w:val="24"/>
          <w:szCs w:val="24"/>
        </w:rPr>
      </w:pPr>
      <w:r w:rsidRPr="007A443A">
        <w:rPr>
          <w:rFonts w:ascii="Arial" w:hAnsi="Arial" w:cs="Arial"/>
          <w:b/>
          <w:bCs/>
          <w:sz w:val="24"/>
          <w:szCs w:val="24"/>
        </w:rPr>
        <w:lastRenderedPageBreak/>
        <w:t>Power distance:</w:t>
      </w:r>
      <w:r w:rsidRPr="00E128C3">
        <w:rPr>
          <w:rFonts w:ascii="Arial" w:hAnsi="Arial" w:cs="Arial"/>
          <w:sz w:val="24"/>
          <w:szCs w:val="24"/>
        </w:rPr>
        <w:t xml:space="preserve"> Power distance is the extent to which less powerful people tolerate and expect unequal power distribution (House et al., 2022). Spain accepts hierarchical systems and authority figures more than England, as shown by its higher power distance. Spanish leadership styles and organisational dynamics are influenced by respect for authority and superiors (Deardorff, 2021).</w:t>
      </w:r>
    </w:p>
    <w:p w14:paraId="290939D0" w14:textId="28CE69AB" w:rsidR="00E128C3" w:rsidRPr="00E128C3" w:rsidRDefault="007A443A" w:rsidP="007A443A">
      <w:pPr>
        <w:spacing w:line="360" w:lineRule="auto"/>
        <w:jc w:val="center"/>
        <w:rPr>
          <w:rFonts w:ascii="Arial" w:hAnsi="Arial" w:cs="Arial"/>
          <w:sz w:val="24"/>
          <w:szCs w:val="24"/>
        </w:rPr>
      </w:pPr>
      <w:r>
        <w:rPr>
          <w:noProof/>
          <w:lang w:val="en-US"/>
        </w:rPr>
        <w:drawing>
          <wp:inline distT="0" distB="0" distL="0" distR="0" wp14:anchorId="1A841435" wp14:editId="06CDFBF3">
            <wp:extent cx="2901950" cy="2916680"/>
            <wp:effectExtent l="0" t="0" r="0" b="0"/>
            <wp:docPr id="1277588395" name="Picture 1277588395" descr="About Prof. Geert Hofstede - Culture 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Prof. Geert Hofstede - Culture In The Workpla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07804" cy="2922563"/>
                    </a:xfrm>
                    <a:prstGeom prst="rect">
                      <a:avLst/>
                    </a:prstGeom>
                    <a:noFill/>
                    <a:ln>
                      <a:noFill/>
                    </a:ln>
                  </pic:spPr>
                </pic:pic>
              </a:graphicData>
            </a:graphic>
          </wp:inline>
        </w:drawing>
      </w:r>
    </w:p>
    <w:p w14:paraId="61FB9696" w14:textId="77777777" w:rsidR="00E128C3" w:rsidRPr="00E128C3" w:rsidRDefault="00E128C3" w:rsidP="007A443A">
      <w:pPr>
        <w:spacing w:line="360" w:lineRule="auto"/>
        <w:jc w:val="center"/>
        <w:rPr>
          <w:rFonts w:ascii="Arial" w:hAnsi="Arial" w:cs="Arial"/>
          <w:sz w:val="24"/>
          <w:szCs w:val="24"/>
        </w:rPr>
      </w:pPr>
      <w:r w:rsidRPr="00E128C3">
        <w:rPr>
          <w:rFonts w:ascii="Arial" w:hAnsi="Arial" w:cs="Arial"/>
          <w:sz w:val="24"/>
          <w:szCs w:val="24"/>
        </w:rPr>
        <w:t>Figure: Hofstede’s Cultural Differences; Source:  (Hofstede, 2022)</w:t>
      </w:r>
    </w:p>
    <w:p w14:paraId="0BCCD0E9" w14:textId="77777777" w:rsidR="00E128C3" w:rsidRPr="00E128C3" w:rsidRDefault="00E128C3" w:rsidP="0008221E">
      <w:pPr>
        <w:spacing w:line="360" w:lineRule="auto"/>
        <w:jc w:val="both"/>
        <w:rPr>
          <w:rFonts w:ascii="Arial" w:hAnsi="Arial" w:cs="Arial"/>
          <w:sz w:val="24"/>
          <w:szCs w:val="24"/>
        </w:rPr>
      </w:pPr>
      <w:r w:rsidRPr="007A443A">
        <w:rPr>
          <w:rFonts w:ascii="Arial" w:hAnsi="Arial" w:cs="Arial"/>
          <w:b/>
          <w:bCs/>
          <w:sz w:val="24"/>
          <w:szCs w:val="24"/>
        </w:rPr>
        <w:t>Uncertainty Avoidance:</w:t>
      </w:r>
      <w:r w:rsidRPr="00E128C3">
        <w:rPr>
          <w:rFonts w:ascii="Arial" w:hAnsi="Arial" w:cs="Arial"/>
          <w:sz w:val="24"/>
          <w:szCs w:val="24"/>
        </w:rPr>
        <w:t xml:space="preserve"> Uncertainty avoidance shows how much a society accepts ambiguity. Spain avoids uncertainty less than England, reflecting a higher willingness to change, risk, and experiment (House et al., 2023). Spanish culture emphasises spontaneity, adaptation, and flexibility, while English culture emphasises norms, procedures, and predictability (Zyl and Meiselman, 2022). </w:t>
      </w:r>
    </w:p>
    <w:p w14:paraId="4B773B02" w14:textId="77777777" w:rsidR="00E128C3" w:rsidRPr="00E128C3" w:rsidRDefault="00E128C3" w:rsidP="0008221E">
      <w:pPr>
        <w:spacing w:line="360" w:lineRule="auto"/>
        <w:jc w:val="both"/>
        <w:rPr>
          <w:rFonts w:ascii="Arial" w:hAnsi="Arial" w:cs="Arial"/>
          <w:sz w:val="24"/>
          <w:szCs w:val="24"/>
        </w:rPr>
      </w:pPr>
      <w:r w:rsidRPr="007A443A">
        <w:rPr>
          <w:rFonts w:ascii="Arial" w:hAnsi="Arial" w:cs="Arial"/>
          <w:b/>
          <w:bCs/>
          <w:sz w:val="24"/>
          <w:szCs w:val="24"/>
        </w:rPr>
        <w:t>Institutional Collectivism:</w:t>
      </w:r>
      <w:r w:rsidRPr="00E128C3">
        <w:rPr>
          <w:rFonts w:ascii="Arial" w:hAnsi="Arial" w:cs="Arial"/>
          <w:sz w:val="24"/>
          <w:szCs w:val="24"/>
        </w:rPr>
        <w:t xml:space="preserve"> Institutional collectivism is when people put group interests before personal ambitions in institutions (House et al., 2023). Spain emphasises organisational loyalty, unity, and harmony more than England. Spanish culture encourages strong relationships, teamwork, and collaboration, which fosters employee cohesion and belonging (Giordano and Roller, 2021). </w:t>
      </w:r>
    </w:p>
    <w:p w14:paraId="381F96B1" w14:textId="77777777" w:rsidR="00E128C3" w:rsidRPr="00E128C3" w:rsidRDefault="00E128C3" w:rsidP="0008221E">
      <w:pPr>
        <w:spacing w:line="360" w:lineRule="auto"/>
        <w:jc w:val="both"/>
        <w:rPr>
          <w:rFonts w:ascii="Arial" w:hAnsi="Arial" w:cs="Arial"/>
          <w:sz w:val="24"/>
          <w:szCs w:val="24"/>
        </w:rPr>
      </w:pPr>
      <w:r w:rsidRPr="007A443A">
        <w:rPr>
          <w:rFonts w:ascii="Arial" w:hAnsi="Arial" w:cs="Arial"/>
          <w:b/>
          <w:bCs/>
          <w:sz w:val="24"/>
          <w:szCs w:val="24"/>
        </w:rPr>
        <w:t>Gender Egalitarianism:</w:t>
      </w:r>
      <w:r w:rsidRPr="00E128C3">
        <w:rPr>
          <w:rFonts w:ascii="Arial" w:hAnsi="Arial" w:cs="Arial"/>
          <w:sz w:val="24"/>
          <w:szCs w:val="24"/>
        </w:rPr>
        <w:t xml:space="preserve"> How much a society fosters gender equality and equal chances for men and women is called gender egalitarianism (Grobelna, 2023). Both England and Spain have made progress towards gender equality, although Spain is more egalitarian. Leadership and organisational policies may be influenced by </w:t>
      </w:r>
      <w:r w:rsidRPr="00E128C3">
        <w:rPr>
          <w:rFonts w:ascii="Arial" w:hAnsi="Arial" w:cs="Arial"/>
          <w:sz w:val="24"/>
          <w:szCs w:val="24"/>
        </w:rPr>
        <w:lastRenderedPageBreak/>
        <w:t>Spanish workplace inclusion, diversity, and gender balance (Giordano and Roller, 2021).</w:t>
      </w:r>
    </w:p>
    <w:p w14:paraId="2EE4CB69" w14:textId="77777777" w:rsidR="00E128C3" w:rsidRPr="00E128C3" w:rsidRDefault="00E128C3" w:rsidP="0008221E">
      <w:pPr>
        <w:pStyle w:val="Heading1"/>
      </w:pPr>
      <w:bookmarkStart w:id="4" w:name="_Toc167725701"/>
      <w:r w:rsidRPr="00E128C3">
        <w:t>Challenges of intercultural leadership in the hospitality industry</w:t>
      </w:r>
      <w:bookmarkEnd w:id="4"/>
    </w:p>
    <w:p w14:paraId="1A5C3D16" w14:textId="77777777"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 xml:space="preserve">In a 5-star Multicultural Hotel &amp; Spa in London’s Anglo Cluster, managing intercultural leadership is difficult. The following issues and conflicts may occur in such a setting: </w:t>
      </w:r>
    </w:p>
    <w:p w14:paraId="5FA02279" w14:textId="48D1A69F"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 xml:space="preserve">English communication emphasises clarity and efficiency through straight, low-context communication. Then, Spanish communication is direct but expressive and </w:t>
      </w:r>
      <w:r w:rsidR="00492CD8" w:rsidRPr="00E128C3">
        <w:rPr>
          <w:rFonts w:ascii="Arial" w:hAnsi="Arial" w:cs="Arial"/>
          <w:sz w:val="24"/>
          <w:szCs w:val="24"/>
        </w:rPr>
        <w:t>high context</w:t>
      </w:r>
      <w:r w:rsidRPr="00E128C3">
        <w:rPr>
          <w:rFonts w:ascii="Arial" w:hAnsi="Arial" w:cs="Arial"/>
          <w:sz w:val="24"/>
          <w:szCs w:val="24"/>
        </w:rPr>
        <w:t xml:space="preserve">, using tone, body language, and emotional nuance (Barrett, 2021). For instance, an English boss may send succinct emails to Spanish employees who are perceived as cold or indifferent. Then, Spanish professionals employ more intricate and emotive vocabulary, which English colleagues find excessive or ineffective (Grobelna, 2023). </w:t>
      </w:r>
    </w:p>
    <w:p w14:paraId="1D575F9D" w14:textId="77777777"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 xml:space="preserve">English culture prioritises a strong divide between work and personal life. While Spanish culture blends work and social interactions, employees prioritise family and social obligations. </w:t>
      </w:r>
    </w:p>
    <w:p w14:paraId="3BFBD3D7" w14:textId="77777777"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For example, Spanish employees may anticipate more flexibility for family and social occasions, which English supervisors interpret as a lack of job commitment (Grobelna, 2023). Also, English workers may not socialise outside of work, which Spanish coworkers view as aloofness and a lack of teamwork.</w:t>
      </w:r>
    </w:p>
    <w:p w14:paraId="46FAB5B9" w14:textId="77777777"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 xml:space="preserve">English workplaces tend to have a less rigid hierarchy and more equal structure. Spanish organisations are hierarchical, with definite positions and authority expectations (Javidan et al., 2019). For example, in team meetings, Spanish staff expects the manager to lead discussions and make decisions, whereas English staff expects a more participatory approach. Thus, this causes team confusion and inefficiency. </w:t>
      </w:r>
    </w:p>
    <w:p w14:paraId="1B1A5326" w14:textId="77777777" w:rsidR="00E128C3" w:rsidRPr="00E128C3" w:rsidRDefault="00E128C3" w:rsidP="00E43AC7">
      <w:pPr>
        <w:pStyle w:val="Heading1"/>
      </w:pPr>
      <w:r w:rsidRPr="00E128C3">
        <w:lastRenderedPageBreak/>
        <w:t xml:space="preserve">Conclusion </w:t>
      </w:r>
    </w:p>
    <w:p w14:paraId="5BF4A395" w14:textId="77777777"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Then, intercultural leadership in hospitality requires bridging England and Spain’s cultural gaps. Then, leaders can overcome challenges and create a harmonious and productive multicultural environment as they know the language, communication methods, cultural conventions and work practices. Also, the Multicultural Hotel &amp; Spa must embrace diversity, promote cultural awareness and use proactive leadership to ensure successful transitions and team cohesion.</w:t>
      </w:r>
    </w:p>
    <w:p w14:paraId="53346F9B" w14:textId="77777777" w:rsidR="00E128C3" w:rsidRPr="00E128C3" w:rsidRDefault="00E128C3" w:rsidP="0008221E">
      <w:pPr>
        <w:pStyle w:val="Heading1"/>
      </w:pPr>
      <w:bookmarkStart w:id="5" w:name="_Toc167725702"/>
      <w:r w:rsidRPr="00E128C3">
        <w:t>Recommendations</w:t>
      </w:r>
      <w:bookmarkEnd w:id="5"/>
      <w:r w:rsidRPr="00E128C3">
        <w:t xml:space="preserve"> </w:t>
      </w:r>
    </w:p>
    <w:p w14:paraId="1DAA7D67" w14:textId="77777777" w:rsidR="00E128C3" w:rsidRPr="00E128C3" w:rsidRDefault="00E128C3" w:rsidP="0008221E">
      <w:pPr>
        <w:spacing w:line="360" w:lineRule="auto"/>
        <w:jc w:val="both"/>
        <w:rPr>
          <w:rFonts w:ascii="Arial" w:hAnsi="Arial" w:cs="Arial"/>
          <w:sz w:val="24"/>
          <w:szCs w:val="24"/>
        </w:rPr>
      </w:pPr>
      <w:r w:rsidRPr="007A443A">
        <w:rPr>
          <w:rFonts w:ascii="Arial" w:hAnsi="Arial" w:cs="Arial"/>
          <w:b/>
          <w:bCs/>
          <w:sz w:val="24"/>
          <w:szCs w:val="24"/>
        </w:rPr>
        <w:t>Cross-Cultural Training:</w:t>
      </w:r>
      <w:r w:rsidRPr="00E128C3">
        <w:rPr>
          <w:rFonts w:ascii="Arial" w:hAnsi="Arial" w:cs="Arial"/>
          <w:sz w:val="24"/>
          <w:szCs w:val="24"/>
        </w:rPr>
        <w:t xml:space="preserve"> Here, Multicultural Hotel &amp; Spa in London should implement thorough programmes for English and Spanish personnel. Also, to improve understanding and collaboration, focus on language proficiency, communication styles, cultural norms and workplace expectations (Javidan et al., 2019). </w:t>
      </w:r>
    </w:p>
    <w:p w14:paraId="3099A811" w14:textId="77777777" w:rsidR="00E128C3" w:rsidRPr="00E128C3" w:rsidRDefault="00E128C3" w:rsidP="0008221E">
      <w:pPr>
        <w:spacing w:line="360" w:lineRule="auto"/>
        <w:jc w:val="both"/>
        <w:rPr>
          <w:rFonts w:ascii="Arial" w:hAnsi="Arial" w:cs="Arial"/>
          <w:sz w:val="24"/>
          <w:szCs w:val="24"/>
        </w:rPr>
      </w:pPr>
      <w:r w:rsidRPr="007A443A">
        <w:rPr>
          <w:rFonts w:ascii="Arial" w:hAnsi="Arial" w:cs="Arial"/>
          <w:b/>
          <w:bCs/>
          <w:sz w:val="24"/>
          <w:szCs w:val="24"/>
        </w:rPr>
        <w:t>Language Support:</w:t>
      </w:r>
      <w:r w:rsidRPr="00E128C3">
        <w:rPr>
          <w:rFonts w:ascii="Arial" w:hAnsi="Arial" w:cs="Arial"/>
          <w:sz w:val="24"/>
          <w:szCs w:val="24"/>
        </w:rPr>
        <w:t xml:space="preserve"> Multicultural Hotel &amp; Spa in London should offer language lessons, translation services, and multilingual materials to improve staff and guest communication. </w:t>
      </w:r>
    </w:p>
    <w:p w14:paraId="11D1713D" w14:textId="77777777" w:rsidR="00E128C3" w:rsidRPr="00E128C3" w:rsidRDefault="00E128C3" w:rsidP="0008221E">
      <w:pPr>
        <w:spacing w:line="360" w:lineRule="auto"/>
        <w:jc w:val="both"/>
        <w:rPr>
          <w:rFonts w:ascii="Arial" w:hAnsi="Arial" w:cs="Arial"/>
          <w:sz w:val="24"/>
          <w:szCs w:val="24"/>
        </w:rPr>
      </w:pPr>
      <w:r w:rsidRPr="007A443A">
        <w:rPr>
          <w:rFonts w:ascii="Arial" w:hAnsi="Arial" w:cs="Arial"/>
          <w:b/>
          <w:bCs/>
          <w:sz w:val="24"/>
          <w:szCs w:val="24"/>
        </w:rPr>
        <w:t>Cultural Sensitivity Training:</w:t>
      </w:r>
      <w:r w:rsidRPr="00E128C3">
        <w:rPr>
          <w:rFonts w:ascii="Arial" w:hAnsi="Arial" w:cs="Arial"/>
          <w:sz w:val="24"/>
          <w:szCs w:val="24"/>
        </w:rPr>
        <w:t xml:space="preserve"> Multicultural Hotel &amp; Spa in London should conduct cultural sensitivity training sessions to foster respect for varied cultural practices, traditions, and customs. Thus, this will reduce misunderstandings and make culturally diverse guests feel welcome (Grobelna, 2023). </w:t>
      </w:r>
    </w:p>
    <w:p w14:paraId="2AF1FB91" w14:textId="77777777"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 xml:space="preserve">Diversity and Inclusion Initiatives: Multicultural Hotel &amp; Spa in London should implement diversity and inclusion efforts to celebrate cultural variety, promote equitable chances, and foster a sense of belonging for all team members (Giordano and Roller, 2021). </w:t>
      </w:r>
    </w:p>
    <w:p w14:paraId="204CAB51" w14:textId="77777777" w:rsidR="00E128C3" w:rsidRPr="00E128C3" w:rsidRDefault="00E128C3" w:rsidP="0008221E">
      <w:pPr>
        <w:spacing w:line="360" w:lineRule="auto"/>
        <w:jc w:val="both"/>
        <w:rPr>
          <w:rFonts w:ascii="Arial" w:hAnsi="Arial" w:cs="Arial"/>
          <w:sz w:val="24"/>
          <w:szCs w:val="24"/>
        </w:rPr>
      </w:pPr>
      <w:r w:rsidRPr="007A443A">
        <w:rPr>
          <w:rFonts w:ascii="Arial" w:hAnsi="Arial" w:cs="Arial"/>
          <w:b/>
          <w:bCs/>
          <w:sz w:val="24"/>
          <w:szCs w:val="24"/>
        </w:rPr>
        <w:t>Team-Building Activities:</w:t>
      </w:r>
      <w:r w:rsidRPr="00E128C3">
        <w:rPr>
          <w:rFonts w:ascii="Arial" w:hAnsi="Arial" w:cs="Arial"/>
          <w:sz w:val="24"/>
          <w:szCs w:val="24"/>
        </w:rPr>
        <w:t xml:space="preserve"> Multicultural Hotels &amp; Spa in London should also organise cross-cultural activities and social gatherings to foster staff collaboration and relationships. Thus, this will break down boundaries and build teamwork (Grobelna, 2023). </w:t>
      </w:r>
    </w:p>
    <w:p w14:paraId="56A3655A" w14:textId="51355A17" w:rsidR="0008221E" w:rsidRDefault="0008221E" w:rsidP="00BC32BA">
      <w:pPr>
        <w:spacing w:line="360" w:lineRule="auto"/>
        <w:jc w:val="both"/>
        <w:rPr>
          <w:rFonts w:ascii="Arial" w:hAnsi="Arial" w:cs="Arial"/>
          <w:sz w:val="24"/>
          <w:szCs w:val="24"/>
        </w:rPr>
      </w:pPr>
    </w:p>
    <w:p w14:paraId="1CEEFBB0" w14:textId="77777777" w:rsidR="00E128C3" w:rsidRPr="00E128C3" w:rsidRDefault="00E128C3" w:rsidP="0008221E">
      <w:pPr>
        <w:pStyle w:val="Heading1"/>
      </w:pPr>
      <w:bookmarkStart w:id="6" w:name="_Toc167725703"/>
      <w:r w:rsidRPr="00E128C3">
        <w:lastRenderedPageBreak/>
        <w:t>References</w:t>
      </w:r>
      <w:bookmarkEnd w:id="6"/>
    </w:p>
    <w:p w14:paraId="173A4D48" w14:textId="77777777"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Barnett, L. and Carter, E., (2023). Challenges to leadership in intercultural settings: intercultural interactions and knowledge management: research From Thailand. In ICMLG 2018 6th International Conference on Management Leadership and Governance (pp. 60-67).</w:t>
      </w:r>
    </w:p>
    <w:p w14:paraId="32B37B6E" w14:textId="77777777"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Barrett, M.D., (2021). Intercultural competence. EWC Statement Series, 2, pp.23-27.</w:t>
      </w:r>
    </w:p>
    <w:p w14:paraId="2A92EE40" w14:textId="77777777"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Cardona Molto, M.C., Florian, L., Rouse, M. and Stough, L.M., (2022). Attitudes to diversity: a cross</w:t>
      </w:r>
      <w:r w:rsidRPr="00E128C3">
        <w:rPr>
          <w:rFonts w:ascii="Cambria Math" w:hAnsi="Cambria Math" w:cs="Cambria Math"/>
          <w:sz w:val="24"/>
          <w:szCs w:val="24"/>
        </w:rPr>
        <w:t>‐</w:t>
      </w:r>
      <w:r w:rsidRPr="00E128C3">
        <w:rPr>
          <w:rFonts w:ascii="Arial" w:hAnsi="Arial" w:cs="Arial"/>
          <w:sz w:val="24"/>
          <w:szCs w:val="24"/>
        </w:rPr>
        <w:t>cultural study of education students in Spain, England and the United States. European Journal of Teacher Education, 33(3), pp.245-264.</w:t>
      </w:r>
    </w:p>
    <w:p w14:paraId="61CAC512" w14:textId="77777777"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Deardorff, D.K., (2021). Assessing intercultural competence. New directions for institutional research, 2011(149), p.65.</w:t>
      </w:r>
    </w:p>
    <w:p w14:paraId="3AF729BE" w14:textId="737900B3"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Giordano, B. and Roller, E., (2021). A comparison of city region dynamics in the UK, Spain and Italy: More similarities than differences</w:t>
      </w:r>
      <w:r w:rsidR="003A7250">
        <w:rPr>
          <w:rFonts w:ascii="Arial" w:hAnsi="Arial" w:cs="Arial"/>
          <w:sz w:val="24"/>
          <w:szCs w:val="24"/>
        </w:rPr>
        <w:t>?</w:t>
      </w:r>
      <w:r w:rsidRPr="00E128C3">
        <w:rPr>
          <w:rFonts w:ascii="Arial" w:hAnsi="Arial" w:cs="Arial"/>
          <w:sz w:val="24"/>
          <w:szCs w:val="24"/>
        </w:rPr>
        <w:t xml:space="preserve"> Regional studies, 37(9), pp.911-927.</w:t>
      </w:r>
    </w:p>
    <w:p w14:paraId="37092E92" w14:textId="77777777"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Grobelna, A., (2023). Intercultural challenges facing the hospitality industry. Implications for education and hospitality management. Journal of Intercultural Management, 7(3), pp.101-117.</w:t>
      </w:r>
    </w:p>
    <w:p w14:paraId="764C7AFE" w14:textId="77777777"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Hofstede, G., (2022). Cultural differences in teaching and learning. International Journal of intercultural relations, 10(3), pp.301-320.</w:t>
      </w:r>
    </w:p>
    <w:p w14:paraId="6F1747F3" w14:textId="77777777"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House, R.J., Hanges, P.J., Javidan, M., Dorfman, P.W. and Gupta, V. eds., (2023). Culture, leadership, and organisations: The GLOBE study of 62 societies. Sage publications.</w:t>
      </w:r>
    </w:p>
    <w:p w14:paraId="6B3021D9" w14:textId="77777777"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House, R.J., Hanges, P.J., Ruiz-Quintanilla, S.A., Dorfman, P.W., Javidan, M., Dickson, M. and Gupta, V., (2022). Cultural influences on leadership and organisations: Project GLOBE. Advances in global leadership, 1(2), pp.171-233.</w:t>
      </w:r>
    </w:p>
    <w:p w14:paraId="308F6351" w14:textId="77777777" w:rsidR="00E128C3" w:rsidRPr="00E128C3" w:rsidRDefault="00E128C3" w:rsidP="0008221E">
      <w:pPr>
        <w:spacing w:line="360" w:lineRule="auto"/>
        <w:jc w:val="both"/>
        <w:rPr>
          <w:rFonts w:ascii="Arial" w:hAnsi="Arial" w:cs="Arial"/>
          <w:sz w:val="24"/>
          <w:szCs w:val="24"/>
        </w:rPr>
      </w:pPr>
      <w:r w:rsidRPr="00E128C3">
        <w:rPr>
          <w:rFonts w:ascii="Arial" w:hAnsi="Arial" w:cs="Arial"/>
          <w:sz w:val="24"/>
          <w:szCs w:val="24"/>
        </w:rPr>
        <w:t>Javidan, M., Stahl, G.K., Brodbeck, F. and Wilderom, C.P., (2019). Cross-border transfer of knowledge: Cultural lessons from Project GLOBE. Academy of Management Perspectives, 19(2), pp.59-76.</w:t>
      </w:r>
    </w:p>
    <w:p w14:paraId="7007CED5" w14:textId="47DA2474" w:rsidR="007C180E" w:rsidRPr="004F40AB" w:rsidRDefault="00E128C3" w:rsidP="0008221E">
      <w:pPr>
        <w:spacing w:line="360" w:lineRule="auto"/>
        <w:jc w:val="both"/>
        <w:rPr>
          <w:rFonts w:ascii="Arial" w:hAnsi="Arial" w:cs="Arial"/>
          <w:sz w:val="24"/>
          <w:szCs w:val="24"/>
        </w:rPr>
      </w:pPr>
      <w:r w:rsidRPr="00E128C3">
        <w:rPr>
          <w:rFonts w:ascii="Arial" w:hAnsi="Arial" w:cs="Arial"/>
          <w:sz w:val="24"/>
          <w:szCs w:val="24"/>
        </w:rPr>
        <w:lastRenderedPageBreak/>
        <w:t>Zyl, H. and Meiselman, H.L., (2022). The roles of culture and language in designing emotion lists: Comparing the same language in different English and Spanish-speaking countries. Food Quality and Preference, 41, pp.201-213</w:t>
      </w:r>
      <w:r w:rsidR="000230C6">
        <w:rPr>
          <w:rFonts w:ascii="Arial" w:hAnsi="Arial" w:cs="Arial"/>
          <w:sz w:val="24"/>
          <w:szCs w:val="24"/>
        </w:rPr>
        <w:t>.</w:t>
      </w:r>
    </w:p>
    <w:sectPr w:rsidR="007C180E" w:rsidRPr="004F40AB" w:rsidSect="0008221E">
      <w:pgSz w:w="11906" w:h="16838" w:code="9"/>
      <w:pgMar w:top="1440" w:right="162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6D2E83"/>
    <w:multiLevelType w:val="hybridMultilevel"/>
    <w:tmpl w:val="4A946A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34012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3D3"/>
    <w:rsid w:val="00004C51"/>
    <w:rsid w:val="000230C6"/>
    <w:rsid w:val="0008221E"/>
    <w:rsid w:val="00093316"/>
    <w:rsid w:val="000C16A4"/>
    <w:rsid w:val="001227E0"/>
    <w:rsid w:val="00173896"/>
    <w:rsid w:val="00174A91"/>
    <w:rsid w:val="001774C5"/>
    <w:rsid w:val="00227C75"/>
    <w:rsid w:val="002B28BA"/>
    <w:rsid w:val="00332444"/>
    <w:rsid w:val="00333453"/>
    <w:rsid w:val="00340C4A"/>
    <w:rsid w:val="003A10AA"/>
    <w:rsid w:val="003A7250"/>
    <w:rsid w:val="003B2937"/>
    <w:rsid w:val="004502B6"/>
    <w:rsid w:val="00492CD8"/>
    <w:rsid w:val="00496A80"/>
    <w:rsid w:val="004A47B6"/>
    <w:rsid w:val="004C477E"/>
    <w:rsid w:val="004C5AD3"/>
    <w:rsid w:val="004F40AB"/>
    <w:rsid w:val="0053612E"/>
    <w:rsid w:val="005939D4"/>
    <w:rsid w:val="005C70E8"/>
    <w:rsid w:val="005F64C6"/>
    <w:rsid w:val="006522CD"/>
    <w:rsid w:val="00661472"/>
    <w:rsid w:val="006A767A"/>
    <w:rsid w:val="006D7787"/>
    <w:rsid w:val="006E4294"/>
    <w:rsid w:val="006E50B1"/>
    <w:rsid w:val="006E7EB4"/>
    <w:rsid w:val="00743688"/>
    <w:rsid w:val="00762D89"/>
    <w:rsid w:val="007A443A"/>
    <w:rsid w:val="007B5C90"/>
    <w:rsid w:val="007C180E"/>
    <w:rsid w:val="007C646A"/>
    <w:rsid w:val="008901F2"/>
    <w:rsid w:val="00896B70"/>
    <w:rsid w:val="008B3DE6"/>
    <w:rsid w:val="008B7AE3"/>
    <w:rsid w:val="008C00AC"/>
    <w:rsid w:val="0098582A"/>
    <w:rsid w:val="009B0445"/>
    <w:rsid w:val="009D7CB5"/>
    <w:rsid w:val="00A07FE3"/>
    <w:rsid w:val="00A16090"/>
    <w:rsid w:val="00A33EC2"/>
    <w:rsid w:val="00A76AB0"/>
    <w:rsid w:val="00A8587D"/>
    <w:rsid w:val="00AA1753"/>
    <w:rsid w:val="00AC7C7C"/>
    <w:rsid w:val="00B06D4E"/>
    <w:rsid w:val="00B11779"/>
    <w:rsid w:val="00B33EF4"/>
    <w:rsid w:val="00B71C4E"/>
    <w:rsid w:val="00BC32BA"/>
    <w:rsid w:val="00BE7E23"/>
    <w:rsid w:val="00C20BA8"/>
    <w:rsid w:val="00CD6762"/>
    <w:rsid w:val="00D0629F"/>
    <w:rsid w:val="00D31A25"/>
    <w:rsid w:val="00D31C31"/>
    <w:rsid w:val="00D519E3"/>
    <w:rsid w:val="00DA63D3"/>
    <w:rsid w:val="00DA79DA"/>
    <w:rsid w:val="00DD63A6"/>
    <w:rsid w:val="00E128C3"/>
    <w:rsid w:val="00E2256C"/>
    <w:rsid w:val="00E41AA2"/>
    <w:rsid w:val="00E43AC7"/>
    <w:rsid w:val="00E579A9"/>
    <w:rsid w:val="00E706B1"/>
    <w:rsid w:val="00E859C1"/>
    <w:rsid w:val="00EF24FF"/>
    <w:rsid w:val="00EF3FC2"/>
    <w:rsid w:val="00EF6F1A"/>
    <w:rsid w:val="00F179B0"/>
    <w:rsid w:val="00F740C0"/>
    <w:rsid w:val="00F8273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4E219F"/>
  <w15:chartTrackingRefBased/>
  <w15:docId w15:val="{250ABFD8-B13D-4AEF-9AAF-E14700ABA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63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63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63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63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63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63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63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63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63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63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63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63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63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63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63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63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63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63D3"/>
    <w:rPr>
      <w:rFonts w:eastAsiaTheme="majorEastAsia" w:cstheme="majorBidi"/>
      <w:color w:val="272727" w:themeColor="text1" w:themeTint="D8"/>
    </w:rPr>
  </w:style>
  <w:style w:type="paragraph" w:styleId="Title">
    <w:name w:val="Title"/>
    <w:basedOn w:val="Normal"/>
    <w:next w:val="Normal"/>
    <w:link w:val="TitleChar"/>
    <w:uiPriority w:val="10"/>
    <w:qFormat/>
    <w:rsid w:val="00DA63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63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63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63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63D3"/>
    <w:pPr>
      <w:spacing w:before="160"/>
      <w:jc w:val="center"/>
    </w:pPr>
    <w:rPr>
      <w:i/>
      <w:iCs/>
      <w:color w:val="404040" w:themeColor="text1" w:themeTint="BF"/>
    </w:rPr>
  </w:style>
  <w:style w:type="character" w:customStyle="1" w:styleId="QuoteChar">
    <w:name w:val="Quote Char"/>
    <w:basedOn w:val="DefaultParagraphFont"/>
    <w:link w:val="Quote"/>
    <w:uiPriority w:val="29"/>
    <w:rsid w:val="00DA63D3"/>
    <w:rPr>
      <w:i/>
      <w:iCs/>
      <w:color w:val="404040" w:themeColor="text1" w:themeTint="BF"/>
    </w:rPr>
  </w:style>
  <w:style w:type="paragraph" w:styleId="ListParagraph">
    <w:name w:val="List Paragraph"/>
    <w:basedOn w:val="Normal"/>
    <w:uiPriority w:val="34"/>
    <w:qFormat/>
    <w:rsid w:val="00DA63D3"/>
    <w:pPr>
      <w:ind w:left="720"/>
      <w:contextualSpacing/>
    </w:pPr>
  </w:style>
  <w:style w:type="character" w:styleId="IntenseEmphasis">
    <w:name w:val="Intense Emphasis"/>
    <w:basedOn w:val="DefaultParagraphFont"/>
    <w:uiPriority w:val="21"/>
    <w:qFormat/>
    <w:rsid w:val="00DA63D3"/>
    <w:rPr>
      <w:i/>
      <w:iCs/>
      <w:color w:val="0F4761" w:themeColor="accent1" w:themeShade="BF"/>
    </w:rPr>
  </w:style>
  <w:style w:type="paragraph" w:styleId="IntenseQuote">
    <w:name w:val="Intense Quote"/>
    <w:basedOn w:val="Normal"/>
    <w:next w:val="Normal"/>
    <w:link w:val="IntenseQuoteChar"/>
    <w:uiPriority w:val="30"/>
    <w:qFormat/>
    <w:rsid w:val="00DA63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63D3"/>
    <w:rPr>
      <w:i/>
      <w:iCs/>
      <w:color w:val="0F4761" w:themeColor="accent1" w:themeShade="BF"/>
    </w:rPr>
  </w:style>
  <w:style w:type="character" w:styleId="IntenseReference">
    <w:name w:val="Intense Reference"/>
    <w:basedOn w:val="DefaultParagraphFont"/>
    <w:uiPriority w:val="32"/>
    <w:qFormat/>
    <w:rsid w:val="00DA63D3"/>
    <w:rPr>
      <w:b/>
      <w:bCs/>
      <w:smallCaps/>
      <w:color w:val="0F4761" w:themeColor="accent1" w:themeShade="BF"/>
      <w:spacing w:val="5"/>
    </w:rPr>
  </w:style>
  <w:style w:type="paragraph" w:styleId="TOCHeading">
    <w:name w:val="TOC Heading"/>
    <w:basedOn w:val="Heading1"/>
    <w:next w:val="Normal"/>
    <w:uiPriority w:val="39"/>
    <w:unhideWhenUsed/>
    <w:qFormat/>
    <w:rsid w:val="004502B6"/>
    <w:pPr>
      <w:spacing w:before="240" w:after="0"/>
      <w:outlineLvl w:val="9"/>
    </w:pPr>
    <w:rPr>
      <w:sz w:val="32"/>
      <w:szCs w:val="32"/>
      <w:lang w:eastAsia="en-GB"/>
      <w14:ligatures w14:val="none"/>
    </w:rPr>
  </w:style>
  <w:style w:type="paragraph" w:styleId="TOC2">
    <w:name w:val="toc 2"/>
    <w:basedOn w:val="Normal"/>
    <w:next w:val="Normal"/>
    <w:autoRedefine/>
    <w:uiPriority w:val="39"/>
    <w:unhideWhenUsed/>
    <w:rsid w:val="004502B6"/>
    <w:pPr>
      <w:spacing w:after="100"/>
      <w:ind w:left="220"/>
    </w:pPr>
  </w:style>
  <w:style w:type="character" w:styleId="Hyperlink">
    <w:name w:val="Hyperlink"/>
    <w:basedOn w:val="DefaultParagraphFont"/>
    <w:uiPriority w:val="99"/>
    <w:unhideWhenUsed/>
    <w:rsid w:val="004502B6"/>
    <w:rPr>
      <w:color w:val="467886" w:themeColor="hyperlink"/>
      <w:u w:val="single"/>
    </w:rPr>
  </w:style>
  <w:style w:type="paragraph" w:styleId="TOC1">
    <w:name w:val="toc 1"/>
    <w:basedOn w:val="Normal"/>
    <w:next w:val="Normal"/>
    <w:autoRedefine/>
    <w:uiPriority w:val="39"/>
    <w:unhideWhenUsed/>
    <w:rsid w:val="002B28B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C1607C-C7A2-4F85-9E2C-864C7BB54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9</Pages>
  <Words>1640</Words>
  <Characters>10503</Characters>
  <Application>Microsoft Office Word</Application>
  <DocSecurity>0</DocSecurity>
  <Lines>218</Lines>
  <Paragraphs>78</Paragraphs>
  <ScaleCrop>false</ScaleCrop>
  <Company/>
  <LinksUpToDate>false</LinksUpToDate>
  <CharactersWithSpaces>12065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Mihalcea</dc:creator>
  <cp:keywords/>
  <dc:description/>
  <cp:lastModifiedBy>Robert Daniel Mihalcea (2240761)</cp:lastModifiedBy>
  <cp:revision>81</cp:revision>
  <dcterms:created xsi:type="dcterms:W3CDTF">2024-05-06T10:33:00Z</dcterms:created>
  <dcterms:modified xsi:type="dcterms:W3CDTF">2024-06-02T09:14:00Z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5bdcdc8461b36487787e4a1431bda49fd8e9ae84ae10f55706dda09579dd9b7c</vt:lpwstr>
  </property>
</Properties>
</file>